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170A" w14:textId="77777777" w:rsidR="00DB0AD2" w:rsidRDefault="00DB0AD2" w:rsidP="004A58BD">
      <w:pPr>
        <w:tabs>
          <w:tab w:val="center" w:pos="5040"/>
          <w:tab w:val="left" w:pos="7272"/>
        </w:tabs>
        <w:spacing w:after="0" w:line="240" w:lineRule="auto"/>
        <w:rPr>
          <w:rFonts w:cs="Arial"/>
          <w:b/>
          <w:color w:val="0070C0"/>
          <w:sz w:val="40"/>
          <w:szCs w:val="40"/>
        </w:rPr>
      </w:pPr>
    </w:p>
    <w:p w14:paraId="362EC9D4" w14:textId="77777777" w:rsidR="00D27699" w:rsidRPr="00BB0C2A" w:rsidRDefault="00D27699" w:rsidP="00A24610">
      <w:pPr>
        <w:tabs>
          <w:tab w:val="center" w:pos="5040"/>
          <w:tab w:val="left" w:pos="7272"/>
        </w:tabs>
        <w:spacing w:after="0" w:line="240" w:lineRule="auto"/>
        <w:ind w:left="360"/>
        <w:rPr>
          <w:rFonts w:ascii="Times New Roman" w:hAnsi="Times New Roman" w:cs="Times New Roman"/>
          <w:sz w:val="40"/>
          <w:szCs w:val="40"/>
        </w:rPr>
      </w:pPr>
      <w:r w:rsidRPr="00BB0C2A">
        <w:rPr>
          <w:rFonts w:ascii="Times New Roman" w:hAnsi="Times New Roman" w:cs="Times New Roman"/>
          <w:sz w:val="40"/>
          <w:szCs w:val="40"/>
        </w:rPr>
        <w:t>Commonwealth of Massachusetts</w:t>
      </w:r>
    </w:p>
    <w:p w14:paraId="3C0192C6" w14:textId="77777777" w:rsidR="00EE5F74" w:rsidRPr="00BB0C2A" w:rsidRDefault="00D27699" w:rsidP="00A24610">
      <w:pPr>
        <w:tabs>
          <w:tab w:val="center" w:pos="5040"/>
          <w:tab w:val="left" w:pos="7272"/>
        </w:tabs>
        <w:spacing w:after="0" w:line="240" w:lineRule="auto"/>
        <w:ind w:left="360"/>
        <w:rPr>
          <w:rFonts w:ascii="Times New Roman" w:hAnsi="Times New Roman" w:cs="Times New Roman"/>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B0C2A">
        <w:rPr>
          <w:rFonts w:ascii="Times New Roman" w:hAnsi="Times New Roman" w:cs="Times New Roman"/>
          <w:sz w:val="40"/>
          <w:szCs w:val="40"/>
        </w:rPr>
        <w:t>Executive Office Health and Human Services</w:t>
      </w:r>
    </w:p>
    <w:p w14:paraId="236877B8" w14:textId="77777777" w:rsidR="00C94FE9" w:rsidRPr="009C272A" w:rsidRDefault="00D27699" w:rsidP="00A24610">
      <w:pPr>
        <w:pStyle w:val="NoSpacing"/>
        <w:ind w:left="360"/>
      </w:pPr>
      <w:r>
        <w:rPr>
          <w:noProof/>
        </w:rPr>
        <mc:AlternateContent>
          <mc:Choice Requires="wps">
            <w:drawing>
              <wp:inline distT="0" distB="0" distL="0" distR="0" wp14:anchorId="2D40B22A" wp14:editId="0E0A1EF9">
                <wp:extent cx="6217920" cy="0"/>
                <wp:effectExtent l="38100" t="38100" r="43180" b="88900"/>
                <wp:docPr id="2" name="Straight Connector 2" descr="&quot;&quot;"/>
                <wp:cNvGraphicFramePr/>
                <a:graphic xmlns:a="http://schemas.openxmlformats.org/drawingml/2006/main">
                  <a:graphicData uri="http://schemas.microsoft.com/office/word/2010/wordprocessingShape">
                    <wps:wsp>
                      <wps:cNvCnPr/>
                      <wps:spPr>
                        <a:xfrm>
                          <a:off x="0" y="0"/>
                          <a:ext cx="621792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w14:anchorId="7D2B512A"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" strokecolor="#c0504d [3205]" strokeweight="3pt">
                <v:shadow on="t" color="black" opacity="22937f" origin=",.5" offset="0,.63889mm"/>
                <w10:anchorlock/>
              </v:line>
            </w:pict>
          </mc:Fallback>
        </mc:AlternateContent>
      </w:r>
    </w:p>
    <w:p w14:paraId="79C593C0" w14:textId="77777777" w:rsidR="00444D53" w:rsidRDefault="00444D53" w:rsidP="004A58BD">
      <w:pPr>
        <w:pStyle w:val="NoSpacing"/>
      </w:pPr>
    </w:p>
    <w:p w14:paraId="51CC7DEF" w14:textId="47675F3F"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RY202</w:t>
      </w:r>
      <w:r w:rsidR="005F2535">
        <w:rPr>
          <w:rFonts w:ascii="Times New Roman" w:hAnsi="Times New Roman"/>
          <w:b/>
          <w:bCs/>
          <w:sz w:val="52"/>
          <w:szCs w:val="52"/>
        </w:rPr>
        <w:t>5</w:t>
      </w:r>
      <w:r w:rsidRPr="008531AF">
        <w:rPr>
          <w:rFonts w:ascii="Times New Roman" w:hAnsi="Times New Roman"/>
          <w:b/>
          <w:bCs/>
          <w:sz w:val="52"/>
          <w:szCs w:val="52"/>
        </w:rPr>
        <w:t xml:space="preserve"> EOHHS Hospital Clinical Quality</w:t>
      </w:r>
    </w:p>
    <w:p w14:paraId="2ECAB975" w14:textId="1ACDF457"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Incentive Program</w:t>
      </w:r>
      <w:r w:rsidR="00C056B9" w:rsidRPr="008531AF">
        <w:rPr>
          <w:rFonts w:ascii="Times New Roman" w:hAnsi="Times New Roman"/>
          <w:b/>
          <w:bCs/>
          <w:sz w:val="52"/>
          <w:szCs w:val="52"/>
        </w:rPr>
        <w:t xml:space="preserve"> </w:t>
      </w:r>
      <w:r w:rsidRPr="008531AF">
        <w:rPr>
          <w:rFonts w:ascii="Times New Roman" w:hAnsi="Times New Roman"/>
          <w:b/>
          <w:bCs/>
          <w:sz w:val="52"/>
          <w:szCs w:val="52"/>
        </w:rPr>
        <w:t>Release Notes</w:t>
      </w:r>
    </w:p>
    <w:p w14:paraId="15084428" w14:textId="129B1B97" w:rsidR="005B5298" w:rsidRPr="0029376E" w:rsidRDefault="004A58BD" w:rsidP="0029376E">
      <w:pPr>
        <w:pStyle w:val="Body"/>
        <w:spacing w:after="4080"/>
      </w:pPr>
      <w:r w:rsidRPr="008531AF">
        <w:rPr>
          <w:rFonts w:ascii="Times New Roman" w:hAnsi="Times New Roman"/>
          <w:b/>
          <w:bCs/>
          <w:sz w:val="52"/>
          <w:szCs w:val="52"/>
        </w:rPr>
        <w:t xml:space="preserve">(Version </w:t>
      </w:r>
      <w:r w:rsidR="005F2535">
        <w:rPr>
          <w:rFonts w:ascii="Times New Roman" w:hAnsi="Times New Roman"/>
          <w:b/>
          <w:bCs/>
          <w:sz w:val="52"/>
          <w:szCs w:val="52"/>
        </w:rPr>
        <w:t>3.1</w:t>
      </w:r>
      <w:r w:rsidRPr="008531AF">
        <w:rPr>
          <w:rFonts w:ascii="Times New Roman" w:hAnsi="Times New Roman"/>
          <w:b/>
          <w:bCs/>
          <w:sz w:val="52"/>
          <w:szCs w:val="52"/>
        </w:rPr>
        <w:t>)</w:t>
      </w:r>
    </w:p>
    <w:p w14:paraId="7527FB21" w14:textId="77777777" w:rsidR="00D27699" w:rsidRPr="008531AF" w:rsidRDefault="00D27699" w:rsidP="008531AF">
      <w:pPr>
        <w:pStyle w:val="Body"/>
        <w:rPr>
          <w:rFonts w:ascii="Times New Roman" w:hAnsi="Times New Roman"/>
          <w:sz w:val="40"/>
          <w:szCs w:val="40"/>
        </w:rPr>
      </w:pPr>
      <w:r w:rsidRPr="008531AF">
        <w:rPr>
          <w:rFonts w:ascii="Times New Roman" w:hAnsi="Times New Roman"/>
          <w:sz w:val="40"/>
          <w:szCs w:val="40"/>
        </w:rPr>
        <w:t>Supplement to:</w:t>
      </w:r>
    </w:p>
    <w:p w14:paraId="55E1CBE8" w14:textId="7BF2A4F5" w:rsidR="005B5298" w:rsidRPr="008531AF" w:rsidRDefault="004A58BD" w:rsidP="008531AF">
      <w:pPr>
        <w:pStyle w:val="Body"/>
        <w:rPr>
          <w:rFonts w:ascii="Times New Roman" w:hAnsi="Times New Roman"/>
          <w:sz w:val="40"/>
          <w:szCs w:val="40"/>
        </w:rPr>
      </w:pPr>
      <w:r w:rsidRPr="008531AF">
        <w:rPr>
          <w:rFonts w:ascii="Times New Roman" w:hAnsi="Times New Roman"/>
          <w:sz w:val="40"/>
          <w:szCs w:val="40"/>
        </w:rPr>
        <w:t>RY202</w:t>
      </w:r>
      <w:r w:rsidR="005F2535">
        <w:rPr>
          <w:rFonts w:ascii="Times New Roman" w:hAnsi="Times New Roman"/>
          <w:sz w:val="40"/>
          <w:szCs w:val="40"/>
        </w:rPr>
        <w:t>5</w:t>
      </w:r>
      <w:r w:rsidRPr="008531AF">
        <w:rPr>
          <w:rFonts w:ascii="Times New Roman" w:hAnsi="Times New Roman"/>
          <w:sz w:val="40"/>
          <w:szCs w:val="40"/>
        </w:rPr>
        <w:t xml:space="preserve"> EOHHS Hospital Clinical Quality</w:t>
      </w:r>
      <w:r w:rsidR="005B5298" w:rsidRPr="008531AF">
        <w:rPr>
          <w:rFonts w:ascii="Times New Roman" w:hAnsi="Times New Roman"/>
          <w:sz w:val="40"/>
          <w:szCs w:val="40"/>
        </w:rPr>
        <w:t xml:space="preserve"> </w:t>
      </w:r>
      <w:r w:rsidRPr="008531AF">
        <w:rPr>
          <w:rFonts w:ascii="Times New Roman" w:hAnsi="Times New Roman"/>
          <w:sz w:val="40"/>
          <w:szCs w:val="40"/>
        </w:rPr>
        <w:t>Incentive</w:t>
      </w:r>
    </w:p>
    <w:p w14:paraId="46806D2A" w14:textId="2D6C476F" w:rsidR="00C450CF" w:rsidRPr="008531AF" w:rsidRDefault="004A58BD" w:rsidP="0029376E">
      <w:pPr>
        <w:pStyle w:val="Body"/>
        <w:spacing w:after="2040"/>
        <w:rPr>
          <w:rFonts w:ascii="Times New Roman" w:hAnsi="Times New Roman"/>
          <w:sz w:val="40"/>
          <w:szCs w:val="40"/>
        </w:rPr>
      </w:pPr>
      <w:r w:rsidRPr="008531AF">
        <w:rPr>
          <w:rFonts w:ascii="Times New Roman" w:hAnsi="Times New Roman"/>
          <w:sz w:val="40"/>
          <w:szCs w:val="40"/>
        </w:rPr>
        <w:t>Program Technical Specification</w:t>
      </w:r>
      <w:r w:rsidR="00323C19" w:rsidRPr="008531AF">
        <w:rPr>
          <w:rFonts w:ascii="Times New Roman" w:hAnsi="Times New Roman"/>
          <w:sz w:val="40"/>
          <w:szCs w:val="40"/>
        </w:rPr>
        <w:t>s</w:t>
      </w:r>
      <w:r w:rsidR="005B5298" w:rsidRPr="008531AF">
        <w:rPr>
          <w:rFonts w:ascii="Times New Roman" w:hAnsi="Times New Roman"/>
          <w:sz w:val="40"/>
          <w:szCs w:val="40"/>
        </w:rPr>
        <w:t xml:space="preserve"> </w:t>
      </w:r>
      <w:r w:rsidRPr="008531AF">
        <w:rPr>
          <w:rFonts w:ascii="Times New Roman" w:hAnsi="Times New Roman"/>
          <w:sz w:val="40"/>
          <w:szCs w:val="40"/>
        </w:rPr>
        <w:t>Manual (v</w:t>
      </w:r>
      <w:r w:rsidR="005F2535">
        <w:rPr>
          <w:rFonts w:ascii="Times New Roman" w:hAnsi="Times New Roman"/>
          <w:sz w:val="40"/>
          <w:szCs w:val="40"/>
        </w:rPr>
        <w:t>3</w:t>
      </w:r>
      <w:r w:rsidR="710A397D" w:rsidRPr="008531AF">
        <w:rPr>
          <w:rFonts w:ascii="Times New Roman" w:hAnsi="Times New Roman"/>
          <w:sz w:val="40"/>
          <w:szCs w:val="40"/>
        </w:rPr>
        <w:t>.0)</w:t>
      </w:r>
    </w:p>
    <w:p w14:paraId="7ADA066E" w14:textId="1B639EE3" w:rsidR="00F05C79" w:rsidRPr="008531AF" w:rsidRDefault="00C4394D" w:rsidP="008531AF">
      <w:pPr>
        <w:pStyle w:val="Body"/>
        <w:rPr>
          <w:rFonts w:ascii="Times New Roman" w:hAnsi="Times New Roman"/>
          <w:b/>
          <w:bCs/>
          <w:color w:val="C00000"/>
          <w:sz w:val="40"/>
          <w:szCs w:val="40"/>
        </w:rPr>
        <w:sectPr w:rsidR="00F05C79" w:rsidRPr="008531AF" w:rsidSect="002A1B35">
          <w:headerReference w:type="default" r:id="rId11"/>
          <w:footerReference w:type="default" r:id="rId12"/>
          <w:pgSz w:w="12240" w:h="15840"/>
          <w:pgMar w:top="900" w:right="864" w:bottom="1008" w:left="1008" w:header="360" w:footer="270" w:gutter="0"/>
          <w:pgNumType w:start="0"/>
          <w:cols w:space="720"/>
          <w:titlePg/>
          <w:docGrid w:linePitch="360"/>
        </w:sectPr>
      </w:pPr>
      <w:r w:rsidRPr="008A191C">
        <w:rPr>
          <w:rFonts w:ascii="Times New Roman" w:hAnsi="Times New Roman"/>
          <w:b/>
          <w:bCs/>
          <w:sz w:val="40"/>
          <w:szCs w:val="40"/>
        </w:rPr>
        <w:t>Published</w:t>
      </w:r>
      <w:r w:rsidR="00212600" w:rsidRPr="008A191C">
        <w:rPr>
          <w:rFonts w:ascii="Times New Roman" w:hAnsi="Times New Roman"/>
          <w:b/>
          <w:bCs/>
          <w:sz w:val="40"/>
          <w:szCs w:val="40"/>
        </w:rPr>
        <w:t>:</w:t>
      </w:r>
      <w:r w:rsidR="00353FD1">
        <w:rPr>
          <w:rFonts w:ascii="Times New Roman" w:hAnsi="Times New Roman"/>
          <w:b/>
          <w:bCs/>
          <w:sz w:val="40"/>
          <w:szCs w:val="40"/>
        </w:rPr>
        <w:t xml:space="preserve"> </w:t>
      </w:r>
      <w:r w:rsidR="00510750">
        <w:rPr>
          <w:rFonts w:ascii="Times New Roman" w:hAnsi="Times New Roman"/>
          <w:b/>
          <w:bCs/>
          <w:sz w:val="40"/>
          <w:szCs w:val="40"/>
        </w:rPr>
        <w:t>April</w:t>
      </w:r>
      <w:r w:rsidR="00510750" w:rsidRPr="00510750">
        <w:rPr>
          <w:rFonts w:ascii="Times New Roman" w:hAnsi="Times New Roman"/>
          <w:b/>
          <w:bCs/>
          <w:sz w:val="40"/>
          <w:szCs w:val="40"/>
        </w:rPr>
        <w:t xml:space="preserve"> 1</w:t>
      </w:r>
      <w:r w:rsidR="00510750">
        <w:rPr>
          <w:rFonts w:ascii="Times New Roman" w:hAnsi="Times New Roman"/>
          <w:b/>
          <w:bCs/>
          <w:sz w:val="40"/>
          <w:szCs w:val="40"/>
        </w:rPr>
        <w:t>5</w:t>
      </w:r>
      <w:r w:rsidR="00510750" w:rsidRPr="00510750">
        <w:rPr>
          <w:rFonts w:ascii="Times New Roman" w:hAnsi="Times New Roman"/>
          <w:b/>
          <w:bCs/>
          <w:sz w:val="40"/>
          <w:szCs w:val="40"/>
        </w:rPr>
        <w:t>, 202</w:t>
      </w:r>
      <w:r w:rsidR="00CD29CC">
        <w:rPr>
          <w:rFonts w:ascii="Times New Roman" w:hAnsi="Times New Roman"/>
          <w:b/>
          <w:bCs/>
          <w:sz w:val="40"/>
          <w:szCs w:val="40"/>
        </w:rPr>
        <w:t>5</w:t>
      </w:r>
    </w:p>
    <w:p w14:paraId="4849F532" w14:textId="4389F7BF" w:rsidR="00ED7E67" w:rsidRPr="00CA5F81" w:rsidRDefault="00E83C2E" w:rsidP="00CA5F81">
      <w:pPr>
        <w:pStyle w:val="Heading2"/>
        <w:spacing w:line="276" w:lineRule="auto"/>
      </w:pPr>
      <w:bookmarkStart w:id="0" w:name="_Toc165984753"/>
      <w:bookmarkStart w:id="1" w:name="_Toc166507028"/>
      <w:r w:rsidRPr="00AA1381">
        <w:lastRenderedPageBreak/>
        <w:t>Introduction</w:t>
      </w:r>
      <w:bookmarkEnd w:id="0"/>
      <w:bookmarkEnd w:id="1"/>
      <w:r w:rsidRPr="00C4394D">
        <w:t xml:space="preserve"> </w:t>
      </w:r>
      <w:bookmarkStart w:id="2" w:name="_Toc165984754"/>
      <w:bookmarkStart w:id="3" w:name="_Toc166507029"/>
    </w:p>
    <w:p w14:paraId="5E2FCF4A" w14:textId="5B1B4E01" w:rsidR="00AA1381" w:rsidRPr="00EC3A1A" w:rsidRDefault="009D76F8" w:rsidP="00EC3A1A">
      <w:pPr>
        <w:pStyle w:val="Heading3"/>
        <w:spacing w:line="276" w:lineRule="auto"/>
        <w:jc w:val="left"/>
        <w:rPr>
          <w:sz w:val="24"/>
          <w:szCs w:val="24"/>
        </w:rPr>
      </w:pPr>
      <w:r w:rsidRPr="009D76F8">
        <w:rPr>
          <w:sz w:val="24"/>
          <w:szCs w:val="24"/>
        </w:rPr>
        <w:t>A</w:t>
      </w:r>
      <w:r w:rsidRPr="00EB2913">
        <w:rPr>
          <w:sz w:val="24"/>
          <w:szCs w:val="24"/>
        </w:rPr>
        <w:t xml:space="preserve">. </w:t>
      </w:r>
      <w:r w:rsidR="005625F1" w:rsidRPr="00EB2913">
        <w:rPr>
          <w:sz w:val="24"/>
          <w:szCs w:val="24"/>
        </w:rPr>
        <w:t>Purpose</w:t>
      </w:r>
      <w:bookmarkEnd w:id="2"/>
      <w:bookmarkEnd w:id="3"/>
      <w:r w:rsidR="005625F1" w:rsidRPr="00EB2913">
        <w:rPr>
          <w:sz w:val="24"/>
          <w:szCs w:val="24"/>
        </w:rPr>
        <w:t xml:space="preserve"> </w:t>
      </w:r>
    </w:p>
    <w:p w14:paraId="76D58DDB" w14:textId="13C70AFA" w:rsidR="00A20639" w:rsidRPr="000D16CE" w:rsidRDefault="000F55B7" w:rsidP="006C4F8F">
      <w:pPr>
        <w:ind w:left="360" w:firstLine="0"/>
        <w:rPr>
          <w:rFonts w:ascii="Times New Roman" w:hAnsi="Times New Roman" w:cs="Times New Roman"/>
          <w:b/>
          <w:bCs/>
          <w:sz w:val="24"/>
          <w:szCs w:val="24"/>
        </w:rPr>
      </w:pPr>
      <w:r w:rsidRPr="358F1CBF">
        <w:rPr>
          <w:rFonts w:ascii="Times New Roman" w:hAnsi="Times New Roman" w:cs="Times New Roman"/>
          <w:sz w:val="24"/>
          <w:szCs w:val="24"/>
        </w:rPr>
        <w:t>Th</w:t>
      </w:r>
      <w:r w:rsidR="0046436F" w:rsidRPr="358F1CBF">
        <w:rPr>
          <w:rFonts w:ascii="Times New Roman" w:hAnsi="Times New Roman" w:cs="Times New Roman"/>
          <w:sz w:val="24"/>
          <w:szCs w:val="24"/>
        </w:rPr>
        <w:t>e</w:t>
      </w:r>
      <w:r w:rsidR="00114FAB" w:rsidRPr="358F1CBF">
        <w:rPr>
          <w:rFonts w:ascii="Times New Roman" w:hAnsi="Times New Roman" w:cs="Times New Roman"/>
          <w:sz w:val="24"/>
          <w:szCs w:val="24"/>
        </w:rPr>
        <w:t xml:space="preserve"> </w:t>
      </w:r>
      <w:r w:rsidRPr="358F1CBF">
        <w:rPr>
          <w:rFonts w:ascii="Times New Roman" w:hAnsi="Times New Roman" w:cs="Times New Roman"/>
          <w:sz w:val="24"/>
          <w:szCs w:val="24"/>
        </w:rPr>
        <w:t xml:space="preserve">EOHHS Release Notes provide </w:t>
      </w:r>
      <w:r w:rsidR="00A4289D" w:rsidRPr="358F1CBF">
        <w:rPr>
          <w:rFonts w:ascii="Times New Roman" w:hAnsi="Times New Roman" w:cs="Times New Roman"/>
          <w:sz w:val="24"/>
          <w:szCs w:val="24"/>
        </w:rPr>
        <w:t xml:space="preserve">hospitals with </w:t>
      </w:r>
      <w:r w:rsidR="00347ABD" w:rsidRPr="358F1CBF">
        <w:rPr>
          <w:rFonts w:ascii="Times New Roman" w:hAnsi="Times New Roman" w:cs="Times New Roman"/>
          <w:sz w:val="24"/>
          <w:szCs w:val="24"/>
        </w:rPr>
        <w:t xml:space="preserve">interim </w:t>
      </w:r>
      <w:r w:rsidR="00A4289D" w:rsidRPr="358F1CBF">
        <w:rPr>
          <w:rFonts w:ascii="Times New Roman" w:hAnsi="Times New Roman" w:cs="Times New Roman"/>
          <w:sz w:val="24"/>
          <w:szCs w:val="24"/>
        </w:rPr>
        <w:t xml:space="preserve">updates </w:t>
      </w:r>
      <w:r w:rsidR="00347ABD" w:rsidRPr="358F1CBF">
        <w:rPr>
          <w:rFonts w:ascii="Times New Roman" w:hAnsi="Times New Roman" w:cs="Times New Roman"/>
          <w:sz w:val="24"/>
          <w:szCs w:val="24"/>
        </w:rPr>
        <w:t xml:space="preserve">on </w:t>
      </w:r>
      <w:r w:rsidR="00D373E4" w:rsidRPr="358F1CBF">
        <w:rPr>
          <w:rFonts w:ascii="Times New Roman" w:hAnsi="Times New Roman" w:cs="Times New Roman"/>
          <w:sz w:val="24"/>
          <w:szCs w:val="24"/>
        </w:rPr>
        <w:t xml:space="preserve">MassHealth Acute Hospital </w:t>
      </w:r>
      <w:r w:rsidR="004A58BD" w:rsidRPr="358F1CBF">
        <w:rPr>
          <w:rFonts w:ascii="Times New Roman" w:hAnsi="Times New Roman" w:cs="Times New Roman"/>
          <w:sz w:val="24"/>
          <w:szCs w:val="24"/>
        </w:rPr>
        <w:t>Clinical Quality Incentive (CQI)</w:t>
      </w:r>
      <w:r w:rsidR="00D373E4" w:rsidRPr="358F1CBF">
        <w:rPr>
          <w:rFonts w:ascii="Times New Roman" w:hAnsi="Times New Roman" w:cs="Times New Roman"/>
          <w:sz w:val="24"/>
          <w:szCs w:val="24"/>
        </w:rPr>
        <w:t xml:space="preserve"> Program </w:t>
      </w:r>
      <w:r w:rsidR="00347ABD" w:rsidRPr="358F1CBF">
        <w:rPr>
          <w:rFonts w:ascii="Times New Roman" w:hAnsi="Times New Roman" w:cs="Times New Roman"/>
          <w:sz w:val="24"/>
          <w:szCs w:val="24"/>
        </w:rPr>
        <w:t xml:space="preserve">data collection and </w:t>
      </w:r>
      <w:r w:rsidR="00A4289D" w:rsidRPr="358F1CBF">
        <w:rPr>
          <w:rFonts w:ascii="Times New Roman" w:hAnsi="Times New Roman" w:cs="Times New Roman"/>
          <w:sz w:val="24"/>
          <w:szCs w:val="24"/>
        </w:rPr>
        <w:t xml:space="preserve">reporting requirements </w:t>
      </w:r>
      <w:r w:rsidR="00D31CD8" w:rsidRPr="358F1CBF">
        <w:rPr>
          <w:rFonts w:ascii="Times New Roman" w:hAnsi="Times New Roman" w:cs="Times New Roman"/>
          <w:sz w:val="24"/>
          <w:szCs w:val="24"/>
        </w:rPr>
        <w:t xml:space="preserve">applicable to </w:t>
      </w:r>
      <w:r w:rsidR="00347ABD" w:rsidRPr="358F1CBF">
        <w:rPr>
          <w:rFonts w:ascii="Times New Roman" w:hAnsi="Times New Roman" w:cs="Times New Roman"/>
          <w:sz w:val="24"/>
          <w:szCs w:val="24"/>
        </w:rPr>
        <w:t xml:space="preserve">the </w:t>
      </w:r>
      <w:r w:rsidR="00AB5ABA" w:rsidRPr="358F1CBF">
        <w:rPr>
          <w:rFonts w:ascii="Times New Roman" w:hAnsi="Times New Roman" w:cs="Times New Roman"/>
          <w:sz w:val="24"/>
          <w:szCs w:val="24"/>
        </w:rPr>
        <w:t xml:space="preserve">current </w:t>
      </w:r>
      <w:r w:rsidR="00D31CD8" w:rsidRPr="358F1CBF">
        <w:rPr>
          <w:rFonts w:ascii="Times New Roman" w:hAnsi="Times New Roman" w:cs="Times New Roman"/>
          <w:sz w:val="24"/>
          <w:szCs w:val="24"/>
        </w:rPr>
        <w:t>rate year</w:t>
      </w:r>
      <w:r w:rsidRPr="358F1CBF">
        <w:rPr>
          <w:rFonts w:ascii="Times New Roman" w:hAnsi="Times New Roman" w:cs="Times New Roman"/>
          <w:sz w:val="24"/>
          <w:szCs w:val="24"/>
        </w:rPr>
        <w:t>.</w:t>
      </w:r>
      <w:r w:rsidR="00F13292" w:rsidRPr="358F1CBF">
        <w:rPr>
          <w:rFonts w:ascii="Times New Roman" w:hAnsi="Times New Roman" w:cs="Times New Roman"/>
          <w:sz w:val="24"/>
          <w:szCs w:val="24"/>
        </w:rPr>
        <w:t xml:space="preserve"> </w:t>
      </w:r>
    </w:p>
    <w:p w14:paraId="3F9E0AF5" w14:textId="77777777" w:rsidR="00A43FC3" w:rsidRPr="00451002" w:rsidRDefault="00B23787" w:rsidP="001B5670">
      <w:pPr>
        <w:pStyle w:val="ListParagraph"/>
        <w:numPr>
          <w:ilvl w:val="0"/>
          <w:numId w:val="5"/>
        </w:numPr>
        <w:spacing w:after="240"/>
        <w:rPr>
          <w:rFonts w:ascii="Times New Roman" w:hAnsi="Times New Roman" w:cs="Times New Roman"/>
          <w:b/>
          <w:bCs/>
          <w:i/>
          <w:iCs/>
          <w:sz w:val="24"/>
          <w:szCs w:val="24"/>
        </w:rPr>
      </w:pPr>
      <w:r>
        <w:rPr>
          <w:rFonts w:ascii="Times New Roman" w:hAnsi="Times New Roman" w:cs="Times New Roman"/>
          <w:b/>
          <w:bCs/>
          <w:sz w:val="24"/>
          <w:szCs w:val="24"/>
        </w:rPr>
        <w:t>Key</w:t>
      </w:r>
      <w:r w:rsidR="00461E74" w:rsidRPr="7BB76F8A">
        <w:rPr>
          <w:rFonts w:ascii="Times New Roman" w:hAnsi="Times New Roman" w:cs="Times New Roman"/>
          <w:b/>
          <w:bCs/>
          <w:sz w:val="24"/>
          <w:szCs w:val="24"/>
        </w:rPr>
        <w:t xml:space="preserve"> Update</w:t>
      </w:r>
      <w:r w:rsidR="00DF68A5">
        <w:rPr>
          <w:rFonts w:ascii="Times New Roman" w:hAnsi="Times New Roman" w:cs="Times New Roman"/>
          <w:b/>
          <w:bCs/>
          <w:sz w:val="24"/>
          <w:szCs w:val="24"/>
        </w:rPr>
        <w:t>s</w:t>
      </w:r>
      <w:r w:rsidR="0094790D" w:rsidRPr="7BB76F8A">
        <w:rPr>
          <w:rFonts w:ascii="Times New Roman" w:hAnsi="Times New Roman" w:cs="Times New Roman"/>
          <w:b/>
          <w:bCs/>
          <w:sz w:val="24"/>
          <w:szCs w:val="24"/>
        </w:rPr>
        <w:t xml:space="preserve">: </w:t>
      </w:r>
    </w:p>
    <w:p w14:paraId="5B746346" w14:textId="4DB54ED4" w:rsidR="00EE1E6A" w:rsidRPr="00EE1E6A" w:rsidRDefault="00461E74" w:rsidP="001B5670">
      <w:pPr>
        <w:pStyle w:val="ListParagraph"/>
        <w:numPr>
          <w:ilvl w:val="1"/>
          <w:numId w:val="5"/>
        </w:numPr>
        <w:spacing w:after="240"/>
        <w:rPr>
          <w:rFonts w:ascii="Times New Roman" w:hAnsi="Times New Roman" w:cs="Times New Roman"/>
          <w:b/>
          <w:bCs/>
          <w:i/>
          <w:iCs/>
          <w:sz w:val="24"/>
          <w:szCs w:val="24"/>
        </w:rPr>
      </w:pPr>
      <w:r w:rsidRPr="7BB76F8A">
        <w:rPr>
          <w:rFonts w:ascii="Times New Roman" w:hAnsi="Times New Roman" w:cs="Times New Roman"/>
          <w:sz w:val="24"/>
          <w:szCs w:val="24"/>
        </w:rPr>
        <w:t>Table 1</w:t>
      </w:r>
      <w:r w:rsidR="00187C66" w:rsidRPr="7BB76F8A">
        <w:rPr>
          <w:rFonts w:ascii="Times New Roman" w:hAnsi="Times New Roman" w:cs="Times New Roman"/>
          <w:sz w:val="24"/>
          <w:szCs w:val="24"/>
        </w:rPr>
        <w:t>.2</w:t>
      </w:r>
      <w:r w:rsidRPr="7BB76F8A">
        <w:rPr>
          <w:rFonts w:ascii="Times New Roman" w:hAnsi="Times New Roman" w:cs="Times New Roman"/>
          <w:sz w:val="24"/>
          <w:szCs w:val="24"/>
        </w:rPr>
        <w:t xml:space="preserve"> has been </w:t>
      </w:r>
      <w:r w:rsidR="00990D8D">
        <w:rPr>
          <w:rFonts w:ascii="Times New Roman" w:hAnsi="Times New Roman" w:cs="Times New Roman"/>
          <w:sz w:val="24"/>
          <w:szCs w:val="24"/>
        </w:rPr>
        <w:t>updated</w:t>
      </w:r>
      <w:r w:rsidR="00F0587E">
        <w:rPr>
          <w:rFonts w:ascii="Times New Roman" w:hAnsi="Times New Roman" w:cs="Times New Roman"/>
          <w:sz w:val="24"/>
          <w:szCs w:val="24"/>
        </w:rPr>
        <w:t xml:space="preserve"> in</w:t>
      </w:r>
      <w:r w:rsidRPr="7BB76F8A">
        <w:rPr>
          <w:rFonts w:ascii="Times New Roman" w:hAnsi="Times New Roman" w:cs="Times New Roman"/>
          <w:sz w:val="24"/>
          <w:szCs w:val="24"/>
        </w:rPr>
        <w:t xml:space="preserve"> </w:t>
      </w:r>
      <w:r w:rsidR="00187C66" w:rsidRPr="7BB76F8A">
        <w:rPr>
          <w:rFonts w:ascii="Times New Roman" w:hAnsi="Times New Roman" w:cs="Times New Roman"/>
          <w:sz w:val="24"/>
          <w:szCs w:val="24"/>
        </w:rPr>
        <w:t xml:space="preserve">Section 1.D of </w:t>
      </w:r>
      <w:r w:rsidRPr="7BB76F8A">
        <w:rPr>
          <w:rFonts w:ascii="Times New Roman" w:hAnsi="Times New Roman" w:cs="Times New Roman"/>
          <w:sz w:val="24"/>
          <w:szCs w:val="24"/>
        </w:rPr>
        <w:t>the RY2</w:t>
      </w:r>
      <w:r w:rsidR="00355661">
        <w:rPr>
          <w:rFonts w:ascii="Times New Roman" w:hAnsi="Times New Roman" w:cs="Times New Roman"/>
          <w:sz w:val="24"/>
          <w:szCs w:val="24"/>
        </w:rPr>
        <w:t>5</w:t>
      </w:r>
      <w:r w:rsidRPr="7BB76F8A">
        <w:rPr>
          <w:rFonts w:ascii="Times New Roman" w:hAnsi="Times New Roman" w:cs="Times New Roman"/>
          <w:sz w:val="24"/>
          <w:szCs w:val="24"/>
        </w:rPr>
        <w:t xml:space="preserve"> CQI EOHHS Technical Specifications Manual (</w:t>
      </w:r>
      <w:r w:rsidR="00355661">
        <w:rPr>
          <w:rFonts w:ascii="Times New Roman" w:hAnsi="Times New Roman" w:cs="Times New Roman"/>
          <w:sz w:val="24"/>
          <w:szCs w:val="24"/>
        </w:rPr>
        <w:t>3</w:t>
      </w:r>
      <w:r w:rsidRPr="7BB76F8A">
        <w:rPr>
          <w:rFonts w:ascii="Times New Roman" w:hAnsi="Times New Roman" w:cs="Times New Roman"/>
          <w:sz w:val="24"/>
          <w:szCs w:val="24"/>
        </w:rPr>
        <w:t>.0)</w:t>
      </w:r>
      <w:r w:rsidR="00C50905">
        <w:rPr>
          <w:rFonts w:ascii="Times New Roman" w:hAnsi="Times New Roman" w:cs="Times New Roman"/>
          <w:sz w:val="24"/>
          <w:szCs w:val="24"/>
        </w:rPr>
        <w:t xml:space="preserve"> </w:t>
      </w:r>
      <w:r w:rsidR="00C50905">
        <w:rPr>
          <w:rFonts w:ascii="Times New Roman" w:hAnsi="Times New Roman" w:cs="Times New Roman"/>
          <w:bCs/>
          <w:sz w:val="24"/>
          <w:szCs w:val="24"/>
        </w:rPr>
        <w:t>effective for the RY25 (</w:t>
      </w:r>
      <w:r w:rsidR="00C50905" w:rsidRPr="00187C66">
        <w:rPr>
          <w:rFonts w:ascii="Times New Roman" w:hAnsi="Times New Roman" w:cs="Times New Roman"/>
          <w:bCs/>
          <w:sz w:val="24"/>
          <w:szCs w:val="24"/>
        </w:rPr>
        <w:t>CY202</w:t>
      </w:r>
      <w:r w:rsidR="00C50905">
        <w:rPr>
          <w:rFonts w:ascii="Times New Roman" w:hAnsi="Times New Roman" w:cs="Times New Roman"/>
          <w:bCs/>
          <w:sz w:val="24"/>
          <w:szCs w:val="24"/>
        </w:rPr>
        <w:t>5)</w:t>
      </w:r>
      <w:r w:rsidR="00C50905" w:rsidRPr="00187C66">
        <w:rPr>
          <w:rFonts w:ascii="Times New Roman" w:hAnsi="Times New Roman" w:cs="Times New Roman"/>
          <w:bCs/>
          <w:sz w:val="24"/>
          <w:szCs w:val="24"/>
        </w:rPr>
        <w:t xml:space="preserve"> report</w:t>
      </w:r>
      <w:r w:rsidR="00C50905">
        <w:rPr>
          <w:rFonts w:ascii="Times New Roman" w:hAnsi="Times New Roman" w:cs="Times New Roman"/>
          <w:bCs/>
          <w:sz w:val="24"/>
          <w:szCs w:val="24"/>
        </w:rPr>
        <w:t>ing period</w:t>
      </w:r>
      <w:r w:rsidR="00187C66" w:rsidRPr="7BB76F8A">
        <w:rPr>
          <w:rFonts w:ascii="Times New Roman" w:hAnsi="Times New Roman" w:cs="Times New Roman"/>
          <w:sz w:val="24"/>
          <w:szCs w:val="24"/>
        </w:rPr>
        <w:t xml:space="preserve"> to</w:t>
      </w:r>
      <w:r w:rsidR="00EE1E6A">
        <w:rPr>
          <w:rFonts w:ascii="Times New Roman" w:hAnsi="Times New Roman" w:cs="Times New Roman"/>
          <w:sz w:val="24"/>
          <w:szCs w:val="24"/>
        </w:rPr>
        <w:t>:</w:t>
      </w:r>
    </w:p>
    <w:p w14:paraId="6173B866" w14:textId="05195D02" w:rsidR="00EE1E6A" w:rsidRPr="00EE1E6A" w:rsidRDefault="00B01A6B" w:rsidP="001B5670">
      <w:pPr>
        <w:pStyle w:val="ListParagraph"/>
        <w:numPr>
          <w:ilvl w:val="2"/>
          <w:numId w:val="5"/>
        </w:numPr>
        <w:spacing w:after="240"/>
        <w:rPr>
          <w:rFonts w:ascii="Times New Roman" w:hAnsi="Times New Roman" w:cs="Times New Roman"/>
          <w:b/>
          <w:bCs/>
          <w:i/>
          <w:iCs/>
          <w:sz w:val="24"/>
          <w:szCs w:val="24"/>
        </w:rPr>
      </w:pPr>
      <w:r>
        <w:rPr>
          <w:rFonts w:ascii="Times New Roman" w:hAnsi="Times New Roman" w:cs="Times New Roman"/>
          <w:sz w:val="24"/>
          <w:szCs w:val="24"/>
        </w:rPr>
        <w:t>add</w:t>
      </w:r>
      <w:r w:rsidR="000C4AC4">
        <w:rPr>
          <w:rFonts w:ascii="Times New Roman" w:hAnsi="Times New Roman" w:cs="Times New Roman"/>
          <w:sz w:val="24"/>
          <w:szCs w:val="24"/>
        </w:rPr>
        <w:t xml:space="preserve"> </w:t>
      </w:r>
      <w:r w:rsidR="003419F0">
        <w:rPr>
          <w:rFonts w:ascii="Times New Roman" w:hAnsi="Times New Roman" w:cs="Times New Roman"/>
          <w:sz w:val="24"/>
          <w:szCs w:val="24"/>
        </w:rPr>
        <w:t xml:space="preserve">minimum </w:t>
      </w:r>
      <w:r w:rsidR="00EE1E6A">
        <w:rPr>
          <w:rFonts w:ascii="Times New Roman" w:hAnsi="Times New Roman" w:cs="Times New Roman"/>
          <w:sz w:val="24"/>
          <w:szCs w:val="24"/>
        </w:rPr>
        <w:t xml:space="preserve">numerator criteria for </w:t>
      </w:r>
      <w:r w:rsidR="00FB61C4">
        <w:rPr>
          <w:rFonts w:ascii="Times New Roman" w:hAnsi="Times New Roman" w:cs="Times New Roman"/>
          <w:sz w:val="24"/>
          <w:szCs w:val="24"/>
        </w:rPr>
        <w:t xml:space="preserve">the </w:t>
      </w:r>
      <w:r w:rsidR="00EE1E6A">
        <w:rPr>
          <w:rFonts w:ascii="Times New Roman" w:hAnsi="Times New Roman" w:cs="Times New Roman"/>
          <w:sz w:val="24"/>
          <w:szCs w:val="24"/>
        </w:rPr>
        <w:t>CHIA Adult Readmission Measure,</w:t>
      </w:r>
    </w:p>
    <w:p w14:paraId="5C85D098" w14:textId="22DF80DC" w:rsidR="00EE1E6A" w:rsidRPr="00EE1E6A" w:rsidRDefault="00B01A6B" w:rsidP="001B5670">
      <w:pPr>
        <w:pStyle w:val="ListParagraph"/>
        <w:numPr>
          <w:ilvl w:val="2"/>
          <w:numId w:val="5"/>
        </w:numPr>
        <w:spacing w:after="240"/>
        <w:rPr>
          <w:rFonts w:ascii="Times New Roman" w:hAnsi="Times New Roman" w:cs="Times New Roman"/>
          <w:b/>
          <w:bCs/>
          <w:i/>
          <w:iCs/>
          <w:sz w:val="24"/>
          <w:szCs w:val="24"/>
        </w:rPr>
      </w:pPr>
      <w:r>
        <w:rPr>
          <w:rFonts w:ascii="Times New Roman" w:hAnsi="Times New Roman" w:cs="Times New Roman"/>
          <w:sz w:val="24"/>
          <w:szCs w:val="24"/>
        </w:rPr>
        <w:t xml:space="preserve">update </w:t>
      </w:r>
      <w:r w:rsidR="00FB61C4">
        <w:rPr>
          <w:rFonts w:ascii="Times New Roman" w:hAnsi="Times New Roman" w:cs="Times New Roman"/>
          <w:sz w:val="24"/>
          <w:szCs w:val="24"/>
        </w:rPr>
        <w:t xml:space="preserve">the </w:t>
      </w:r>
      <w:r w:rsidR="00781E5F">
        <w:rPr>
          <w:rFonts w:ascii="Times New Roman" w:hAnsi="Times New Roman" w:cs="Times New Roman"/>
          <w:sz w:val="24"/>
          <w:szCs w:val="24"/>
        </w:rPr>
        <w:t xml:space="preserve">CCI-3 </w:t>
      </w:r>
      <w:r w:rsidR="00BE7EBB">
        <w:rPr>
          <w:rFonts w:ascii="Times New Roman" w:hAnsi="Times New Roman" w:cs="Times New Roman"/>
          <w:sz w:val="24"/>
          <w:szCs w:val="24"/>
        </w:rPr>
        <w:t>measure name</w:t>
      </w:r>
      <w:r w:rsidR="00EE1E6A">
        <w:rPr>
          <w:rFonts w:ascii="Times New Roman" w:hAnsi="Times New Roman" w:cs="Times New Roman"/>
          <w:sz w:val="24"/>
          <w:szCs w:val="24"/>
        </w:rPr>
        <w:t>,</w:t>
      </w:r>
      <w:r w:rsidR="00BE7EBB">
        <w:rPr>
          <w:rFonts w:ascii="Times New Roman" w:hAnsi="Times New Roman" w:cs="Times New Roman"/>
          <w:sz w:val="24"/>
          <w:szCs w:val="24"/>
        </w:rPr>
        <w:t xml:space="preserve"> </w:t>
      </w:r>
      <w:r w:rsidR="00781E5F">
        <w:rPr>
          <w:rFonts w:ascii="Times New Roman" w:hAnsi="Times New Roman" w:cs="Times New Roman"/>
          <w:sz w:val="24"/>
          <w:szCs w:val="24"/>
        </w:rPr>
        <w:t xml:space="preserve">and </w:t>
      </w:r>
    </w:p>
    <w:p w14:paraId="21AF51C9" w14:textId="2521760A" w:rsidR="0029376E" w:rsidRPr="00451002" w:rsidRDefault="00781E5F" w:rsidP="001B5670">
      <w:pPr>
        <w:pStyle w:val="ListParagraph"/>
        <w:numPr>
          <w:ilvl w:val="2"/>
          <w:numId w:val="5"/>
        </w:numPr>
        <w:spacing w:after="240"/>
        <w:rPr>
          <w:rFonts w:ascii="Times New Roman" w:hAnsi="Times New Roman" w:cs="Times New Roman"/>
          <w:b/>
          <w:bCs/>
          <w:i/>
          <w:iCs/>
          <w:sz w:val="24"/>
          <w:szCs w:val="24"/>
        </w:rPr>
      </w:pPr>
      <w:r>
        <w:rPr>
          <w:rFonts w:ascii="Times New Roman" w:hAnsi="Times New Roman" w:cs="Times New Roman"/>
          <w:sz w:val="24"/>
          <w:szCs w:val="24"/>
        </w:rPr>
        <w:t>modify</w:t>
      </w:r>
      <w:r w:rsidR="00FB61C4">
        <w:rPr>
          <w:rFonts w:ascii="Times New Roman" w:hAnsi="Times New Roman" w:cs="Times New Roman"/>
          <w:sz w:val="24"/>
          <w:szCs w:val="24"/>
        </w:rPr>
        <w:t xml:space="preserve"> the</w:t>
      </w:r>
      <w:r w:rsidR="00E45BD7">
        <w:rPr>
          <w:rFonts w:ascii="Times New Roman" w:hAnsi="Times New Roman" w:cs="Times New Roman"/>
          <w:sz w:val="24"/>
          <w:szCs w:val="24"/>
        </w:rPr>
        <w:t xml:space="preserve"> Severe Obstetric Complications </w:t>
      </w:r>
      <w:r w:rsidR="004D7D04">
        <w:rPr>
          <w:rFonts w:ascii="Times New Roman" w:hAnsi="Times New Roman" w:cs="Times New Roman"/>
          <w:sz w:val="24"/>
          <w:szCs w:val="24"/>
        </w:rPr>
        <w:t xml:space="preserve">measure </w:t>
      </w:r>
      <w:r w:rsidR="00E45BD7">
        <w:rPr>
          <w:rFonts w:ascii="Times New Roman" w:hAnsi="Times New Roman" w:cs="Times New Roman"/>
          <w:sz w:val="24"/>
          <w:szCs w:val="24"/>
        </w:rPr>
        <w:t>to Reporting only status</w:t>
      </w:r>
      <w:r w:rsidR="00187C66" w:rsidRPr="7BB76F8A">
        <w:rPr>
          <w:rFonts w:ascii="Times New Roman" w:hAnsi="Times New Roman" w:cs="Times New Roman"/>
          <w:sz w:val="24"/>
          <w:szCs w:val="24"/>
        </w:rPr>
        <w:t xml:space="preserve"> </w:t>
      </w:r>
      <w:r w:rsidR="008D2BF4" w:rsidRPr="2E133E4E">
        <w:rPr>
          <w:rFonts w:ascii="Times New Roman" w:hAnsi="Times New Roman" w:cs="Times New Roman"/>
          <w:sz w:val="24"/>
          <w:szCs w:val="24"/>
        </w:rPr>
        <w:t xml:space="preserve">for </w:t>
      </w:r>
      <w:r w:rsidR="00E45BD7">
        <w:rPr>
          <w:rFonts w:ascii="Times New Roman" w:hAnsi="Times New Roman" w:cs="Times New Roman"/>
          <w:sz w:val="24"/>
          <w:szCs w:val="24"/>
        </w:rPr>
        <w:t>RY2025</w:t>
      </w:r>
      <w:r w:rsidR="00187C66" w:rsidRPr="7BB76F8A">
        <w:rPr>
          <w:rFonts w:ascii="Times New Roman" w:hAnsi="Times New Roman" w:cs="Times New Roman"/>
          <w:sz w:val="24"/>
          <w:szCs w:val="24"/>
        </w:rPr>
        <w:t>.</w:t>
      </w:r>
    </w:p>
    <w:p w14:paraId="2C81237A" w14:textId="6436B8FD" w:rsidR="00A43FC3" w:rsidRPr="00187C66" w:rsidRDefault="00121AAC" w:rsidP="001B5670">
      <w:pPr>
        <w:pStyle w:val="ListParagraph"/>
        <w:numPr>
          <w:ilvl w:val="1"/>
          <w:numId w:val="5"/>
        </w:numPr>
        <w:spacing w:after="240"/>
        <w:rPr>
          <w:rFonts w:ascii="Times New Roman" w:hAnsi="Times New Roman" w:cs="Times New Roman"/>
          <w:b/>
          <w:bCs/>
          <w:i/>
          <w:iCs/>
          <w:sz w:val="24"/>
          <w:szCs w:val="24"/>
        </w:rPr>
      </w:pPr>
      <w:r>
        <w:rPr>
          <w:rFonts w:ascii="Times New Roman" w:hAnsi="Times New Roman" w:cs="Times New Roman"/>
          <w:sz w:val="24"/>
          <w:szCs w:val="24"/>
        </w:rPr>
        <w:t xml:space="preserve">Section </w:t>
      </w:r>
      <w:r w:rsidR="005D77B3">
        <w:rPr>
          <w:rFonts w:ascii="Times New Roman" w:hAnsi="Times New Roman" w:cs="Times New Roman"/>
          <w:sz w:val="24"/>
          <w:szCs w:val="24"/>
        </w:rPr>
        <w:t xml:space="preserve">11: Program Reports </w:t>
      </w:r>
      <w:r w:rsidR="00E53CB1">
        <w:rPr>
          <w:rFonts w:ascii="Times New Roman" w:hAnsi="Times New Roman" w:cs="Times New Roman"/>
          <w:sz w:val="24"/>
          <w:szCs w:val="24"/>
        </w:rPr>
        <w:t>ha</w:t>
      </w:r>
      <w:r w:rsidR="00AA7EA9">
        <w:rPr>
          <w:rFonts w:ascii="Times New Roman" w:hAnsi="Times New Roman" w:cs="Times New Roman"/>
          <w:sz w:val="24"/>
          <w:szCs w:val="24"/>
        </w:rPr>
        <w:t>ve</w:t>
      </w:r>
      <w:r w:rsidR="00E53CB1">
        <w:rPr>
          <w:rFonts w:ascii="Times New Roman" w:hAnsi="Times New Roman" w:cs="Times New Roman"/>
          <w:sz w:val="24"/>
          <w:szCs w:val="24"/>
        </w:rPr>
        <w:t xml:space="preserve"> been added to share information on hospital-specific reports available through the MassQEX portal.</w:t>
      </w:r>
    </w:p>
    <w:p w14:paraId="219A890B" w14:textId="58F318C9" w:rsidR="009D76F8" w:rsidRPr="00EB2913" w:rsidRDefault="009D76F8" w:rsidP="00EC3A1A">
      <w:pPr>
        <w:pStyle w:val="Heading3"/>
        <w:spacing w:line="276" w:lineRule="auto"/>
        <w:jc w:val="left"/>
        <w:rPr>
          <w:rStyle w:val="Heading3Char"/>
          <w:rFonts w:eastAsiaTheme="minorHAnsi"/>
          <w:b/>
          <w:sz w:val="24"/>
          <w:szCs w:val="24"/>
        </w:rPr>
      </w:pPr>
      <w:bookmarkStart w:id="4" w:name="_Toc165984755"/>
      <w:bookmarkStart w:id="5" w:name="_Toc166507030"/>
      <w:r w:rsidRPr="00EB2913">
        <w:rPr>
          <w:rStyle w:val="Heading3Char"/>
          <w:rFonts w:eastAsiaTheme="minorHAnsi"/>
          <w:b/>
          <w:sz w:val="24"/>
          <w:szCs w:val="24"/>
        </w:rPr>
        <w:t xml:space="preserve">B. </w:t>
      </w:r>
      <w:r w:rsidR="00CA6F25" w:rsidRPr="00EB2913">
        <w:rPr>
          <w:rStyle w:val="Heading3Char"/>
          <w:rFonts w:eastAsiaTheme="minorHAnsi"/>
          <w:b/>
          <w:sz w:val="24"/>
          <w:szCs w:val="24"/>
        </w:rPr>
        <w:t xml:space="preserve">EOHHS </w:t>
      </w:r>
      <w:r w:rsidR="00F53ED1" w:rsidRPr="00EB2913">
        <w:rPr>
          <w:rStyle w:val="Heading3Char"/>
          <w:rFonts w:eastAsiaTheme="minorHAnsi"/>
          <w:b/>
          <w:sz w:val="24"/>
          <w:szCs w:val="24"/>
        </w:rPr>
        <w:t>Manual</w:t>
      </w:r>
      <w:r w:rsidR="001B6BB8" w:rsidRPr="00EB2913">
        <w:rPr>
          <w:rStyle w:val="Heading3Char"/>
          <w:rFonts w:eastAsiaTheme="minorHAnsi"/>
          <w:b/>
          <w:sz w:val="24"/>
          <w:szCs w:val="24"/>
        </w:rPr>
        <w:t xml:space="preserve"> </w:t>
      </w:r>
      <w:r w:rsidR="00F53ED1" w:rsidRPr="00EB2913">
        <w:rPr>
          <w:rStyle w:val="Heading3Char"/>
          <w:rFonts w:eastAsiaTheme="minorHAnsi"/>
          <w:b/>
          <w:sz w:val="24"/>
          <w:szCs w:val="24"/>
        </w:rPr>
        <w:t>Version</w:t>
      </w:r>
      <w:r w:rsidR="001C513A" w:rsidRPr="00EB2913">
        <w:rPr>
          <w:rStyle w:val="Heading3Char"/>
          <w:rFonts w:eastAsiaTheme="minorHAnsi"/>
          <w:b/>
          <w:sz w:val="24"/>
          <w:szCs w:val="24"/>
        </w:rPr>
        <w:t>s</w:t>
      </w:r>
      <w:bookmarkEnd w:id="4"/>
      <w:bookmarkEnd w:id="5"/>
    </w:p>
    <w:p w14:paraId="4A6D3AA8" w14:textId="675F4B5B" w:rsidR="007E5C3C" w:rsidRPr="00EB2913" w:rsidRDefault="00E55440" w:rsidP="009528AB">
      <w:pPr>
        <w:ind w:left="360" w:firstLine="0"/>
        <w:rPr>
          <w:rFonts w:ascii="Times New Roman" w:hAnsi="Times New Roman" w:cs="Times New Roman"/>
          <w:color w:val="000000" w:themeColor="text1"/>
          <w:sz w:val="24"/>
          <w:szCs w:val="24"/>
        </w:rPr>
      </w:pPr>
      <w:r w:rsidRPr="00EB2913">
        <w:rPr>
          <w:rFonts w:ascii="Times New Roman" w:hAnsi="Times New Roman" w:cs="Times New Roman"/>
          <w:sz w:val="24"/>
          <w:szCs w:val="24"/>
        </w:rPr>
        <w:t>Th</w:t>
      </w:r>
      <w:r w:rsidR="001C513A" w:rsidRPr="00EB2913">
        <w:rPr>
          <w:rFonts w:ascii="Times New Roman" w:hAnsi="Times New Roman" w:cs="Times New Roman"/>
          <w:sz w:val="24"/>
          <w:szCs w:val="24"/>
        </w:rPr>
        <w:t xml:space="preserve">e </w:t>
      </w:r>
      <w:r w:rsidR="00006AE7" w:rsidRPr="00EB2913">
        <w:rPr>
          <w:rFonts w:ascii="Times New Roman" w:hAnsi="Times New Roman" w:cs="Times New Roman"/>
          <w:sz w:val="24"/>
          <w:szCs w:val="24"/>
        </w:rPr>
        <w:t xml:space="preserve">CQI </w:t>
      </w:r>
      <w:r w:rsidR="00CC6307" w:rsidRPr="00EB2913">
        <w:rPr>
          <w:rFonts w:ascii="Times New Roman" w:hAnsi="Times New Roman" w:cs="Times New Roman"/>
          <w:sz w:val="24"/>
          <w:szCs w:val="24"/>
        </w:rPr>
        <w:t>Release Note</w:t>
      </w:r>
      <w:r w:rsidRPr="00EB2913">
        <w:rPr>
          <w:rFonts w:ascii="Times New Roman" w:hAnsi="Times New Roman" w:cs="Times New Roman"/>
          <w:sz w:val="24"/>
          <w:szCs w:val="24"/>
        </w:rPr>
        <w:t>s</w:t>
      </w:r>
      <w:r w:rsidR="00CC6307" w:rsidRPr="00EB2913">
        <w:rPr>
          <w:rFonts w:ascii="Times New Roman" w:hAnsi="Times New Roman" w:cs="Times New Roman"/>
          <w:sz w:val="24"/>
          <w:szCs w:val="24"/>
        </w:rPr>
        <w:t xml:space="preserve"> </w:t>
      </w:r>
      <w:r w:rsidR="008D65EC" w:rsidRPr="00FA7A9E">
        <w:rPr>
          <w:rFonts w:ascii="Times New Roman" w:hAnsi="Times New Roman" w:cs="Times New Roman"/>
          <w:sz w:val="24"/>
          <w:szCs w:val="24"/>
        </w:rPr>
        <w:t xml:space="preserve">version </w:t>
      </w:r>
      <w:r w:rsidR="000B3B2D">
        <w:rPr>
          <w:rFonts w:ascii="Times New Roman" w:hAnsi="Times New Roman" w:cs="Times New Roman"/>
          <w:sz w:val="24"/>
          <w:szCs w:val="24"/>
        </w:rPr>
        <w:t>3</w:t>
      </w:r>
      <w:r w:rsidR="00D14ADB" w:rsidRPr="00FA7A9E">
        <w:rPr>
          <w:rFonts w:ascii="Times New Roman" w:hAnsi="Times New Roman" w:cs="Times New Roman"/>
          <w:sz w:val="24"/>
          <w:szCs w:val="24"/>
        </w:rPr>
        <w:t>.</w:t>
      </w:r>
      <w:r w:rsidR="000B3B2D">
        <w:rPr>
          <w:rFonts w:ascii="Times New Roman" w:hAnsi="Times New Roman" w:cs="Times New Roman"/>
          <w:sz w:val="24"/>
          <w:szCs w:val="24"/>
        </w:rPr>
        <w:t>1</w:t>
      </w:r>
      <w:r w:rsidR="00092169" w:rsidRPr="00FA7A9E">
        <w:rPr>
          <w:rFonts w:ascii="Times New Roman" w:hAnsi="Times New Roman" w:cs="Times New Roman"/>
          <w:sz w:val="24"/>
          <w:szCs w:val="24"/>
        </w:rPr>
        <w:t xml:space="preserve"> </w:t>
      </w:r>
      <w:r w:rsidR="0045154F" w:rsidRPr="00FA7A9E">
        <w:rPr>
          <w:rFonts w:ascii="Times New Roman" w:hAnsi="Times New Roman" w:cs="Times New Roman"/>
          <w:sz w:val="24"/>
          <w:szCs w:val="24"/>
        </w:rPr>
        <w:t>docu</w:t>
      </w:r>
      <w:r w:rsidR="0045154F" w:rsidRPr="00EB2913">
        <w:rPr>
          <w:rFonts w:ascii="Times New Roman" w:hAnsi="Times New Roman" w:cs="Times New Roman"/>
          <w:sz w:val="24"/>
          <w:szCs w:val="24"/>
        </w:rPr>
        <w:t xml:space="preserve">ment </w:t>
      </w:r>
      <w:r w:rsidR="00CC6307" w:rsidRPr="00EB2913">
        <w:rPr>
          <w:rFonts w:ascii="Times New Roman" w:hAnsi="Times New Roman" w:cs="Times New Roman"/>
          <w:sz w:val="24"/>
          <w:szCs w:val="24"/>
        </w:rPr>
        <w:t xml:space="preserve">should be used in conjunction with the </w:t>
      </w:r>
      <w:r w:rsidR="00006AE7" w:rsidRPr="00EB2913">
        <w:rPr>
          <w:rFonts w:ascii="Times New Roman" w:hAnsi="Times New Roman" w:cs="Times New Roman"/>
          <w:sz w:val="24"/>
          <w:szCs w:val="24"/>
        </w:rPr>
        <w:t>RY202</w:t>
      </w:r>
      <w:r w:rsidR="000B3B2D">
        <w:rPr>
          <w:rFonts w:ascii="Times New Roman" w:hAnsi="Times New Roman" w:cs="Times New Roman"/>
          <w:sz w:val="24"/>
          <w:szCs w:val="24"/>
        </w:rPr>
        <w:t>5</w:t>
      </w:r>
      <w:r w:rsidR="00D14ADB">
        <w:rPr>
          <w:rFonts w:ascii="Times New Roman" w:hAnsi="Times New Roman" w:cs="Times New Roman"/>
          <w:sz w:val="24"/>
          <w:szCs w:val="24"/>
        </w:rPr>
        <w:t xml:space="preserve"> </w:t>
      </w:r>
      <w:r w:rsidR="00006AE7" w:rsidRPr="00EB2913">
        <w:rPr>
          <w:rFonts w:ascii="Times New Roman" w:hAnsi="Times New Roman" w:cs="Times New Roman"/>
          <w:sz w:val="24"/>
          <w:szCs w:val="24"/>
        </w:rPr>
        <w:t>EOHHS Hospital Clinical Quality Incentive Program Technical Specifications Manual (v</w:t>
      </w:r>
      <w:r w:rsidR="000B3B2D">
        <w:rPr>
          <w:rFonts w:ascii="Times New Roman" w:hAnsi="Times New Roman" w:cs="Times New Roman"/>
          <w:sz w:val="24"/>
          <w:szCs w:val="24"/>
        </w:rPr>
        <w:t>3</w:t>
      </w:r>
      <w:r w:rsidR="00006AE7" w:rsidRPr="00EB2913">
        <w:rPr>
          <w:rFonts w:ascii="Times New Roman" w:hAnsi="Times New Roman" w:cs="Times New Roman"/>
          <w:sz w:val="24"/>
          <w:szCs w:val="24"/>
        </w:rPr>
        <w:t>.0)</w:t>
      </w:r>
      <w:r w:rsidR="00CF4933" w:rsidRPr="00EB2913">
        <w:rPr>
          <w:rFonts w:ascii="Times New Roman" w:hAnsi="Times New Roman" w:cs="Times New Roman"/>
          <w:sz w:val="24"/>
          <w:szCs w:val="24"/>
        </w:rPr>
        <w:t xml:space="preserve">. </w:t>
      </w:r>
      <w:r w:rsidR="00CE64BA" w:rsidRPr="00EB2913">
        <w:rPr>
          <w:rFonts w:ascii="Times New Roman" w:hAnsi="Times New Roman" w:cs="Times New Roman"/>
          <w:sz w:val="24"/>
          <w:szCs w:val="24"/>
        </w:rPr>
        <w:t xml:space="preserve"> </w:t>
      </w:r>
      <w:r w:rsidR="0001770C" w:rsidRPr="00EB2913">
        <w:rPr>
          <w:rFonts w:ascii="Times New Roman" w:hAnsi="Times New Roman" w:cs="Times New Roman"/>
          <w:sz w:val="24"/>
          <w:szCs w:val="24"/>
        </w:rPr>
        <w:t>Hospitals are responsible for downloading and using the appropriate versions of EOHHS Manual and Appendix data tool</w:t>
      </w:r>
      <w:r w:rsidR="00D373E4" w:rsidRPr="00EB2913">
        <w:rPr>
          <w:rFonts w:ascii="Times New Roman" w:hAnsi="Times New Roman" w:cs="Times New Roman"/>
          <w:sz w:val="24"/>
          <w:szCs w:val="24"/>
        </w:rPr>
        <w:t xml:space="preserve">s that apply to each quarterly </w:t>
      </w:r>
      <w:r w:rsidR="0001770C" w:rsidRPr="00EB2913">
        <w:rPr>
          <w:rFonts w:ascii="Times New Roman" w:hAnsi="Times New Roman" w:cs="Times New Roman"/>
          <w:sz w:val="24"/>
          <w:szCs w:val="24"/>
        </w:rPr>
        <w:t xml:space="preserve">data period being collected and submitted. </w:t>
      </w:r>
    </w:p>
    <w:p w14:paraId="5241FE3E" w14:textId="7F283D47" w:rsidR="009D76F8" w:rsidRPr="00EB2913" w:rsidRDefault="00BC136A" w:rsidP="00EC3A1A">
      <w:pPr>
        <w:pStyle w:val="Heading3"/>
        <w:spacing w:line="276" w:lineRule="auto"/>
        <w:jc w:val="left"/>
        <w:rPr>
          <w:sz w:val="24"/>
          <w:szCs w:val="24"/>
        </w:rPr>
      </w:pPr>
      <w:bookmarkStart w:id="6" w:name="_Toc165984757"/>
      <w:bookmarkStart w:id="7" w:name="_Toc166507032"/>
      <w:r>
        <w:rPr>
          <w:rStyle w:val="Heading3Char"/>
          <w:rFonts w:eastAsiaTheme="minorHAnsi"/>
          <w:b/>
          <w:sz w:val="24"/>
          <w:szCs w:val="24"/>
        </w:rPr>
        <w:t>C</w:t>
      </w:r>
      <w:r w:rsidR="009D76F8" w:rsidRPr="00EB2913">
        <w:rPr>
          <w:rStyle w:val="Heading3Char"/>
          <w:rFonts w:eastAsiaTheme="minorHAnsi"/>
          <w:b/>
          <w:sz w:val="24"/>
          <w:szCs w:val="24"/>
        </w:rPr>
        <w:t xml:space="preserve">. </w:t>
      </w:r>
      <w:r w:rsidR="00C131B0" w:rsidRPr="00EB2913">
        <w:rPr>
          <w:rStyle w:val="Heading3Char"/>
          <w:rFonts w:eastAsiaTheme="minorHAnsi"/>
          <w:b/>
          <w:sz w:val="24"/>
          <w:szCs w:val="24"/>
        </w:rPr>
        <w:t xml:space="preserve">Release Notes </w:t>
      </w:r>
      <w:r w:rsidR="00863B67" w:rsidRPr="00EB2913">
        <w:rPr>
          <w:rStyle w:val="Heading3Char"/>
          <w:rFonts w:eastAsiaTheme="minorHAnsi"/>
          <w:b/>
          <w:sz w:val="24"/>
          <w:szCs w:val="24"/>
        </w:rPr>
        <w:t>Guideline</w:t>
      </w:r>
      <w:bookmarkEnd w:id="6"/>
      <w:bookmarkEnd w:id="7"/>
      <w:r w:rsidR="00C131B0" w:rsidRPr="00EB2913">
        <w:rPr>
          <w:sz w:val="24"/>
          <w:szCs w:val="24"/>
        </w:rPr>
        <w:t xml:space="preserve"> </w:t>
      </w:r>
    </w:p>
    <w:p w14:paraId="7E4BFF44" w14:textId="7035670E" w:rsidR="00006AE7" w:rsidRPr="00EC3A1A" w:rsidRDefault="00D47F01"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Update</w:t>
      </w:r>
      <w:r w:rsidR="001D3C6E" w:rsidRPr="00EB2913">
        <w:rPr>
          <w:rFonts w:ascii="Times New Roman" w:hAnsi="Times New Roman" w:cs="Times New Roman"/>
          <w:sz w:val="24"/>
          <w:szCs w:val="24"/>
        </w:rPr>
        <w:t xml:space="preserve">s </w:t>
      </w:r>
      <w:r w:rsidR="001C513A" w:rsidRPr="00EB2913">
        <w:rPr>
          <w:rFonts w:ascii="Times New Roman" w:hAnsi="Times New Roman" w:cs="Times New Roman"/>
          <w:sz w:val="24"/>
          <w:szCs w:val="24"/>
        </w:rPr>
        <w:t xml:space="preserve">in the </w:t>
      </w:r>
      <w:r w:rsidR="00C131B0" w:rsidRPr="00EB2913">
        <w:rPr>
          <w:rFonts w:ascii="Times New Roman" w:hAnsi="Times New Roman" w:cs="Times New Roman"/>
          <w:sz w:val="24"/>
          <w:szCs w:val="24"/>
        </w:rPr>
        <w:t xml:space="preserve">EOHHS </w:t>
      </w:r>
      <w:r w:rsidR="001C513A" w:rsidRPr="00EB2913">
        <w:rPr>
          <w:rFonts w:ascii="Times New Roman" w:hAnsi="Times New Roman" w:cs="Times New Roman"/>
          <w:sz w:val="24"/>
          <w:szCs w:val="24"/>
        </w:rPr>
        <w:t xml:space="preserve">Release Notes </w:t>
      </w:r>
      <w:r w:rsidR="001D3C6E" w:rsidRPr="00EB2913">
        <w:rPr>
          <w:rFonts w:ascii="Times New Roman" w:hAnsi="Times New Roman" w:cs="Times New Roman"/>
          <w:sz w:val="24"/>
          <w:szCs w:val="24"/>
        </w:rPr>
        <w:t xml:space="preserve">are </w:t>
      </w:r>
      <w:r w:rsidR="001C513A" w:rsidRPr="00EB2913">
        <w:rPr>
          <w:rFonts w:ascii="Times New Roman" w:hAnsi="Times New Roman" w:cs="Times New Roman"/>
          <w:sz w:val="24"/>
          <w:szCs w:val="24"/>
        </w:rPr>
        <w:t xml:space="preserve">organized to </w:t>
      </w:r>
      <w:r w:rsidR="00C131B0" w:rsidRPr="00EB2913">
        <w:rPr>
          <w:rFonts w:ascii="Times New Roman" w:hAnsi="Times New Roman" w:cs="Times New Roman"/>
          <w:sz w:val="24"/>
          <w:szCs w:val="24"/>
        </w:rPr>
        <w:t xml:space="preserve">supplement </w:t>
      </w:r>
      <w:r w:rsidR="001C513A" w:rsidRPr="00EB2913">
        <w:rPr>
          <w:rFonts w:ascii="Times New Roman" w:hAnsi="Times New Roman" w:cs="Times New Roman"/>
          <w:sz w:val="24"/>
          <w:szCs w:val="24"/>
        </w:rPr>
        <w:t>the EOHHS Manual table of content</w:t>
      </w:r>
      <w:r w:rsidR="00B80A08" w:rsidRPr="00EB2913">
        <w:rPr>
          <w:rFonts w:ascii="Times New Roman" w:hAnsi="Times New Roman" w:cs="Times New Roman"/>
          <w:sz w:val="24"/>
          <w:szCs w:val="24"/>
        </w:rPr>
        <w:t>s</w:t>
      </w:r>
      <w:r w:rsidR="001C513A" w:rsidRPr="00EB2913">
        <w:rPr>
          <w:rFonts w:ascii="Times New Roman" w:hAnsi="Times New Roman" w:cs="Times New Roman"/>
          <w:sz w:val="24"/>
          <w:szCs w:val="24"/>
        </w:rPr>
        <w:t xml:space="preserve"> core sections and appendices </w:t>
      </w:r>
      <w:r w:rsidR="000F55B7" w:rsidRPr="00EB2913">
        <w:rPr>
          <w:rFonts w:ascii="Times New Roman" w:hAnsi="Times New Roman" w:cs="Times New Roman"/>
          <w:sz w:val="24"/>
          <w:szCs w:val="24"/>
        </w:rPr>
        <w:t>us</w:t>
      </w:r>
      <w:r w:rsidRPr="00EB2913">
        <w:rPr>
          <w:rFonts w:ascii="Times New Roman" w:hAnsi="Times New Roman" w:cs="Times New Roman"/>
          <w:sz w:val="24"/>
          <w:szCs w:val="24"/>
        </w:rPr>
        <w:t xml:space="preserve">ing </w:t>
      </w:r>
      <w:r w:rsidR="000F55B7" w:rsidRPr="00EB2913">
        <w:rPr>
          <w:rFonts w:ascii="Times New Roman" w:hAnsi="Times New Roman" w:cs="Times New Roman"/>
          <w:sz w:val="24"/>
          <w:szCs w:val="24"/>
        </w:rPr>
        <w:t>the following headings</w:t>
      </w:r>
      <w:r w:rsidR="00032851">
        <w:rPr>
          <w:rFonts w:ascii="Times New Roman" w:hAnsi="Times New Roman" w:cs="Times New Roman"/>
          <w:sz w:val="24"/>
          <w:szCs w:val="24"/>
        </w:rPr>
        <w:t xml:space="preserve">. </w:t>
      </w:r>
      <w:r w:rsidR="00C25991">
        <w:rPr>
          <w:rFonts w:ascii="Times New Roman" w:hAnsi="Times New Roman" w:cs="Times New Roman"/>
          <w:sz w:val="24"/>
          <w:szCs w:val="24"/>
        </w:rPr>
        <w:t xml:space="preserve">Updates </w:t>
      </w:r>
      <w:r w:rsidR="003C0C02">
        <w:rPr>
          <w:rFonts w:ascii="Times New Roman" w:hAnsi="Times New Roman" w:cs="Times New Roman"/>
          <w:sz w:val="24"/>
          <w:szCs w:val="24"/>
        </w:rPr>
        <w:t xml:space="preserve">to </w:t>
      </w:r>
      <w:r w:rsidR="004A4D40">
        <w:rPr>
          <w:rFonts w:ascii="Times New Roman" w:hAnsi="Times New Roman" w:cs="Times New Roman"/>
          <w:sz w:val="24"/>
          <w:szCs w:val="24"/>
        </w:rPr>
        <w:t xml:space="preserve">previously released </w:t>
      </w:r>
      <w:r w:rsidR="003C0C02">
        <w:rPr>
          <w:rFonts w:ascii="Times New Roman" w:hAnsi="Times New Roman" w:cs="Times New Roman"/>
          <w:sz w:val="24"/>
          <w:szCs w:val="24"/>
        </w:rPr>
        <w:t>technical specification manual sections are italicized and underlined.</w:t>
      </w:r>
    </w:p>
    <w:p w14:paraId="17A1C91B" w14:textId="3F68D4FA" w:rsidR="009D76F8" w:rsidRPr="00EB0833" w:rsidRDefault="004A515A" w:rsidP="001B5670">
      <w:pPr>
        <w:pStyle w:val="ListParagraph"/>
        <w:numPr>
          <w:ilvl w:val="0"/>
          <w:numId w:val="4"/>
        </w:numPr>
        <w:tabs>
          <w:tab w:val="left" w:pos="270"/>
        </w:tabs>
        <w:autoSpaceDE w:val="0"/>
        <w:autoSpaceDN w:val="0"/>
        <w:adjustRightInd w:val="0"/>
        <w:contextualSpacing w:val="0"/>
        <w:rPr>
          <w:rFonts w:ascii="Times New Roman" w:hAnsi="Times New Roman" w:cs="Times New Roman"/>
          <w:sz w:val="24"/>
          <w:szCs w:val="24"/>
        </w:rPr>
      </w:pPr>
      <w:r w:rsidRPr="00EB0833">
        <w:rPr>
          <w:rStyle w:val="Strong"/>
          <w:rFonts w:ascii="Times New Roman" w:hAnsi="Times New Roman" w:cs="Times New Roman"/>
          <w:sz w:val="24"/>
          <w:szCs w:val="24"/>
        </w:rPr>
        <w:t xml:space="preserve">Key </w:t>
      </w:r>
      <w:r w:rsidR="003D1C86" w:rsidRPr="00EB0833">
        <w:rPr>
          <w:rStyle w:val="Strong"/>
          <w:rFonts w:ascii="Times New Roman" w:hAnsi="Times New Roman" w:cs="Times New Roman"/>
          <w:sz w:val="24"/>
          <w:szCs w:val="24"/>
        </w:rPr>
        <w:t>Impact</w:t>
      </w:r>
      <w:r w:rsidR="003D1C86" w:rsidRPr="00EB0833">
        <w:rPr>
          <w:rFonts w:ascii="Times New Roman" w:hAnsi="Times New Roman" w:cs="Times New Roman"/>
          <w:b/>
          <w:bCs/>
          <w:sz w:val="24"/>
          <w:szCs w:val="24"/>
        </w:rPr>
        <w:t xml:space="preserve"> </w:t>
      </w:r>
      <w:r w:rsidR="00C131B0" w:rsidRPr="00EB0833">
        <w:rPr>
          <w:rFonts w:ascii="Times New Roman" w:hAnsi="Times New Roman" w:cs="Times New Roman"/>
          <w:sz w:val="24"/>
          <w:szCs w:val="24"/>
        </w:rPr>
        <w:t>– identifies the EOHHS m</w:t>
      </w:r>
      <w:r w:rsidRPr="00EB0833">
        <w:rPr>
          <w:rFonts w:ascii="Times New Roman" w:hAnsi="Times New Roman" w:cs="Times New Roman"/>
          <w:sz w:val="24"/>
          <w:szCs w:val="24"/>
        </w:rPr>
        <w:t xml:space="preserve">anual section that is impacted by the change listed (i.e.: measure specifications, data tools, dictionary, etc.). </w:t>
      </w:r>
      <w:r w:rsidR="000F55B7" w:rsidRPr="00EB0833">
        <w:rPr>
          <w:rFonts w:ascii="Times New Roman" w:hAnsi="Times New Roman" w:cs="Times New Roman"/>
          <w:sz w:val="24"/>
          <w:szCs w:val="24"/>
        </w:rPr>
        <w:t xml:space="preserve">A key </w:t>
      </w:r>
      <w:r w:rsidR="00D1666F" w:rsidRPr="00EB0833">
        <w:rPr>
          <w:rFonts w:ascii="Times New Roman" w:hAnsi="Times New Roman" w:cs="Times New Roman"/>
          <w:sz w:val="24"/>
          <w:szCs w:val="24"/>
        </w:rPr>
        <w:t xml:space="preserve">impact </w:t>
      </w:r>
      <w:r w:rsidR="000F55B7" w:rsidRPr="00EB0833">
        <w:rPr>
          <w:rFonts w:ascii="Times New Roman" w:hAnsi="Times New Roman" w:cs="Times New Roman"/>
          <w:sz w:val="24"/>
          <w:szCs w:val="24"/>
        </w:rPr>
        <w:t xml:space="preserve">is defined as information that </w:t>
      </w:r>
      <w:r w:rsidR="00ED1F8D" w:rsidRPr="00EB0833">
        <w:rPr>
          <w:rFonts w:ascii="Times New Roman" w:hAnsi="Times New Roman" w:cs="Times New Roman"/>
          <w:sz w:val="24"/>
          <w:szCs w:val="24"/>
        </w:rPr>
        <w:t xml:space="preserve">will </w:t>
      </w:r>
      <w:r w:rsidR="00F66D78" w:rsidRPr="00EB0833">
        <w:rPr>
          <w:rFonts w:ascii="Times New Roman" w:hAnsi="Times New Roman" w:cs="Times New Roman"/>
          <w:sz w:val="24"/>
          <w:szCs w:val="24"/>
        </w:rPr>
        <w:t xml:space="preserve">substantively </w:t>
      </w:r>
      <w:r w:rsidR="00D1666F" w:rsidRPr="00EB0833">
        <w:rPr>
          <w:rFonts w:ascii="Times New Roman" w:hAnsi="Times New Roman" w:cs="Times New Roman"/>
          <w:sz w:val="24"/>
          <w:szCs w:val="24"/>
        </w:rPr>
        <w:t>a</w:t>
      </w:r>
      <w:r w:rsidR="000F55B7" w:rsidRPr="00EB0833">
        <w:rPr>
          <w:rFonts w:ascii="Times New Roman" w:hAnsi="Times New Roman" w:cs="Times New Roman"/>
          <w:sz w:val="24"/>
          <w:szCs w:val="24"/>
        </w:rPr>
        <w:t xml:space="preserve">ffect data collection and reporting </w:t>
      </w:r>
      <w:r w:rsidR="00CC6307" w:rsidRPr="00EB0833">
        <w:rPr>
          <w:rFonts w:ascii="Times New Roman" w:hAnsi="Times New Roman" w:cs="Times New Roman"/>
          <w:sz w:val="24"/>
          <w:szCs w:val="24"/>
        </w:rPr>
        <w:t xml:space="preserve">file </w:t>
      </w:r>
      <w:r w:rsidR="000F55B7" w:rsidRPr="00EB0833">
        <w:rPr>
          <w:rFonts w:ascii="Times New Roman" w:hAnsi="Times New Roman" w:cs="Times New Roman"/>
          <w:sz w:val="24"/>
          <w:szCs w:val="24"/>
        </w:rPr>
        <w:t>requirement</w:t>
      </w:r>
      <w:r w:rsidR="00830E56" w:rsidRPr="00EB0833">
        <w:rPr>
          <w:rFonts w:ascii="Times New Roman" w:hAnsi="Times New Roman" w:cs="Times New Roman"/>
          <w:sz w:val="24"/>
          <w:szCs w:val="24"/>
        </w:rPr>
        <w:t>s</w:t>
      </w:r>
      <w:r w:rsidR="000F55B7" w:rsidRPr="00EB0833">
        <w:rPr>
          <w:rFonts w:ascii="Times New Roman" w:hAnsi="Times New Roman" w:cs="Times New Roman"/>
          <w:sz w:val="24"/>
          <w:szCs w:val="24"/>
        </w:rPr>
        <w:t>.</w:t>
      </w:r>
    </w:p>
    <w:p w14:paraId="70F71F62" w14:textId="0A89F480" w:rsidR="009D76F8" w:rsidRPr="00EB0833" w:rsidRDefault="000F55B7" w:rsidP="001B5670">
      <w:pPr>
        <w:pStyle w:val="ListParagraph"/>
        <w:numPr>
          <w:ilvl w:val="0"/>
          <w:numId w:val="4"/>
        </w:numPr>
        <w:tabs>
          <w:tab w:val="left" w:pos="270"/>
        </w:tabs>
        <w:autoSpaceDE w:val="0"/>
        <w:autoSpaceDN w:val="0"/>
        <w:adjustRightInd w:val="0"/>
        <w:contextualSpacing w:val="0"/>
        <w:rPr>
          <w:rFonts w:ascii="Times New Roman" w:hAnsi="Times New Roman" w:cs="Times New Roman"/>
          <w:sz w:val="24"/>
          <w:szCs w:val="24"/>
        </w:rPr>
      </w:pPr>
      <w:r w:rsidRPr="00EB0833">
        <w:rPr>
          <w:rStyle w:val="Strong"/>
          <w:rFonts w:ascii="Times New Roman" w:hAnsi="Times New Roman" w:cs="Times New Roman"/>
          <w:sz w:val="24"/>
          <w:szCs w:val="24"/>
        </w:rPr>
        <w:t xml:space="preserve">Description of Change </w:t>
      </w:r>
      <w:r w:rsidRPr="00EB0833">
        <w:rPr>
          <w:rFonts w:ascii="Times New Roman" w:hAnsi="Times New Roman" w:cs="Times New Roman"/>
          <w:sz w:val="24"/>
          <w:szCs w:val="24"/>
        </w:rPr>
        <w:t xml:space="preserve">– identifies the </w:t>
      </w:r>
      <w:r w:rsidR="00ED1F8D" w:rsidRPr="00EB0833">
        <w:rPr>
          <w:rFonts w:ascii="Times New Roman" w:hAnsi="Times New Roman" w:cs="Times New Roman"/>
          <w:sz w:val="24"/>
          <w:szCs w:val="24"/>
        </w:rPr>
        <w:t xml:space="preserve">specific </w:t>
      </w:r>
      <w:r w:rsidR="008E7D5F" w:rsidRPr="00EB0833">
        <w:rPr>
          <w:rFonts w:ascii="Times New Roman" w:hAnsi="Times New Roman" w:cs="Times New Roman"/>
          <w:sz w:val="24"/>
          <w:szCs w:val="24"/>
        </w:rPr>
        <w:t xml:space="preserve">content within the manual section </w:t>
      </w:r>
      <w:r w:rsidRPr="00EB0833">
        <w:rPr>
          <w:rFonts w:ascii="Times New Roman" w:hAnsi="Times New Roman" w:cs="Times New Roman"/>
          <w:sz w:val="24"/>
          <w:szCs w:val="24"/>
        </w:rPr>
        <w:t xml:space="preserve">where the change was made. (i.e.: </w:t>
      </w:r>
      <w:r w:rsidR="00042F0E" w:rsidRPr="00EB0833">
        <w:rPr>
          <w:rFonts w:ascii="Times New Roman" w:hAnsi="Times New Roman" w:cs="Times New Roman"/>
          <w:sz w:val="24"/>
          <w:szCs w:val="24"/>
        </w:rPr>
        <w:t xml:space="preserve">measure specifications, </w:t>
      </w:r>
      <w:r w:rsidR="00ED1F8D" w:rsidRPr="00EB0833">
        <w:rPr>
          <w:rFonts w:ascii="Times New Roman" w:hAnsi="Times New Roman" w:cs="Times New Roman"/>
          <w:sz w:val="24"/>
          <w:szCs w:val="24"/>
        </w:rPr>
        <w:t xml:space="preserve">flowcharts, </w:t>
      </w:r>
      <w:r w:rsidRPr="00EB0833">
        <w:rPr>
          <w:rFonts w:ascii="Times New Roman" w:hAnsi="Times New Roman" w:cs="Times New Roman"/>
          <w:sz w:val="24"/>
          <w:szCs w:val="24"/>
        </w:rPr>
        <w:t xml:space="preserve">data format, </w:t>
      </w:r>
      <w:r w:rsidR="003969C8" w:rsidRPr="00EB0833">
        <w:rPr>
          <w:rFonts w:ascii="Times New Roman" w:hAnsi="Times New Roman" w:cs="Times New Roman"/>
          <w:sz w:val="24"/>
          <w:szCs w:val="24"/>
        </w:rPr>
        <w:t xml:space="preserve">reporting </w:t>
      </w:r>
      <w:r w:rsidRPr="00EB0833">
        <w:rPr>
          <w:rFonts w:ascii="Times New Roman" w:hAnsi="Times New Roman" w:cs="Times New Roman"/>
          <w:sz w:val="24"/>
          <w:szCs w:val="24"/>
        </w:rPr>
        <w:t>values, etc.).</w:t>
      </w:r>
    </w:p>
    <w:p w14:paraId="680E1ECB" w14:textId="5A0494CE" w:rsidR="00D373E4" w:rsidRPr="00EB0833" w:rsidRDefault="001F0782" w:rsidP="001B5670">
      <w:pPr>
        <w:pStyle w:val="ListParagraph"/>
        <w:numPr>
          <w:ilvl w:val="0"/>
          <w:numId w:val="4"/>
        </w:numPr>
        <w:tabs>
          <w:tab w:val="left" w:pos="270"/>
        </w:tabs>
        <w:autoSpaceDE w:val="0"/>
        <w:autoSpaceDN w:val="0"/>
        <w:adjustRightInd w:val="0"/>
        <w:rPr>
          <w:rFonts w:ascii="Times New Roman" w:hAnsi="Times New Roman" w:cs="Times New Roman"/>
          <w:sz w:val="24"/>
          <w:szCs w:val="24"/>
        </w:rPr>
      </w:pPr>
      <w:r w:rsidRPr="00EB0833">
        <w:rPr>
          <w:rStyle w:val="Strong"/>
          <w:rFonts w:ascii="Times New Roman" w:hAnsi="Times New Roman" w:cs="Times New Roman"/>
          <w:sz w:val="24"/>
          <w:szCs w:val="24"/>
        </w:rPr>
        <w:t>Rationale</w:t>
      </w:r>
      <w:r w:rsidRPr="00EB0833">
        <w:rPr>
          <w:rFonts w:ascii="Times New Roman" w:hAnsi="Times New Roman" w:cs="Times New Roman"/>
          <w:b/>
          <w:bCs/>
          <w:sz w:val="24"/>
          <w:szCs w:val="24"/>
        </w:rPr>
        <w:t xml:space="preserve"> </w:t>
      </w:r>
      <w:r w:rsidRPr="00EB0833">
        <w:rPr>
          <w:rFonts w:ascii="Times New Roman" w:hAnsi="Times New Roman" w:cs="Times New Roman"/>
          <w:sz w:val="24"/>
          <w:szCs w:val="24"/>
        </w:rPr>
        <w:t>–</w:t>
      </w:r>
      <w:r w:rsidRPr="00EB0833">
        <w:rPr>
          <w:rFonts w:ascii="Times New Roman" w:hAnsi="Times New Roman" w:cs="Times New Roman"/>
          <w:b/>
          <w:bCs/>
          <w:sz w:val="24"/>
          <w:szCs w:val="24"/>
        </w:rPr>
        <w:t xml:space="preserve"> </w:t>
      </w:r>
      <w:r w:rsidRPr="00EB0833">
        <w:rPr>
          <w:rFonts w:ascii="Times New Roman" w:hAnsi="Times New Roman" w:cs="Times New Roman"/>
          <w:sz w:val="24"/>
          <w:szCs w:val="24"/>
        </w:rPr>
        <w:t xml:space="preserve">a brief statement on the reason why the change </w:t>
      </w:r>
      <w:r w:rsidR="00863B67" w:rsidRPr="00EB0833">
        <w:rPr>
          <w:rFonts w:ascii="Times New Roman" w:hAnsi="Times New Roman" w:cs="Times New Roman"/>
          <w:sz w:val="24"/>
          <w:szCs w:val="24"/>
        </w:rPr>
        <w:t>was</w:t>
      </w:r>
      <w:r w:rsidRPr="00EB0833">
        <w:rPr>
          <w:rFonts w:ascii="Times New Roman" w:hAnsi="Times New Roman" w:cs="Times New Roman"/>
          <w:sz w:val="24"/>
          <w:szCs w:val="24"/>
        </w:rPr>
        <w:t xml:space="preserve"> made.</w:t>
      </w:r>
    </w:p>
    <w:p w14:paraId="247BF25B" w14:textId="13890B08" w:rsidR="003B7915" w:rsidRPr="00CA5F81" w:rsidRDefault="00DD3CE1" w:rsidP="009472B7">
      <w:pPr>
        <w:spacing w:after="2400"/>
        <w:ind w:left="360" w:firstLine="0"/>
        <w:rPr>
          <w:rFonts w:ascii="Times New Roman" w:hAnsi="Times New Roman" w:cs="Times New Roman"/>
          <w:sz w:val="24"/>
          <w:szCs w:val="24"/>
        </w:rPr>
      </w:pPr>
      <w:r w:rsidRPr="009528AB">
        <w:rPr>
          <w:rFonts w:ascii="Times New Roman" w:hAnsi="Times New Roman" w:cs="Times New Roman"/>
          <w:sz w:val="24"/>
          <w:szCs w:val="24"/>
        </w:rPr>
        <w:t>Contact</w:t>
      </w:r>
      <w:r w:rsidR="00CB29C1">
        <w:rPr>
          <w:rFonts w:ascii="Times New Roman" w:hAnsi="Times New Roman" w:cs="Times New Roman"/>
          <w:sz w:val="24"/>
          <w:szCs w:val="24"/>
        </w:rPr>
        <w:t xml:space="preserve"> the</w:t>
      </w:r>
      <w:r w:rsidRPr="009528AB">
        <w:rPr>
          <w:rFonts w:ascii="Times New Roman" w:hAnsi="Times New Roman" w:cs="Times New Roman"/>
          <w:sz w:val="24"/>
          <w:szCs w:val="24"/>
        </w:rPr>
        <w:t xml:space="preserve"> </w:t>
      </w:r>
      <w:r w:rsidR="00D31CD8" w:rsidRPr="009528AB">
        <w:rPr>
          <w:rFonts w:ascii="Times New Roman" w:hAnsi="Times New Roman" w:cs="Times New Roman"/>
          <w:sz w:val="24"/>
          <w:szCs w:val="24"/>
        </w:rPr>
        <w:t>MassQEX Helpdesk at</w:t>
      </w:r>
      <w:r w:rsidR="00D31CD8" w:rsidRPr="009528AB">
        <w:rPr>
          <w:rFonts w:ascii="Times New Roman" w:hAnsi="Times New Roman" w:cs="Times New Roman"/>
          <w:color w:val="FF0000"/>
          <w:sz w:val="24"/>
          <w:szCs w:val="24"/>
        </w:rPr>
        <w:t xml:space="preserve"> </w:t>
      </w:r>
      <w:hyperlink r:id="rId13">
        <w:r w:rsidR="00D31CD8" w:rsidRPr="009528AB">
          <w:rPr>
            <w:rStyle w:val="SubtleEmphasis"/>
            <w:rFonts w:ascii="Times New Roman" w:hAnsi="Times New Roman" w:cs="Times New Roman"/>
            <w:color w:val="0070C0"/>
            <w:sz w:val="24"/>
            <w:szCs w:val="24"/>
          </w:rPr>
          <w:t>massqexhelp@telligen.com</w:t>
        </w:r>
      </w:hyperlink>
      <w:r w:rsidR="00D31CD8" w:rsidRPr="009528AB">
        <w:rPr>
          <w:rFonts w:ascii="Times New Roman" w:hAnsi="Times New Roman" w:cs="Times New Roman"/>
          <w:sz w:val="24"/>
          <w:szCs w:val="24"/>
        </w:rPr>
        <w:t xml:space="preserve"> </w:t>
      </w:r>
      <w:r w:rsidR="0507608B" w:rsidRPr="009528AB">
        <w:rPr>
          <w:rFonts w:ascii="Times New Roman" w:hAnsi="Times New Roman" w:cs="Times New Roman"/>
          <w:sz w:val="24"/>
          <w:szCs w:val="24"/>
        </w:rPr>
        <w:t>for</w:t>
      </w:r>
      <w:r w:rsidR="001F0782" w:rsidRPr="009528AB">
        <w:rPr>
          <w:rFonts w:ascii="Times New Roman" w:hAnsi="Times New Roman" w:cs="Times New Roman"/>
          <w:sz w:val="24"/>
          <w:szCs w:val="24"/>
        </w:rPr>
        <w:t xml:space="preserve"> any questions about </w:t>
      </w:r>
      <w:r w:rsidR="00E47258" w:rsidRPr="009528AB">
        <w:rPr>
          <w:rFonts w:ascii="Times New Roman" w:hAnsi="Times New Roman" w:cs="Times New Roman"/>
          <w:sz w:val="24"/>
          <w:szCs w:val="24"/>
        </w:rPr>
        <w:t xml:space="preserve">the </w:t>
      </w:r>
      <w:r w:rsidR="00BA6057" w:rsidRPr="009528AB">
        <w:rPr>
          <w:rFonts w:ascii="Times New Roman" w:hAnsi="Times New Roman" w:cs="Times New Roman"/>
          <w:sz w:val="24"/>
          <w:szCs w:val="24"/>
        </w:rPr>
        <w:t>contents of this Release Notes document</w:t>
      </w:r>
      <w:r w:rsidR="00E75B3C" w:rsidRPr="009528AB">
        <w:rPr>
          <w:rFonts w:ascii="Times New Roman" w:hAnsi="Times New Roman" w:cs="Times New Roman"/>
          <w:sz w:val="24"/>
          <w:szCs w:val="24"/>
        </w:rPr>
        <w:t>.</w:t>
      </w:r>
      <w:bookmarkStart w:id="8" w:name="_Toc165984758"/>
      <w:bookmarkStart w:id="9" w:name="_Toc166507033"/>
    </w:p>
    <w:p w14:paraId="27ABC0C5" w14:textId="54CE85B2" w:rsidR="00225A3F" w:rsidRPr="00EC3A1A" w:rsidRDefault="00F11588" w:rsidP="009528AB">
      <w:pPr>
        <w:pStyle w:val="Heading2"/>
      </w:pPr>
      <w:r w:rsidRPr="00EC3A1A">
        <w:lastRenderedPageBreak/>
        <w:t xml:space="preserve">Section </w:t>
      </w:r>
      <w:r w:rsidR="001B5670">
        <w:t>1</w:t>
      </w:r>
      <w:r w:rsidR="00447593" w:rsidRPr="00EC3A1A">
        <w:t>:</w:t>
      </w:r>
      <w:r w:rsidR="00047F33" w:rsidRPr="00EC3A1A">
        <w:t xml:space="preserve"> </w:t>
      </w:r>
      <w:r w:rsidR="00F9477A">
        <w:t xml:space="preserve">Summary of </w:t>
      </w:r>
      <w:r w:rsidR="005126BF" w:rsidRPr="00EC3A1A">
        <w:t xml:space="preserve">Changes in </w:t>
      </w:r>
      <w:r w:rsidR="00006AE7" w:rsidRPr="00EC3A1A">
        <w:t xml:space="preserve">CQI </w:t>
      </w:r>
      <w:r w:rsidR="00492DAA" w:rsidRPr="00EC3A1A">
        <w:t xml:space="preserve">Release Notes </w:t>
      </w:r>
      <w:r w:rsidR="00FD485F" w:rsidRPr="00EC3A1A">
        <w:t>(v</w:t>
      </w:r>
      <w:r w:rsidR="007114FC">
        <w:t>3</w:t>
      </w:r>
      <w:r w:rsidR="000F1799" w:rsidRPr="00EC3A1A">
        <w:t>.</w:t>
      </w:r>
      <w:r w:rsidR="007114FC">
        <w:t>1</w:t>
      </w:r>
      <w:r w:rsidR="00FD485F" w:rsidRPr="00EC3A1A">
        <w:t>)</w:t>
      </w:r>
      <w:bookmarkEnd w:id="8"/>
      <w:bookmarkEnd w:id="9"/>
      <w:r w:rsidR="00FD485F" w:rsidRPr="00EC3A1A">
        <w:t xml:space="preserve"> </w:t>
      </w:r>
    </w:p>
    <w:p w14:paraId="3C5E5714" w14:textId="0C69EB7F" w:rsidR="00A900FD" w:rsidRPr="009528AB" w:rsidRDefault="00006AE7" w:rsidP="009528AB">
      <w:pPr>
        <w:ind w:left="360" w:firstLine="0"/>
        <w:rPr>
          <w:rFonts w:ascii="Times New Roman" w:hAnsi="Times New Roman" w:cs="Times New Roman"/>
          <w:sz w:val="24"/>
          <w:szCs w:val="24"/>
        </w:rPr>
      </w:pPr>
      <w:r w:rsidRPr="00EB2913">
        <w:rPr>
          <w:rFonts w:ascii="Times New Roman" w:hAnsi="Times New Roman" w:cs="Times New Roman"/>
          <w:sz w:val="24"/>
          <w:szCs w:val="24"/>
        </w:rPr>
        <w:t xml:space="preserve">The content below is organized to follow the Table of Contents in </w:t>
      </w:r>
      <w:r w:rsidR="00BC4FE1" w:rsidRPr="00EB2913">
        <w:rPr>
          <w:rFonts w:ascii="Times New Roman" w:hAnsi="Times New Roman" w:cs="Times New Roman"/>
          <w:sz w:val="24"/>
          <w:szCs w:val="24"/>
        </w:rPr>
        <w:t>the RY202</w:t>
      </w:r>
      <w:r w:rsidR="007114FC">
        <w:rPr>
          <w:rFonts w:ascii="Times New Roman" w:hAnsi="Times New Roman" w:cs="Times New Roman"/>
          <w:sz w:val="24"/>
          <w:szCs w:val="24"/>
        </w:rPr>
        <w:t>5</w:t>
      </w:r>
      <w:r w:rsidR="00BC4FE1" w:rsidRPr="00EB2913">
        <w:rPr>
          <w:rFonts w:ascii="Times New Roman" w:hAnsi="Times New Roman" w:cs="Times New Roman"/>
          <w:sz w:val="24"/>
          <w:szCs w:val="24"/>
        </w:rPr>
        <w:t xml:space="preserve"> Clinical Quality</w:t>
      </w:r>
      <w:r w:rsidR="009528AB">
        <w:rPr>
          <w:rFonts w:ascii="Times New Roman" w:hAnsi="Times New Roman" w:cs="Times New Roman"/>
          <w:sz w:val="24"/>
          <w:szCs w:val="24"/>
        </w:rPr>
        <w:t xml:space="preserve"> </w:t>
      </w:r>
      <w:r w:rsidR="00BC4FE1" w:rsidRPr="00EB2913">
        <w:rPr>
          <w:rFonts w:ascii="Times New Roman" w:hAnsi="Times New Roman" w:cs="Times New Roman"/>
          <w:sz w:val="24"/>
          <w:szCs w:val="24"/>
        </w:rPr>
        <w:t>Incentive Program Technical Specifications Manual (v</w:t>
      </w:r>
      <w:r w:rsidR="007114FC">
        <w:rPr>
          <w:rFonts w:ascii="Times New Roman" w:hAnsi="Times New Roman" w:cs="Times New Roman"/>
          <w:sz w:val="24"/>
          <w:szCs w:val="24"/>
        </w:rPr>
        <w:t>3</w:t>
      </w:r>
      <w:r w:rsidR="00BC4FE1" w:rsidRPr="00EB2913">
        <w:rPr>
          <w:rFonts w:ascii="Times New Roman" w:hAnsi="Times New Roman" w:cs="Times New Roman"/>
          <w:sz w:val="24"/>
          <w:szCs w:val="24"/>
        </w:rPr>
        <w:t>.0)</w:t>
      </w:r>
      <w:r w:rsidRPr="00EB2913">
        <w:rPr>
          <w:rFonts w:ascii="Times New Roman" w:hAnsi="Times New Roman" w:cs="Times New Roman"/>
          <w:sz w:val="24"/>
          <w:szCs w:val="24"/>
        </w:rPr>
        <w:t xml:space="preserve">. </w:t>
      </w:r>
      <w:r w:rsidR="003F283E" w:rsidRPr="00EB2913">
        <w:rPr>
          <w:rFonts w:ascii="Times New Roman" w:hAnsi="Times New Roman" w:cs="Times New Roman"/>
          <w:sz w:val="24"/>
          <w:szCs w:val="24"/>
        </w:rPr>
        <w:t xml:space="preserve">This section </w:t>
      </w:r>
      <w:r w:rsidR="00691B55" w:rsidRPr="00EB2913">
        <w:rPr>
          <w:rFonts w:ascii="Times New Roman" w:hAnsi="Times New Roman" w:cs="Times New Roman"/>
          <w:sz w:val="24"/>
          <w:szCs w:val="24"/>
        </w:rPr>
        <w:t xml:space="preserve">summarizes </w:t>
      </w:r>
      <w:r w:rsidR="003F283E" w:rsidRPr="00EB2913">
        <w:rPr>
          <w:rFonts w:ascii="Times New Roman" w:hAnsi="Times New Roman" w:cs="Times New Roman"/>
          <w:sz w:val="24"/>
          <w:szCs w:val="24"/>
        </w:rPr>
        <w:t xml:space="preserve">the </w:t>
      </w:r>
      <w:r w:rsidR="00E10EA4" w:rsidRPr="00EB2913">
        <w:rPr>
          <w:rFonts w:ascii="Times New Roman" w:hAnsi="Times New Roman" w:cs="Times New Roman"/>
          <w:sz w:val="24"/>
          <w:szCs w:val="24"/>
        </w:rPr>
        <w:t>key impact, description of change</w:t>
      </w:r>
      <w:r w:rsidR="00D06AF3">
        <w:rPr>
          <w:rFonts w:ascii="Times New Roman" w:hAnsi="Times New Roman" w:cs="Times New Roman"/>
          <w:sz w:val="24"/>
          <w:szCs w:val="24"/>
        </w:rPr>
        <w:t>,</w:t>
      </w:r>
      <w:r w:rsidR="00E10EA4" w:rsidRPr="00EB2913">
        <w:rPr>
          <w:rFonts w:ascii="Times New Roman" w:hAnsi="Times New Roman" w:cs="Times New Roman"/>
          <w:sz w:val="24"/>
          <w:szCs w:val="24"/>
        </w:rPr>
        <w:t xml:space="preserve"> and rationale </w:t>
      </w:r>
      <w:r w:rsidR="00825677" w:rsidRPr="00EB2913">
        <w:rPr>
          <w:rFonts w:ascii="Times New Roman" w:hAnsi="Times New Roman" w:cs="Times New Roman"/>
          <w:sz w:val="24"/>
          <w:szCs w:val="24"/>
        </w:rPr>
        <w:t>for the updated requirements</w:t>
      </w:r>
      <w:r w:rsidR="003F283E" w:rsidRPr="00EB2913">
        <w:rPr>
          <w:rFonts w:ascii="Times New Roman" w:hAnsi="Times New Roman" w:cs="Times New Roman"/>
          <w:sz w:val="24"/>
          <w:szCs w:val="24"/>
        </w:rPr>
        <w:t>.</w:t>
      </w:r>
    </w:p>
    <w:p w14:paraId="24F467C0" w14:textId="242C692A" w:rsidR="00A900FD" w:rsidRPr="00B22510" w:rsidRDefault="001D1306" w:rsidP="00B22510">
      <w:pPr>
        <w:pStyle w:val="Heading3"/>
        <w:spacing w:after="240"/>
        <w:jc w:val="left"/>
        <w:rPr>
          <w:sz w:val="24"/>
          <w:szCs w:val="24"/>
        </w:rPr>
      </w:pPr>
      <w:bookmarkStart w:id="10" w:name="_Toc165984759"/>
      <w:bookmarkStart w:id="11" w:name="_Toc166507034"/>
      <w:r w:rsidRPr="00B22510">
        <w:rPr>
          <w:sz w:val="24"/>
          <w:szCs w:val="24"/>
        </w:rPr>
        <w:t>Table A –</w:t>
      </w:r>
      <w:r w:rsidR="00691B55" w:rsidRPr="00B22510">
        <w:rPr>
          <w:sz w:val="24"/>
          <w:szCs w:val="24"/>
        </w:rPr>
        <w:t xml:space="preserve"> </w:t>
      </w:r>
      <w:r w:rsidR="00C95586" w:rsidRPr="00B22510">
        <w:rPr>
          <w:sz w:val="24"/>
          <w:szCs w:val="24"/>
        </w:rPr>
        <w:t xml:space="preserve">Changes to </w:t>
      </w:r>
      <w:r w:rsidR="0029597B" w:rsidRPr="00B22510">
        <w:rPr>
          <w:sz w:val="24"/>
          <w:szCs w:val="24"/>
        </w:rPr>
        <w:t xml:space="preserve">Data </w:t>
      </w:r>
      <w:r w:rsidR="00C95586" w:rsidRPr="00B22510">
        <w:rPr>
          <w:sz w:val="24"/>
          <w:szCs w:val="24"/>
        </w:rPr>
        <w:t xml:space="preserve">Reporting </w:t>
      </w:r>
      <w:r w:rsidR="00440234" w:rsidRPr="00B22510">
        <w:rPr>
          <w:sz w:val="24"/>
          <w:szCs w:val="24"/>
        </w:rPr>
        <w:t>Specification</w:t>
      </w:r>
      <w:r w:rsidRPr="00B22510">
        <w:rPr>
          <w:sz w:val="24"/>
          <w:szCs w:val="24"/>
        </w:rPr>
        <w:t>s</w:t>
      </w:r>
      <w:bookmarkEnd w:id="10"/>
      <w:bookmarkEnd w:id="11"/>
    </w:p>
    <w:tbl>
      <w:tblPr>
        <w:tblStyle w:val="TableGrid4"/>
        <w:tblW w:w="10062" w:type="dxa"/>
        <w:tblInd w:w="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Caption w:val="Updates in Release Notes (v 12.1) "/>
      </w:tblPr>
      <w:tblGrid>
        <w:gridCol w:w="1759"/>
        <w:gridCol w:w="2790"/>
        <w:gridCol w:w="5513"/>
      </w:tblGrid>
      <w:tr w:rsidR="003D7BC6" w:rsidRPr="00804421" w14:paraId="5834C4F3" w14:textId="77777777" w:rsidTr="00103D1C">
        <w:trPr>
          <w:trHeight w:val="297"/>
          <w:tblHeader/>
        </w:trPr>
        <w:tc>
          <w:tcPr>
            <w:tcW w:w="1759" w:type="dxa"/>
            <w:tcBorders>
              <w:top w:val="single" w:sz="18" w:space="0" w:color="auto"/>
              <w:bottom w:val="single" w:sz="6" w:space="0" w:color="auto"/>
            </w:tcBorders>
            <w:shd w:val="clear" w:color="auto" w:fill="FFFF00"/>
          </w:tcPr>
          <w:p w14:paraId="18E826D7" w14:textId="6BF97A5E" w:rsidR="003D7BC6" w:rsidRPr="00804421" w:rsidRDefault="007415EE" w:rsidP="4763C6C8">
            <w:pPr>
              <w:spacing w:line="276" w:lineRule="auto"/>
              <w:ind w:left="0" w:firstLine="0"/>
              <w:rPr>
                <w:rStyle w:val="Strong"/>
                <w:sz w:val="24"/>
                <w:szCs w:val="24"/>
              </w:rPr>
            </w:pPr>
            <w:r w:rsidRPr="00804421">
              <w:rPr>
                <w:rStyle w:val="Strong"/>
                <w:sz w:val="24"/>
                <w:szCs w:val="24"/>
              </w:rPr>
              <w:t xml:space="preserve">Location of Update </w:t>
            </w:r>
          </w:p>
        </w:tc>
        <w:tc>
          <w:tcPr>
            <w:tcW w:w="2790" w:type="dxa"/>
            <w:tcBorders>
              <w:top w:val="single" w:sz="18" w:space="0" w:color="auto"/>
              <w:bottom w:val="single" w:sz="6" w:space="0" w:color="auto"/>
            </w:tcBorders>
            <w:shd w:val="clear" w:color="auto" w:fill="FFFF00"/>
          </w:tcPr>
          <w:p w14:paraId="1D26D023" w14:textId="63364EFC" w:rsidR="003D7BC6" w:rsidRPr="00804421" w:rsidRDefault="4547553B" w:rsidP="4763C6C8">
            <w:pPr>
              <w:spacing w:line="276" w:lineRule="auto"/>
              <w:ind w:left="54"/>
              <w:rPr>
                <w:rStyle w:val="Strong"/>
                <w:sz w:val="24"/>
                <w:szCs w:val="24"/>
              </w:rPr>
            </w:pPr>
            <w:r w:rsidRPr="00804421">
              <w:rPr>
                <w:rStyle w:val="Strong"/>
                <w:sz w:val="24"/>
                <w:szCs w:val="24"/>
              </w:rPr>
              <w:t xml:space="preserve">     </w:t>
            </w:r>
            <w:r w:rsidR="007415EE" w:rsidRPr="00804421">
              <w:rPr>
                <w:rStyle w:val="Strong"/>
                <w:sz w:val="24"/>
                <w:szCs w:val="24"/>
              </w:rPr>
              <w:t>Update</w:t>
            </w:r>
          </w:p>
        </w:tc>
        <w:tc>
          <w:tcPr>
            <w:tcW w:w="5513" w:type="dxa"/>
            <w:tcBorders>
              <w:top w:val="single" w:sz="18" w:space="0" w:color="auto"/>
              <w:bottom w:val="single" w:sz="6" w:space="0" w:color="auto"/>
            </w:tcBorders>
            <w:shd w:val="clear" w:color="auto" w:fill="FFFF00"/>
          </w:tcPr>
          <w:p w14:paraId="750B93DF" w14:textId="6435C55E" w:rsidR="003D7BC6" w:rsidRPr="00804421" w:rsidRDefault="4547553B" w:rsidP="4763C6C8">
            <w:pPr>
              <w:spacing w:line="276" w:lineRule="auto"/>
              <w:ind w:left="54"/>
              <w:rPr>
                <w:rStyle w:val="Strong"/>
                <w:sz w:val="24"/>
                <w:szCs w:val="24"/>
              </w:rPr>
            </w:pPr>
            <w:r w:rsidRPr="00804421">
              <w:rPr>
                <w:rStyle w:val="Strong"/>
                <w:sz w:val="24"/>
                <w:szCs w:val="24"/>
              </w:rPr>
              <w:t xml:space="preserve">     </w:t>
            </w:r>
            <w:r w:rsidR="007415EE" w:rsidRPr="00804421">
              <w:rPr>
                <w:rStyle w:val="Strong"/>
                <w:sz w:val="24"/>
                <w:szCs w:val="24"/>
              </w:rPr>
              <w:t>Update</w:t>
            </w:r>
            <w:r w:rsidR="00563EA9" w:rsidRPr="00804421">
              <w:rPr>
                <w:rStyle w:val="Strong"/>
                <w:sz w:val="24"/>
                <w:szCs w:val="24"/>
              </w:rPr>
              <w:t xml:space="preserve"> Description and Rationale</w:t>
            </w:r>
          </w:p>
        </w:tc>
      </w:tr>
      <w:tr w:rsidR="00075C13" w:rsidRPr="00804421" w14:paraId="792DB911" w14:textId="77777777" w:rsidTr="00103D1C">
        <w:trPr>
          <w:trHeight w:val="1650"/>
        </w:trPr>
        <w:tc>
          <w:tcPr>
            <w:tcW w:w="1759" w:type="dxa"/>
            <w:tcBorders>
              <w:top w:val="single" w:sz="6" w:space="0" w:color="auto"/>
              <w:bottom w:val="single" w:sz="6" w:space="0" w:color="auto"/>
            </w:tcBorders>
            <w:shd w:val="clear" w:color="auto" w:fill="auto"/>
          </w:tcPr>
          <w:p w14:paraId="48040497" w14:textId="7F5E9C3D" w:rsidR="00075C13" w:rsidRPr="00804421" w:rsidRDefault="4D051F8B" w:rsidP="4763C6C8">
            <w:pPr>
              <w:ind w:left="0" w:firstLine="0"/>
              <w:rPr>
                <w:rStyle w:val="Strong"/>
                <w:sz w:val="24"/>
                <w:szCs w:val="24"/>
              </w:rPr>
            </w:pPr>
            <w:r w:rsidRPr="00804421">
              <w:rPr>
                <w:rStyle w:val="Strong"/>
                <w:sz w:val="24"/>
                <w:szCs w:val="24"/>
              </w:rPr>
              <w:t>Table 1-2, Section 1.D.</w:t>
            </w:r>
            <w:r w:rsidR="43263D1F" w:rsidRPr="00804421">
              <w:rPr>
                <w:rStyle w:val="Strong"/>
                <w:sz w:val="24"/>
                <w:szCs w:val="24"/>
              </w:rPr>
              <w:t xml:space="preserve"> </w:t>
            </w:r>
          </w:p>
        </w:tc>
        <w:tc>
          <w:tcPr>
            <w:tcW w:w="2790" w:type="dxa"/>
            <w:tcBorders>
              <w:top w:val="single" w:sz="6" w:space="0" w:color="auto"/>
              <w:bottom w:val="single" w:sz="6" w:space="0" w:color="auto"/>
            </w:tcBorders>
          </w:tcPr>
          <w:p w14:paraId="5D30EE65" w14:textId="6CEC074D" w:rsidR="00075C13" w:rsidRPr="00804421" w:rsidRDefault="00361F59" w:rsidP="001B5670">
            <w:pPr>
              <w:pStyle w:val="ListParagraph"/>
              <w:numPr>
                <w:ilvl w:val="0"/>
                <w:numId w:val="2"/>
              </w:numPr>
              <w:rPr>
                <w:rStyle w:val="IntenseEmphasis"/>
                <w:i w:val="0"/>
                <w:iCs w:val="0"/>
                <w:color w:val="000000" w:themeColor="text1"/>
                <w:sz w:val="24"/>
                <w:szCs w:val="24"/>
              </w:rPr>
            </w:pPr>
            <w:r w:rsidRPr="00804421">
              <w:rPr>
                <w:rStyle w:val="IntenseEmphasis"/>
                <w:i w:val="0"/>
                <w:iCs w:val="0"/>
                <w:color w:val="000000" w:themeColor="text1"/>
                <w:sz w:val="24"/>
                <w:szCs w:val="24"/>
              </w:rPr>
              <w:t>Modif</w:t>
            </w:r>
            <w:r w:rsidR="001E2F67" w:rsidRPr="00804421">
              <w:rPr>
                <w:rStyle w:val="IntenseEmphasis"/>
                <w:i w:val="0"/>
                <w:iCs w:val="0"/>
                <w:color w:val="000000" w:themeColor="text1"/>
                <w:sz w:val="24"/>
                <w:szCs w:val="24"/>
              </w:rPr>
              <w:t>y</w:t>
            </w:r>
            <w:r w:rsidR="00BC136A" w:rsidRPr="00804421">
              <w:rPr>
                <w:rStyle w:val="IntenseEmphasis"/>
                <w:i w:val="0"/>
                <w:iCs w:val="0"/>
                <w:color w:val="000000" w:themeColor="text1"/>
                <w:sz w:val="24"/>
                <w:szCs w:val="24"/>
              </w:rPr>
              <w:t xml:space="preserve"> Table 1-2 </w:t>
            </w:r>
          </w:p>
        </w:tc>
        <w:tc>
          <w:tcPr>
            <w:tcW w:w="5513" w:type="dxa"/>
            <w:tcBorders>
              <w:top w:val="single" w:sz="6" w:space="0" w:color="auto"/>
              <w:bottom w:val="single" w:sz="6" w:space="0" w:color="auto"/>
            </w:tcBorders>
          </w:tcPr>
          <w:p w14:paraId="24D5D2CB" w14:textId="36ECF259" w:rsidR="00D26858" w:rsidRPr="00804421" w:rsidRDefault="00DF445F" w:rsidP="001B5670">
            <w:pPr>
              <w:pStyle w:val="ListParagraph"/>
              <w:numPr>
                <w:ilvl w:val="0"/>
                <w:numId w:val="2"/>
              </w:numPr>
              <w:tabs>
                <w:tab w:val="num" w:pos="1440"/>
              </w:tabs>
              <w:ind w:left="162" w:hanging="162"/>
              <w:rPr>
                <w:rStyle w:val="IntenseEmphasis"/>
                <w:i w:val="0"/>
                <w:iCs w:val="0"/>
                <w:color w:val="000000" w:themeColor="text1"/>
                <w:sz w:val="24"/>
                <w:szCs w:val="24"/>
              </w:rPr>
            </w:pPr>
            <w:r w:rsidRPr="00804421">
              <w:rPr>
                <w:rStyle w:val="IntenseEmphasis"/>
                <w:i w:val="0"/>
                <w:iCs w:val="0"/>
                <w:color w:val="000000" w:themeColor="text1"/>
                <w:sz w:val="24"/>
                <w:szCs w:val="24"/>
              </w:rPr>
              <w:t xml:space="preserve">Add </w:t>
            </w:r>
            <w:r w:rsidR="000C6A0F" w:rsidRPr="00804421">
              <w:rPr>
                <w:rStyle w:val="IntenseEmphasis"/>
                <w:i w:val="0"/>
                <w:iCs w:val="0"/>
                <w:color w:val="000000" w:themeColor="text1"/>
                <w:sz w:val="24"/>
                <w:szCs w:val="24"/>
              </w:rPr>
              <w:t>m</w:t>
            </w:r>
            <w:r w:rsidRPr="00804421">
              <w:rPr>
                <w:rStyle w:val="IntenseEmphasis"/>
                <w:i w:val="0"/>
                <w:iCs w:val="0"/>
                <w:color w:val="000000" w:themeColor="text1"/>
                <w:sz w:val="24"/>
                <w:szCs w:val="24"/>
              </w:rPr>
              <w:t xml:space="preserve">inimum numerator for the CHIA Adult Readmission Measure </w:t>
            </w:r>
            <w:r w:rsidR="002E05ED" w:rsidRPr="00804421">
              <w:rPr>
                <w:rStyle w:val="IntenseEmphasis"/>
                <w:i w:val="0"/>
                <w:iCs w:val="0"/>
                <w:color w:val="000000" w:themeColor="text1"/>
                <w:sz w:val="24"/>
                <w:szCs w:val="24"/>
              </w:rPr>
              <w:t>(</w:t>
            </w:r>
            <w:r w:rsidRPr="00804421">
              <w:rPr>
                <w:rStyle w:val="IntenseEmphasis"/>
                <w:i w:val="0"/>
                <w:iCs w:val="0"/>
                <w:color w:val="000000" w:themeColor="text1"/>
                <w:sz w:val="24"/>
                <w:szCs w:val="24"/>
              </w:rPr>
              <w:t>CCI-1</w:t>
            </w:r>
            <w:r w:rsidR="002E05ED" w:rsidRPr="00804421">
              <w:rPr>
                <w:rStyle w:val="IntenseEmphasis"/>
                <w:i w:val="0"/>
                <w:iCs w:val="0"/>
                <w:color w:val="000000" w:themeColor="text1"/>
                <w:sz w:val="24"/>
                <w:szCs w:val="24"/>
              </w:rPr>
              <w:t>)</w:t>
            </w:r>
            <w:r w:rsidR="00635BDA" w:rsidRPr="00804421">
              <w:rPr>
                <w:rStyle w:val="IntenseEmphasis"/>
                <w:i w:val="0"/>
                <w:iCs w:val="0"/>
                <w:color w:val="000000" w:themeColor="text1"/>
                <w:sz w:val="24"/>
                <w:szCs w:val="24"/>
              </w:rPr>
              <w:t xml:space="preserve"> and clarify the Case</w:t>
            </w:r>
            <w:r w:rsidR="00FE6B63" w:rsidRPr="00804421">
              <w:rPr>
                <w:rStyle w:val="IntenseEmphasis"/>
                <w:i w:val="0"/>
                <w:iCs w:val="0"/>
                <w:color w:val="000000" w:themeColor="text1"/>
                <w:sz w:val="24"/>
                <w:szCs w:val="24"/>
              </w:rPr>
              <w:t xml:space="preserve"> Minimum for Measure Payment Eligibility column</w:t>
            </w:r>
            <w:r w:rsidR="00C13F5B" w:rsidRPr="00804421">
              <w:rPr>
                <w:rStyle w:val="IntenseEmphasis"/>
                <w:i w:val="0"/>
                <w:iCs w:val="0"/>
                <w:color w:val="000000" w:themeColor="text1"/>
                <w:sz w:val="24"/>
                <w:szCs w:val="24"/>
              </w:rPr>
              <w:t>.</w:t>
            </w:r>
          </w:p>
          <w:p w14:paraId="0C42FE74" w14:textId="7DE18E9F" w:rsidR="00FE3794" w:rsidRPr="00804421" w:rsidRDefault="007C7B7C" w:rsidP="001B5670">
            <w:pPr>
              <w:pStyle w:val="ListParagraph"/>
              <w:numPr>
                <w:ilvl w:val="0"/>
                <w:numId w:val="2"/>
              </w:numPr>
              <w:tabs>
                <w:tab w:val="num" w:pos="1440"/>
              </w:tabs>
              <w:ind w:left="162" w:hanging="162"/>
              <w:rPr>
                <w:rStyle w:val="IntenseEmphasis"/>
                <w:i w:val="0"/>
                <w:iCs w:val="0"/>
                <w:color w:val="000000" w:themeColor="text1"/>
                <w:sz w:val="24"/>
                <w:szCs w:val="24"/>
              </w:rPr>
            </w:pPr>
            <w:r w:rsidRPr="00804421">
              <w:rPr>
                <w:rStyle w:val="IntenseEmphasis"/>
                <w:i w:val="0"/>
                <w:iCs w:val="0"/>
                <w:color w:val="000000" w:themeColor="text1"/>
                <w:sz w:val="24"/>
                <w:szCs w:val="24"/>
              </w:rPr>
              <w:t>Update</w:t>
            </w:r>
            <w:r w:rsidR="00FC11D5" w:rsidRPr="00804421">
              <w:rPr>
                <w:rStyle w:val="IntenseEmphasis"/>
                <w:i w:val="0"/>
                <w:iCs w:val="0"/>
                <w:color w:val="000000" w:themeColor="text1"/>
                <w:sz w:val="24"/>
                <w:szCs w:val="24"/>
              </w:rPr>
              <w:t xml:space="preserve"> CCI-3</w:t>
            </w:r>
            <w:r w:rsidRPr="00804421">
              <w:rPr>
                <w:rStyle w:val="IntenseEmphasis"/>
                <w:i w:val="0"/>
                <w:iCs w:val="0"/>
                <w:color w:val="000000" w:themeColor="text1"/>
                <w:sz w:val="24"/>
                <w:szCs w:val="24"/>
              </w:rPr>
              <w:t xml:space="preserve"> measure nam</w:t>
            </w:r>
            <w:r w:rsidR="00FC11D5" w:rsidRPr="00804421">
              <w:rPr>
                <w:rStyle w:val="IntenseEmphasis"/>
                <w:i w:val="0"/>
                <w:iCs w:val="0"/>
                <w:color w:val="000000" w:themeColor="text1"/>
                <w:sz w:val="24"/>
                <w:szCs w:val="24"/>
              </w:rPr>
              <w:t xml:space="preserve">e to Follow-up after ED </w:t>
            </w:r>
            <w:r w:rsidR="00336A88" w:rsidRPr="00804421">
              <w:rPr>
                <w:rStyle w:val="IntenseEmphasis"/>
                <w:i w:val="0"/>
                <w:iCs w:val="0"/>
                <w:color w:val="000000" w:themeColor="text1"/>
                <w:sz w:val="24"/>
                <w:szCs w:val="24"/>
              </w:rPr>
              <w:t>V</w:t>
            </w:r>
            <w:r w:rsidR="00FC11D5" w:rsidRPr="00804421">
              <w:rPr>
                <w:rStyle w:val="IntenseEmphasis"/>
                <w:i w:val="0"/>
                <w:iCs w:val="0"/>
                <w:color w:val="000000" w:themeColor="text1"/>
                <w:sz w:val="24"/>
                <w:szCs w:val="24"/>
              </w:rPr>
              <w:t>isit for Substance Use.</w:t>
            </w:r>
          </w:p>
          <w:p w14:paraId="393674DB" w14:textId="6CEAC574" w:rsidR="00D82AB3" w:rsidRPr="00804421" w:rsidRDefault="00781E5F" w:rsidP="008F3F5A">
            <w:pPr>
              <w:pStyle w:val="ListParagraph"/>
              <w:numPr>
                <w:ilvl w:val="0"/>
                <w:numId w:val="2"/>
              </w:numPr>
              <w:tabs>
                <w:tab w:val="num" w:pos="1440"/>
              </w:tabs>
              <w:ind w:left="162" w:hanging="162"/>
              <w:rPr>
                <w:rStyle w:val="IntenseEmphasis"/>
                <w:i w:val="0"/>
                <w:iCs w:val="0"/>
                <w:color w:val="000000" w:themeColor="text1"/>
                <w:sz w:val="24"/>
                <w:szCs w:val="24"/>
              </w:rPr>
            </w:pPr>
            <w:r w:rsidRPr="00804421">
              <w:rPr>
                <w:rStyle w:val="IntenseEmphasis"/>
                <w:i w:val="0"/>
                <w:iCs w:val="0"/>
                <w:color w:val="000000" w:themeColor="text1"/>
                <w:sz w:val="24"/>
                <w:szCs w:val="24"/>
              </w:rPr>
              <w:t xml:space="preserve">Modify </w:t>
            </w:r>
            <w:r w:rsidR="004D07C3" w:rsidRPr="00804421">
              <w:rPr>
                <w:rStyle w:val="IntenseEmphasis"/>
                <w:i w:val="0"/>
                <w:iCs w:val="0"/>
                <w:color w:val="000000" w:themeColor="text1"/>
                <w:sz w:val="24"/>
                <w:szCs w:val="24"/>
              </w:rPr>
              <w:t xml:space="preserve">Severe Obstetric Complications </w:t>
            </w:r>
            <w:r w:rsidR="00DE2DD4" w:rsidRPr="00804421">
              <w:rPr>
                <w:rStyle w:val="IntenseEmphasis"/>
                <w:i w:val="0"/>
                <w:iCs w:val="0"/>
                <w:color w:val="000000" w:themeColor="text1"/>
                <w:sz w:val="24"/>
                <w:szCs w:val="24"/>
              </w:rPr>
              <w:t xml:space="preserve">measure </w:t>
            </w:r>
            <w:r w:rsidR="004D07C3" w:rsidRPr="00804421">
              <w:rPr>
                <w:rStyle w:val="IntenseEmphasis"/>
                <w:i w:val="0"/>
                <w:iCs w:val="0"/>
                <w:color w:val="000000" w:themeColor="text1"/>
                <w:sz w:val="24"/>
                <w:szCs w:val="24"/>
              </w:rPr>
              <w:t>to R status</w:t>
            </w:r>
            <w:r w:rsidR="00072C1D" w:rsidRPr="00804421">
              <w:rPr>
                <w:rStyle w:val="IntenseEmphasis"/>
                <w:i w:val="0"/>
                <w:iCs w:val="0"/>
                <w:color w:val="000000" w:themeColor="text1"/>
                <w:sz w:val="24"/>
                <w:szCs w:val="24"/>
              </w:rPr>
              <w:t xml:space="preserve"> for RY2025 incentive </w:t>
            </w:r>
            <w:r w:rsidR="007E626E" w:rsidRPr="00804421">
              <w:rPr>
                <w:rStyle w:val="IntenseEmphasis"/>
                <w:i w:val="0"/>
                <w:iCs w:val="0"/>
                <w:color w:val="000000" w:themeColor="text1"/>
                <w:sz w:val="24"/>
                <w:szCs w:val="24"/>
              </w:rPr>
              <w:t>payment</w:t>
            </w:r>
            <w:r w:rsidR="00EA4B86" w:rsidRPr="00804421">
              <w:rPr>
                <w:rStyle w:val="IntenseEmphasis"/>
                <w:i w:val="0"/>
                <w:iCs w:val="0"/>
                <w:color w:val="000000" w:themeColor="text1"/>
                <w:sz w:val="24"/>
                <w:szCs w:val="24"/>
              </w:rPr>
              <w:t>.</w:t>
            </w:r>
          </w:p>
        </w:tc>
      </w:tr>
      <w:tr w:rsidR="00F945C0" w:rsidRPr="00804421" w14:paraId="11D759AE" w14:textId="77777777" w:rsidTr="00103D1C">
        <w:trPr>
          <w:trHeight w:val="561"/>
        </w:trPr>
        <w:tc>
          <w:tcPr>
            <w:tcW w:w="1759" w:type="dxa"/>
            <w:tcBorders>
              <w:top w:val="single" w:sz="6" w:space="0" w:color="auto"/>
              <w:bottom w:val="single" w:sz="6" w:space="0" w:color="auto"/>
            </w:tcBorders>
            <w:shd w:val="clear" w:color="auto" w:fill="auto"/>
          </w:tcPr>
          <w:p w14:paraId="25D0FD31" w14:textId="3B69A936" w:rsidR="00F945C0" w:rsidRPr="00804421" w:rsidRDefault="00F945C0" w:rsidP="4763C6C8">
            <w:pPr>
              <w:ind w:left="0" w:firstLine="0"/>
              <w:rPr>
                <w:rStyle w:val="Strong"/>
                <w:sz w:val="24"/>
                <w:szCs w:val="24"/>
              </w:rPr>
            </w:pPr>
            <w:r w:rsidRPr="00804421">
              <w:rPr>
                <w:rStyle w:val="Strong"/>
                <w:sz w:val="24"/>
                <w:szCs w:val="24"/>
              </w:rPr>
              <w:t>Section 6.D</w:t>
            </w:r>
            <w:r w:rsidR="00A54B77" w:rsidRPr="00804421">
              <w:rPr>
                <w:rStyle w:val="Strong"/>
                <w:sz w:val="24"/>
                <w:szCs w:val="24"/>
              </w:rPr>
              <w:t xml:space="preserve"> </w:t>
            </w:r>
          </w:p>
        </w:tc>
        <w:tc>
          <w:tcPr>
            <w:tcW w:w="2790" w:type="dxa"/>
            <w:tcBorders>
              <w:top w:val="single" w:sz="6" w:space="0" w:color="auto"/>
              <w:bottom w:val="single" w:sz="6" w:space="0" w:color="auto"/>
            </w:tcBorders>
          </w:tcPr>
          <w:p w14:paraId="5D8E04AF" w14:textId="0F48227E" w:rsidR="00F945C0" w:rsidRPr="00804421" w:rsidRDefault="00A54B77" w:rsidP="001B5670">
            <w:pPr>
              <w:pStyle w:val="ListParagraph"/>
              <w:numPr>
                <w:ilvl w:val="0"/>
                <w:numId w:val="2"/>
              </w:numPr>
              <w:rPr>
                <w:rStyle w:val="IntenseEmphasis"/>
                <w:i w:val="0"/>
                <w:iCs w:val="0"/>
                <w:color w:val="000000" w:themeColor="text1"/>
                <w:sz w:val="24"/>
                <w:szCs w:val="24"/>
              </w:rPr>
            </w:pPr>
            <w:r w:rsidRPr="00804421">
              <w:rPr>
                <w:rStyle w:val="IntenseEmphasis"/>
                <w:i w:val="0"/>
                <w:iCs w:val="0"/>
                <w:color w:val="000000" w:themeColor="text1"/>
                <w:sz w:val="24"/>
                <w:szCs w:val="24"/>
              </w:rPr>
              <w:t>Modify Table 6-1</w:t>
            </w:r>
          </w:p>
        </w:tc>
        <w:tc>
          <w:tcPr>
            <w:tcW w:w="5513" w:type="dxa"/>
            <w:tcBorders>
              <w:top w:val="single" w:sz="6" w:space="0" w:color="auto"/>
              <w:bottom w:val="single" w:sz="6" w:space="0" w:color="auto"/>
            </w:tcBorders>
          </w:tcPr>
          <w:p w14:paraId="2C569D25" w14:textId="420A0414" w:rsidR="00F945C0" w:rsidRPr="00804421" w:rsidRDefault="00A54B77" w:rsidP="001B5670">
            <w:pPr>
              <w:pStyle w:val="ListParagraph"/>
              <w:numPr>
                <w:ilvl w:val="0"/>
                <w:numId w:val="2"/>
              </w:numPr>
              <w:tabs>
                <w:tab w:val="num" w:pos="1440"/>
              </w:tabs>
              <w:ind w:left="162" w:hanging="162"/>
              <w:rPr>
                <w:rStyle w:val="IntenseEmphasis"/>
                <w:i w:val="0"/>
                <w:iCs w:val="0"/>
                <w:color w:val="000000" w:themeColor="text1"/>
                <w:sz w:val="24"/>
                <w:szCs w:val="24"/>
              </w:rPr>
            </w:pPr>
            <w:r w:rsidRPr="00804421">
              <w:rPr>
                <w:rStyle w:val="IntenseEmphasis"/>
                <w:i w:val="0"/>
                <w:iCs w:val="0"/>
                <w:color w:val="000000" w:themeColor="text1"/>
                <w:sz w:val="24"/>
                <w:szCs w:val="24"/>
              </w:rPr>
              <w:t xml:space="preserve">Modify Scored Data Elements </w:t>
            </w:r>
            <w:r w:rsidR="001010BB" w:rsidRPr="00804421">
              <w:rPr>
                <w:rStyle w:val="IntenseEmphasis"/>
                <w:i w:val="0"/>
                <w:iCs w:val="0"/>
                <w:color w:val="000000" w:themeColor="text1"/>
                <w:sz w:val="24"/>
                <w:szCs w:val="24"/>
              </w:rPr>
              <w:t xml:space="preserve">in Table 6-1 </w:t>
            </w:r>
            <w:r w:rsidRPr="00804421">
              <w:rPr>
                <w:rStyle w:val="IntenseEmphasis"/>
                <w:i w:val="0"/>
                <w:iCs w:val="0"/>
                <w:color w:val="000000" w:themeColor="text1"/>
                <w:sz w:val="24"/>
                <w:szCs w:val="24"/>
              </w:rPr>
              <w:t>to include Race and Hispanic Ethnicity</w:t>
            </w:r>
            <w:r w:rsidR="00EA3A3C" w:rsidRPr="00804421">
              <w:rPr>
                <w:rStyle w:val="IntenseEmphasis"/>
                <w:i w:val="0"/>
                <w:iCs w:val="0"/>
                <w:color w:val="000000" w:themeColor="text1"/>
                <w:sz w:val="24"/>
                <w:szCs w:val="24"/>
              </w:rPr>
              <w:t>.</w:t>
            </w:r>
          </w:p>
        </w:tc>
      </w:tr>
      <w:tr w:rsidR="00D1740E" w:rsidRPr="00804421" w14:paraId="40853672" w14:textId="77777777" w:rsidTr="00103D1C">
        <w:trPr>
          <w:trHeight w:val="795"/>
        </w:trPr>
        <w:tc>
          <w:tcPr>
            <w:tcW w:w="1759" w:type="dxa"/>
            <w:tcBorders>
              <w:top w:val="single" w:sz="6" w:space="0" w:color="auto"/>
              <w:bottom w:val="single" w:sz="6" w:space="0" w:color="auto"/>
            </w:tcBorders>
            <w:shd w:val="clear" w:color="auto" w:fill="auto"/>
          </w:tcPr>
          <w:p w14:paraId="0FA1AF61" w14:textId="272E62C4" w:rsidR="00D1740E" w:rsidRPr="00804421" w:rsidRDefault="00D1740E" w:rsidP="4763C6C8">
            <w:pPr>
              <w:ind w:left="0" w:firstLine="0"/>
              <w:rPr>
                <w:rStyle w:val="Strong"/>
                <w:sz w:val="24"/>
                <w:szCs w:val="24"/>
              </w:rPr>
            </w:pPr>
            <w:r w:rsidRPr="00804421">
              <w:rPr>
                <w:rStyle w:val="Strong"/>
                <w:sz w:val="24"/>
                <w:szCs w:val="24"/>
              </w:rPr>
              <w:t xml:space="preserve">Section 8.B </w:t>
            </w:r>
          </w:p>
        </w:tc>
        <w:tc>
          <w:tcPr>
            <w:tcW w:w="2790" w:type="dxa"/>
            <w:tcBorders>
              <w:top w:val="single" w:sz="6" w:space="0" w:color="auto"/>
              <w:bottom w:val="single" w:sz="6" w:space="0" w:color="auto"/>
            </w:tcBorders>
          </w:tcPr>
          <w:p w14:paraId="48D1C633" w14:textId="7B591865" w:rsidR="00D1740E" w:rsidRPr="00804421" w:rsidRDefault="00814B70" w:rsidP="001B5670">
            <w:pPr>
              <w:pStyle w:val="ListParagraph"/>
              <w:numPr>
                <w:ilvl w:val="0"/>
                <w:numId w:val="2"/>
              </w:numPr>
              <w:rPr>
                <w:rStyle w:val="IntenseEmphasis"/>
                <w:i w:val="0"/>
                <w:iCs w:val="0"/>
                <w:color w:val="000000" w:themeColor="text1"/>
                <w:sz w:val="24"/>
                <w:szCs w:val="24"/>
              </w:rPr>
            </w:pPr>
            <w:r w:rsidRPr="00804421">
              <w:rPr>
                <w:rStyle w:val="IntenseEmphasis"/>
                <w:i w:val="0"/>
                <w:iCs w:val="0"/>
                <w:color w:val="000000" w:themeColor="text1"/>
                <w:sz w:val="24"/>
                <w:szCs w:val="24"/>
              </w:rPr>
              <w:t>Update measure name following NCQA</w:t>
            </w:r>
            <w:r w:rsidR="00CD0050" w:rsidRPr="00804421">
              <w:rPr>
                <w:rStyle w:val="IntenseEmphasis"/>
                <w:i w:val="0"/>
                <w:iCs w:val="0"/>
                <w:color w:val="000000" w:themeColor="text1"/>
                <w:sz w:val="24"/>
                <w:szCs w:val="24"/>
              </w:rPr>
              <w:t xml:space="preserve"> measure steward.</w:t>
            </w:r>
          </w:p>
        </w:tc>
        <w:tc>
          <w:tcPr>
            <w:tcW w:w="5513" w:type="dxa"/>
            <w:tcBorders>
              <w:top w:val="single" w:sz="6" w:space="0" w:color="auto"/>
              <w:bottom w:val="single" w:sz="6" w:space="0" w:color="auto"/>
            </w:tcBorders>
          </w:tcPr>
          <w:p w14:paraId="0D3387F2" w14:textId="1D9BB242" w:rsidR="00814B70" w:rsidRPr="00804421" w:rsidRDefault="00814B70" w:rsidP="001B5670">
            <w:pPr>
              <w:pStyle w:val="ListParagraph"/>
              <w:numPr>
                <w:ilvl w:val="0"/>
                <w:numId w:val="2"/>
              </w:numPr>
              <w:tabs>
                <w:tab w:val="num" w:pos="1440"/>
              </w:tabs>
              <w:ind w:left="162" w:hanging="162"/>
              <w:rPr>
                <w:rStyle w:val="IntenseEmphasis"/>
                <w:i w:val="0"/>
                <w:iCs w:val="0"/>
                <w:color w:val="000000" w:themeColor="text1"/>
                <w:sz w:val="24"/>
                <w:szCs w:val="24"/>
              </w:rPr>
            </w:pPr>
            <w:r w:rsidRPr="00804421">
              <w:rPr>
                <w:rStyle w:val="IntenseEmphasis"/>
                <w:i w:val="0"/>
                <w:iCs w:val="0"/>
                <w:color w:val="000000" w:themeColor="text1"/>
                <w:sz w:val="24"/>
                <w:szCs w:val="24"/>
              </w:rPr>
              <w:t xml:space="preserve">Update CCI-3 measure name to Follow-up after ED </w:t>
            </w:r>
            <w:r w:rsidR="006124AB" w:rsidRPr="00804421">
              <w:rPr>
                <w:rStyle w:val="IntenseEmphasis"/>
                <w:i w:val="0"/>
                <w:iCs w:val="0"/>
                <w:color w:val="000000" w:themeColor="text1"/>
                <w:sz w:val="24"/>
                <w:szCs w:val="24"/>
              </w:rPr>
              <w:t>V</w:t>
            </w:r>
            <w:r w:rsidRPr="00804421">
              <w:rPr>
                <w:rStyle w:val="IntenseEmphasis"/>
                <w:i w:val="0"/>
                <w:iCs w:val="0"/>
                <w:color w:val="000000" w:themeColor="text1"/>
                <w:sz w:val="24"/>
                <w:szCs w:val="24"/>
              </w:rPr>
              <w:t>isit for Substance Use.</w:t>
            </w:r>
          </w:p>
          <w:p w14:paraId="32AD6194" w14:textId="77777777" w:rsidR="00D1740E" w:rsidRPr="00804421" w:rsidRDefault="00D1740E" w:rsidP="00814B70">
            <w:pPr>
              <w:pStyle w:val="ListParagraph"/>
              <w:ind w:left="162" w:firstLine="0"/>
              <w:rPr>
                <w:rStyle w:val="IntenseEmphasis"/>
                <w:i w:val="0"/>
                <w:iCs w:val="0"/>
                <w:color w:val="000000" w:themeColor="text1"/>
                <w:sz w:val="24"/>
                <w:szCs w:val="24"/>
              </w:rPr>
            </w:pPr>
          </w:p>
        </w:tc>
      </w:tr>
      <w:tr w:rsidR="6164BE42" w:rsidRPr="00804421" w14:paraId="64D79354" w14:textId="77777777" w:rsidTr="00103D1C">
        <w:trPr>
          <w:trHeight w:val="1218"/>
        </w:trPr>
        <w:tc>
          <w:tcPr>
            <w:tcW w:w="1759" w:type="dxa"/>
            <w:tcBorders>
              <w:top w:val="single" w:sz="6" w:space="0" w:color="auto"/>
              <w:bottom w:val="single" w:sz="6" w:space="0" w:color="auto"/>
            </w:tcBorders>
            <w:shd w:val="clear" w:color="auto" w:fill="auto"/>
          </w:tcPr>
          <w:p w14:paraId="13872C3D" w14:textId="02809743" w:rsidR="39F66B3B" w:rsidRPr="00804421" w:rsidRDefault="39F66B3B" w:rsidP="6164BE42">
            <w:pPr>
              <w:ind w:left="0" w:firstLine="0"/>
              <w:rPr>
                <w:rStyle w:val="Strong"/>
                <w:sz w:val="24"/>
                <w:szCs w:val="24"/>
              </w:rPr>
            </w:pPr>
            <w:r w:rsidRPr="00804421">
              <w:rPr>
                <w:rStyle w:val="Strong"/>
                <w:sz w:val="24"/>
                <w:szCs w:val="24"/>
              </w:rPr>
              <w:t>Section 8.C</w:t>
            </w:r>
          </w:p>
        </w:tc>
        <w:tc>
          <w:tcPr>
            <w:tcW w:w="2790" w:type="dxa"/>
            <w:tcBorders>
              <w:top w:val="single" w:sz="6" w:space="0" w:color="auto"/>
              <w:bottom w:val="single" w:sz="6" w:space="0" w:color="auto"/>
            </w:tcBorders>
          </w:tcPr>
          <w:p w14:paraId="5D664E32" w14:textId="047558FB" w:rsidR="39F66B3B" w:rsidRPr="00804421" w:rsidRDefault="39F66B3B" w:rsidP="001B5670">
            <w:pPr>
              <w:pStyle w:val="ListParagraph"/>
              <w:numPr>
                <w:ilvl w:val="0"/>
                <w:numId w:val="2"/>
              </w:numPr>
              <w:rPr>
                <w:rStyle w:val="IntenseEmphasis"/>
                <w:rFonts w:asciiTheme="minorHAnsi" w:eastAsiaTheme="minorHAnsi" w:hAnsiTheme="minorHAnsi" w:cstheme="minorBidi"/>
                <w:i w:val="0"/>
                <w:iCs w:val="0"/>
                <w:color w:val="000000" w:themeColor="text1"/>
                <w:sz w:val="24"/>
                <w:szCs w:val="24"/>
              </w:rPr>
            </w:pPr>
            <w:r w:rsidRPr="00804421">
              <w:rPr>
                <w:rStyle w:val="IntenseEmphasis"/>
                <w:i w:val="0"/>
                <w:iCs w:val="0"/>
                <w:color w:val="000000" w:themeColor="text1"/>
                <w:sz w:val="24"/>
                <w:szCs w:val="24"/>
              </w:rPr>
              <w:t xml:space="preserve">Update CHIA Adult Readmission Measure </w:t>
            </w:r>
            <w:r w:rsidR="23548466" w:rsidRPr="00804421">
              <w:rPr>
                <w:rStyle w:val="IntenseEmphasis"/>
                <w:i w:val="0"/>
                <w:iCs w:val="0"/>
                <w:color w:val="000000" w:themeColor="text1"/>
                <w:sz w:val="24"/>
                <w:szCs w:val="24"/>
              </w:rPr>
              <w:t>Data Calculation Approach with correct link for access to technical appendix</w:t>
            </w:r>
          </w:p>
        </w:tc>
        <w:tc>
          <w:tcPr>
            <w:tcW w:w="5513" w:type="dxa"/>
            <w:tcBorders>
              <w:top w:val="single" w:sz="6" w:space="0" w:color="auto"/>
              <w:bottom w:val="single" w:sz="6" w:space="0" w:color="auto"/>
            </w:tcBorders>
          </w:tcPr>
          <w:p w14:paraId="2C32DD75" w14:textId="4ABA6492" w:rsidR="23548466" w:rsidRPr="00804421" w:rsidRDefault="23548466" w:rsidP="001B5670">
            <w:pPr>
              <w:pStyle w:val="ListParagraph"/>
              <w:numPr>
                <w:ilvl w:val="0"/>
                <w:numId w:val="2"/>
              </w:numPr>
              <w:ind w:left="166" w:hanging="166"/>
              <w:rPr>
                <w:rStyle w:val="IntenseEmphasis"/>
                <w:rFonts w:asciiTheme="minorHAnsi" w:eastAsiaTheme="minorHAnsi" w:hAnsiTheme="minorHAnsi" w:cstheme="minorBidi"/>
                <w:i w:val="0"/>
                <w:iCs w:val="0"/>
                <w:color w:val="000000" w:themeColor="text1"/>
                <w:sz w:val="24"/>
                <w:szCs w:val="24"/>
              </w:rPr>
            </w:pPr>
            <w:r w:rsidRPr="00804421">
              <w:rPr>
                <w:rStyle w:val="IntenseEmphasis"/>
                <w:i w:val="0"/>
                <w:iCs w:val="0"/>
                <w:color w:val="000000" w:themeColor="text1"/>
                <w:sz w:val="24"/>
                <w:szCs w:val="24"/>
              </w:rPr>
              <w:t>Update reference link in specification to webpage with current technical appendix.</w:t>
            </w:r>
          </w:p>
        </w:tc>
      </w:tr>
      <w:tr w:rsidR="00F6555E" w:rsidRPr="00804421" w14:paraId="65AE681B" w14:textId="77777777" w:rsidTr="00103D1C">
        <w:trPr>
          <w:trHeight w:val="606"/>
        </w:trPr>
        <w:tc>
          <w:tcPr>
            <w:tcW w:w="1759" w:type="dxa"/>
            <w:tcBorders>
              <w:top w:val="single" w:sz="6" w:space="0" w:color="auto"/>
              <w:bottom w:val="single" w:sz="6" w:space="0" w:color="auto"/>
            </w:tcBorders>
            <w:shd w:val="clear" w:color="auto" w:fill="auto"/>
          </w:tcPr>
          <w:p w14:paraId="7C8B9228" w14:textId="376F1926" w:rsidR="00F6555E" w:rsidRPr="00804421" w:rsidRDefault="00F6555E" w:rsidP="6164BE42">
            <w:pPr>
              <w:ind w:left="0" w:firstLine="0"/>
              <w:rPr>
                <w:rStyle w:val="Strong"/>
                <w:sz w:val="24"/>
                <w:szCs w:val="24"/>
              </w:rPr>
            </w:pPr>
            <w:r w:rsidRPr="00804421">
              <w:rPr>
                <w:rStyle w:val="Strong"/>
                <w:sz w:val="24"/>
                <w:szCs w:val="24"/>
              </w:rPr>
              <w:t>Section 11</w:t>
            </w:r>
          </w:p>
        </w:tc>
        <w:tc>
          <w:tcPr>
            <w:tcW w:w="2790" w:type="dxa"/>
            <w:tcBorders>
              <w:top w:val="single" w:sz="6" w:space="0" w:color="auto"/>
              <w:bottom w:val="single" w:sz="6" w:space="0" w:color="auto"/>
            </w:tcBorders>
          </w:tcPr>
          <w:p w14:paraId="11731121" w14:textId="783E8152" w:rsidR="00F6555E" w:rsidRPr="00804421" w:rsidRDefault="00F6555E" w:rsidP="001B5670">
            <w:pPr>
              <w:pStyle w:val="ListParagraph"/>
              <w:numPr>
                <w:ilvl w:val="0"/>
                <w:numId w:val="2"/>
              </w:numPr>
              <w:rPr>
                <w:rStyle w:val="IntenseEmphasis"/>
                <w:i w:val="0"/>
                <w:iCs w:val="0"/>
                <w:color w:val="000000" w:themeColor="text1"/>
                <w:sz w:val="24"/>
                <w:szCs w:val="24"/>
              </w:rPr>
            </w:pPr>
            <w:r w:rsidRPr="00804421">
              <w:rPr>
                <w:rStyle w:val="IntenseEmphasis"/>
                <w:i w:val="0"/>
                <w:iCs w:val="0"/>
                <w:color w:val="000000" w:themeColor="text1"/>
                <w:sz w:val="24"/>
                <w:szCs w:val="24"/>
              </w:rPr>
              <w:t>Add Section 11: Program Reports</w:t>
            </w:r>
          </w:p>
        </w:tc>
        <w:tc>
          <w:tcPr>
            <w:tcW w:w="5513" w:type="dxa"/>
            <w:tcBorders>
              <w:top w:val="single" w:sz="6" w:space="0" w:color="auto"/>
              <w:bottom w:val="single" w:sz="6" w:space="0" w:color="auto"/>
            </w:tcBorders>
          </w:tcPr>
          <w:p w14:paraId="0664D790" w14:textId="67E60207" w:rsidR="00F6555E" w:rsidRPr="00804421" w:rsidRDefault="002211D4" w:rsidP="001B5670">
            <w:pPr>
              <w:pStyle w:val="ListParagraph"/>
              <w:numPr>
                <w:ilvl w:val="0"/>
                <w:numId w:val="2"/>
              </w:numPr>
              <w:ind w:left="166" w:hanging="166"/>
              <w:rPr>
                <w:rStyle w:val="IntenseEmphasis"/>
                <w:i w:val="0"/>
                <w:iCs w:val="0"/>
                <w:color w:val="000000" w:themeColor="text1"/>
                <w:sz w:val="24"/>
                <w:szCs w:val="24"/>
              </w:rPr>
            </w:pPr>
            <w:r w:rsidRPr="00804421">
              <w:rPr>
                <w:rStyle w:val="IntenseEmphasis"/>
                <w:i w:val="0"/>
                <w:iCs w:val="0"/>
                <w:color w:val="000000" w:themeColor="text1"/>
                <w:sz w:val="24"/>
                <w:szCs w:val="24"/>
              </w:rPr>
              <w:t xml:space="preserve">Provide </w:t>
            </w:r>
            <w:r w:rsidR="00B1097E" w:rsidRPr="00804421">
              <w:rPr>
                <w:rStyle w:val="IntenseEmphasis"/>
                <w:i w:val="0"/>
                <w:iCs w:val="0"/>
                <w:color w:val="000000" w:themeColor="text1"/>
                <w:sz w:val="24"/>
                <w:szCs w:val="24"/>
              </w:rPr>
              <w:t>important information on program reports available on the MassQEX portal.</w:t>
            </w:r>
          </w:p>
        </w:tc>
      </w:tr>
    </w:tbl>
    <w:p w14:paraId="092AF5CE" w14:textId="5865ED99" w:rsidR="003F778C" w:rsidRDefault="003F778C" w:rsidP="001F42F5">
      <w:pPr>
        <w:pStyle w:val="Heading2"/>
        <w:spacing w:before="480"/>
      </w:pPr>
      <w:bookmarkStart w:id="12" w:name="_Toc166507046"/>
      <w:bookmarkStart w:id="13" w:name="_Hlk141195139"/>
      <w:r w:rsidRPr="00E02D6F">
        <w:t xml:space="preserve">Section </w:t>
      </w:r>
      <w:r w:rsidR="001B5670">
        <w:t>2</w:t>
      </w:r>
      <w:r w:rsidRPr="006A2353">
        <w:t xml:space="preserve">: </w:t>
      </w:r>
      <w:bookmarkEnd w:id="12"/>
      <w:r w:rsidR="00BC136A">
        <w:t>Table 1-2, Section 1.D</w:t>
      </w:r>
    </w:p>
    <w:p w14:paraId="502493E9" w14:textId="77777777" w:rsidR="003F778C" w:rsidRPr="00BF7E2B" w:rsidRDefault="003F778C" w:rsidP="00BF7E2B">
      <w:pPr>
        <w:pStyle w:val="Heading3"/>
        <w:spacing w:after="240"/>
        <w:jc w:val="left"/>
        <w:rPr>
          <w:rFonts w:eastAsiaTheme="majorEastAsia"/>
          <w:spacing w:val="5"/>
          <w:kern w:val="28"/>
          <w:sz w:val="24"/>
          <w:szCs w:val="24"/>
        </w:rPr>
      </w:pPr>
      <w:r w:rsidRPr="00BF7E2B">
        <w:rPr>
          <w:sz w:val="24"/>
          <w:szCs w:val="24"/>
        </w:rPr>
        <w:t>Section 1.D. CQI Program Measures and Performance Periods</w:t>
      </w:r>
    </w:p>
    <w:p w14:paraId="764FB10D" w14:textId="27CB39CD" w:rsidR="001B5670" w:rsidRDefault="50116845" w:rsidP="001F42F5">
      <w:pPr>
        <w:spacing w:after="2280"/>
        <w:ind w:left="360" w:firstLine="0"/>
        <w:rPr>
          <w:rFonts w:ascii="Times New Roman" w:hAnsi="Times New Roman" w:cs="Times New Roman"/>
          <w:sz w:val="24"/>
          <w:szCs w:val="24"/>
        </w:rPr>
      </w:pPr>
      <w:r w:rsidRPr="2E133E4E">
        <w:rPr>
          <w:rFonts w:ascii="Times New Roman" w:hAnsi="Times New Roman" w:cs="Times New Roman"/>
          <w:sz w:val="24"/>
          <w:szCs w:val="24"/>
        </w:rPr>
        <w:t xml:space="preserve">The table below </w:t>
      </w:r>
      <w:r w:rsidR="0011481F">
        <w:rPr>
          <w:rFonts w:ascii="Times New Roman" w:hAnsi="Times New Roman" w:cs="Times New Roman"/>
          <w:sz w:val="24"/>
          <w:szCs w:val="24"/>
        </w:rPr>
        <w:t xml:space="preserve">provides </w:t>
      </w:r>
      <w:r w:rsidR="00AA7EA9">
        <w:rPr>
          <w:rFonts w:ascii="Times New Roman" w:hAnsi="Times New Roman" w:cs="Times New Roman"/>
          <w:sz w:val="24"/>
          <w:szCs w:val="24"/>
        </w:rPr>
        <w:t xml:space="preserve">the </w:t>
      </w:r>
      <w:r w:rsidR="00E2283B">
        <w:rPr>
          <w:rFonts w:ascii="Times New Roman" w:hAnsi="Times New Roman" w:cs="Times New Roman"/>
          <w:sz w:val="24"/>
          <w:szCs w:val="24"/>
        </w:rPr>
        <w:t xml:space="preserve">addition of minimum numerator criteria for CCI-1, </w:t>
      </w:r>
      <w:r w:rsidR="00AA7EA9">
        <w:rPr>
          <w:rFonts w:ascii="Times New Roman" w:hAnsi="Times New Roman" w:cs="Times New Roman"/>
          <w:sz w:val="24"/>
          <w:szCs w:val="24"/>
        </w:rPr>
        <w:t xml:space="preserve">the </w:t>
      </w:r>
      <w:r w:rsidR="0011481F">
        <w:rPr>
          <w:rFonts w:ascii="Times New Roman" w:hAnsi="Times New Roman" w:cs="Times New Roman"/>
          <w:sz w:val="24"/>
          <w:szCs w:val="24"/>
        </w:rPr>
        <w:t xml:space="preserve">update to the CCI-3 </w:t>
      </w:r>
      <w:r w:rsidR="00160820">
        <w:rPr>
          <w:rFonts w:ascii="Times New Roman" w:hAnsi="Times New Roman" w:cs="Times New Roman"/>
          <w:sz w:val="24"/>
          <w:szCs w:val="24"/>
        </w:rPr>
        <w:t xml:space="preserve">quality </w:t>
      </w:r>
      <w:r w:rsidR="0011481F">
        <w:rPr>
          <w:rFonts w:ascii="Times New Roman" w:hAnsi="Times New Roman" w:cs="Times New Roman"/>
          <w:sz w:val="24"/>
          <w:szCs w:val="24"/>
        </w:rPr>
        <w:t>measure name</w:t>
      </w:r>
      <w:r w:rsidR="00E2283B">
        <w:rPr>
          <w:rFonts w:ascii="Times New Roman" w:hAnsi="Times New Roman" w:cs="Times New Roman"/>
          <w:sz w:val="24"/>
          <w:szCs w:val="24"/>
        </w:rPr>
        <w:t>,</w:t>
      </w:r>
      <w:r w:rsidR="0011481F">
        <w:rPr>
          <w:rFonts w:ascii="Times New Roman" w:hAnsi="Times New Roman" w:cs="Times New Roman"/>
          <w:sz w:val="24"/>
          <w:szCs w:val="24"/>
        </w:rPr>
        <w:t xml:space="preserve"> and</w:t>
      </w:r>
      <w:r w:rsidR="00AA7EA9">
        <w:rPr>
          <w:rFonts w:ascii="Times New Roman" w:hAnsi="Times New Roman" w:cs="Times New Roman"/>
          <w:sz w:val="24"/>
          <w:szCs w:val="24"/>
        </w:rPr>
        <w:t xml:space="preserve"> the</w:t>
      </w:r>
      <w:r w:rsidR="0011481F">
        <w:rPr>
          <w:rFonts w:ascii="Times New Roman" w:hAnsi="Times New Roman" w:cs="Times New Roman"/>
          <w:sz w:val="24"/>
          <w:szCs w:val="24"/>
        </w:rPr>
        <w:t xml:space="preserve"> modification</w:t>
      </w:r>
      <w:r w:rsidR="00E932AD">
        <w:rPr>
          <w:rFonts w:ascii="Times New Roman" w:hAnsi="Times New Roman" w:cs="Times New Roman"/>
          <w:sz w:val="24"/>
          <w:szCs w:val="24"/>
        </w:rPr>
        <w:t xml:space="preserve"> of the</w:t>
      </w:r>
      <w:r w:rsidR="0011481F">
        <w:rPr>
          <w:rFonts w:ascii="Times New Roman" w:hAnsi="Times New Roman" w:cs="Times New Roman"/>
          <w:sz w:val="24"/>
          <w:szCs w:val="24"/>
        </w:rPr>
        <w:t xml:space="preserve"> Severe Obstetric Complications </w:t>
      </w:r>
      <w:r w:rsidR="009C7D2F">
        <w:rPr>
          <w:rFonts w:ascii="Times New Roman" w:hAnsi="Times New Roman" w:cs="Times New Roman"/>
          <w:sz w:val="24"/>
          <w:szCs w:val="24"/>
        </w:rPr>
        <w:t xml:space="preserve">measure </w:t>
      </w:r>
      <w:r w:rsidR="0011481F">
        <w:rPr>
          <w:rFonts w:ascii="Times New Roman" w:hAnsi="Times New Roman" w:cs="Times New Roman"/>
          <w:sz w:val="24"/>
          <w:szCs w:val="24"/>
        </w:rPr>
        <w:t>to Reporting only status</w:t>
      </w:r>
      <w:r w:rsidR="0011481F" w:rsidRPr="7BB76F8A">
        <w:rPr>
          <w:rFonts w:ascii="Times New Roman" w:hAnsi="Times New Roman" w:cs="Times New Roman"/>
          <w:sz w:val="24"/>
          <w:szCs w:val="24"/>
        </w:rPr>
        <w:t xml:space="preserve"> </w:t>
      </w:r>
      <w:r w:rsidR="0011481F" w:rsidRPr="2E133E4E">
        <w:rPr>
          <w:rFonts w:ascii="Times New Roman" w:hAnsi="Times New Roman" w:cs="Times New Roman"/>
          <w:sz w:val="24"/>
          <w:szCs w:val="24"/>
        </w:rPr>
        <w:t xml:space="preserve">for payment </w:t>
      </w:r>
      <w:r w:rsidR="0011481F">
        <w:rPr>
          <w:rFonts w:ascii="Times New Roman" w:hAnsi="Times New Roman" w:cs="Times New Roman"/>
          <w:sz w:val="24"/>
          <w:szCs w:val="24"/>
        </w:rPr>
        <w:t>incentive</w:t>
      </w:r>
      <w:r w:rsidR="0011481F" w:rsidRPr="2E133E4E">
        <w:rPr>
          <w:rFonts w:ascii="Times New Roman" w:hAnsi="Times New Roman" w:cs="Times New Roman"/>
          <w:sz w:val="24"/>
          <w:szCs w:val="24"/>
        </w:rPr>
        <w:t xml:space="preserve"> for </w:t>
      </w:r>
      <w:r w:rsidR="0011481F">
        <w:rPr>
          <w:rFonts w:ascii="Times New Roman" w:hAnsi="Times New Roman" w:cs="Times New Roman"/>
          <w:sz w:val="24"/>
          <w:szCs w:val="24"/>
        </w:rPr>
        <w:t xml:space="preserve">RY2025 </w:t>
      </w:r>
      <w:r w:rsidR="756E6798" w:rsidRPr="2E133E4E">
        <w:rPr>
          <w:rFonts w:ascii="Times New Roman" w:hAnsi="Times New Roman" w:cs="Times New Roman"/>
          <w:sz w:val="24"/>
          <w:szCs w:val="24"/>
        </w:rPr>
        <w:t>performance period.</w:t>
      </w:r>
      <w:bookmarkEnd w:id="13"/>
    </w:p>
    <w:p w14:paraId="0508C0F0" w14:textId="016D3148" w:rsidR="005E7F95" w:rsidRPr="005837B1" w:rsidRDefault="005E7F95" w:rsidP="005837B1">
      <w:pPr>
        <w:pStyle w:val="ListParagraph"/>
        <w:rPr>
          <w:rFonts w:ascii="Times New Roman" w:hAnsi="Times New Roman" w:cs="Times New Roman"/>
          <w:b/>
          <w:bCs/>
          <w:sz w:val="24"/>
          <w:szCs w:val="24"/>
        </w:rPr>
      </w:pPr>
      <w:r w:rsidRPr="005837B1">
        <w:rPr>
          <w:rFonts w:ascii="Times New Roman" w:hAnsi="Times New Roman" w:cs="Times New Roman"/>
          <w:b/>
          <w:bCs/>
          <w:sz w:val="24"/>
          <w:szCs w:val="24"/>
        </w:rPr>
        <w:lastRenderedPageBreak/>
        <w:t>Table 1-2. CY2025 Performance Period CQI Program Measures</w:t>
      </w:r>
    </w:p>
    <w:tbl>
      <w:tblPr>
        <w:tblStyle w:val="TableGrid31"/>
        <w:tblW w:w="10975" w:type="dxa"/>
        <w:jc w:val="center"/>
        <w:tblLayout w:type="fixed"/>
        <w:tblLook w:val="04A0" w:firstRow="1" w:lastRow="0" w:firstColumn="1" w:lastColumn="0" w:noHBand="0" w:noVBand="1"/>
      </w:tblPr>
      <w:tblGrid>
        <w:gridCol w:w="1980"/>
        <w:gridCol w:w="2430"/>
        <w:gridCol w:w="1885"/>
        <w:gridCol w:w="990"/>
        <w:gridCol w:w="1620"/>
        <w:gridCol w:w="2070"/>
      </w:tblGrid>
      <w:tr w:rsidR="005E7F95" w:rsidRPr="005E7F95" w14:paraId="77F1F9B2" w14:textId="77777777" w:rsidTr="001B2B09">
        <w:trPr>
          <w:trHeight w:val="300"/>
          <w:tblHeader/>
          <w:jc w:val="center"/>
        </w:trPr>
        <w:tc>
          <w:tcPr>
            <w:tcW w:w="1980" w:type="dxa"/>
            <w:shd w:val="clear" w:color="auto" w:fill="B6DDE8" w:themeFill="accent5" w:themeFillTint="66"/>
            <w:vAlign w:val="center"/>
          </w:tcPr>
          <w:p w14:paraId="3BDE6678" w14:textId="77777777" w:rsidR="005E7F95" w:rsidRPr="005E7F95" w:rsidRDefault="005E7F95" w:rsidP="005E7F95">
            <w:pPr>
              <w:rPr>
                <w:b/>
                <w:bCs/>
              </w:rPr>
            </w:pPr>
            <w:r w:rsidRPr="005E7F95">
              <w:rPr>
                <w:b/>
                <w:bCs/>
              </w:rPr>
              <w:t>Quality Domain</w:t>
            </w:r>
          </w:p>
        </w:tc>
        <w:tc>
          <w:tcPr>
            <w:tcW w:w="2430" w:type="dxa"/>
            <w:shd w:val="clear" w:color="auto" w:fill="B6DDE8" w:themeFill="accent5" w:themeFillTint="66"/>
            <w:vAlign w:val="center"/>
          </w:tcPr>
          <w:p w14:paraId="5E0DD4AC" w14:textId="77777777" w:rsidR="005E7F95" w:rsidRPr="005E7F95" w:rsidRDefault="005E7F95" w:rsidP="005E7F95">
            <w:pPr>
              <w:rPr>
                <w:b/>
                <w:bCs/>
              </w:rPr>
            </w:pPr>
            <w:r w:rsidRPr="005E7F95">
              <w:rPr>
                <w:b/>
                <w:bCs/>
              </w:rPr>
              <w:t xml:space="preserve">Quality Measure </w:t>
            </w:r>
          </w:p>
        </w:tc>
        <w:tc>
          <w:tcPr>
            <w:tcW w:w="1885" w:type="dxa"/>
            <w:shd w:val="clear" w:color="auto" w:fill="B6DDE8" w:themeFill="accent5" w:themeFillTint="66"/>
            <w:vAlign w:val="center"/>
          </w:tcPr>
          <w:p w14:paraId="53A4A479" w14:textId="77777777" w:rsidR="005E7F95" w:rsidRPr="005E7F95" w:rsidRDefault="005E7F95" w:rsidP="005E7F95">
            <w:pPr>
              <w:rPr>
                <w:b/>
                <w:bCs/>
              </w:rPr>
            </w:pPr>
            <w:r w:rsidRPr="005E7F95">
              <w:rPr>
                <w:b/>
                <w:bCs/>
              </w:rPr>
              <w:t>Collection Method</w:t>
            </w:r>
          </w:p>
        </w:tc>
        <w:tc>
          <w:tcPr>
            <w:tcW w:w="990" w:type="dxa"/>
            <w:shd w:val="clear" w:color="auto" w:fill="B6DDE8" w:themeFill="accent5" w:themeFillTint="66"/>
            <w:vAlign w:val="center"/>
          </w:tcPr>
          <w:p w14:paraId="6E469590" w14:textId="77777777" w:rsidR="005E7F95" w:rsidRPr="005E7F95" w:rsidRDefault="005E7F95" w:rsidP="005E7F95">
            <w:pPr>
              <w:rPr>
                <w:b/>
                <w:bCs/>
              </w:rPr>
            </w:pPr>
            <w:r w:rsidRPr="005E7F95">
              <w:rPr>
                <w:b/>
                <w:bCs/>
              </w:rPr>
              <w:t>Payment for RY2025</w:t>
            </w:r>
          </w:p>
        </w:tc>
        <w:tc>
          <w:tcPr>
            <w:tcW w:w="1620" w:type="dxa"/>
            <w:shd w:val="clear" w:color="auto" w:fill="B6DDE8" w:themeFill="accent5" w:themeFillTint="66"/>
            <w:vAlign w:val="center"/>
          </w:tcPr>
          <w:p w14:paraId="24E4ACD3" w14:textId="01B25E1D" w:rsidR="005E7F95" w:rsidRPr="005E7F95" w:rsidRDefault="005E7F95" w:rsidP="005E7F95">
            <w:pPr>
              <w:rPr>
                <w:b/>
                <w:bCs/>
              </w:rPr>
            </w:pPr>
            <w:r w:rsidRPr="005E7F95">
              <w:rPr>
                <w:b/>
                <w:bCs/>
              </w:rPr>
              <w:t>Case Minimum for Measure Payment Eligibility</w:t>
            </w:r>
            <w:r w:rsidR="00635BDA">
              <w:rPr>
                <w:b/>
                <w:bCs/>
              </w:rPr>
              <w:t xml:space="preserve"> </w:t>
            </w:r>
            <w:r w:rsidR="00635BDA" w:rsidRPr="005609C1">
              <w:rPr>
                <w:b/>
                <w:bCs/>
                <w:i/>
                <w:iCs/>
                <w:u w:val="single"/>
              </w:rPr>
              <w:t xml:space="preserve">(denominator </w:t>
            </w:r>
            <w:r w:rsidR="00FE6B63" w:rsidRPr="005609C1">
              <w:rPr>
                <w:b/>
                <w:bCs/>
                <w:i/>
                <w:iCs/>
                <w:u w:val="single"/>
              </w:rPr>
              <w:t>unless otherwise specified)</w:t>
            </w:r>
          </w:p>
        </w:tc>
        <w:tc>
          <w:tcPr>
            <w:tcW w:w="2070" w:type="dxa"/>
            <w:shd w:val="clear" w:color="auto" w:fill="B6DDE8" w:themeFill="accent5" w:themeFillTint="66"/>
            <w:vAlign w:val="center"/>
          </w:tcPr>
          <w:p w14:paraId="73C6E9B3" w14:textId="77777777" w:rsidR="005E7F95" w:rsidRPr="005E7F95" w:rsidRDefault="005E7F95" w:rsidP="005E7F95">
            <w:pPr>
              <w:rPr>
                <w:b/>
                <w:bCs/>
              </w:rPr>
            </w:pPr>
            <w:r w:rsidRPr="005E7F95">
              <w:rPr>
                <w:b/>
                <w:bCs/>
              </w:rPr>
              <w:t xml:space="preserve">CQI 2025 </w:t>
            </w:r>
          </w:p>
          <w:p w14:paraId="31006A12" w14:textId="77777777" w:rsidR="005E7F95" w:rsidRPr="005E7F95" w:rsidRDefault="005E7F95" w:rsidP="005E7F95">
            <w:pPr>
              <w:rPr>
                <w:b/>
                <w:bCs/>
              </w:rPr>
            </w:pPr>
            <w:r w:rsidRPr="005E7F95">
              <w:rPr>
                <w:b/>
                <w:bCs/>
              </w:rPr>
              <w:t>Performance Period</w:t>
            </w:r>
          </w:p>
        </w:tc>
      </w:tr>
      <w:tr w:rsidR="005E7F95" w:rsidRPr="005E7F95" w14:paraId="75B75E7B" w14:textId="77777777" w:rsidTr="001B2B09">
        <w:trPr>
          <w:trHeight w:val="300"/>
          <w:jc w:val="center"/>
        </w:trPr>
        <w:tc>
          <w:tcPr>
            <w:tcW w:w="1980" w:type="dxa"/>
          </w:tcPr>
          <w:p w14:paraId="1905149B" w14:textId="77777777" w:rsidR="005E7F95" w:rsidRPr="005E7F95" w:rsidRDefault="005E7F95" w:rsidP="005E7F95">
            <w:r w:rsidRPr="005E7F95">
              <w:t>Care Coordination / Integration </w:t>
            </w:r>
          </w:p>
          <w:p w14:paraId="72F44A5C" w14:textId="77777777" w:rsidR="005E7F95" w:rsidRPr="005E7F95" w:rsidRDefault="005E7F95" w:rsidP="005E7F95"/>
        </w:tc>
        <w:tc>
          <w:tcPr>
            <w:tcW w:w="2430" w:type="dxa"/>
            <w:vAlign w:val="center"/>
          </w:tcPr>
          <w:p w14:paraId="20D59346" w14:textId="77777777" w:rsidR="005E7F95" w:rsidRPr="005E7F95" w:rsidRDefault="005E7F95" w:rsidP="005E7F95">
            <w:r w:rsidRPr="005E7F95">
              <w:t>CHIA Adult Readmission Measure- CCI-1</w:t>
            </w:r>
          </w:p>
          <w:p w14:paraId="3C7FB4FA" w14:textId="77777777" w:rsidR="005E7F95" w:rsidRPr="005E7F95" w:rsidRDefault="005E7F95" w:rsidP="005E7F95"/>
        </w:tc>
        <w:tc>
          <w:tcPr>
            <w:tcW w:w="1885" w:type="dxa"/>
            <w:vAlign w:val="center"/>
          </w:tcPr>
          <w:p w14:paraId="0A4EBEC7" w14:textId="77777777" w:rsidR="005E7F95" w:rsidRPr="005E7F95" w:rsidRDefault="005E7F95" w:rsidP="005E7F95">
            <w:r w:rsidRPr="005E7F95">
              <w:t>The Massachusetts Hospital Inpatient Discharge Database</w:t>
            </w:r>
          </w:p>
        </w:tc>
        <w:tc>
          <w:tcPr>
            <w:tcW w:w="990" w:type="dxa"/>
            <w:vAlign w:val="center"/>
          </w:tcPr>
          <w:p w14:paraId="09F9979C" w14:textId="77777777" w:rsidR="005E7F95" w:rsidRPr="005E7F95" w:rsidRDefault="005E7F95" w:rsidP="005E7F95">
            <w:r w:rsidRPr="005E7F95">
              <w:t>P4P</w:t>
            </w:r>
          </w:p>
        </w:tc>
        <w:tc>
          <w:tcPr>
            <w:tcW w:w="1620" w:type="dxa"/>
            <w:vAlign w:val="center"/>
          </w:tcPr>
          <w:p w14:paraId="676F0231" w14:textId="77777777" w:rsidR="005E7F95" w:rsidRDefault="005E7F95" w:rsidP="005E7F95">
            <w:r w:rsidRPr="005E7F95">
              <w:t>25</w:t>
            </w:r>
          </w:p>
          <w:p w14:paraId="473A01CE" w14:textId="7392C7B7" w:rsidR="000A3852" w:rsidRPr="005609C1" w:rsidRDefault="000A3852" w:rsidP="005E7F95">
            <w:pPr>
              <w:rPr>
                <w:i/>
                <w:iCs/>
                <w:u w:val="single"/>
              </w:rPr>
            </w:pPr>
            <w:r w:rsidRPr="005609C1">
              <w:rPr>
                <w:i/>
                <w:iCs/>
                <w:u w:val="single"/>
              </w:rPr>
              <w:t>11(numerator)</w:t>
            </w:r>
          </w:p>
        </w:tc>
        <w:tc>
          <w:tcPr>
            <w:tcW w:w="2070" w:type="dxa"/>
            <w:vAlign w:val="center"/>
          </w:tcPr>
          <w:p w14:paraId="17641647" w14:textId="77777777" w:rsidR="005E7F95" w:rsidRPr="005E7F95" w:rsidRDefault="005E7F95" w:rsidP="005E7F95">
            <w:r w:rsidRPr="005E7F95">
              <w:t xml:space="preserve"> Jul 1, 2023 – Jun 30, 2024</w:t>
            </w:r>
          </w:p>
        </w:tc>
      </w:tr>
      <w:tr w:rsidR="005E7F95" w:rsidRPr="005E7F95" w14:paraId="0BFF3969" w14:textId="77777777" w:rsidTr="001B2B09">
        <w:trPr>
          <w:trHeight w:val="660"/>
          <w:jc w:val="center"/>
        </w:trPr>
        <w:tc>
          <w:tcPr>
            <w:tcW w:w="1980" w:type="dxa"/>
          </w:tcPr>
          <w:p w14:paraId="16B099D6" w14:textId="77777777" w:rsidR="005E7F95" w:rsidRPr="005E7F95" w:rsidRDefault="005E7F95" w:rsidP="005E7F95">
            <w:r w:rsidRPr="005E7F95">
              <w:t>Care Coordination / Integration </w:t>
            </w:r>
          </w:p>
        </w:tc>
        <w:tc>
          <w:tcPr>
            <w:tcW w:w="2430" w:type="dxa"/>
            <w:vAlign w:val="center"/>
          </w:tcPr>
          <w:p w14:paraId="100A51AE" w14:textId="77777777" w:rsidR="005E7F95" w:rsidRPr="005E7F95" w:rsidRDefault="005E7F95" w:rsidP="005E7F95">
            <w:r w:rsidRPr="005E7F95">
              <w:t>Follow-up After ED Visit for Mental Illness- CCI-2</w:t>
            </w:r>
          </w:p>
        </w:tc>
        <w:tc>
          <w:tcPr>
            <w:tcW w:w="1885" w:type="dxa"/>
            <w:vAlign w:val="center"/>
          </w:tcPr>
          <w:p w14:paraId="76EC36C1" w14:textId="77777777" w:rsidR="005E7F95" w:rsidRPr="005E7F95" w:rsidRDefault="005E7F95" w:rsidP="005E7F95">
            <w:r w:rsidRPr="005E7F95">
              <w:t>Claims-based</w:t>
            </w:r>
          </w:p>
        </w:tc>
        <w:tc>
          <w:tcPr>
            <w:tcW w:w="990" w:type="dxa"/>
            <w:vAlign w:val="center"/>
          </w:tcPr>
          <w:p w14:paraId="5EFD934E" w14:textId="77777777" w:rsidR="005E7F95" w:rsidRPr="005E7F95" w:rsidRDefault="005E7F95" w:rsidP="005E7F95">
            <w:r w:rsidRPr="005E7F95">
              <w:t>P4P</w:t>
            </w:r>
          </w:p>
        </w:tc>
        <w:tc>
          <w:tcPr>
            <w:tcW w:w="1620" w:type="dxa"/>
            <w:vAlign w:val="center"/>
          </w:tcPr>
          <w:p w14:paraId="410907A7" w14:textId="77777777" w:rsidR="005E7F95" w:rsidRPr="005E7F95" w:rsidRDefault="005E7F95" w:rsidP="005E7F95">
            <w:r w:rsidRPr="005E7F95">
              <w:t>30</w:t>
            </w:r>
          </w:p>
        </w:tc>
        <w:tc>
          <w:tcPr>
            <w:tcW w:w="2070" w:type="dxa"/>
            <w:vAlign w:val="center"/>
          </w:tcPr>
          <w:p w14:paraId="1277763A" w14:textId="77777777" w:rsidR="005E7F95" w:rsidRPr="005E7F95" w:rsidRDefault="005E7F95" w:rsidP="005E7F95">
            <w:r w:rsidRPr="005E7F95">
              <w:t>Jan 1 – Dec 31, 2025</w:t>
            </w:r>
          </w:p>
        </w:tc>
      </w:tr>
      <w:tr w:rsidR="005E7F95" w:rsidRPr="005E7F95" w14:paraId="54203B23" w14:textId="77777777" w:rsidTr="001B2B09">
        <w:trPr>
          <w:trHeight w:val="602"/>
          <w:jc w:val="center"/>
        </w:trPr>
        <w:tc>
          <w:tcPr>
            <w:tcW w:w="1980" w:type="dxa"/>
          </w:tcPr>
          <w:p w14:paraId="594A164F" w14:textId="77777777" w:rsidR="005E7F95" w:rsidRPr="005E7F95" w:rsidRDefault="005E7F95" w:rsidP="005E7F95">
            <w:r w:rsidRPr="005E7F95">
              <w:t>Care Coordination / Integration </w:t>
            </w:r>
          </w:p>
          <w:p w14:paraId="0A46B223" w14:textId="77777777" w:rsidR="005E7F95" w:rsidRPr="005E7F95" w:rsidRDefault="005E7F95" w:rsidP="005E7F95"/>
        </w:tc>
        <w:tc>
          <w:tcPr>
            <w:tcW w:w="2430" w:type="dxa"/>
            <w:vAlign w:val="center"/>
          </w:tcPr>
          <w:p w14:paraId="552CAF99" w14:textId="64F83478" w:rsidR="005E7F95" w:rsidRPr="00F42FC1" w:rsidRDefault="005E7F95" w:rsidP="005E7F95">
            <w:pPr>
              <w:rPr>
                <w:i/>
                <w:iCs/>
                <w:u w:val="single"/>
              </w:rPr>
            </w:pPr>
            <w:r w:rsidRPr="00F42FC1">
              <w:rPr>
                <w:i/>
                <w:iCs/>
                <w:u w:val="single"/>
              </w:rPr>
              <w:t xml:space="preserve">Follow-up after ED Visit for </w:t>
            </w:r>
            <w:r w:rsidR="00BE7EBB" w:rsidRPr="00F42FC1">
              <w:rPr>
                <w:i/>
                <w:iCs/>
                <w:u w:val="single"/>
              </w:rPr>
              <w:t>Substance Use</w:t>
            </w:r>
            <w:r w:rsidRPr="00F42FC1">
              <w:rPr>
                <w:i/>
                <w:iCs/>
                <w:u w:val="single"/>
              </w:rPr>
              <w:t>- CCI-3</w:t>
            </w:r>
          </w:p>
        </w:tc>
        <w:tc>
          <w:tcPr>
            <w:tcW w:w="1885" w:type="dxa"/>
            <w:vAlign w:val="center"/>
          </w:tcPr>
          <w:p w14:paraId="2E5953FB" w14:textId="77777777" w:rsidR="005E7F95" w:rsidRPr="005E7F95" w:rsidRDefault="005E7F95" w:rsidP="005E7F95">
            <w:r w:rsidRPr="005E7F95">
              <w:t xml:space="preserve">Claims-based </w:t>
            </w:r>
          </w:p>
        </w:tc>
        <w:tc>
          <w:tcPr>
            <w:tcW w:w="990" w:type="dxa"/>
            <w:vAlign w:val="center"/>
          </w:tcPr>
          <w:p w14:paraId="33F77E08" w14:textId="77777777" w:rsidR="005E7F95" w:rsidRPr="005E7F95" w:rsidRDefault="005E7F95" w:rsidP="005E7F95">
            <w:r w:rsidRPr="005E7F95">
              <w:t>P4P</w:t>
            </w:r>
          </w:p>
        </w:tc>
        <w:tc>
          <w:tcPr>
            <w:tcW w:w="1620" w:type="dxa"/>
            <w:vAlign w:val="center"/>
          </w:tcPr>
          <w:p w14:paraId="38AAB513" w14:textId="77777777" w:rsidR="005E7F95" w:rsidRPr="005E7F95" w:rsidRDefault="005E7F95" w:rsidP="005E7F95">
            <w:r w:rsidRPr="005E7F95">
              <w:t>30</w:t>
            </w:r>
          </w:p>
        </w:tc>
        <w:tc>
          <w:tcPr>
            <w:tcW w:w="2070" w:type="dxa"/>
            <w:vAlign w:val="center"/>
          </w:tcPr>
          <w:p w14:paraId="07F16E46" w14:textId="77777777" w:rsidR="005E7F95" w:rsidRPr="005E7F95" w:rsidRDefault="005E7F95" w:rsidP="005E7F95">
            <w:r w:rsidRPr="005E7F95">
              <w:t>Jan 1 – Dec 31, 2025</w:t>
            </w:r>
          </w:p>
        </w:tc>
      </w:tr>
      <w:tr w:rsidR="005E7F95" w:rsidRPr="005E7F95" w14:paraId="16C353E5" w14:textId="77777777" w:rsidTr="001B2B09">
        <w:trPr>
          <w:trHeight w:val="300"/>
          <w:jc w:val="center"/>
        </w:trPr>
        <w:tc>
          <w:tcPr>
            <w:tcW w:w="1980" w:type="dxa"/>
          </w:tcPr>
          <w:p w14:paraId="73898108" w14:textId="77777777" w:rsidR="005E7F95" w:rsidRPr="005E7F95" w:rsidRDefault="005E7F95" w:rsidP="005E7F95">
            <w:r w:rsidRPr="005E7F95">
              <w:t>Care Coordination / Integration </w:t>
            </w:r>
          </w:p>
          <w:p w14:paraId="7D280F81" w14:textId="77777777" w:rsidR="005E7F95" w:rsidRPr="005E7F95" w:rsidRDefault="005E7F95" w:rsidP="005E7F95"/>
        </w:tc>
        <w:tc>
          <w:tcPr>
            <w:tcW w:w="2430" w:type="dxa"/>
            <w:vAlign w:val="center"/>
          </w:tcPr>
          <w:p w14:paraId="04E7D4F5" w14:textId="77777777" w:rsidR="005E7F95" w:rsidRPr="005E7F95" w:rsidRDefault="005E7F95" w:rsidP="005E7F95">
            <w:r w:rsidRPr="005E7F95">
              <w:t>Follow-Up After Hospitalization for Mental Illness- CCI-4</w:t>
            </w:r>
          </w:p>
        </w:tc>
        <w:tc>
          <w:tcPr>
            <w:tcW w:w="1885" w:type="dxa"/>
            <w:vAlign w:val="center"/>
          </w:tcPr>
          <w:p w14:paraId="4CE16FAE" w14:textId="77777777" w:rsidR="005E7F95" w:rsidRPr="005E7F95" w:rsidRDefault="005E7F95" w:rsidP="005E7F95">
            <w:r w:rsidRPr="005E7F95">
              <w:t xml:space="preserve">Claims-based </w:t>
            </w:r>
          </w:p>
        </w:tc>
        <w:tc>
          <w:tcPr>
            <w:tcW w:w="990" w:type="dxa"/>
            <w:shd w:val="clear" w:color="auto" w:fill="FFFFFF" w:themeFill="background1"/>
            <w:vAlign w:val="center"/>
          </w:tcPr>
          <w:p w14:paraId="7F863448" w14:textId="77777777" w:rsidR="005E7F95" w:rsidRPr="005E7F95" w:rsidRDefault="005E7F95" w:rsidP="005E7F95">
            <w:r w:rsidRPr="005E7F95">
              <w:t>P4P</w:t>
            </w:r>
          </w:p>
        </w:tc>
        <w:tc>
          <w:tcPr>
            <w:tcW w:w="1620" w:type="dxa"/>
            <w:shd w:val="clear" w:color="auto" w:fill="FFFFFF" w:themeFill="background1"/>
            <w:vAlign w:val="center"/>
          </w:tcPr>
          <w:p w14:paraId="5A90B8B3" w14:textId="77777777" w:rsidR="005E7F95" w:rsidRPr="005E7F95" w:rsidRDefault="005E7F95" w:rsidP="005E7F95">
            <w:r w:rsidRPr="005E7F95">
              <w:t>30</w:t>
            </w:r>
          </w:p>
        </w:tc>
        <w:tc>
          <w:tcPr>
            <w:tcW w:w="2070" w:type="dxa"/>
            <w:vAlign w:val="center"/>
          </w:tcPr>
          <w:p w14:paraId="7D0A7F51" w14:textId="77777777" w:rsidR="005E7F95" w:rsidRPr="005E7F95" w:rsidRDefault="005E7F95" w:rsidP="005E7F95">
            <w:r w:rsidRPr="005E7F95">
              <w:t>Jan 1 – Dec 31, 2025</w:t>
            </w:r>
          </w:p>
        </w:tc>
      </w:tr>
      <w:tr w:rsidR="005E7F95" w:rsidRPr="005E7F95" w14:paraId="7D638734" w14:textId="77777777" w:rsidTr="001B2B09">
        <w:trPr>
          <w:trHeight w:val="300"/>
          <w:jc w:val="center"/>
        </w:trPr>
        <w:tc>
          <w:tcPr>
            <w:tcW w:w="1980" w:type="dxa"/>
          </w:tcPr>
          <w:p w14:paraId="5E762945" w14:textId="77777777" w:rsidR="005E7F95" w:rsidRPr="005E7F95" w:rsidRDefault="005E7F95" w:rsidP="005E7F95">
            <w:r w:rsidRPr="005E7F95">
              <w:t>Care Coordination / Integration </w:t>
            </w:r>
          </w:p>
        </w:tc>
        <w:tc>
          <w:tcPr>
            <w:tcW w:w="2430" w:type="dxa"/>
            <w:vAlign w:val="center"/>
          </w:tcPr>
          <w:p w14:paraId="761A14EE" w14:textId="77777777" w:rsidR="005E7F95" w:rsidRPr="005E7F95" w:rsidRDefault="005E7F95" w:rsidP="005E7F95">
            <w:r w:rsidRPr="005E7F95">
              <w:t>Pediatric All-Condition Readmission- PED-1</w:t>
            </w:r>
          </w:p>
        </w:tc>
        <w:tc>
          <w:tcPr>
            <w:tcW w:w="1885" w:type="dxa"/>
            <w:vAlign w:val="center"/>
          </w:tcPr>
          <w:p w14:paraId="61A1D8A2" w14:textId="77777777" w:rsidR="005E7F95" w:rsidRPr="005E7F95" w:rsidRDefault="005E7F95" w:rsidP="005E7F95">
            <w:r w:rsidRPr="005E7F95">
              <w:t>Claims-based</w:t>
            </w:r>
          </w:p>
        </w:tc>
        <w:tc>
          <w:tcPr>
            <w:tcW w:w="990" w:type="dxa"/>
            <w:vAlign w:val="center"/>
          </w:tcPr>
          <w:p w14:paraId="1900A787" w14:textId="77777777" w:rsidR="005E7F95" w:rsidRPr="005E7F95" w:rsidRDefault="005E7F95" w:rsidP="005E7F95">
            <w:r w:rsidRPr="005E7F95">
              <w:t>P4P</w:t>
            </w:r>
          </w:p>
        </w:tc>
        <w:tc>
          <w:tcPr>
            <w:tcW w:w="1620" w:type="dxa"/>
            <w:vAlign w:val="center"/>
          </w:tcPr>
          <w:p w14:paraId="4927B65E" w14:textId="77777777" w:rsidR="005E7F95" w:rsidRPr="005E7F95" w:rsidRDefault="005E7F95" w:rsidP="005E7F95">
            <w:r w:rsidRPr="005E7F95">
              <w:t>25</w:t>
            </w:r>
          </w:p>
        </w:tc>
        <w:tc>
          <w:tcPr>
            <w:tcW w:w="2070" w:type="dxa"/>
            <w:vAlign w:val="center"/>
          </w:tcPr>
          <w:p w14:paraId="138C0333" w14:textId="77777777" w:rsidR="005E7F95" w:rsidRPr="005E7F95" w:rsidRDefault="005E7F95" w:rsidP="005E7F95">
            <w:r w:rsidRPr="005E7F95">
              <w:t>Jan 1 – Dec 31, 2025</w:t>
            </w:r>
          </w:p>
        </w:tc>
      </w:tr>
      <w:tr w:rsidR="005E7F95" w:rsidRPr="005E7F95" w14:paraId="7FA7E012" w14:textId="77777777" w:rsidTr="001B2B09">
        <w:trPr>
          <w:trHeight w:val="300"/>
          <w:jc w:val="center"/>
        </w:trPr>
        <w:tc>
          <w:tcPr>
            <w:tcW w:w="1980" w:type="dxa"/>
          </w:tcPr>
          <w:p w14:paraId="6E46C143" w14:textId="77777777" w:rsidR="005E7F95" w:rsidRPr="005E7F95" w:rsidRDefault="005E7F95" w:rsidP="005E7F95">
            <w:r w:rsidRPr="005E7F95">
              <w:t>Care for Acute and Chronic Conditions</w:t>
            </w:r>
          </w:p>
        </w:tc>
        <w:tc>
          <w:tcPr>
            <w:tcW w:w="2430" w:type="dxa"/>
            <w:vAlign w:val="center"/>
          </w:tcPr>
          <w:p w14:paraId="2B710C6B" w14:textId="77777777" w:rsidR="005E7F95" w:rsidRPr="005E7F95" w:rsidRDefault="005E7F95" w:rsidP="005E7F95">
            <w:r w:rsidRPr="005E7F95">
              <w:t>Alcohol Use Brief Intervention Provided or Offered- SUB-2</w:t>
            </w:r>
          </w:p>
        </w:tc>
        <w:tc>
          <w:tcPr>
            <w:tcW w:w="1885" w:type="dxa"/>
            <w:vAlign w:val="center"/>
          </w:tcPr>
          <w:p w14:paraId="2AF6400F" w14:textId="77777777" w:rsidR="005E7F95" w:rsidRPr="005E7F95" w:rsidRDefault="005E7F95" w:rsidP="005E7F95">
            <w:r w:rsidRPr="005E7F95">
              <w:t xml:space="preserve">Chart-Abstracted </w:t>
            </w:r>
          </w:p>
        </w:tc>
        <w:tc>
          <w:tcPr>
            <w:tcW w:w="990" w:type="dxa"/>
            <w:vAlign w:val="center"/>
          </w:tcPr>
          <w:p w14:paraId="44045B76" w14:textId="77777777" w:rsidR="005E7F95" w:rsidRPr="005E7F95" w:rsidRDefault="005E7F95" w:rsidP="005E7F95">
            <w:r w:rsidRPr="005E7F95">
              <w:t>P4P</w:t>
            </w:r>
          </w:p>
        </w:tc>
        <w:tc>
          <w:tcPr>
            <w:tcW w:w="1620" w:type="dxa"/>
            <w:vAlign w:val="center"/>
          </w:tcPr>
          <w:p w14:paraId="763599CD" w14:textId="77777777" w:rsidR="005E7F95" w:rsidRPr="005E7F95" w:rsidRDefault="005E7F95" w:rsidP="005E7F95">
            <w:r w:rsidRPr="005E7F95">
              <w:t>25</w:t>
            </w:r>
          </w:p>
        </w:tc>
        <w:tc>
          <w:tcPr>
            <w:tcW w:w="2070" w:type="dxa"/>
            <w:vAlign w:val="center"/>
          </w:tcPr>
          <w:p w14:paraId="015A48CF" w14:textId="77777777" w:rsidR="005E7F95" w:rsidRPr="005E7F95" w:rsidRDefault="005E7F95" w:rsidP="005E7F95">
            <w:r w:rsidRPr="005E7F95">
              <w:t>Jan 1 – Dec 31, 2025</w:t>
            </w:r>
          </w:p>
        </w:tc>
      </w:tr>
      <w:tr w:rsidR="005E7F95" w:rsidRPr="005E7F95" w14:paraId="32EA72A1" w14:textId="77777777" w:rsidTr="001B2B09">
        <w:trPr>
          <w:trHeight w:val="300"/>
          <w:jc w:val="center"/>
        </w:trPr>
        <w:tc>
          <w:tcPr>
            <w:tcW w:w="1980" w:type="dxa"/>
          </w:tcPr>
          <w:p w14:paraId="664C1F8E" w14:textId="77777777" w:rsidR="005E7F95" w:rsidRPr="005E7F95" w:rsidRDefault="005E7F95" w:rsidP="005E7F95">
            <w:r w:rsidRPr="005E7F95">
              <w:t>Care for Acute and Chronic Conditions</w:t>
            </w:r>
          </w:p>
          <w:p w14:paraId="11636A1F" w14:textId="77777777" w:rsidR="005E7F95" w:rsidRPr="005E7F95" w:rsidRDefault="005E7F95" w:rsidP="005E7F95"/>
        </w:tc>
        <w:tc>
          <w:tcPr>
            <w:tcW w:w="2430" w:type="dxa"/>
            <w:vAlign w:val="center"/>
          </w:tcPr>
          <w:p w14:paraId="2DEAF171" w14:textId="77777777" w:rsidR="005E7F95" w:rsidRPr="005E7F95" w:rsidRDefault="005E7F95" w:rsidP="005E7F95">
            <w:r w:rsidRPr="005E7F95">
              <w:t>Alcohol &amp; Other Drug Use Disorder Treatment Provided/ Offered at Discharge- SUB-3</w:t>
            </w:r>
          </w:p>
        </w:tc>
        <w:tc>
          <w:tcPr>
            <w:tcW w:w="1885" w:type="dxa"/>
            <w:vAlign w:val="center"/>
          </w:tcPr>
          <w:p w14:paraId="293D4F26" w14:textId="77777777" w:rsidR="005E7F95" w:rsidRPr="005E7F95" w:rsidRDefault="005E7F95" w:rsidP="005E7F95">
            <w:r w:rsidRPr="005E7F95">
              <w:t xml:space="preserve">Chart-Abstracted </w:t>
            </w:r>
          </w:p>
        </w:tc>
        <w:tc>
          <w:tcPr>
            <w:tcW w:w="990" w:type="dxa"/>
            <w:vAlign w:val="center"/>
          </w:tcPr>
          <w:p w14:paraId="30122924" w14:textId="77777777" w:rsidR="005E7F95" w:rsidRPr="005E7F95" w:rsidRDefault="005E7F95" w:rsidP="005E7F95">
            <w:r w:rsidRPr="005E7F95">
              <w:t>P4P</w:t>
            </w:r>
          </w:p>
        </w:tc>
        <w:tc>
          <w:tcPr>
            <w:tcW w:w="1620" w:type="dxa"/>
            <w:vAlign w:val="center"/>
          </w:tcPr>
          <w:p w14:paraId="43C116BB" w14:textId="77777777" w:rsidR="005E7F95" w:rsidRPr="005E7F95" w:rsidRDefault="005E7F95" w:rsidP="005E7F95">
            <w:r w:rsidRPr="005E7F95">
              <w:t>25</w:t>
            </w:r>
          </w:p>
        </w:tc>
        <w:tc>
          <w:tcPr>
            <w:tcW w:w="2070" w:type="dxa"/>
            <w:vAlign w:val="center"/>
          </w:tcPr>
          <w:p w14:paraId="6191D6CD" w14:textId="77777777" w:rsidR="005E7F95" w:rsidRPr="005E7F95" w:rsidRDefault="005E7F95" w:rsidP="005E7F95">
            <w:r w:rsidRPr="005E7F95">
              <w:t>Jan 1 – Dec 31, 2025</w:t>
            </w:r>
          </w:p>
        </w:tc>
      </w:tr>
      <w:tr w:rsidR="005E7F95" w:rsidRPr="005E7F95" w14:paraId="17FCD2C1" w14:textId="77777777" w:rsidTr="001B2B09">
        <w:trPr>
          <w:trHeight w:val="300"/>
          <w:jc w:val="center"/>
        </w:trPr>
        <w:tc>
          <w:tcPr>
            <w:tcW w:w="1980" w:type="dxa"/>
          </w:tcPr>
          <w:p w14:paraId="673C6380" w14:textId="77777777" w:rsidR="005E7F95" w:rsidRPr="005E7F95" w:rsidRDefault="005E7F95" w:rsidP="005E7F95">
            <w:r w:rsidRPr="005E7F95">
              <w:t>Care for Acute and Chronic Conditions</w:t>
            </w:r>
          </w:p>
        </w:tc>
        <w:tc>
          <w:tcPr>
            <w:tcW w:w="2430" w:type="dxa"/>
            <w:vAlign w:val="center"/>
          </w:tcPr>
          <w:p w14:paraId="12C21D9D" w14:textId="77777777" w:rsidR="005E7F95" w:rsidRPr="005E7F95" w:rsidRDefault="005E7F95" w:rsidP="005E7F95">
            <w:r w:rsidRPr="005E7F95">
              <w:t>Safe Use of Opioids- Concurrent Prescribing- OP-1e</w:t>
            </w:r>
          </w:p>
        </w:tc>
        <w:tc>
          <w:tcPr>
            <w:tcW w:w="1885" w:type="dxa"/>
            <w:vAlign w:val="center"/>
          </w:tcPr>
          <w:p w14:paraId="3BF6CA08" w14:textId="77777777" w:rsidR="005E7F95" w:rsidRPr="005E7F95" w:rsidRDefault="005E7F95" w:rsidP="005E7F95">
            <w:r w:rsidRPr="005E7F95">
              <w:t>Data Entry</w:t>
            </w:r>
          </w:p>
        </w:tc>
        <w:tc>
          <w:tcPr>
            <w:tcW w:w="990" w:type="dxa"/>
            <w:vAlign w:val="center"/>
          </w:tcPr>
          <w:p w14:paraId="05B15F04" w14:textId="77777777" w:rsidR="005E7F95" w:rsidRPr="005E7F95" w:rsidRDefault="005E7F95" w:rsidP="005E7F95">
            <w:r w:rsidRPr="005E7F95">
              <w:t>P4P</w:t>
            </w:r>
          </w:p>
        </w:tc>
        <w:tc>
          <w:tcPr>
            <w:tcW w:w="1620" w:type="dxa"/>
            <w:vAlign w:val="center"/>
          </w:tcPr>
          <w:p w14:paraId="0096C239" w14:textId="77777777" w:rsidR="005E7F95" w:rsidRPr="005E7F95" w:rsidRDefault="005E7F95" w:rsidP="005E7F95">
            <w:r w:rsidRPr="005E7F95">
              <w:t>25</w:t>
            </w:r>
          </w:p>
        </w:tc>
        <w:tc>
          <w:tcPr>
            <w:tcW w:w="2070" w:type="dxa"/>
            <w:vAlign w:val="center"/>
          </w:tcPr>
          <w:p w14:paraId="32A5A6CD" w14:textId="77777777" w:rsidR="005E7F95" w:rsidRPr="005E7F95" w:rsidRDefault="005E7F95" w:rsidP="005E7F95">
            <w:r w:rsidRPr="005E7F95">
              <w:t>Jan 1 – Dec 31, 2025</w:t>
            </w:r>
          </w:p>
        </w:tc>
      </w:tr>
      <w:tr w:rsidR="005E7F95" w:rsidRPr="005E7F95" w14:paraId="712BEB92" w14:textId="77777777" w:rsidTr="001B2B09">
        <w:trPr>
          <w:trHeight w:val="300"/>
          <w:jc w:val="center"/>
        </w:trPr>
        <w:tc>
          <w:tcPr>
            <w:tcW w:w="1980" w:type="dxa"/>
          </w:tcPr>
          <w:p w14:paraId="592DF1A5" w14:textId="77777777" w:rsidR="005E7F95" w:rsidRPr="005E7F95" w:rsidRDefault="005E7F95" w:rsidP="005E7F95">
            <w:r w:rsidRPr="005E7F95">
              <w:t>Care for Acute and Chronic Conditions</w:t>
            </w:r>
          </w:p>
          <w:p w14:paraId="529C19A0" w14:textId="77777777" w:rsidR="005E7F95" w:rsidRPr="005E7F95" w:rsidRDefault="005E7F95" w:rsidP="005E7F95"/>
        </w:tc>
        <w:tc>
          <w:tcPr>
            <w:tcW w:w="2430" w:type="dxa"/>
            <w:vAlign w:val="center"/>
          </w:tcPr>
          <w:p w14:paraId="498FE6A4" w14:textId="77777777" w:rsidR="005E7F95" w:rsidRPr="005E7F95" w:rsidRDefault="005E7F95" w:rsidP="005E7F95">
            <w:r w:rsidRPr="005E7F95">
              <w:t>Avoidance of Antibiotic Treatment for Acute Bronchitis/Bronchiolitis- PED-2</w:t>
            </w:r>
          </w:p>
        </w:tc>
        <w:tc>
          <w:tcPr>
            <w:tcW w:w="1885" w:type="dxa"/>
            <w:vAlign w:val="center"/>
          </w:tcPr>
          <w:p w14:paraId="3090016A" w14:textId="77777777" w:rsidR="005E7F95" w:rsidRPr="005E7F95" w:rsidRDefault="005E7F95" w:rsidP="005E7F95">
            <w:r w:rsidRPr="005E7F95">
              <w:t xml:space="preserve">Claims-based </w:t>
            </w:r>
          </w:p>
        </w:tc>
        <w:tc>
          <w:tcPr>
            <w:tcW w:w="990" w:type="dxa"/>
            <w:vAlign w:val="center"/>
          </w:tcPr>
          <w:p w14:paraId="1F92FF33" w14:textId="77777777" w:rsidR="005E7F95" w:rsidRPr="005E7F95" w:rsidRDefault="005E7F95" w:rsidP="005E7F95">
            <w:r w:rsidRPr="005E7F95">
              <w:t>P4P</w:t>
            </w:r>
          </w:p>
        </w:tc>
        <w:tc>
          <w:tcPr>
            <w:tcW w:w="1620" w:type="dxa"/>
            <w:vAlign w:val="center"/>
          </w:tcPr>
          <w:p w14:paraId="65550A23" w14:textId="77777777" w:rsidR="005E7F95" w:rsidRPr="005E7F95" w:rsidRDefault="005E7F95" w:rsidP="005E7F95">
            <w:r w:rsidRPr="005E7F95">
              <w:t>30</w:t>
            </w:r>
          </w:p>
        </w:tc>
        <w:tc>
          <w:tcPr>
            <w:tcW w:w="2070" w:type="dxa"/>
            <w:vAlign w:val="center"/>
          </w:tcPr>
          <w:p w14:paraId="0A72CCEA" w14:textId="77777777" w:rsidR="005E7F95" w:rsidRPr="005E7F95" w:rsidRDefault="005E7F95" w:rsidP="005E7F95">
            <w:r w:rsidRPr="005E7F95">
              <w:t>Jul 1, 2024 – June 30, 2025</w:t>
            </w:r>
          </w:p>
        </w:tc>
      </w:tr>
      <w:tr w:rsidR="005E7F95" w:rsidRPr="005E7F95" w14:paraId="6D5A216D" w14:textId="77777777" w:rsidTr="001B2B09">
        <w:trPr>
          <w:trHeight w:val="300"/>
          <w:jc w:val="center"/>
        </w:trPr>
        <w:tc>
          <w:tcPr>
            <w:tcW w:w="1980" w:type="dxa"/>
          </w:tcPr>
          <w:p w14:paraId="3CF93394" w14:textId="77777777" w:rsidR="005E7F95" w:rsidRPr="005E7F95" w:rsidRDefault="005E7F95" w:rsidP="005E7F95">
            <w:r w:rsidRPr="005E7F95">
              <w:t>Patient Safety  </w:t>
            </w:r>
          </w:p>
        </w:tc>
        <w:tc>
          <w:tcPr>
            <w:tcW w:w="2430" w:type="dxa"/>
            <w:vAlign w:val="center"/>
          </w:tcPr>
          <w:p w14:paraId="3F3C9234" w14:textId="77777777" w:rsidR="005E7F95" w:rsidRPr="005E7F95" w:rsidRDefault="005E7F95" w:rsidP="005E7F95">
            <w:r w:rsidRPr="005E7F95">
              <w:t xml:space="preserve">Healthcare-Associated Infections </w:t>
            </w:r>
          </w:p>
          <w:p w14:paraId="11C19BC7" w14:textId="77777777" w:rsidR="005E7F95" w:rsidRPr="005E7F95" w:rsidRDefault="005E7F95" w:rsidP="005E7F95">
            <w:r w:rsidRPr="005E7F95">
              <w:t>(CLABSI, CAUTI, MRSA, CDI, SSI)</w:t>
            </w:r>
          </w:p>
        </w:tc>
        <w:tc>
          <w:tcPr>
            <w:tcW w:w="1885" w:type="dxa"/>
            <w:vAlign w:val="center"/>
          </w:tcPr>
          <w:p w14:paraId="4B81CE53" w14:textId="77777777" w:rsidR="005E7F95" w:rsidRPr="005E7F95" w:rsidRDefault="005E7F95" w:rsidP="005E7F95">
            <w:r w:rsidRPr="005E7F95">
              <w:t>National Registry-Based</w:t>
            </w:r>
          </w:p>
        </w:tc>
        <w:tc>
          <w:tcPr>
            <w:tcW w:w="990" w:type="dxa"/>
            <w:vAlign w:val="center"/>
          </w:tcPr>
          <w:p w14:paraId="4DD5265C" w14:textId="77777777" w:rsidR="005E7F95" w:rsidRPr="005E7F95" w:rsidRDefault="005E7F95" w:rsidP="005E7F95">
            <w:r w:rsidRPr="005E7F95">
              <w:t>P4P</w:t>
            </w:r>
          </w:p>
        </w:tc>
        <w:tc>
          <w:tcPr>
            <w:tcW w:w="1620" w:type="dxa"/>
            <w:vAlign w:val="center"/>
          </w:tcPr>
          <w:p w14:paraId="052D79F5" w14:textId="77777777" w:rsidR="005E7F95" w:rsidRPr="005E7F95" w:rsidRDefault="005E7F95" w:rsidP="005E7F95">
            <w:r w:rsidRPr="005E7F95">
              <w:t xml:space="preserve">Predicted number of infections </w:t>
            </w:r>
            <w:r w:rsidRPr="005E7F95">
              <w:rPr>
                <w:b/>
                <w:bCs/>
              </w:rPr>
              <w:t>≥</w:t>
            </w:r>
            <w:r w:rsidRPr="005E7F95">
              <w:t>1.0</w:t>
            </w:r>
          </w:p>
        </w:tc>
        <w:tc>
          <w:tcPr>
            <w:tcW w:w="2070" w:type="dxa"/>
            <w:vAlign w:val="center"/>
          </w:tcPr>
          <w:p w14:paraId="3CAC5A03" w14:textId="77777777" w:rsidR="005E7F95" w:rsidRPr="005E7F95" w:rsidRDefault="005E7F95" w:rsidP="005E7F95">
            <w:r w:rsidRPr="005E7F95">
              <w:t xml:space="preserve">Jan 1 – Dec 31, 2024 </w:t>
            </w:r>
          </w:p>
          <w:p w14:paraId="3B05ECCC" w14:textId="77777777" w:rsidR="005E7F95" w:rsidRPr="005E7F95" w:rsidRDefault="005E7F95" w:rsidP="005E7F95"/>
        </w:tc>
      </w:tr>
      <w:tr w:rsidR="005E7F95" w:rsidRPr="005E7F95" w14:paraId="4F3BEFEF" w14:textId="77777777" w:rsidTr="001B2B09">
        <w:trPr>
          <w:trHeight w:val="530"/>
          <w:jc w:val="center"/>
        </w:trPr>
        <w:tc>
          <w:tcPr>
            <w:tcW w:w="1980" w:type="dxa"/>
          </w:tcPr>
          <w:p w14:paraId="35C15234" w14:textId="77777777" w:rsidR="005E7F95" w:rsidRPr="005E7F95" w:rsidRDefault="005E7F95" w:rsidP="005E7F95">
            <w:r w:rsidRPr="005E7F95">
              <w:t>Patient Experience  </w:t>
            </w:r>
          </w:p>
        </w:tc>
        <w:tc>
          <w:tcPr>
            <w:tcW w:w="2430" w:type="dxa"/>
            <w:vAlign w:val="center"/>
          </w:tcPr>
          <w:p w14:paraId="547B5541" w14:textId="77777777" w:rsidR="005E7F95" w:rsidRPr="005E7F95" w:rsidRDefault="005E7F95" w:rsidP="005E7F95">
            <w:r w:rsidRPr="005E7F95">
              <w:t>Patient Experience and Engagement- HCAHPS</w:t>
            </w:r>
          </w:p>
        </w:tc>
        <w:tc>
          <w:tcPr>
            <w:tcW w:w="1885" w:type="dxa"/>
            <w:vAlign w:val="center"/>
          </w:tcPr>
          <w:p w14:paraId="1A827994" w14:textId="77777777" w:rsidR="005E7F95" w:rsidRPr="005E7F95" w:rsidRDefault="005E7F95" w:rsidP="005E7F95">
            <w:r w:rsidRPr="005E7F95">
              <w:t>National Survey-Based</w:t>
            </w:r>
          </w:p>
        </w:tc>
        <w:tc>
          <w:tcPr>
            <w:tcW w:w="990" w:type="dxa"/>
            <w:vAlign w:val="center"/>
          </w:tcPr>
          <w:p w14:paraId="1A7EE9E0" w14:textId="23B17A35" w:rsidR="005E7F95" w:rsidRPr="005E7F95" w:rsidRDefault="005E7F95" w:rsidP="005E7F95">
            <w:r w:rsidRPr="005E7F95">
              <w:t>P4P</w:t>
            </w:r>
          </w:p>
        </w:tc>
        <w:tc>
          <w:tcPr>
            <w:tcW w:w="1620" w:type="dxa"/>
            <w:vAlign w:val="center"/>
          </w:tcPr>
          <w:p w14:paraId="11DEF851" w14:textId="77777777" w:rsidR="005E7F95" w:rsidRPr="005E7F95" w:rsidRDefault="005E7F95" w:rsidP="005E7F95">
            <w:r w:rsidRPr="005E7F95">
              <w:t>100 Surveys</w:t>
            </w:r>
          </w:p>
        </w:tc>
        <w:tc>
          <w:tcPr>
            <w:tcW w:w="2070" w:type="dxa"/>
            <w:vAlign w:val="center"/>
          </w:tcPr>
          <w:p w14:paraId="31E8E8E9" w14:textId="77777777" w:rsidR="005E7F95" w:rsidRPr="005E7F95" w:rsidRDefault="005E7F95" w:rsidP="005E7F95">
            <w:r w:rsidRPr="005E7F95">
              <w:t>Jan 1- Dec 31, 2024</w:t>
            </w:r>
          </w:p>
        </w:tc>
      </w:tr>
      <w:tr w:rsidR="005E7F95" w:rsidRPr="005E7F95" w14:paraId="101E6503" w14:textId="77777777" w:rsidTr="001B2B09">
        <w:trPr>
          <w:trHeight w:val="300"/>
          <w:jc w:val="center"/>
        </w:trPr>
        <w:tc>
          <w:tcPr>
            <w:tcW w:w="1980" w:type="dxa"/>
          </w:tcPr>
          <w:p w14:paraId="497093FE" w14:textId="77777777" w:rsidR="005E7F95" w:rsidRPr="005E7F95" w:rsidRDefault="005E7F95" w:rsidP="005E7F95">
            <w:r w:rsidRPr="005E7F95">
              <w:t>Perinatal Care</w:t>
            </w:r>
          </w:p>
          <w:p w14:paraId="7EEA4DE3" w14:textId="77777777" w:rsidR="005E7F95" w:rsidRPr="005E7F95" w:rsidRDefault="005E7F95" w:rsidP="005E7F95"/>
        </w:tc>
        <w:tc>
          <w:tcPr>
            <w:tcW w:w="2430" w:type="dxa"/>
            <w:vAlign w:val="center"/>
          </w:tcPr>
          <w:p w14:paraId="7DBAFCC4" w14:textId="77777777" w:rsidR="005E7F95" w:rsidRPr="005E7F95" w:rsidRDefault="005E7F95" w:rsidP="005E7F95">
            <w:r w:rsidRPr="005E7F95">
              <w:t>Cesarean Birth- MAT-4</w:t>
            </w:r>
          </w:p>
        </w:tc>
        <w:tc>
          <w:tcPr>
            <w:tcW w:w="1885" w:type="dxa"/>
            <w:vAlign w:val="center"/>
          </w:tcPr>
          <w:p w14:paraId="097FDC6C" w14:textId="77777777" w:rsidR="005E7F95" w:rsidRPr="005E7F95" w:rsidRDefault="005E7F95" w:rsidP="005E7F95">
            <w:r w:rsidRPr="005E7F95">
              <w:t>Chart-Abstracted</w:t>
            </w:r>
          </w:p>
        </w:tc>
        <w:tc>
          <w:tcPr>
            <w:tcW w:w="990" w:type="dxa"/>
            <w:vAlign w:val="center"/>
          </w:tcPr>
          <w:p w14:paraId="0937E066" w14:textId="77777777" w:rsidR="005E7F95" w:rsidRPr="005E7F95" w:rsidRDefault="005E7F95" w:rsidP="005E7F95">
            <w:r w:rsidRPr="005E7F95">
              <w:t>P4P</w:t>
            </w:r>
          </w:p>
        </w:tc>
        <w:tc>
          <w:tcPr>
            <w:tcW w:w="1620" w:type="dxa"/>
            <w:vAlign w:val="center"/>
          </w:tcPr>
          <w:p w14:paraId="3FA84F45" w14:textId="77777777" w:rsidR="005E7F95" w:rsidRPr="005E7F95" w:rsidRDefault="005E7F95" w:rsidP="005E7F95">
            <w:r w:rsidRPr="005E7F95">
              <w:t>25</w:t>
            </w:r>
          </w:p>
        </w:tc>
        <w:tc>
          <w:tcPr>
            <w:tcW w:w="2070" w:type="dxa"/>
            <w:vAlign w:val="center"/>
          </w:tcPr>
          <w:p w14:paraId="36F5D5F8" w14:textId="77777777" w:rsidR="005E7F95" w:rsidRPr="005E7F95" w:rsidRDefault="005E7F95" w:rsidP="005E7F95">
            <w:r w:rsidRPr="005E7F95">
              <w:t>Jan 1 – Dec 31, 2025</w:t>
            </w:r>
          </w:p>
        </w:tc>
      </w:tr>
      <w:tr w:rsidR="005E7F95" w:rsidRPr="005E7F95" w14:paraId="67925257" w14:textId="77777777" w:rsidTr="001B2B09">
        <w:trPr>
          <w:trHeight w:val="764"/>
          <w:jc w:val="center"/>
        </w:trPr>
        <w:tc>
          <w:tcPr>
            <w:tcW w:w="1980" w:type="dxa"/>
          </w:tcPr>
          <w:p w14:paraId="7915D65D" w14:textId="77777777" w:rsidR="005E7F95" w:rsidRPr="005E7F95" w:rsidRDefault="005E7F95" w:rsidP="005E7F95">
            <w:r w:rsidRPr="005E7F95">
              <w:t>Perinatal Care</w:t>
            </w:r>
          </w:p>
          <w:p w14:paraId="55CDA96A" w14:textId="77777777" w:rsidR="005E7F95" w:rsidRPr="005E7F95" w:rsidRDefault="005E7F95" w:rsidP="005E7F95"/>
        </w:tc>
        <w:tc>
          <w:tcPr>
            <w:tcW w:w="2430" w:type="dxa"/>
            <w:vAlign w:val="center"/>
          </w:tcPr>
          <w:p w14:paraId="4DE93C9F" w14:textId="77777777" w:rsidR="005E7F95" w:rsidRPr="005E7F95" w:rsidRDefault="005E7F95" w:rsidP="005E7F95">
            <w:r w:rsidRPr="005E7F95">
              <w:t xml:space="preserve">Unexpected Newborn Complications in Term Infants- NEWB-3 </w:t>
            </w:r>
          </w:p>
        </w:tc>
        <w:tc>
          <w:tcPr>
            <w:tcW w:w="1885" w:type="dxa"/>
            <w:vAlign w:val="center"/>
          </w:tcPr>
          <w:p w14:paraId="07C775EF" w14:textId="77777777" w:rsidR="005E7F95" w:rsidRPr="005E7F95" w:rsidRDefault="005E7F95" w:rsidP="005E7F95">
            <w:r w:rsidRPr="005E7F95">
              <w:t xml:space="preserve">Chart-Abstracted </w:t>
            </w:r>
          </w:p>
        </w:tc>
        <w:tc>
          <w:tcPr>
            <w:tcW w:w="990" w:type="dxa"/>
            <w:vAlign w:val="center"/>
          </w:tcPr>
          <w:p w14:paraId="0A0400F5" w14:textId="77777777" w:rsidR="005E7F95" w:rsidRPr="005E7F95" w:rsidRDefault="005E7F95" w:rsidP="005E7F95">
            <w:r w:rsidRPr="005E7F95">
              <w:t>P4P</w:t>
            </w:r>
          </w:p>
        </w:tc>
        <w:tc>
          <w:tcPr>
            <w:tcW w:w="1620" w:type="dxa"/>
            <w:vAlign w:val="center"/>
          </w:tcPr>
          <w:p w14:paraId="56A57425" w14:textId="77777777" w:rsidR="005E7F95" w:rsidRPr="005E7F95" w:rsidRDefault="005E7F95" w:rsidP="005E7F95">
            <w:r w:rsidRPr="005E7F95">
              <w:t>25</w:t>
            </w:r>
          </w:p>
        </w:tc>
        <w:tc>
          <w:tcPr>
            <w:tcW w:w="2070" w:type="dxa"/>
            <w:vAlign w:val="center"/>
          </w:tcPr>
          <w:p w14:paraId="246591AD" w14:textId="77777777" w:rsidR="005E7F95" w:rsidRPr="005E7F95" w:rsidRDefault="005E7F95" w:rsidP="005E7F95">
            <w:r w:rsidRPr="005E7F95">
              <w:t>Jan 1 – Dec 31, 2025</w:t>
            </w:r>
          </w:p>
        </w:tc>
      </w:tr>
      <w:tr w:rsidR="005E7F95" w:rsidRPr="005E7F95" w14:paraId="51769214" w14:textId="77777777" w:rsidTr="001B2B09">
        <w:trPr>
          <w:trHeight w:val="521"/>
          <w:jc w:val="center"/>
        </w:trPr>
        <w:tc>
          <w:tcPr>
            <w:tcW w:w="1980" w:type="dxa"/>
          </w:tcPr>
          <w:p w14:paraId="736DD228" w14:textId="77777777" w:rsidR="005E7F95" w:rsidRPr="005E7F95" w:rsidRDefault="005E7F95" w:rsidP="005E7F95">
            <w:r w:rsidRPr="005E7F95">
              <w:t>Perinatal Care</w:t>
            </w:r>
          </w:p>
          <w:p w14:paraId="572440B7" w14:textId="77777777" w:rsidR="005E7F95" w:rsidRPr="005E7F95" w:rsidRDefault="005E7F95" w:rsidP="005E7F95"/>
        </w:tc>
        <w:tc>
          <w:tcPr>
            <w:tcW w:w="2430" w:type="dxa"/>
            <w:vAlign w:val="center"/>
          </w:tcPr>
          <w:p w14:paraId="24D393CF" w14:textId="77777777" w:rsidR="005E7F95" w:rsidRPr="005E7F95" w:rsidRDefault="005E7F95" w:rsidP="005E7F95">
            <w:r w:rsidRPr="005E7F95">
              <w:t>Severe Obstetric Complications- SOC</w:t>
            </w:r>
          </w:p>
        </w:tc>
        <w:tc>
          <w:tcPr>
            <w:tcW w:w="1885" w:type="dxa"/>
            <w:vAlign w:val="center"/>
          </w:tcPr>
          <w:p w14:paraId="63DA322E" w14:textId="77777777" w:rsidR="005E7F95" w:rsidRPr="005E7F95" w:rsidRDefault="005E7F95" w:rsidP="005E7F95">
            <w:r w:rsidRPr="005E7F95">
              <w:t>Data Entry</w:t>
            </w:r>
          </w:p>
        </w:tc>
        <w:tc>
          <w:tcPr>
            <w:tcW w:w="990" w:type="dxa"/>
            <w:vAlign w:val="center"/>
          </w:tcPr>
          <w:p w14:paraId="44C40193" w14:textId="4E6198EA" w:rsidR="005E7F95" w:rsidRPr="005E7F95" w:rsidRDefault="004D07C3" w:rsidP="005E7F95">
            <w:r w:rsidRPr="00F42FC1">
              <w:rPr>
                <w:i/>
                <w:iCs/>
                <w:u w:val="single"/>
              </w:rPr>
              <w:t>R</w:t>
            </w:r>
          </w:p>
        </w:tc>
        <w:tc>
          <w:tcPr>
            <w:tcW w:w="1620" w:type="dxa"/>
            <w:vAlign w:val="center"/>
          </w:tcPr>
          <w:p w14:paraId="2E7D4FB3" w14:textId="77777777" w:rsidR="005E7F95" w:rsidRPr="005E7F95" w:rsidRDefault="005E7F95" w:rsidP="005E7F95">
            <w:r w:rsidRPr="005E7F95">
              <w:t>N/A</w:t>
            </w:r>
          </w:p>
        </w:tc>
        <w:tc>
          <w:tcPr>
            <w:tcW w:w="2070" w:type="dxa"/>
            <w:vAlign w:val="center"/>
          </w:tcPr>
          <w:p w14:paraId="18676411" w14:textId="77777777" w:rsidR="005E7F95" w:rsidRPr="005E7F95" w:rsidRDefault="005E7F95" w:rsidP="005E7F95">
            <w:r w:rsidRPr="005E7F95">
              <w:t>Jan 1 – Dec 31, 2025</w:t>
            </w:r>
          </w:p>
        </w:tc>
      </w:tr>
      <w:tr w:rsidR="005E7F95" w:rsidRPr="005E7F95" w14:paraId="44A2AEB3" w14:textId="77777777" w:rsidTr="001B2B09">
        <w:trPr>
          <w:trHeight w:val="989"/>
          <w:jc w:val="center"/>
        </w:trPr>
        <w:tc>
          <w:tcPr>
            <w:tcW w:w="1980" w:type="dxa"/>
          </w:tcPr>
          <w:p w14:paraId="4CCEE20E" w14:textId="77777777" w:rsidR="005E7F95" w:rsidRPr="005E7F95" w:rsidRDefault="005E7F95" w:rsidP="005E7F95">
            <w:r w:rsidRPr="005E7F95">
              <w:t>Behavioral Health Care</w:t>
            </w:r>
          </w:p>
          <w:p w14:paraId="37C3164B" w14:textId="77777777" w:rsidR="005E7F95" w:rsidRPr="005E7F95" w:rsidRDefault="005E7F95" w:rsidP="005E7F95"/>
        </w:tc>
        <w:tc>
          <w:tcPr>
            <w:tcW w:w="2430" w:type="dxa"/>
            <w:vAlign w:val="center"/>
          </w:tcPr>
          <w:p w14:paraId="523B019A" w14:textId="77777777" w:rsidR="005E7F95" w:rsidRPr="005E7F95" w:rsidRDefault="005E7F95" w:rsidP="005E7F95">
            <w:r w:rsidRPr="005E7F95">
              <w:t>Medication Continuation Following Inpatient Psychiatric Discharge- BHC-2</w:t>
            </w:r>
          </w:p>
        </w:tc>
        <w:tc>
          <w:tcPr>
            <w:tcW w:w="1885" w:type="dxa"/>
            <w:vAlign w:val="center"/>
          </w:tcPr>
          <w:p w14:paraId="3CB9604A" w14:textId="77777777" w:rsidR="005E7F95" w:rsidRPr="005E7F95" w:rsidRDefault="005E7F95" w:rsidP="005E7F95">
            <w:r w:rsidRPr="005E7F95">
              <w:t xml:space="preserve">Claims-based </w:t>
            </w:r>
          </w:p>
        </w:tc>
        <w:tc>
          <w:tcPr>
            <w:tcW w:w="990" w:type="dxa"/>
            <w:shd w:val="clear" w:color="auto" w:fill="FFFFFF" w:themeFill="background1"/>
            <w:vAlign w:val="center"/>
          </w:tcPr>
          <w:p w14:paraId="2EAFCD94" w14:textId="77777777" w:rsidR="005E7F95" w:rsidRPr="005E7F95" w:rsidRDefault="005E7F95" w:rsidP="005E7F95">
            <w:r w:rsidRPr="005E7F95">
              <w:t>P4P</w:t>
            </w:r>
          </w:p>
        </w:tc>
        <w:tc>
          <w:tcPr>
            <w:tcW w:w="1620" w:type="dxa"/>
            <w:shd w:val="clear" w:color="auto" w:fill="FFFFFF" w:themeFill="background1"/>
            <w:vAlign w:val="center"/>
          </w:tcPr>
          <w:p w14:paraId="296E6050" w14:textId="77777777" w:rsidR="005E7F95" w:rsidRPr="005E7F95" w:rsidRDefault="005E7F95" w:rsidP="005E7F95">
            <w:r w:rsidRPr="005E7F95">
              <w:t>25</w:t>
            </w:r>
          </w:p>
        </w:tc>
        <w:tc>
          <w:tcPr>
            <w:tcW w:w="2070" w:type="dxa"/>
            <w:vAlign w:val="center"/>
          </w:tcPr>
          <w:p w14:paraId="0A71A3B9" w14:textId="77777777" w:rsidR="005E7F95" w:rsidRPr="005E7F95" w:rsidRDefault="005E7F95" w:rsidP="005E7F95">
            <w:r w:rsidRPr="005E7F95">
              <w:t>Jan 1, 2024 – Dec 31, 2025</w:t>
            </w:r>
          </w:p>
        </w:tc>
      </w:tr>
      <w:tr w:rsidR="005E7F95" w:rsidRPr="005E7F95" w14:paraId="244AE776" w14:textId="77777777" w:rsidTr="001B2B09">
        <w:trPr>
          <w:trHeight w:val="510"/>
          <w:jc w:val="center"/>
        </w:trPr>
        <w:tc>
          <w:tcPr>
            <w:tcW w:w="1980" w:type="dxa"/>
          </w:tcPr>
          <w:p w14:paraId="3014CF3D" w14:textId="77777777" w:rsidR="005E7F95" w:rsidRPr="005E7F95" w:rsidRDefault="005E7F95" w:rsidP="005E7F95">
            <w:r w:rsidRPr="005E7F95">
              <w:t>Behavioral Health Care</w:t>
            </w:r>
          </w:p>
        </w:tc>
        <w:tc>
          <w:tcPr>
            <w:tcW w:w="2430" w:type="dxa"/>
            <w:vAlign w:val="center"/>
          </w:tcPr>
          <w:p w14:paraId="295F1235" w14:textId="77777777" w:rsidR="005E7F95" w:rsidRPr="005E7F95" w:rsidRDefault="005E7F95" w:rsidP="005E7F95">
            <w:pPr>
              <w:rPr>
                <w:i/>
                <w:iCs/>
                <w:u w:val="single"/>
              </w:rPr>
            </w:pPr>
            <w:r w:rsidRPr="005E7F95">
              <w:t>Screening for Metabolic Disorders- BHC-3</w:t>
            </w:r>
          </w:p>
        </w:tc>
        <w:tc>
          <w:tcPr>
            <w:tcW w:w="1885" w:type="dxa"/>
            <w:vAlign w:val="center"/>
          </w:tcPr>
          <w:p w14:paraId="3F4A33D3" w14:textId="77777777" w:rsidR="005E7F95" w:rsidRPr="005E7F95" w:rsidRDefault="005E7F95" w:rsidP="005E7F95">
            <w:pPr>
              <w:rPr>
                <w:i/>
                <w:iCs/>
                <w:u w:val="single"/>
              </w:rPr>
            </w:pPr>
            <w:r w:rsidRPr="005E7F95">
              <w:t xml:space="preserve">Data Entry </w:t>
            </w:r>
          </w:p>
        </w:tc>
        <w:tc>
          <w:tcPr>
            <w:tcW w:w="990" w:type="dxa"/>
            <w:vAlign w:val="center"/>
          </w:tcPr>
          <w:p w14:paraId="1CB304D0" w14:textId="77777777" w:rsidR="005E7F95" w:rsidRPr="005E7F95" w:rsidRDefault="005E7F95" w:rsidP="005E7F95">
            <w:r w:rsidRPr="005E7F95">
              <w:t>P4P</w:t>
            </w:r>
          </w:p>
        </w:tc>
        <w:tc>
          <w:tcPr>
            <w:tcW w:w="1620" w:type="dxa"/>
            <w:vAlign w:val="center"/>
          </w:tcPr>
          <w:p w14:paraId="1ACC6D44" w14:textId="77777777" w:rsidR="005E7F95" w:rsidRPr="005E7F95" w:rsidRDefault="005E7F95" w:rsidP="005E7F95">
            <w:r w:rsidRPr="005E7F95">
              <w:t>25</w:t>
            </w:r>
          </w:p>
        </w:tc>
        <w:tc>
          <w:tcPr>
            <w:tcW w:w="2070" w:type="dxa"/>
            <w:vAlign w:val="center"/>
          </w:tcPr>
          <w:p w14:paraId="2F888B0B" w14:textId="77777777" w:rsidR="005E7F95" w:rsidRPr="005E7F95" w:rsidRDefault="005E7F95" w:rsidP="005E7F95">
            <w:r w:rsidRPr="005E7F95">
              <w:t>Jan 1 – Dec 31, 2025</w:t>
            </w:r>
          </w:p>
        </w:tc>
      </w:tr>
    </w:tbl>
    <w:p w14:paraId="6F9D6CDB" w14:textId="0B4D3DEE" w:rsidR="00D53BA6" w:rsidRPr="00D53BA6" w:rsidRDefault="00D53BA6" w:rsidP="00864313">
      <w:pPr>
        <w:spacing w:after="0"/>
        <w:ind w:left="0" w:firstLine="0"/>
        <w:rPr>
          <w:rFonts w:ascii="Times New Roman" w:hAnsi="Times New Roman" w:cs="Times New Roman"/>
          <w:sz w:val="24"/>
          <w:szCs w:val="24"/>
        </w:rPr>
      </w:pPr>
      <w:r w:rsidRPr="63BD097B">
        <w:rPr>
          <w:rFonts w:ascii="Times New Roman" w:hAnsi="Times New Roman" w:cs="Times New Roman"/>
          <w:sz w:val="24"/>
          <w:szCs w:val="24"/>
        </w:rPr>
        <w:t>LEGEND:</w:t>
      </w:r>
    </w:p>
    <w:p w14:paraId="7B06A6F4" w14:textId="77777777" w:rsidR="00D53BA6" w:rsidRPr="00D53BA6" w:rsidRDefault="00D53BA6" w:rsidP="001B5670">
      <w:pPr>
        <w:pStyle w:val="ListParagraph"/>
        <w:numPr>
          <w:ilvl w:val="0"/>
          <w:numId w:val="6"/>
        </w:numPr>
        <w:spacing w:after="0"/>
        <w:rPr>
          <w:rFonts w:ascii="Times New Roman" w:hAnsi="Times New Roman" w:cs="Times New Roman"/>
          <w:sz w:val="24"/>
          <w:szCs w:val="24"/>
        </w:rPr>
      </w:pPr>
      <w:r w:rsidRPr="00D53BA6">
        <w:rPr>
          <w:rFonts w:ascii="Times New Roman" w:hAnsi="Times New Roman" w:cs="Times New Roman"/>
          <w:sz w:val="24"/>
          <w:szCs w:val="24"/>
        </w:rPr>
        <w:lastRenderedPageBreak/>
        <w:t>P4P = Pay-for-Performance</w:t>
      </w:r>
    </w:p>
    <w:p w14:paraId="7AD2F0F9" w14:textId="77777777" w:rsidR="00D53BA6" w:rsidRPr="00D53BA6" w:rsidRDefault="00D53BA6" w:rsidP="001B5670">
      <w:pPr>
        <w:pStyle w:val="ListParagraph"/>
        <w:numPr>
          <w:ilvl w:val="0"/>
          <w:numId w:val="6"/>
        </w:numPr>
        <w:rPr>
          <w:rFonts w:ascii="Times New Roman" w:hAnsi="Times New Roman" w:cs="Times New Roman"/>
          <w:sz w:val="24"/>
          <w:szCs w:val="24"/>
        </w:rPr>
      </w:pPr>
      <w:r w:rsidRPr="00D53BA6">
        <w:rPr>
          <w:rFonts w:ascii="Times New Roman" w:hAnsi="Times New Roman" w:cs="Times New Roman"/>
          <w:sz w:val="24"/>
          <w:szCs w:val="24"/>
        </w:rPr>
        <w:t>P4R = Pay-for-Reporting</w:t>
      </w:r>
    </w:p>
    <w:p w14:paraId="66FEB746" w14:textId="5A0BDABD" w:rsidR="005609C1" w:rsidRPr="00864313" w:rsidRDefault="00D53BA6" w:rsidP="00864313">
      <w:pPr>
        <w:pStyle w:val="ListParagraph"/>
        <w:numPr>
          <w:ilvl w:val="0"/>
          <w:numId w:val="6"/>
        </w:numPr>
        <w:spacing w:after="480"/>
        <w:rPr>
          <w:rFonts w:ascii="Times New Roman" w:hAnsi="Times New Roman" w:cs="Times New Roman"/>
          <w:sz w:val="24"/>
          <w:szCs w:val="24"/>
        </w:rPr>
      </w:pPr>
      <w:r w:rsidRPr="00D53BA6">
        <w:rPr>
          <w:rFonts w:ascii="Times New Roman" w:hAnsi="Times New Roman" w:cs="Times New Roman"/>
          <w:sz w:val="24"/>
          <w:szCs w:val="24"/>
        </w:rPr>
        <w:t>R = Reporting Only</w:t>
      </w:r>
    </w:p>
    <w:p w14:paraId="1C98A9DB" w14:textId="31487F0D" w:rsidR="00F945C0" w:rsidRDefault="00F945C0" w:rsidP="00F945C0">
      <w:pPr>
        <w:pStyle w:val="Heading2"/>
        <w:spacing w:before="240"/>
        <w:ind w:left="360" w:firstLine="0"/>
      </w:pPr>
      <w:r w:rsidRPr="00E02D6F">
        <w:t xml:space="preserve">Section </w:t>
      </w:r>
      <w:r w:rsidR="00E13DAF">
        <w:t>6</w:t>
      </w:r>
      <w:r w:rsidRPr="006A2353">
        <w:t xml:space="preserve">: </w:t>
      </w:r>
      <w:r>
        <w:t>Claims-Based Measures Specifications</w:t>
      </w:r>
    </w:p>
    <w:p w14:paraId="4CC2F83F" w14:textId="77777777" w:rsidR="00F945C0" w:rsidRPr="00694DBA" w:rsidRDefault="00F945C0" w:rsidP="00694DBA">
      <w:pPr>
        <w:pStyle w:val="Heading3"/>
        <w:jc w:val="left"/>
        <w:rPr>
          <w:sz w:val="24"/>
          <w:szCs w:val="24"/>
        </w:rPr>
      </w:pPr>
      <w:r w:rsidRPr="00694DBA">
        <w:rPr>
          <w:sz w:val="24"/>
          <w:szCs w:val="24"/>
        </w:rPr>
        <w:t>Section 6.D Data Validation Scoring Methods</w:t>
      </w:r>
    </w:p>
    <w:p w14:paraId="43C214EB" w14:textId="4A9656C5" w:rsidR="00F945C0" w:rsidRPr="00694DBA" w:rsidRDefault="00F945C0" w:rsidP="00694DBA">
      <w:pPr>
        <w:pStyle w:val="ListParagraph"/>
        <w:spacing w:before="240"/>
        <w:rPr>
          <w:rFonts w:ascii="Times New Roman" w:hAnsi="Times New Roman" w:cs="Times New Roman"/>
          <w:b/>
          <w:bCs/>
          <w:sz w:val="24"/>
          <w:szCs w:val="24"/>
        </w:rPr>
      </w:pPr>
      <w:r w:rsidRPr="00694DBA">
        <w:rPr>
          <w:rFonts w:ascii="Times New Roman" w:hAnsi="Times New Roman" w:cs="Times New Roman"/>
          <w:b/>
          <w:bCs/>
          <w:sz w:val="24"/>
          <w:szCs w:val="24"/>
        </w:rPr>
        <w:t>Table 6-1: Summary of Data Element Scoring Categories for Chart-Abstracted Measures</w:t>
      </w:r>
    </w:p>
    <w:tbl>
      <w:tblPr>
        <w:tblW w:w="0" w:type="auto"/>
        <w:tblInd w:w="265" w:type="dxa"/>
        <w:tblBorders>
          <w:top w:val="single" w:sz="18" w:space="0" w:color="33CCCC"/>
          <w:left w:val="single" w:sz="4" w:space="0" w:color="auto"/>
          <w:bottom w:val="single" w:sz="4" w:space="0" w:color="auto"/>
          <w:right w:val="single" w:sz="4" w:space="0" w:color="auto"/>
          <w:insideH w:val="single" w:sz="18" w:space="0" w:color="33CCCC"/>
          <w:insideV w:val="single" w:sz="4" w:space="0" w:color="auto"/>
        </w:tblBorders>
        <w:tblLook w:val="01E0" w:firstRow="1" w:lastRow="1" w:firstColumn="1" w:lastColumn="1" w:noHBand="0" w:noVBand="0"/>
      </w:tblPr>
      <w:tblGrid>
        <w:gridCol w:w="4590"/>
        <w:gridCol w:w="5330"/>
      </w:tblGrid>
      <w:tr w:rsidR="00F945C0" w:rsidRPr="00F945C0" w14:paraId="4213E295" w14:textId="77777777">
        <w:trPr>
          <w:trHeight w:val="293"/>
          <w:tblHeader/>
        </w:trPr>
        <w:tc>
          <w:tcPr>
            <w:tcW w:w="4590" w:type="dxa"/>
            <w:tcBorders>
              <w:top w:val="single" w:sz="18" w:space="0" w:color="002060"/>
              <w:bottom w:val="single" w:sz="18" w:space="0" w:color="002060"/>
            </w:tcBorders>
            <w:shd w:val="clear" w:color="auto" w:fill="DAEEF3" w:themeFill="accent5" w:themeFillTint="33"/>
          </w:tcPr>
          <w:p w14:paraId="07A94F85" w14:textId="77777777" w:rsidR="00F945C0" w:rsidRPr="00F945C0" w:rsidRDefault="00F945C0" w:rsidP="00F945C0">
            <w:pPr>
              <w:autoSpaceDE w:val="0"/>
              <w:autoSpaceDN w:val="0"/>
              <w:adjustRightInd w:val="0"/>
              <w:spacing w:after="0"/>
              <w:ind w:left="0" w:firstLine="0"/>
              <w:rPr>
                <w:rFonts w:ascii="Times New Roman" w:eastAsia="Times New Roman" w:hAnsi="Times New Roman" w:cs="Times New Roman"/>
                <w:b/>
              </w:rPr>
            </w:pPr>
            <w:r w:rsidRPr="00F945C0">
              <w:rPr>
                <w:rFonts w:ascii="Times New Roman" w:eastAsia="Times New Roman" w:hAnsi="Times New Roman" w:cs="Times New Roman"/>
                <w:b/>
              </w:rPr>
              <w:t>Scored Data Elements</w:t>
            </w:r>
          </w:p>
        </w:tc>
        <w:tc>
          <w:tcPr>
            <w:tcW w:w="5330" w:type="dxa"/>
            <w:tcBorders>
              <w:top w:val="single" w:sz="18" w:space="0" w:color="002060"/>
              <w:bottom w:val="single" w:sz="18" w:space="0" w:color="002060"/>
            </w:tcBorders>
            <w:shd w:val="clear" w:color="auto" w:fill="DAEEF3" w:themeFill="accent5" w:themeFillTint="33"/>
          </w:tcPr>
          <w:p w14:paraId="055C541F" w14:textId="77777777" w:rsidR="00F945C0" w:rsidRPr="00F945C0" w:rsidRDefault="00F945C0" w:rsidP="00F945C0">
            <w:pPr>
              <w:autoSpaceDE w:val="0"/>
              <w:autoSpaceDN w:val="0"/>
              <w:adjustRightInd w:val="0"/>
              <w:spacing w:after="0"/>
              <w:ind w:left="72" w:firstLine="0"/>
              <w:rPr>
                <w:rFonts w:ascii="Times New Roman" w:eastAsia="Times New Roman" w:hAnsi="Times New Roman" w:cs="Times New Roman"/>
              </w:rPr>
            </w:pPr>
            <w:r w:rsidRPr="00F945C0">
              <w:rPr>
                <w:rFonts w:ascii="Times New Roman" w:eastAsia="Times New Roman" w:hAnsi="Times New Roman" w:cs="Times New Roman"/>
                <w:b/>
              </w:rPr>
              <w:t>Non-Scored Data Elements</w:t>
            </w:r>
          </w:p>
        </w:tc>
      </w:tr>
      <w:tr w:rsidR="00F945C0" w:rsidRPr="00F945C0" w14:paraId="53485162" w14:textId="77777777">
        <w:trPr>
          <w:trHeight w:val="25"/>
        </w:trPr>
        <w:tc>
          <w:tcPr>
            <w:tcW w:w="4590" w:type="dxa"/>
            <w:tcBorders>
              <w:top w:val="single" w:sz="18" w:space="0" w:color="002060"/>
            </w:tcBorders>
          </w:tcPr>
          <w:p w14:paraId="163758FC" w14:textId="0ABCB309" w:rsidR="00F945C0" w:rsidRPr="00F945C0" w:rsidRDefault="00F945C0" w:rsidP="00F945C0">
            <w:pPr>
              <w:autoSpaceDE w:val="0"/>
              <w:autoSpaceDN w:val="0"/>
              <w:adjustRightInd w:val="0"/>
              <w:spacing w:after="0"/>
              <w:ind w:left="0" w:firstLine="0"/>
              <w:rPr>
                <w:rFonts w:ascii="Times New Roman" w:eastAsia="Times New Roman" w:hAnsi="Times New Roman" w:cs="Times New Roman"/>
                <w:u w:val="single"/>
              </w:rPr>
            </w:pPr>
            <w:r w:rsidRPr="00F945C0">
              <w:rPr>
                <w:rFonts w:ascii="Times New Roman" w:eastAsia="Times New Roman" w:hAnsi="Times New Roman" w:cs="Times New Roman"/>
                <w:b/>
              </w:rPr>
              <w:t xml:space="preserve">SUB-2 Measure: </w:t>
            </w:r>
            <w:r w:rsidRPr="00F945C0">
              <w:rPr>
                <w:rFonts w:ascii="Times New Roman" w:eastAsia="Times New Roman" w:hAnsi="Times New Roman" w:cs="Times New Roman"/>
              </w:rPr>
              <w:t>Alcohol Use Status, Brief Intervention, Comfort Measures Only</w:t>
            </w:r>
            <w:r>
              <w:rPr>
                <w:rFonts w:ascii="Times New Roman" w:eastAsia="Times New Roman" w:hAnsi="Times New Roman" w:cs="Times New Roman"/>
              </w:rPr>
              <w:t>,</w:t>
            </w:r>
            <w:r w:rsidRPr="00F945C0">
              <w:rPr>
                <w:rFonts w:ascii="Times New Roman" w:eastAsia="Times New Roman" w:hAnsi="Times New Roman" w:cs="Times New Roman"/>
                <w:i/>
                <w:iCs/>
                <w:u w:val="single"/>
              </w:rPr>
              <w:t xml:space="preserve"> Race</w:t>
            </w:r>
            <w:r>
              <w:rPr>
                <w:rFonts w:ascii="Times New Roman" w:eastAsia="Times New Roman" w:hAnsi="Times New Roman" w:cs="Times New Roman"/>
                <w:i/>
                <w:iCs/>
                <w:u w:val="single"/>
              </w:rPr>
              <w:t>,</w:t>
            </w:r>
            <w:r w:rsidRPr="00F945C0">
              <w:rPr>
                <w:rFonts w:ascii="Times New Roman" w:eastAsia="Times New Roman" w:hAnsi="Times New Roman" w:cs="Times New Roman"/>
                <w:i/>
                <w:iCs/>
                <w:u w:val="single"/>
              </w:rPr>
              <w:t xml:space="preserve"> Hispanic Ethnicity</w:t>
            </w:r>
          </w:p>
          <w:p w14:paraId="22D3824C" w14:textId="77777777" w:rsidR="00F945C0" w:rsidRDefault="00F945C0" w:rsidP="00F945C0">
            <w:pPr>
              <w:autoSpaceDE w:val="0"/>
              <w:autoSpaceDN w:val="0"/>
              <w:adjustRightInd w:val="0"/>
              <w:spacing w:after="0"/>
              <w:ind w:left="0" w:firstLine="0"/>
              <w:rPr>
                <w:rFonts w:ascii="Times New Roman" w:eastAsia="Times New Roman" w:hAnsi="Times New Roman" w:cs="Times New Roman"/>
                <w:b/>
              </w:rPr>
            </w:pPr>
          </w:p>
          <w:p w14:paraId="4216D474" w14:textId="1310FCFD" w:rsidR="00F945C0" w:rsidRPr="00F945C0" w:rsidRDefault="00F945C0" w:rsidP="00F945C0">
            <w:pPr>
              <w:autoSpaceDE w:val="0"/>
              <w:autoSpaceDN w:val="0"/>
              <w:adjustRightInd w:val="0"/>
              <w:spacing w:after="0"/>
              <w:ind w:left="0" w:firstLine="0"/>
              <w:rPr>
                <w:rFonts w:ascii="Times New Roman" w:eastAsia="Times New Roman" w:hAnsi="Times New Roman" w:cs="Times New Roman"/>
                <w:u w:val="single"/>
              </w:rPr>
            </w:pPr>
            <w:r w:rsidRPr="00F945C0">
              <w:rPr>
                <w:rFonts w:ascii="Times New Roman" w:eastAsia="Times New Roman" w:hAnsi="Times New Roman" w:cs="Times New Roman"/>
                <w:b/>
              </w:rPr>
              <w:t xml:space="preserve">SUB-3 Measure: </w:t>
            </w:r>
            <w:r w:rsidRPr="00F945C0">
              <w:rPr>
                <w:rFonts w:ascii="Times New Roman" w:eastAsia="Times New Roman" w:hAnsi="Times New Roman" w:cs="Times New Roman"/>
              </w:rPr>
              <w:t>Alcohol Use Status, Comfort Measures Only, Discharge Disposition, Prescription for Alcohol or Drug Disorder Medication, Referral for Addictions Treatment</w:t>
            </w:r>
            <w:r>
              <w:rPr>
                <w:rFonts w:ascii="Times New Roman" w:eastAsia="Times New Roman" w:hAnsi="Times New Roman" w:cs="Times New Roman"/>
              </w:rPr>
              <w:t>,</w:t>
            </w:r>
            <w:r w:rsidRPr="00F945C0">
              <w:rPr>
                <w:rFonts w:ascii="Times New Roman" w:eastAsia="Times New Roman" w:hAnsi="Times New Roman" w:cs="Times New Roman"/>
                <w:i/>
                <w:iCs/>
                <w:u w:val="single"/>
              </w:rPr>
              <w:t xml:space="preserve"> Race</w:t>
            </w:r>
            <w:r>
              <w:rPr>
                <w:rFonts w:ascii="Times New Roman" w:eastAsia="Times New Roman" w:hAnsi="Times New Roman" w:cs="Times New Roman"/>
                <w:i/>
                <w:iCs/>
                <w:u w:val="single"/>
              </w:rPr>
              <w:t>,</w:t>
            </w:r>
            <w:r w:rsidRPr="00F945C0">
              <w:rPr>
                <w:rFonts w:ascii="Times New Roman" w:eastAsia="Times New Roman" w:hAnsi="Times New Roman" w:cs="Times New Roman"/>
                <w:i/>
                <w:iCs/>
                <w:u w:val="single"/>
              </w:rPr>
              <w:t xml:space="preserve"> Hispanic Ethnicity</w:t>
            </w:r>
          </w:p>
          <w:p w14:paraId="40FC9EFD" w14:textId="77777777" w:rsidR="00F945C0" w:rsidRDefault="00F945C0" w:rsidP="00F945C0">
            <w:pPr>
              <w:autoSpaceDE w:val="0"/>
              <w:autoSpaceDN w:val="0"/>
              <w:adjustRightInd w:val="0"/>
              <w:spacing w:after="0"/>
              <w:ind w:left="0" w:firstLine="0"/>
              <w:rPr>
                <w:rFonts w:ascii="Times New Roman" w:eastAsia="Times New Roman" w:hAnsi="Times New Roman" w:cs="Times New Roman"/>
                <w:b/>
                <w:bCs/>
              </w:rPr>
            </w:pPr>
          </w:p>
          <w:p w14:paraId="2DDAE723" w14:textId="7C121D43" w:rsidR="00F945C0" w:rsidRPr="00F945C0" w:rsidRDefault="00F945C0" w:rsidP="00F945C0">
            <w:pPr>
              <w:autoSpaceDE w:val="0"/>
              <w:autoSpaceDN w:val="0"/>
              <w:adjustRightInd w:val="0"/>
              <w:spacing w:after="0"/>
              <w:ind w:left="0" w:firstLine="0"/>
              <w:rPr>
                <w:rFonts w:ascii="Times New Roman" w:eastAsia="Times New Roman" w:hAnsi="Times New Roman" w:cs="Times New Roman"/>
                <w:u w:val="single"/>
              </w:rPr>
            </w:pPr>
            <w:r w:rsidRPr="00F945C0">
              <w:rPr>
                <w:rFonts w:ascii="Times New Roman" w:eastAsia="Times New Roman" w:hAnsi="Times New Roman" w:cs="Times New Roman"/>
                <w:b/>
                <w:bCs/>
              </w:rPr>
              <w:t>MAT-4 Measure:</w:t>
            </w:r>
            <w:r w:rsidRPr="00F945C0">
              <w:rPr>
                <w:rFonts w:ascii="Times New Roman" w:eastAsia="Times New Roman" w:hAnsi="Times New Roman" w:cs="Times New Roman"/>
              </w:rPr>
              <w:t xml:space="preserve"> Gestational Age, Previous Births</w:t>
            </w:r>
            <w:r>
              <w:rPr>
                <w:rFonts w:ascii="Times New Roman" w:eastAsia="Times New Roman" w:hAnsi="Times New Roman" w:cs="Times New Roman"/>
              </w:rPr>
              <w:t>,</w:t>
            </w:r>
            <w:r w:rsidRPr="00F945C0">
              <w:rPr>
                <w:rFonts w:ascii="Times New Roman" w:eastAsia="Times New Roman" w:hAnsi="Times New Roman" w:cs="Times New Roman"/>
                <w:i/>
                <w:iCs/>
                <w:u w:val="single"/>
              </w:rPr>
              <w:t xml:space="preserve"> Race</w:t>
            </w:r>
            <w:r>
              <w:rPr>
                <w:rFonts w:ascii="Times New Roman" w:eastAsia="Times New Roman" w:hAnsi="Times New Roman" w:cs="Times New Roman"/>
                <w:i/>
                <w:iCs/>
                <w:u w:val="single"/>
              </w:rPr>
              <w:t>,</w:t>
            </w:r>
            <w:r w:rsidRPr="00F945C0">
              <w:rPr>
                <w:rFonts w:ascii="Times New Roman" w:eastAsia="Times New Roman" w:hAnsi="Times New Roman" w:cs="Times New Roman"/>
                <w:i/>
                <w:iCs/>
                <w:u w:val="single"/>
              </w:rPr>
              <w:t xml:space="preserve"> Hispanic Ethnicity</w:t>
            </w:r>
          </w:p>
          <w:p w14:paraId="3FF4A571" w14:textId="77777777" w:rsidR="00F945C0" w:rsidRDefault="00F945C0" w:rsidP="00F945C0">
            <w:pPr>
              <w:autoSpaceDE w:val="0"/>
              <w:autoSpaceDN w:val="0"/>
              <w:adjustRightInd w:val="0"/>
              <w:spacing w:after="0"/>
              <w:ind w:left="0" w:firstLine="0"/>
              <w:rPr>
                <w:rFonts w:ascii="Times New Roman" w:eastAsia="Times New Roman" w:hAnsi="Times New Roman" w:cs="Times New Roman"/>
                <w:b/>
              </w:rPr>
            </w:pPr>
          </w:p>
          <w:p w14:paraId="437D2EC8" w14:textId="513B5E97" w:rsidR="00F945C0" w:rsidRPr="00D5575B" w:rsidRDefault="00F945C0" w:rsidP="00F945C0">
            <w:pPr>
              <w:autoSpaceDE w:val="0"/>
              <w:autoSpaceDN w:val="0"/>
              <w:adjustRightInd w:val="0"/>
              <w:spacing w:after="0"/>
              <w:ind w:left="0" w:firstLine="0"/>
              <w:rPr>
                <w:rFonts w:ascii="Times New Roman" w:eastAsia="Times New Roman" w:hAnsi="Times New Roman" w:cs="Times New Roman"/>
                <w:u w:val="single"/>
              </w:rPr>
            </w:pPr>
            <w:r w:rsidRPr="00F945C0">
              <w:rPr>
                <w:rFonts w:ascii="Times New Roman" w:eastAsia="Times New Roman" w:hAnsi="Times New Roman" w:cs="Times New Roman"/>
                <w:b/>
              </w:rPr>
              <w:t>NEWB-3 Measure</w:t>
            </w:r>
            <w:r w:rsidRPr="00F945C0">
              <w:rPr>
                <w:rFonts w:ascii="Times New Roman" w:eastAsia="Times New Roman" w:hAnsi="Times New Roman" w:cs="Times New Roman"/>
              </w:rPr>
              <w:t xml:space="preserve">:  </w:t>
            </w:r>
            <w:r w:rsidRPr="00F945C0">
              <w:rPr>
                <w:rFonts w:ascii="Times New Roman" w:hAnsi="Times New Roman" w:cs="Times New Roman"/>
              </w:rPr>
              <w:t xml:space="preserve">Birth Weight, </w:t>
            </w:r>
            <w:r w:rsidRPr="00F945C0">
              <w:rPr>
                <w:rFonts w:ascii="Times New Roman" w:eastAsia="Times New Roman" w:hAnsi="Times New Roman" w:cs="Times New Roman"/>
              </w:rPr>
              <w:t xml:space="preserve">Discharge Disposition, </w:t>
            </w:r>
            <w:r w:rsidRPr="00F945C0">
              <w:rPr>
                <w:rFonts w:ascii="Times New Roman" w:hAnsi="Times New Roman" w:cs="Times New Roman"/>
              </w:rPr>
              <w:t>Term Newborn</w:t>
            </w:r>
            <w:r>
              <w:rPr>
                <w:rFonts w:ascii="Times New Roman" w:hAnsi="Times New Roman" w:cs="Times New Roman"/>
              </w:rPr>
              <w:t>,</w:t>
            </w:r>
            <w:r w:rsidRPr="00F945C0">
              <w:rPr>
                <w:rFonts w:ascii="Times New Roman" w:eastAsia="Times New Roman" w:hAnsi="Times New Roman" w:cs="Times New Roman"/>
                <w:i/>
                <w:iCs/>
                <w:u w:val="single"/>
              </w:rPr>
              <w:t xml:space="preserve"> Race</w:t>
            </w:r>
            <w:r>
              <w:rPr>
                <w:rFonts w:ascii="Times New Roman" w:eastAsia="Times New Roman" w:hAnsi="Times New Roman" w:cs="Times New Roman"/>
                <w:i/>
                <w:iCs/>
                <w:u w:val="single"/>
              </w:rPr>
              <w:t>,</w:t>
            </w:r>
            <w:r w:rsidRPr="00F945C0">
              <w:rPr>
                <w:rFonts w:ascii="Times New Roman" w:eastAsia="Times New Roman" w:hAnsi="Times New Roman" w:cs="Times New Roman"/>
                <w:i/>
                <w:iCs/>
                <w:u w:val="single"/>
              </w:rPr>
              <w:t xml:space="preserve"> Hispanic Ethnicity</w:t>
            </w:r>
          </w:p>
        </w:tc>
        <w:tc>
          <w:tcPr>
            <w:tcW w:w="5330" w:type="dxa"/>
            <w:tcBorders>
              <w:top w:val="single" w:sz="18" w:space="0" w:color="002060"/>
            </w:tcBorders>
          </w:tcPr>
          <w:p w14:paraId="34787EC1"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Admission Date </w:t>
            </w:r>
          </w:p>
          <w:p w14:paraId="0DA392A0"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Admission Time </w:t>
            </w:r>
          </w:p>
          <w:p w14:paraId="573CB5CD"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Birth Date </w:t>
            </w:r>
          </w:p>
          <w:p w14:paraId="4F1763B8"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Discharge Date </w:t>
            </w:r>
          </w:p>
          <w:p w14:paraId="4F597969"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Discharge Disposition (scored for SUB-3 &amp; NEWB-3) </w:t>
            </w:r>
          </w:p>
          <w:p w14:paraId="36939CBE"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Episode of Care </w:t>
            </w:r>
          </w:p>
          <w:p w14:paraId="57F0F891"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First Name </w:t>
            </w:r>
          </w:p>
          <w:p w14:paraId="16FE1295"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Hospital Patient ID # </w:t>
            </w:r>
          </w:p>
          <w:p w14:paraId="2C1B8CE3"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ICD-CM Diagnosis Codes</w:t>
            </w:r>
          </w:p>
          <w:p w14:paraId="37F8A121"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ICD-PCS Procedure Codes</w:t>
            </w:r>
          </w:p>
          <w:p w14:paraId="584A3F76"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Last Name  </w:t>
            </w:r>
          </w:p>
          <w:p w14:paraId="33716EDB"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Member ID Number </w:t>
            </w:r>
          </w:p>
          <w:p w14:paraId="21B68AFF"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Payer Source </w:t>
            </w:r>
          </w:p>
          <w:p w14:paraId="72FF1E64"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Provider ID </w:t>
            </w:r>
          </w:p>
          <w:p w14:paraId="403DE6A7" w14:textId="77777777" w:rsidR="00F945C0" w:rsidRPr="00F945C0" w:rsidRDefault="00F945C0" w:rsidP="001B5670">
            <w:pPr>
              <w:numPr>
                <w:ilvl w:val="0"/>
                <w:numId w:val="3"/>
              </w:numPr>
              <w:tabs>
                <w:tab w:val="num" w:pos="162"/>
              </w:tabs>
              <w:autoSpaceDE w:val="0"/>
              <w:autoSpaceDN w:val="0"/>
              <w:adjustRightInd w:val="0"/>
              <w:spacing w:after="0"/>
              <w:ind w:left="162" w:hanging="180"/>
              <w:rPr>
                <w:rFonts w:ascii="Times New Roman" w:eastAsia="Times New Roman" w:hAnsi="Times New Roman" w:cs="Times New Roman"/>
              </w:rPr>
            </w:pPr>
            <w:r w:rsidRPr="00F945C0">
              <w:rPr>
                <w:rFonts w:ascii="Times New Roman" w:eastAsia="Times New Roman" w:hAnsi="Times New Roman" w:cs="Times New Roman"/>
              </w:rPr>
              <w:t xml:space="preserve">Provider Name </w:t>
            </w:r>
          </w:p>
          <w:p w14:paraId="21C6661E" w14:textId="0576A661" w:rsidR="00F945C0" w:rsidRPr="00F945C0" w:rsidRDefault="00F945C0" w:rsidP="00F945C0">
            <w:pPr>
              <w:autoSpaceDE w:val="0"/>
              <w:autoSpaceDN w:val="0"/>
              <w:adjustRightInd w:val="0"/>
              <w:spacing w:after="0"/>
              <w:ind w:left="0" w:firstLine="0"/>
              <w:rPr>
                <w:rFonts w:ascii="Times New Roman" w:eastAsia="Times New Roman" w:hAnsi="Times New Roman" w:cs="Times New Roman"/>
                <w:i/>
                <w:iCs/>
                <w:u w:val="single"/>
              </w:rPr>
            </w:pPr>
          </w:p>
        </w:tc>
      </w:tr>
    </w:tbl>
    <w:p w14:paraId="1FD0627A" w14:textId="03D5CE66" w:rsidR="00031872" w:rsidRDefault="00031872" w:rsidP="004527AB">
      <w:pPr>
        <w:pStyle w:val="Heading2"/>
        <w:spacing w:before="240"/>
        <w:ind w:left="0" w:firstLine="0"/>
      </w:pPr>
      <w:r w:rsidRPr="00E02D6F">
        <w:t xml:space="preserve">Section </w:t>
      </w:r>
      <w:r w:rsidR="00E13DAF">
        <w:t>8</w:t>
      </w:r>
      <w:r w:rsidRPr="006A2353">
        <w:t xml:space="preserve">: </w:t>
      </w:r>
      <w:r w:rsidR="008C3AB1">
        <w:t>Claims-Based Measures Specifications</w:t>
      </w:r>
    </w:p>
    <w:p w14:paraId="738A0E9C" w14:textId="0B3034D9" w:rsidR="00797BDF" w:rsidRPr="002A5E07" w:rsidRDefault="00F22690" w:rsidP="002A5E07">
      <w:pPr>
        <w:pStyle w:val="Heading3"/>
        <w:spacing w:after="240"/>
        <w:jc w:val="left"/>
        <w:rPr>
          <w:rFonts w:eastAsiaTheme="majorEastAsia"/>
          <w:sz w:val="24"/>
          <w:szCs w:val="24"/>
        </w:rPr>
      </w:pPr>
      <w:bookmarkStart w:id="14" w:name="_Toc180573557"/>
      <w:r w:rsidRPr="002A5E07">
        <w:rPr>
          <w:rFonts w:eastAsiaTheme="majorEastAsia"/>
          <w:sz w:val="24"/>
          <w:szCs w:val="24"/>
        </w:rPr>
        <w:t xml:space="preserve">Section </w:t>
      </w:r>
      <w:r w:rsidR="00797BDF" w:rsidRPr="002A5E07">
        <w:rPr>
          <w:rFonts w:eastAsiaTheme="majorEastAsia"/>
          <w:sz w:val="24"/>
          <w:szCs w:val="24"/>
        </w:rPr>
        <w:t>8.B</w:t>
      </w:r>
      <w:r w:rsidR="00AC166C" w:rsidRPr="002A5E07">
        <w:rPr>
          <w:rFonts w:eastAsiaTheme="majorEastAsia"/>
          <w:sz w:val="24"/>
          <w:szCs w:val="24"/>
        </w:rPr>
        <w:t>.</w:t>
      </w:r>
      <w:r w:rsidR="003C67C7" w:rsidRPr="002A5E07">
        <w:rPr>
          <w:rFonts w:eastAsiaTheme="majorEastAsia"/>
          <w:sz w:val="24"/>
          <w:szCs w:val="24"/>
        </w:rPr>
        <w:t xml:space="preserve"> NCQA HEDIS Claims-Based Measures Specifications</w:t>
      </w:r>
    </w:p>
    <w:p w14:paraId="285C2096" w14:textId="7297C719" w:rsidR="00B9176C" w:rsidRPr="009F0393" w:rsidRDefault="00B9176C" w:rsidP="009F0393">
      <w:pPr>
        <w:pStyle w:val="ListParagraph"/>
        <w:numPr>
          <w:ilvl w:val="0"/>
          <w:numId w:val="18"/>
        </w:numPr>
        <w:rPr>
          <w:rFonts w:ascii="Times New Roman" w:hAnsi="Times New Roman" w:cs="Times New Roman"/>
          <w:b/>
          <w:bCs/>
          <w:sz w:val="24"/>
          <w:szCs w:val="24"/>
        </w:rPr>
      </w:pPr>
      <w:bookmarkStart w:id="15" w:name="_Toc131496841"/>
      <w:bookmarkStart w:id="16" w:name="_Toc180573555"/>
      <w:r w:rsidRPr="009F0393">
        <w:rPr>
          <w:rFonts w:ascii="Times New Roman" w:hAnsi="Times New Roman" w:cs="Times New Roman"/>
          <w:b/>
          <w:bCs/>
          <w:sz w:val="24"/>
          <w:szCs w:val="24"/>
        </w:rPr>
        <w:t>Care Coordination and Integration of Care Domain</w:t>
      </w:r>
      <w:bookmarkEnd w:id="15"/>
      <w:bookmarkEnd w:id="16"/>
      <w:r w:rsidRPr="009F0393">
        <w:rPr>
          <w:rFonts w:ascii="Times New Roman" w:hAnsi="Times New Roman" w:cs="Times New Roman"/>
          <w:b/>
          <w:bCs/>
          <w:sz w:val="24"/>
          <w:szCs w:val="24"/>
        </w:rPr>
        <w:t xml:space="preserve"> </w:t>
      </w:r>
    </w:p>
    <w:p w14:paraId="715ADCCD" w14:textId="77777777" w:rsidR="00B9176C" w:rsidRPr="00656E0C" w:rsidRDefault="00B9176C" w:rsidP="00B9176C">
      <w:pPr>
        <w:tabs>
          <w:tab w:val="left" w:pos="360"/>
        </w:tabs>
        <w:ind w:left="360" w:firstLine="0"/>
        <w:rPr>
          <w:rFonts w:ascii="Times New Roman" w:hAnsi="Times New Roman" w:cs="Times New Roman"/>
          <w:sz w:val="24"/>
          <w:szCs w:val="24"/>
        </w:rPr>
      </w:pPr>
      <w:r w:rsidRPr="00656E0C">
        <w:rPr>
          <w:rFonts w:ascii="Times New Roman" w:hAnsi="Times New Roman" w:cs="Times New Roman"/>
          <w:sz w:val="24"/>
          <w:szCs w:val="24"/>
        </w:rPr>
        <w:t>This section provides measure specifications for the NCQA HEDIS claims-based measures included in the CQI Care Coordination and Integration of Care domain.</w:t>
      </w:r>
    </w:p>
    <w:p w14:paraId="0B7398F8" w14:textId="78F9D7D2" w:rsidR="00F22690" w:rsidRPr="009F0393" w:rsidRDefault="00F22690" w:rsidP="009F0393">
      <w:pPr>
        <w:rPr>
          <w:rFonts w:ascii="Times New Roman" w:hAnsi="Times New Roman" w:cs="Times New Roman"/>
          <w:b/>
          <w:bCs/>
          <w:sz w:val="24"/>
          <w:szCs w:val="24"/>
        </w:rPr>
      </w:pPr>
      <w:r w:rsidRPr="009F0393">
        <w:rPr>
          <w:rFonts w:ascii="Times New Roman" w:hAnsi="Times New Roman" w:cs="Times New Roman"/>
          <w:b/>
          <w:bCs/>
          <w:sz w:val="24"/>
          <w:szCs w:val="24"/>
        </w:rPr>
        <w:t xml:space="preserve">II) Follow-Up After Emergency Department Visit for </w:t>
      </w:r>
      <w:r w:rsidR="003C67C7" w:rsidRPr="009F0393">
        <w:rPr>
          <w:rFonts w:ascii="Times New Roman" w:hAnsi="Times New Roman" w:cs="Times New Roman"/>
          <w:b/>
          <w:bCs/>
          <w:sz w:val="24"/>
          <w:szCs w:val="24"/>
        </w:rPr>
        <w:t>Substance Use</w:t>
      </w:r>
      <w:r w:rsidRPr="009F0393">
        <w:rPr>
          <w:rFonts w:ascii="Times New Roman" w:hAnsi="Times New Roman" w:cs="Times New Roman"/>
          <w:b/>
          <w:bCs/>
          <w:sz w:val="24"/>
          <w:szCs w:val="24"/>
        </w:rPr>
        <w:t xml:space="preserve"> (CCI-3)</w:t>
      </w:r>
      <w:bookmarkEnd w:id="14"/>
    </w:p>
    <w:p w14:paraId="6CC015DE" w14:textId="48B6E44E" w:rsidR="00F22690" w:rsidRPr="00656E0C" w:rsidRDefault="00F22690" w:rsidP="6164BE42">
      <w:pPr>
        <w:ind w:left="360" w:firstLine="0"/>
        <w:rPr>
          <w:rFonts w:ascii="Times New Roman" w:hAnsi="Times New Roman" w:cs="Times New Roman"/>
          <w:b/>
          <w:bCs/>
          <w:sz w:val="24"/>
          <w:szCs w:val="24"/>
        </w:rPr>
      </w:pPr>
      <w:r w:rsidRPr="00656E0C">
        <w:rPr>
          <w:rFonts w:ascii="Times New Roman" w:hAnsi="Times New Roman" w:cs="Times New Roman"/>
          <w:b/>
          <w:bCs/>
          <w:sz w:val="24"/>
          <w:szCs w:val="24"/>
        </w:rPr>
        <w:t xml:space="preserve">Measure Name: </w:t>
      </w:r>
      <w:r w:rsidRPr="00656E0C">
        <w:rPr>
          <w:rFonts w:ascii="Times New Roman" w:hAnsi="Times New Roman" w:cs="Times New Roman"/>
          <w:i/>
          <w:iCs/>
          <w:sz w:val="24"/>
          <w:szCs w:val="24"/>
          <w:u w:val="single"/>
        </w:rPr>
        <w:t xml:space="preserve">Follow-Up After Emergency Department Visit for </w:t>
      </w:r>
      <w:r w:rsidR="003C67C7" w:rsidRPr="00656E0C">
        <w:rPr>
          <w:rFonts w:ascii="Times New Roman" w:hAnsi="Times New Roman" w:cs="Times New Roman"/>
          <w:i/>
          <w:iCs/>
          <w:sz w:val="24"/>
          <w:szCs w:val="24"/>
          <w:u w:val="single"/>
        </w:rPr>
        <w:t>Substance Use</w:t>
      </w:r>
      <w:r w:rsidRPr="00656E0C">
        <w:rPr>
          <w:rFonts w:ascii="Times New Roman" w:hAnsi="Times New Roman" w:cs="Times New Roman"/>
          <w:sz w:val="24"/>
          <w:szCs w:val="24"/>
        </w:rPr>
        <w:t xml:space="preserve"> (FUA)</w:t>
      </w:r>
    </w:p>
    <w:p w14:paraId="27C7A08C" w14:textId="06CCE2A4" w:rsidR="4B9B7A38" w:rsidRPr="002A5E07" w:rsidRDefault="4B9B7A38" w:rsidP="002A5E07">
      <w:pPr>
        <w:pStyle w:val="Heading3"/>
        <w:spacing w:after="240"/>
        <w:jc w:val="left"/>
        <w:rPr>
          <w:rFonts w:eastAsiaTheme="majorEastAsia"/>
          <w:sz w:val="24"/>
          <w:szCs w:val="24"/>
        </w:rPr>
      </w:pPr>
      <w:r w:rsidRPr="002A5E07">
        <w:rPr>
          <w:rFonts w:eastAsiaTheme="majorEastAsia"/>
          <w:sz w:val="24"/>
          <w:szCs w:val="24"/>
        </w:rPr>
        <w:t>Section 8.C. Other Claims-Based and Readmission Measures</w:t>
      </w:r>
    </w:p>
    <w:p w14:paraId="129A58FF" w14:textId="7109FDF5" w:rsidR="00FA76E5" w:rsidRPr="00E60F37" w:rsidRDefault="00FA76E5" w:rsidP="00E60F37">
      <w:pPr>
        <w:pStyle w:val="ListParagraph"/>
        <w:numPr>
          <w:ilvl w:val="0"/>
          <w:numId w:val="19"/>
        </w:numPr>
        <w:rPr>
          <w:rFonts w:ascii="Times New Roman" w:hAnsi="Times New Roman" w:cs="Times New Roman"/>
          <w:b/>
          <w:bCs/>
          <w:sz w:val="24"/>
          <w:szCs w:val="24"/>
        </w:rPr>
      </w:pPr>
      <w:r w:rsidRPr="00E60F37">
        <w:rPr>
          <w:rFonts w:ascii="Times New Roman" w:hAnsi="Times New Roman" w:cs="Times New Roman"/>
          <w:b/>
          <w:bCs/>
          <w:sz w:val="24"/>
          <w:szCs w:val="24"/>
        </w:rPr>
        <w:t xml:space="preserve">Care Coordination and Integration of Care Domain </w:t>
      </w:r>
    </w:p>
    <w:p w14:paraId="4AE555D2" w14:textId="49D9FA7C" w:rsidR="4B9B7A38" w:rsidRPr="00656E0C" w:rsidRDefault="4B9B7A38" w:rsidP="6164BE42">
      <w:pPr>
        <w:tabs>
          <w:tab w:val="left" w:pos="360"/>
        </w:tabs>
        <w:ind w:left="360" w:firstLine="0"/>
        <w:rPr>
          <w:rFonts w:ascii="Times New Roman" w:eastAsiaTheme="majorEastAsia" w:hAnsi="Times New Roman" w:cstheme="majorBidi"/>
          <w:b/>
          <w:bCs/>
          <w:sz w:val="24"/>
          <w:szCs w:val="24"/>
        </w:rPr>
      </w:pPr>
      <w:r w:rsidRPr="00656E0C">
        <w:rPr>
          <w:rFonts w:ascii="Times New Roman" w:eastAsia="Times New Roman" w:hAnsi="Times New Roman" w:cs="Times New Roman"/>
          <w:sz w:val="24"/>
          <w:szCs w:val="24"/>
        </w:rPr>
        <w:t xml:space="preserve">This section provides measure specifications for the readmissions measures included in the CQI Care Coordination and Integration core domain. </w:t>
      </w:r>
    </w:p>
    <w:p w14:paraId="3E20340D" w14:textId="1CB6355F" w:rsidR="4B9B7A38" w:rsidRPr="00656E0C" w:rsidRDefault="4B9B7A38" w:rsidP="6164BE42">
      <w:pPr>
        <w:tabs>
          <w:tab w:val="left" w:pos="360"/>
        </w:tabs>
        <w:ind w:left="360" w:firstLine="0"/>
        <w:rPr>
          <w:rFonts w:ascii="Times New Roman" w:eastAsiaTheme="majorEastAsia" w:hAnsi="Times New Roman" w:cstheme="majorBidi"/>
          <w:b/>
          <w:bCs/>
          <w:sz w:val="24"/>
          <w:szCs w:val="24"/>
        </w:rPr>
      </w:pPr>
      <w:r w:rsidRPr="00656E0C">
        <w:rPr>
          <w:rFonts w:ascii="Times New Roman" w:eastAsiaTheme="majorEastAsia" w:hAnsi="Times New Roman" w:cstheme="majorBidi"/>
          <w:b/>
          <w:bCs/>
          <w:sz w:val="24"/>
          <w:szCs w:val="24"/>
        </w:rPr>
        <w:lastRenderedPageBreak/>
        <w:t>I) CHIA Adult Readmission Measure</w:t>
      </w:r>
      <w:r w:rsidRPr="00656E0C">
        <w:rPr>
          <w:rFonts w:ascii="Times New Roman" w:eastAsiaTheme="majorEastAsia" w:hAnsi="Times New Roman" w:cs="Times New Roman"/>
          <w:b/>
          <w:bCs/>
          <w:sz w:val="24"/>
          <w:szCs w:val="24"/>
        </w:rPr>
        <w:t xml:space="preserve"> </w:t>
      </w:r>
      <w:r w:rsidRPr="00656E0C">
        <w:rPr>
          <w:rFonts w:ascii="Times New Roman" w:eastAsiaTheme="majorEastAsia" w:hAnsi="Times New Roman" w:cstheme="majorBidi"/>
          <w:b/>
          <w:bCs/>
          <w:sz w:val="24"/>
          <w:szCs w:val="24"/>
        </w:rPr>
        <w:t>(CCI-1)</w:t>
      </w:r>
    </w:p>
    <w:p w14:paraId="1E3B333E" w14:textId="1E0AC993" w:rsidR="6164BE42" w:rsidRPr="00656E0C" w:rsidRDefault="4B9B7A38" w:rsidP="00551898">
      <w:pPr>
        <w:ind w:left="360" w:firstLine="0"/>
        <w:rPr>
          <w:rFonts w:ascii="Times New Roman" w:eastAsia="Times New Roman" w:hAnsi="Times New Roman" w:cs="Times New Roman"/>
          <w:i/>
          <w:iCs/>
          <w:sz w:val="24"/>
          <w:szCs w:val="24"/>
        </w:rPr>
      </w:pPr>
      <w:r w:rsidRPr="00656E0C">
        <w:rPr>
          <w:rFonts w:ascii="Times New Roman" w:hAnsi="Times New Roman" w:cs="Times New Roman"/>
          <w:b/>
          <w:bCs/>
          <w:sz w:val="24"/>
          <w:szCs w:val="24"/>
        </w:rPr>
        <w:t>Data Calculation Approach:</w:t>
      </w:r>
      <w:r w:rsidRPr="00656E0C">
        <w:rPr>
          <w:rFonts w:ascii="Times New Roman" w:eastAsia="Times New Roman" w:hAnsi="Times New Roman" w:cs="Times New Roman"/>
          <w:sz w:val="24"/>
          <w:szCs w:val="24"/>
        </w:rPr>
        <w:t xml:space="preserve"> The CHIA Adult Readmissions measure will be calculated using data submitted quarterly to the Massachusetts Hospital Inpatient Discharge Database. No direct electronic data file reporting to EOHHS is required for this measure. </w:t>
      </w:r>
      <w:r w:rsidRPr="00656E0C">
        <w:rPr>
          <w:rFonts w:ascii="Times New Roman" w:eastAsia="Times New Roman" w:hAnsi="Times New Roman" w:cs="Times New Roman"/>
          <w:i/>
          <w:iCs/>
          <w:sz w:val="24"/>
          <w:szCs w:val="24"/>
          <w:u w:val="single"/>
        </w:rPr>
        <w:t>For more information, visit https://www.chiamass.gov/hospital-wide-adult-all-payer-readmissions-in-massachusetts</w:t>
      </w:r>
    </w:p>
    <w:p w14:paraId="6DB1D682" w14:textId="63E1BF9C" w:rsidR="00DB5200" w:rsidRPr="00451002" w:rsidRDefault="00034DCB" w:rsidP="00864313">
      <w:pPr>
        <w:pStyle w:val="Heading2"/>
        <w:spacing w:before="480"/>
      </w:pPr>
      <w:r w:rsidRPr="00451002">
        <w:t xml:space="preserve">Section </w:t>
      </w:r>
      <w:r w:rsidR="001B5670">
        <w:t>11</w:t>
      </w:r>
      <w:r w:rsidRPr="00451002">
        <w:t>: Program Reports</w:t>
      </w:r>
    </w:p>
    <w:p w14:paraId="4617ED89" w14:textId="0BC3E2CC" w:rsidR="004E18DB" w:rsidRPr="00656E0C" w:rsidRDefault="004E18DB" w:rsidP="000A1BF1">
      <w:pPr>
        <w:tabs>
          <w:tab w:val="left" w:pos="10440"/>
        </w:tabs>
        <w:spacing w:line="240" w:lineRule="auto"/>
        <w:ind w:left="360" w:right="72" w:firstLine="0"/>
        <w:jc w:val="both"/>
        <w:rPr>
          <w:rFonts w:ascii="Times New Roman" w:eastAsia="Times New Roman" w:hAnsi="Times New Roman" w:cs="Times New Roman"/>
          <w:sz w:val="24"/>
          <w:szCs w:val="24"/>
        </w:rPr>
      </w:pPr>
      <w:r w:rsidRPr="00656E0C">
        <w:rPr>
          <w:rFonts w:ascii="Times New Roman" w:eastAsia="Times New Roman" w:hAnsi="Times New Roman" w:cs="Times New Roman"/>
          <w:sz w:val="24"/>
          <w:szCs w:val="24"/>
        </w:rPr>
        <w:t xml:space="preserve">The MassHealth Clinical Quality Incentive (CQI) Program publishes hospital-specific reports in the MassQEX Portal to facilitate the data validation process for chart-based measures, to provide </w:t>
      </w:r>
      <w:r w:rsidR="00414E69" w:rsidRPr="00656E0C">
        <w:rPr>
          <w:rFonts w:ascii="Times New Roman" w:eastAsia="Times New Roman" w:hAnsi="Times New Roman" w:cs="Times New Roman"/>
          <w:sz w:val="24"/>
          <w:szCs w:val="24"/>
        </w:rPr>
        <w:t xml:space="preserve">year-end </w:t>
      </w:r>
      <w:r w:rsidRPr="00656E0C">
        <w:rPr>
          <w:rFonts w:ascii="Times New Roman" w:eastAsia="Times New Roman" w:hAnsi="Times New Roman" w:cs="Times New Roman"/>
          <w:sz w:val="24"/>
          <w:szCs w:val="24"/>
        </w:rPr>
        <w:t xml:space="preserve">quality measure results for program measures, and to share </w:t>
      </w:r>
      <w:r w:rsidR="00385265" w:rsidRPr="00656E0C">
        <w:rPr>
          <w:rFonts w:ascii="Times New Roman" w:eastAsia="Times New Roman" w:hAnsi="Times New Roman" w:cs="Times New Roman"/>
          <w:sz w:val="24"/>
          <w:szCs w:val="24"/>
        </w:rPr>
        <w:t>the calculated hospital quality performance score (QPS)</w:t>
      </w:r>
      <w:r w:rsidRPr="00656E0C">
        <w:rPr>
          <w:rFonts w:ascii="Times New Roman" w:eastAsia="Times New Roman" w:hAnsi="Times New Roman" w:cs="Times New Roman"/>
          <w:sz w:val="24"/>
          <w:szCs w:val="24"/>
        </w:rPr>
        <w:t xml:space="preserve">. </w:t>
      </w:r>
    </w:p>
    <w:p w14:paraId="700AC8BD" w14:textId="7222FD5A" w:rsidR="004E18DB" w:rsidRPr="002A5E07" w:rsidRDefault="004E18DB" w:rsidP="002A5E07">
      <w:pPr>
        <w:pStyle w:val="Heading3"/>
        <w:spacing w:after="240"/>
        <w:jc w:val="left"/>
        <w:rPr>
          <w:sz w:val="24"/>
          <w:szCs w:val="24"/>
        </w:rPr>
      </w:pPr>
      <w:bookmarkStart w:id="17" w:name="_Toc185507759"/>
      <w:r w:rsidRPr="002A5E07">
        <w:rPr>
          <w:sz w:val="24"/>
          <w:szCs w:val="24"/>
        </w:rPr>
        <w:t xml:space="preserve">Instructions for Accessing </w:t>
      </w:r>
      <w:r w:rsidR="00385265" w:rsidRPr="002A5E07">
        <w:rPr>
          <w:sz w:val="24"/>
          <w:szCs w:val="24"/>
        </w:rPr>
        <w:t>Program</w:t>
      </w:r>
      <w:r w:rsidRPr="002A5E07">
        <w:rPr>
          <w:sz w:val="24"/>
          <w:szCs w:val="24"/>
        </w:rPr>
        <w:t xml:space="preserve"> Reports</w:t>
      </w:r>
      <w:bookmarkEnd w:id="17"/>
      <w:r w:rsidRPr="002A5E07">
        <w:rPr>
          <w:sz w:val="24"/>
          <w:szCs w:val="24"/>
        </w:rPr>
        <w:t> </w:t>
      </w:r>
      <w:r w:rsidR="00385265" w:rsidRPr="002A5E07">
        <w:rPr>
          <w:sz w:val="24"/>
          <w:szCs w:val="24"/>
        </w:rPr>
        <w:t>on MassQEX</w:t>
      </w:r>
    </w:p>
    <w:p w14:paraId="68C3ED13" w14:textId="0F4DCB9D" w:rsidR="004E18DB" w:rsidRPr="00656E0C" w:rsidRDefault="004E18DB" w:rsidP="001B5670">
      <w:pPr>
        <w:numPr>
          <w:ilvl w:val="0"/>
          <w:numId w:val="8"/>
        </w:numPr>
        <w:spacing w:after="160" w:line="259" w:lineRule="auto"/>
        <w:rPr>
          <w:rFonts w:ascii="Times New Roman" w:hAnsi="Times New Roman" w:cs="Times New Roman"/>
          <w:b/>
          <w:bCs/>
          <w:sz w:val="24"/>
          <w:szCs w:val="24"/>
        </w:rPr>
      </w:pPr>
      <w:r w:rsidRPr="00656E0C">
        <w:rPr>
          <w:rFonts w:ascii="Times New Roman" w:hAnsi="Times New Roman" w:cs="Times New Roman"/>
          <w:sz w:val="24"/>
          <w:szCs w:val="24"/>
        </w:rPr>
        <w:t xml:space="preserve">On the </w:t>
      </w:r>
      <w:hyperlink r:id="rId14" w:history="1">
        <w:r w:rsidRPr="00656E0C">
          <w:rPr>
            <w:rStyle w:val="Hyperlink"/>
            <w:rFonts w:ascii="Times New Roman" w:hAnsi="Times New Roman" w:cs="Times New Roman"/>
            <w:sz w:val="24"/>
            <w:szCs w:val="24"/>
          </w:rPr>
          <w:t>MassQEX</w:t>
        </w:r>
      </w:hyperlink>
      <w:r w:rsidRPr="00656E0C">
        <w:rPr>
          <w:rFonts w:ascii="Times New Roman" w:hAnsi="Times New Roman" w:cs="Times New Roman"/>
          <w:sz w:val="24"/>
          <w:szCs w:val="24"/>
        </w:rPr>
        <w:t xml:space="preserve"> portal homepage </w:t>
      </w:r>
      <w:r w:rsidRPr="00656E0C">
        <w:rPr>
          <w:rFonts w:ascii="Times New Roman" w:hAnsi="Times New Roman" w:cs="Times New Roman"/>
          <w:b/>
          <w:bCs/>
          <w:sz w:val="24"/>
          <w:szCs w:val="24"/>
        </w:rPr>
        <w:t>Account Log-in</w:t>
      </w:r>
      <w:r w:rsidRPr="00656E0C">
        <w:rPr>
          <w:rFonts w:ascii="Times New Roman" w:hAnsi="Times New Roman" w:cs="Times New Roman"/>
          <w:sz w:val="24"/>
          <w:szCs w:val="24"/>
        </w:rPr>
        <w:t xml:space="preserve">, enter your MassQEX User-Name and Password. Once logged in, </w:t>
      </w:r>
      <w:r w:rsidR="00D32FE5" w:rsidRPr="00656E0C">
        <w:rPr>
          <w:rFonts w:ascii="Times New Roman" w:hAnsi="Times New Roman" w:cs="Times New Roman"/>
          <w:sz w:val="24"/>
          <w:szCs w:val="24"/>
        </w:rPr>
        <w:t>navigate to the CQI program page. U</w:t>
      </w:r>
      <w:r w:rsidRPr="00656E0C">
        <w:rPr>
          <w:rFonts w:ascii="Times New Roman" w:hAnsi="Times New Roman" w:cs="Times New Roman"/>
          <w:sz w:val="24"/>
          <w:szCs w:val="24"/>
        </w:rPr>
        <w:t xml:space="preserve">nder the </w:t>
      </w:r>
      <w:r w:rsidRPr="00656E0C">
        <w:rPr>
          <w:rFonts w:ascii="Times New Roman" w:hAnsi="Times New Roman" w:cs="Times New Roman"/>
          <w:b/>
          <w:bCs/>
          <w:sz w:val="24"/>
          <w:szCs w:val="24"/>
        </w:rPr>
        <w:t>Getting Started</w:t>
      </w:r>
      <w:r w:rsidRPr="00656E0C">
        <w:rPr>
          <w:rFonts w:ascii="Times New Roman" w:hAnsi="Times New Roman" w:cs="Times New Roman"/>
          <w:sz w:val="24"/>
          <w:szCs w:val="24"/>
        </w:rPr>
        <w:t xml:space="preserve"> header on the right side of screen, select </w:t>
      </w:r>
      <w:r w:rsidRPr="00656E0C">
        <w:rPr>
          <w:rFonts w:ascii="Times New Roman" w:hAnsi="Times New Roman" w:cs="Times New Roman"/>
          <w:b/>
          <w:bCs/>
          <w:sz w:val="24"/>
          <w:szCs w:val="24"/>
        </w:rPr>
        <w:t>MassQEX Year-End Reports</w:t>
      </w:r>
      <w:r w:rsidRPr="00656E0C">
        <w:rPr>
          <w:rFonts w:ascii="Times New Roman" w:hAnsi="Times New Roman" w:cs="Times New Roman"/>
          <w:sz w:val="24"/>
          <w:szCs w:val="24"/>
        </w:rPr>
        <w:t xml:space="preserve"> link.  </w:t>
      </w:r>
    </w:p>
    <w:p w14:paraId="3F6AD9D4" w14:textId="70A34251" w:rsidR="004E18DB" w:rsidRPr="00656E0C" w:rsidRDefault="004E18DB" w:rsidP="001B5670">
      <w:pPr>
        <w:numPr>
          <w:ilvl w:val="0"/>
          <w:numId w:val="8"/>
        </w:numPr>
        <w:spacing w:after="160" w:line="259" w:lineRule="auto"/>
        <w:rPr>
          <w:rFonts w:ascii="Times New Roman" w:hAnsi="Times New Roman" w:cs="Times New Roman"/>
          <w:b/>
          <w:bCs/>
          <w:i/>
          <w:iCs/>
          <w:sz w:val="24"/>
          <w:szCs w:val="24"/>
        </w:rPr>
      </w:pPr>
      <w:r w:rsidRPr="00656E0C">
        <w:rPr>
          <w:rFonts w:ascii="Times New Roman" w:hAnsi="Times New Roman" w:cs="Times New Roman"/>
          <w:sz w:val="24"/>
          <w:szCs w:val="24"/>
        </w:rPr>
        <w:t xml:space="preserve">Select the applicable </w:t>
      </w:r>
      <w:r w:rsidRPr="00656E0C">
        <w:rPr>
          <w:rFonts w:ascii="Times New Roman" w:hAnsi="Times New Roman" w:cs="Times New Roman"/>
          <w:b/>
          <w:bCs/>
          <w:sz w:val="24"/>
          <w:szCs w:val="24"/>
        </w:rPr>
        <w:t>Rate Year</w:t>
      </w:r>
      <w:r w:rsidRPr="00656E0C">
        <w:rPr>
          <w:rFonts w:ascii="Times New Roman" w:hAnsi="Times New Roman" w:cs="Times New Roman"/>
          <w:sz w:val="24"/>
          <w:szCs w:val="24"/>
        </w:rPr>
        <w:t xml:space="preserve"> (e.g. RY2023) from the drop-down box.  Then select </w:t>
      </w:r>
      <w:r w:rsidRPr="00656E0C">
        <w:rPr>
          <w:rFonts w:ascii="Times New Roman" w:hAnsi="Times New Roman" w:cs="Times New Roman"/>
          <w:b/>
          <w:bCs/>
          <w:sz w:val="24"/>
          <w:szCs w:val="24"/>
        </w:rPr>
        <w:t>List Reports</w:t>
      </w:r>
      <w:r w:rsidRPr="00656E0C">
        <w:rPr>
          <w:rFonts w:ascii="Times New Roman" w:hAnsi="Times New Roman" w:cs="Times New Roman"/>
          <w:sz w:val="24"/>
          <w:szCs w:val="24"/>
        </w:rPr>
        <w:t xml:space="preserve"> and the reports page for your hospital will display.  </w:t>
      </w:r>
      <w:r w:rsidRPr="00656E0C">
        <w:rPr>
          <w:rFonts w:ascii="Times New Roman" w:hAnsi="Times New Roman" w:cs="Times New Roman"/>
          <w:i/>
          <w:iCs/>
          <w:sz w:val="24"/>
          <w:szCs w:val="24"/>
        </w:rPr>
        <w:t>Note: Only reports for the hospital linked to your MassQEX account will be displayed.</w:t>
      </w:r>
    </w:p>
    <w:p w14:paraId="01337163" w14:textId="77777777" w:rsidR="004E18DB" w:rsidRPr="00656E0C" w:rsidRDefault="004E18DB" w:rsidP="001B5670">
      <w:pPr>
        <w:numPr>
          <w:ilvl w:val="0"/>
          <w:numId w:val="8"/>
        </w:numPr>
        <w:spacing w:after="160" w:line="259" w:lineRule="auto"/>
        <w:rPr>
          <w:rFonts w:ascii="Times New Roman" w:hAnsi="Times New Roman" w:cs="Times New Roman"/>
          <w:b/>
          <w:bCs/>
          <w:sz w:val="24"/>
          <w:szCs w:val="24"/>
        </w:rPr>
      </w:pPr>
      <w:r w:rsidRPr="00656E0C">
        <w:rPr>
          <w:rFonts w:ascii="Times New Roman" w:hAnsi="Times New Roman" w:cs="Times New Roman"/>
          <w:sz w:val="24"/>
          <w:szCs w:val="24"/>
        </w:rPr>
        <w:t xml:space="preserve">The left side of the screen will display report type headers and links to available reports.  Select a report link, a Personal Health Information (PHI)/Personally Identifiable Information (PII) acknowledgement statement will pop-up. Select “Ok” to accept and proceed.  </w:t>
      </w:r>
    </w:p>
    <w:p w14:paraId="2D918E80" w14:textId="11EC1AC1" w:rsidR="004E18DB" w:rsidRPr="00656E0C" w:rsidRDefault="004E18DB" w:rsidP="001B5670">
      <w:pPr>
        <w:numPr>
          <w:ilvl w:val="0"/>
          <w:numId w:val="8"/>
        </w:numPr>
        <w:spacing w:after="160" w:line="259" w:lineRule="auto"/>
        <w:rPr>
          <w:rFonts w:ascii="Times New Roman" w:hAnsi="Times New Roman" w:cs="Times New Roman"/>
          <w:b/>
          <w:bCs/>
          <w:sz w:val="24"/>
          <w:szCs w:val="24"/>
        </w:rPr>
      </w:pPr>
      <w:r w:rsidRPr="00656E0C">
        <w:rPr>
          <w:rFonts w:ascii="Times New Roman" w:hAnsi="Times New Roman" w:cs="Times New Roman"/>
          <w:sz w:val="24"/>
          <w:szCs w:val="24"/>
        </w:rPr>
        <w:t xml:space="preserve">The PDF report document will download and display at the bottom left of screen. </w:t>
      </w:r>
    </w:p>
    <w:p w14:paraId="635C4BB0" w14:textId="77777777" w:rsidR="004E18DB" w:rsidRPr="00656E0C" w:rsidRDefault="004E18DB" w:rsidP="004E18DB">
      <w:pPr>
        <w:tabs>
          <w:tab w:val="left" w:pos="10440"/>
        </w:tabs>
        <w:spacing w:line="240" w:lineRule="auto"/>
        <w:ind w:right="72"/>
        <w:jc w:val="both"/>
        <w:rPr>
          <w:rFonts w:ascii="Times New Roman" w:eastAsia="Times New Roman" w:hAnsi="Times New Roman" w:cs="Times New Roman"/>
          <w:sz w:val="24"/>
          <w:szCs w:val="24"/>
        </w:rPr>
      </w:pPr>
      <w:r w:rsidRPr="00656E0C">
        <w:rPr>
          <w:rFonts w:ascii="Times New Roman" w:eastAsia="Times New Roman" w:hAnsi="Times New Roman" w:cs="Times New Roman"/>
          <w:sz w:val="24"/>
          <w:szCs w:val="24"/>
        </w:rPr>
        <w:t xml:space="preserve">Questions on reports should be directed to the MassQEX help desk at </w:t>
      </w:r>
      <w:hyperlink r:id="rId15" w:history="1">
        <w:r w:rsidRPr="00656E0C">
          <w:rPr>
            <w:rStyle w:val="Hyperlink"/>
            <w:rFonts w:ascii="Times New Roman" w:hAnsi="Times New Roman" w:cs="Times New Roman"/>
            <w:sz w:val="24"/>
            <w:szCs w:val="24"/>
          </w:rPr>
          <w:t>massqexhelp@telligen.com</w:t>
        </w:r>
      </w:hyperlink>
      <w:r w:rsidRPr="00656E0C">
        <w:rPr>
          <w:rStyle w:val="Hyperlink"/>
          <w:rFonts w:ascii="Times New Roman" w:hAnsi="Times New Roman" w:cs="Times New Roman"/>
          <w:sz w:val="24"/>
          <w:szCs w:val="24"/>
        </w:rPr>
        <w:t>.</w:t>
      </w:r>
    </w:p>
    <w:p w14:paraId="66D07A7F" w14:textId="77777777" w:rsidR="004E18DB" w:rsidRPr="002A5E07" w:rsidRDefault="004E18DB" w:rsidP="002A5E07">
      <w:pPr>
        <w:pStyle w:val="Heading3"/>
        <w:spacing w:after="240"/>
        <w:jc w:val="left"/>
        <w:rPr>
          <w:sz w:val="24"/>
          <w:szCs w:val="24"/>
        </w:rPr>
      </w:pPr>
      <w:bookmarkStart w:id="18" w:name="_Toc185507760"/>
      <w:r w:rsidRPr="002A5E07">
        <w:rPr>
          <w:sz w:val="24"/>
          <w:szCs w:val="24"/>
        </w:rPr>
        <w:t>Report Posting Schedule</w:t>
      </w:r>
      <w:bookmarkEnd w:id="18"/>
    </w:p>
    <w:p w14:paraId="66F858FD" w14:textId="77777777" w:rsidR="004E18DB" w:rsidRPr="00656E0C" w:rsidRDefault="004E18DB" w:rsidP="004E18DB">
      <w:pPr>
        <w:tabs>
          <w:tab w:val="left" w:pos="10440"/>
        </w:tabs>
        <w:spacing w:line="240" w:lineRule="auto"/>
        <w:ind w:right="72"/>
        <w:jc w:val="both"/>
        <w:rPr>
          <w:rFonts w:ascii="Times New Roman" w:eastAsia="Times New Roman" w:hAnsi="Times New Roman" w:cs="Times New Roman"/>
          <w:bCs/>
          <w:sz w:val="24"/>
          <w:szCs w:val="24"/>
        </w:rPr>
      </w:pPr>
      <w:r w:rsidRPr="00656E0C">
        <w:rPr>
          <w:rFonts w:ascii="Times New Roman" w:eastAsia="Times New Roman" w:hAnsi="Times New Roman" w:cs="Times New Roman"/>
          <w:bCs/>
          <w:sz w:val="24"/>
          <w:szCs w:val="24"/>
        </w:rPr>
        <w:t>The report posting schedule is as follows:</w:t>
      </w:r>
    </w:p>
    <w:p w14:paraId="607ACF9B" w14:textId="60C6AE36" w:rsidR="004E18DB" w:rsidRPr="0010226D" w:rsidRDefault="004E18DB" w:rsidP="0010226D">
      <w:pPr>
        <w:pStyle w:val="ListParagraph"/>
        <w:rPr>
          <w:rFonts w:ascii="Times New Roman" w:hAnsi="Times New Roman" w:cs="Times New Roman"/>
          <w:b/>
          <w:bCs/>
          <w:sz w:val="24"/>
          <w:szCs w:val="24"/>
        </w:rPr>
      </w:pPr>
      <w:r w:rsidRPr="0010226D">
        <w:rPr>
          <w:rFonts w:ascii="Times New Roman" w:hAnsi="Times New Roman" w:cs="Times New Roman"/>
          <w:b/>
          <w:bCs/>
          <w:sz w:val="24"/>
          <w:szCs w:val="24"/>
        </w:rPr>
        <w:t>Table 1</w:t>
      </w:r>
      <w:r w:rsidR="00232625" w:rsidRPr="0010226D">
        <w:rPr>
          <w:rFonts w:ascii="Times New Roman" w:hAnsi="Times New Roman" w:cs="Times New Roman"/>
          <w:b/>
          <w:bCs/>
          <w:sz w:val="24"/>
          <w:szCs w:val="24"/>
        </w:rPr>
        <w:t>1-1</w:t>
      </w:r>
      <w:r w:rsidRPr="0010226D">
        <w:rPr>
          <w:rFonts w:ascii="Times New Roman" w:hAnsi="Times New Roman" w:cs="Times New Roman"/>
          <w:b/>
          <w:bCs/>
          <w:sz w:val="24"/>
          <w:szCs w:val="24"/>
        </w:rPr>
        <w:t>: CQI Program Report Posting Schedule</w:t>
      </w:r>
    </w:p>
    <w:tbl>
      <w:tblPr>
        <w:tblStyle w:val="TableGrid"/>
        <w:tblW w:w="0" w:type="auto"/>
        <w:tblLook w:val="04A0" w:firstRow="1" w:lastRow="0" w:firstColumn="1" w:lastColumn="0" w:noHBand="0" w:noVBand="1"/>
      </w:tblPr>
      <w:tblGrid>
        <w:gridCol w:w="4585"/>
        <w:gridCol w:w="5580"/>
      </w:tblGrid>
      <w:tr w:rsidR="004E18DB" w:rsidRPr="00CA5F81" w14:paraId="447FEC15" w14:textId="77777777" w:rsidTr="00656E0C">
        <w:tc>
          <w:tcPr>
            <w:tcW w:w="4585" w:type="dxa"/>
            <w:shd w:val="clear" w:color="auto" w:fill="BFBFBF" w:themeFill="background1" w:themeFillShade="BF"/>
          </w:tcPr>
          <w:p w14:paraId="627B4426" w14:textId="77777777" w:rsidR="004E18DB" w:rsidRPr="00CA5F81" w:rsidRDefault="004E18DB">
            <w:pPr>
              <w:tabs>
                <w:tab w:val="left" w:pos="10440"/>
              </w:tabs>
              <w:jc w:val="both"/>
              <w:rPr>
                <w:b/>
              </w:rPr>
            </w:pPr>
            <w:r w:rsidRPr="00CA5F81">
              <w:rPr>
                <w:rFonts w:cstheme="minorBidi"/>
                <w:b/>
              </w:rPr>
              <w:t>Report Name</w:t>
            </w:r>
          </w:p>
        </w:tc>
        <w:tc>
          <w:tcPr>
            <w:tcW w:w="5580" w:type="dxa"/>
            <w:shd w:val="clear" w:color="auto" w:fill="BFBFBF" w:themeFill="background1" w:themeFillShade="BF"/>
          </w:tcPr>
          <w:p w14:paraId="2DF253A7" w14:textId="77777777" w:rsidR="004E18DB" w:rsidRPr="00CA5F81" w:rsidRDefault="004E18DB">
            <w:pPr>
              <w:tabs>
                <w:tab w:val="left" w:pos="10440"/>
              </w:tabs>
              <w:rPr>
                <w:b/>
              </w:rPr>
            </w:pPr>
            <w:r w:rsidRPr="00CA5F81">
              <w:rPr>
                <w:rFonts w:cstheme="minorBidi"/>
                <w:b/>
              </w:rPr>
              <w:t>Posting Frequency and Date</w:t>
            </w:r>
          </w:p>
        </w:tc>
      </w:tr>
      <w:tr w:rsidR="004E18DB" w:rsidRPr="00CA5F81" w14:paraId="43964700" w14:textId="77777777" w:rsidTr="00656E0C">
        <w:tc>
          <w:tcPr>
            <w:tcW w:w="4585" w:type="dxa"/>
          </w:tcPr>
          <w:p w14:paraId="7A90C73A" w14:textId="77777777" w:rsidR="004E18DB" w:rsidRPr="00CA5F81" w:rsidRDefault="004E18DB" w:rsidP="00CA5F81">
            <w:pPr>
              <w:tabs>
                <w:tab w:val="left" w:pos="10440"/>
              </w:tabs>
              <w:jc w:val="both"/>
              <w:rPr>
                <w:bCs/>
              </w:rPr>
            </w:pPr>
            <w:r w:rsidRPr="00CA5F81">
              <w:rPr>
                <w:rFonts w:cstheme="minorBidi"/>
                <w:bCs/>
              </w:rPr>
              <w:t xml:space="preserve">Medical Record Case List Request </w:t>
            </w:r>
          </w:p>
        </w:tc>
        <w:tc>
          <w:tcPr>
            <w:tcW w:w="5580" w:type="dxa"/>
          </w:tcPr>
          <w:p w14:paraId="1F3807F7" w14:textId="77777777" w:rsidR="004E18DB" w:rsidRPr="00CA5F81" w:rsidRDefault="004E18DB">
            <w:pPr>
              <w:tabs>
                <w:tab w:val="left" w:pos="10440"/>
              </w:tabs>
              <w:jc w:val="both"/>
            </w:pPr>
            <w:r w:rsidRPr="00CA5F81">
              <w:rPr>
                <w:rFonts w:cstheme="minorBidi"/>
              </w:rPr>
              <w:t>Post within 2 weeks following portal close, as applicable</w:t>
            </w:r>
          </w:p>
        </w:tc>
      </w:tr>
      <w:tr w:rsidR="004E18DB" w:rsidRPr="00CA5F81" w14:paraId="6C98FBAF" w14:textId="77777777" w:rsidTr="00656E0C">
        <w:tc>
          <w:tcPr>
            <w:tcW w:w="4585" w:type="dxa"/>
          </w:tcPr>
          <w:p w14:paraId="772EB4A5" w14:textId="77777777" w:rsidR="004E18DB" w:rsidRPr="00CA5F81" w:rsidRDefault="004E18DB" w:rsidP="00CA5F81">
            <w:pPr>
              <w:tabs>
                <w:tab w:val="left" w:pos="10440"/>
              </w:tabs>
              <w:jc w:val="both"/>
              <w:rPr>
                <w:bCs/>
              </w:rPr>
            </w:pPr>
            <w:r w:rsidRPr="00CA5F81">
              <w:rPr>
                <w:rFonts w:cstheme="minorBidi"/>
                <w:bCs/>
              </w:rPr>
              <w:t>Year-End Data Validation Results</w:t>
            </w:r>
          </w:p>
        </w:tc>
        <w:tc>
          <w:tcPr>
            <w:tcW w:w="5580" w:type="dxa"/>
          </w:tcPr>
          <w:p w14:paraId="55D5227D" w14:textId="77777777" w:rsidR="004E18DB" w:rsidRPr="00CA5F81" w:rsidRDefault="004E18DB">
            <w:pPr>
              <w:tabs>
                <w:tab w:val="left" w:pos="10440"/>
              </w:tabs>
            </w:pPr>
            <w:r w:rsidRPr="00CA5F81">
              <w:rPr>
                <w:rFonts w:cstheme="minorBidi"/>
              </w:rPr>
              <w:t>Yearly, ~6 months following Q3 medical record submission</w:t>
            </w:r>
          </w:p>
        </w:tc>
      </w:tr>
      <w:tr w:rsidR="004E18DB" w:rsidRPr="00CA5F81" w14:paraId="454FE982" w14:textId="77777777" w:rsidTr="00656E0C">
        <w:tc>
          <w:tcPr>
            <w:tcW w:w="4585" w:type="dxa"/>
          </w:tcPr>
          <w:p w14:paraId="43FC6674" w14:textId="77777777" w:rsidR="004E18DB" w:rsidRPr="00CA5F81" w:rsidRDefault="004E18DB" w:rsidP="00CA5F81">
            <w:pPr>
              <w:tabs>
                <w:tab w:val="left" w:pos="10440"/>
              </w:tabs>
              <w:jc w:val="both"/>
              <w:rPr>
                <w:bCs/>
              </w:rPr>
            </w:pPr>
            <w:r w:rsidRPr="00CA5F81">
              <w:rPr>
                <w:rFonts w:cstheme="minorBidi"/>
                <w:bCs/>
              </w:rPr>
              <w:t xml:space="preserve">Year-End Validation Record Detail </w:t>
            </w:r>
          </w:p>
        </w:tc>
        <w:tc>
          <w:tcPr>
            <w:tcW w:w="5580" w:type="dxa"/>
          </w:tcPr>
          <w:p w14:paraId="44F34FF9" w14:textId="77777777" w:rsidR="004E18DB" w:rsidRPr="00CA5F81" w:rsidRDefault="004E18DB">
            <w:pPr>
              <w:tabs>
                <w:tab w:val="left" w:pos="10440"/>
              </w:tabs>
              <w:jc w:val="both"/>
            </w:pPr>
            <w:r w:rsidRPr="00CA5F81">
              <w:rPr>
                <w:rFonts w:cstheme="minorBidi"/>
              </w:rPr>
              <w:t>Yearly, ~6 months following Q3 medical record submission</w:t>
            </w:r>
          </w:p>
        </w:tc>
      </w:tr>
      <w:tr w:rsidR="004E18DB" w:rsidRPr="00CA5F81" w14:paraId="24DAFF23" w14:textId="77777777" w:rsidTr="00656E0C">
        <w:tc>
          <w:tcPr>
            <w:tcW w:w="4585" w:type="dxa"/>
          </w:tcPr>
          <w:p w14:paraId="25BE0934" w14:textId="77777777" w:rsidR="004E18DB" w:rsidRPr="00CA5F81" w:rsidRDefault="004E18DB" w:rsidP="00CA5F81">
            <w:pPr>
              <w:tabs>
                <w:tab w:val="left" w:pos="10440"/>
              </w:tabs>
              <w:jc w:val="both"/>
            </w:pPr>
            <w:r w:rsidRPr="00CA5F81">
              <w:rPr>
                <w:rFonts w:cstheme="minorBidi"/>
              </w:rPr>
              <w:t xml:space="preserve">Validation Data Element Comments </w:t>
            </w:r>
          </w:p>
        </w:tc>
        <w:tc>
          <w:tcPr>
            <w:tcW w:w="5580" w:type="dxa"/>
          </w:tcPr>
          <w:p w14:paraId="0673D5BA" w14:textId="77777777" w:rsidR="004E18DB" w:rsidRPr="00CA5F81" w:rsidRDefault="004E18DB">
            <w:pPr>
              <w:tabs>
                <w:tab w:val="left" w:pos="10440"/>
              </w:tabs>
              <w:jc w:val="both"/>
            </w:pPr>
            <w:r w:rsidRPr="00CA5F81">
              <w:rPr>
                <w:rFonts w:cstheme="minorBidi"/>
              </w:rPr>
              <w:t>Yearly, ~6 months following Q3 medical record submission</w:t>
            </w:r>
          </w:p>
        </w:tc>
      </w:tr>
      <w:tr w:rsidR="004E18DB" w:rsidRPr="00CA5F81" w14:paraId="3B1FBDD9" w14:textId="77777777" w:rsidTr="00656E0C">
        <w:tc>
          <w:tcPr>
            <w:tcW w:w="4585" w:type="dxa"/>
          </w:tcPr>
          <w:p w14:paraId="007AAEE5" w14:textId="77777777" w:rsidR="004E18DB" w:rsidRPr="00CA5F81" w:rsidRDefault="004E18DB" w:rsidP="00CA5F81">
            <w:pPr>
              <w:tabs>
                <w:tab w:val="left" w:pos="10440"/>
              </w:tabs>
              <w:jc w:val="both"/>
              <w:rPr>
                <w:bCs/>
              </w:rPr>
            </w:pPr>
            <w:r w:rsidRPr="00CA5F81">
              <w:rPr>
                <w:rFonts w:cstheme="minorBidi"/>
                <w:bCs/>
              </w:rPr>
              <w:t>Year-End Chart-Based Measure Results</w:t>
            </w:r>
          </w:p>
        </w:tc>
        <w:tc>
          <w:tcPr>
            <w:tcW w:w="5580" w:type="dxa"/>
          </w:tcPr>
          <w:p w14:paraId="7D943E1C" w14:textId="77777777" w:rsidR="004E18DB" w:rsidRPr="00CA5F81" w:rsidRDefault="004E18DB">
            <w:pPr>
              <w:tabs>
                <w:tab w:val="left" w:pos="10440"/>
              </w:tabs>
              <w:jc w:val="both"/>
              <w:rPr>
                <w:bCs/>
              </w:rPr>
            </w:pPr>
            <w:r w:rsidRPr="00CA5F81">
              <w:rPr>
                <w:rFonts w:cstheme="minorBidi"/>
                <w:bCs/>
              </w:rPr>
              <w:t>Yearly, December</w:t>
            </w:r>
          </w:p>
        </w:tc>
      </w:tr>
      <w:tr w:rsidR="004E18DB" w:rsidRPr="00CA5F81" w14:paraId="04156771" w14:textId="77777777" w:rsidTr="00656E0C">
        <w:tc>
          <w:tcPr>
            <w:tcW w:w="4585" w:type="dxa"/>
          </w:tcPr>
          <w:p w14:paraId="4BC2EEA5" w14:textId="77777777" w:rsidR="004E18DB" w:rsidRPr="00CA5F81" w:rsidRDefault="004E18DB" w:rsidP="00CA5F81">
            <w:pPr>
              <w:tabs>
                <w:tab w:val="left" w:pos="10440"/>
              </w:tabs>
              <w:jc w:val="both"/>
              <w:rPr>
                <w:bCs/>
              </w:rPr>
            </w:pPr>
            <w:r w:rsidRPr="00CA5F81">
              <w:rPr>
                <w:rFonts w:cstheme="minorBidi"/>
                <w:bCs/>
              </w:rPr>
              <w:t xml:space="preserve">Year-End Safety Outcome Measure Report </w:t>
            </w:r>
          </w:p>
        </w:tc>
        <w:tc>
          <w:tcPr>
            <w:tcW w:w="5580" w:type="dxa"/>
          </w:tcPr>
          <w:p w14:paraId="104A0E5B" w14:textId="77777777" w:rsidR="004E18DB" w:rsidRPr="00CA5F81" w:rsidRDefault="004E18DB">
            <w:pPr>
              <w:tabs>
                <w:tab w:val="left" w:pos="10440"/>
              </w:tabs>
              <w:jc w:val="both"/>
              <w:rPr>
                <w:bCs/>
              </w:rPr>
            </w:pPr>
            <w:r w:rsidRPr="00CA5F81">
              <w:rPr>
                <w:rFonts w:cstheme="minorBidi"/>
                <w:bCs/>
              </w:rPr>
              <w:t>Yearly, December</w:t>
            </w:r>
          </w:p>
        </w:tc>
      </w:tr>
      <w:tr w:rsidR="004E18DB" w:rsidRPr="00CA5F81" w14:paraId="76DEFBA5" w14:textId="77777777" w:rsidTr="00656E0C">
        <w:tc>
          <w:tcPr>
            <w:tcW w:w="4585" w:type="dxa"/>
          </w:tcPr>
          <w:p w14:paraId="118C2C9E" w14:textId="77777777" w:rsidR="004E18DB" w:rsidRPr="00CA5F81" w:rsidRDefault="004E18DB" w:rsidP="00CA5F81">
            <w:pPr>
              <w:tabs>
                <w:tab w:val="left" w:pos="10440"/>
              </w:tabs>
              <w:jc w:val="both"/>
              <w:rPr>
                <w:bCs/>
              </w:rPr>
            </w:pPr>
            <w:r w:rsidRPr="00CA5F81">
              <w:rPr>
                <w:rFonts w:cstheme="minorBidi"/>
                <w:bCs/>
              </w:rPr>
              <w:t>Year-End Claims-Based Measure Report</w:t>
            </w:r>
          </w:p>
        </w:tc>
        <w:tc>
          <w:tcPr>
            <w:tcW w:w="5580" w:type="dxa"/>
          </w:tcPr>
          <w:p w14:paraId="4998681D" w14:textId="77777777" w:rsidR="004E18DB" w:rsidRPr="00CA5F81" w:rsidRDefault="004E18DB">
            <w:pPr>
              <w:tabs>
                <w:tab w:val="left" w:pos="10440"/>
              </w:tabs>
              <w:jc w:val="both"/>
              <w:rPr>
                <w:bCs/>
              </w:rPr>
            </w:pPr>
            <w:r w:rsidRPr="00CA5F81">
              <w:rPr>
                <w:rFonts w:cstheme="minorBidi"/>
                <w:bCs/>
              </w:rPr>
              <w:t>Yearly, December</w:t>
            </w:r>
          </w:p>
        </w:tc>
      </w:tr>
      <w:tr w:rsidR="004E18DB" w:rsidRPr="00CA5F81" w14:paraId="715752CA" w14:textId="77777777" w:rsidTr="00656E0C">
        <w:tc>
          <w:tcPr>
            <w:tcW w:w="4585" w:type="dxa"/>
          </w:tcPr>
          <w:p w14:paraId="6368E459" w14:textId="77777777" w:rsidR="004E18DB" w:rsidRPr="00CA5F81" w:rsidRDefault="004E18DB" w:rsidP="00CA5F81">
            <w:pPr>
              <w:tabs>
                <w:tab w:val="left" w:pos="10440"/>
              </w:tabs>
              <w:jc w:val="both"/>
              <w:rPr>
                <w:bCs/>
              </w:rPr>
            </w:pPr>
            <w:r w:rsidRPr="00CA5F81">
              <w:rPr>
                <w:rFonts w:cstheme="minorBidi"/>
                <w:bCs/>
              </w:rPr>
              <w:t>Year-End Data-Entry Measure Report</w:t>
            </w:r>
          </w:p>
        </w:tc>
        <w:tc>
          <w:tcPr>
            <w:tcW w:w="5580" w:type="dxa"/>
          </w:tcPr>
          <w:p w14:paraId="4A0D0A77" w14:textId="77777777" w:rsidR="004E18DB" w:rsidRPr="00CA5F81" w:rsidRDefault="004E18DB">
            <w:pPr>
              <w:tabs>
                <w:tab w:val="left" w:pos="10440"/>
              </w:tabs>
              <w:jc w:val="both"/>
              <w:rPr>
                <w:bCs/>
              </w:rPr>
            </w:pPr>
            <w:r w:rsidRPr="00CA5F81">
              <w:rPr>
                <w:rFonts w:cstheme="minorBidi"/>
                <w:bCs/>
              </w:rPr>
              <w:t>Yearly, December</w:t>
            </w:r>
          </w:p>
        </w:tc>
      </w:tr>
      <w:tr w:rsidR="004E18DB" w:rsidRPr="00CA5F81" w14:paraId="39EBF57D" w14:textId="77777777" w:rsidTr="00656E0C">
        <w:tc>
          <w:tcPr>
            <w:tcW w:w="4585" w:type="dxa"/>
          </w:tcPr>
          <w:p w14:paraId="3E100E3D" w14:textId="77777777" w:rsidR="004E18DB" w:rsidRPr="00CA5F81" w:rsidRDefault="004E18DB" w:rsidP="00CA5F81">
            <w:pPr>
              <w:tabs>
                <w:tab w:val="left" w:pos="10440"/>
              </w:tabs>
              <w:jc w:val="both"/>
              <w:rPr>
                <w:bCs/>
              </w:rPr>
            </w:pPr>
            <w:r w:rsidRPr="00CA5F81">
              <w:rPr>
                <w:rFonts w:cstheme="minorBidi"/>
                <w:bCs/>
              </w:rPr>
              <w:t xml:space="preserve">Year-End Patient Experience Measure Report </w:t>
            </w:r>
          </w:p>
        </w:tc>
        <w:tc>
          <w:tcPr>
            <w:tcW w:w="5580" w:type="dxa"/>
          </w:tcPr>
          <w:p w14:paraId="08FF0192" w14:textId="77777777" w:rsidR="004E18DB" w:rsidRPr="00CA5F81" w:rsidRDefault="004E18DB">
            <w:pPr>
              <w:tabs>
                <w:tab w:val="left" w:pos="10440"/>
              </w:tabs>
              <w:jc w:val="both"/>
              <w:rPr>
                <w:bCs/>
              </w:rPr>
            </w:pPr>
            <w:r w:rsidRPr="00CA5F81">
              <w:rPr>
                <w:rFonts w:cstheme="minorBidi"/>
                <w:bCs/>
              </w:rPr>
              <w:t>Yearly, December</w:t>
            </w:r>
          </w:p>
        </w:tc>
      </w:tr>
      <w:tr w:rsidR="004E18DB" w:rsidRPr="00CA5F81" w14:paraId="3B10ADED" w14:textId="77777777" w:rsidTr="00656E0C">
        <w:tc>
          <w:tcPr>
            <w:tcW w:w="4585" w:type="dxa"/>
          </w:tcPr>
          <w:p w14:paraId="2C357FC6" w14:textId="77777777" w:rsidR="004E18DB" w:rsidRPr="00CA5F81" w:rsidRDefault="004E18DB" w:rsidP="00CA5F81">
            <w:pPr>
              <w:tabs>
                <w:tab w:val="left" w:pos="10440"/>
              </w:tabs>
              <w:jc w:val="both"/>
              <w:rPr>
                <w:bCs/>
              </w:rPr>
            </w:pPr>
            <w:r w:rsidRPr="00CA5F81">
              <w:rPr>
                <w:rFonts w:cstheme="minorBidi"/>
                <w:bCs/>
              </w:rPr>
              <w:t>Quality Performance Score Report</w:t>
            </w:r>
          </w:p>
        </w:tc>
        <w:tc>
          <w:tcPr>
            <w:tcW w:w="5580" w:type="dxa"/>
          </w:tcPr>
          <w:p w14:paraId="1B738DB9" w14:textId="77777777" w:rsidR="004E18DB" w:rsidRPr="00CA5F81" w:rsidRDefault="004E18DB">
            <w:pPr>
              <w:tabs>
                <w:tab w:val="left" w:pos="10440"/>
              </w:tabs>
              <w:jc w:val="both"/>
              <w:rPr>
                <w:bCs/>
              </w:rPr>
            </w:pPr>
            <w:r w:rsidRPr="00CA5F81">
              <w:rPr>
                <w:rFonts w:cstheme="minorBidi"/>
                <w:bCs/>
              </w:rPr>
              <w:t>Yearly, ~3 months following December reports</w:t>
            </w:r>
          </w:p>
        </w:tc>
      </w:tr>
    </w:tbl>
    <w:p w14:paraId="7A66DE89" w14:textId="797CCFAF" w:rsidR="000A2B50" w:rsidRPr="00000E5C" w:rsidRDefault="00FE1BFA" w:rsidP="000D7F9F">
      <w:pPr>
        <w:pStyle w:val="Heading3"/>
        <w:spacing w:before="1200" w:after="240"/>
        <w:jc w:val="left"/>
        <w:rPr>
          <w:sz w:val="24"/>
          <w:szCs w:val="24"/>
        </w:rPr>
      </w:pPr>
      <w:r w:rsidRPr="00000E5C">
        <w:rPr>
          <w:sz w:val="24"/>
          <w:szCs w:val="24"/>
        </w:rPr>
        <w:lastRenderedPageBreak/>
        <w:t>Quality Performance Score (QPS) Report</w:t>
      </w:r>
    </w:p>
    <w:p w14:paraId="42D31215" w14:textId="77777777" w:rsidR="00DA1566" w:rsidRPr="00CA5F81" w:rsidRDefault="00C51EC5" w:rsidP="00143D9B">
      <w:pPr>
        <w:tabs>
          <w:tab w:val="left" w:pos="360"/>
        </w:tabs>
        <w:ind w:left="360" w:firstLine="0"/>
        <w:rPr>
          <w:rFonts w:ascii="Times New Roman" w:hAnsi="Times New Roman" w:cs="Times New Roman"/>
          <w:sz w:val="24"/>
          <w:szCs w:val="24"/>
        </w:rPr>
      </w:pPr>
      <w:r w:rsidRPr="00CA5F81">
        <w:rPr>
          <w:rFonts w:ascii="Times New Roman" w:hAnsi="Times New Roman" w:cs="Times New Roman"/>
          <w:sz w:val="24"/>
          <w:szCs w:val="24"/>
        </w:rPr>
        <w:t>Th</w:t>
      </w:r>
      <w:r w:rsidR="008C4AE6" w:rsidRPr="00CA5F81">
        <w:rPr>
          <w:rFonts w:ascii="Times New Roman" w:hAnsi="Times New Roman" w:cs="Times New Roman"/>
          <w:sz w:val="24"/>
          <w:szCs w:val="24"/>
        </w:rPr>
        <w:t>e Quality Performance Score</w:t>
      </w:r>
      <w:r w:rsidRPr="00CA5F81">
        <w:rPr>
          <w:rFonts w:ascii="Times New Roman" w:hAnsi="Times New Roman" w:cs="Times New Roman"/>
          <w:sz w:val="24"/>
          <w:szCs w:val="24"/>
        </w:rPr>
        <w:t xml:space="preserve"> report includes the results and associated scoring for each program measure as outlined in the performance assessment methodology for the program in Appendix J of the acute hospital RFA.</w:t>
      </w:r>
    </w:p>
    <w:p w14:paraId="63EAF673" w14:textId="6F7C01B3" w:rsidR="000B6020" w:rsidRPr="00CA5F81" w:rsidRDefault="00DA1566" w:rsidP="00D85DE7">
      <w:pPr>
        <w:tabs>
          <w:tab w:val="left" w:pos="360"/>
        </w:tabs>
        <w:ind w:left="360" w:firstLine="0"/>
        <w:rPr>
          <w:rFonts w:ascii="Times New Roman" w:hAnsi="Times New Roman" w:cs="Times New Roman"/>
          <w:sz w:val="24"/>
          <w:szCs w:val="24"/>
          <w:u w:val="single"/>
        </w:rPr>
      </w:pPr>
      <w:r w:rsidRPr="00CA5F81">
        <w:rPr>
          <w:rFonts w:ascii="Times New Roman" w:hAnsi="Times New Roman" w:cs="Times New Roman"/>
          <w:sz w:val="24"/>
          <w:szCs w:val="24"/>
          <w:u w:val="single"/>
        </w:rPr>
        <w:t>General Scoring Notes:</w:t>
      </w:r>
    </w:p>
    <w:p w14:paraId="6F624DD3" w14:textId="00B0BCDB" w:rsidR="00E963FD" w:rsidRPr="00B62CD3" w:rsidRDefault="00C51EC5" w:rsidP="00D74B58">
      <w:pPr>
        <w:pStyle w:val="ListParagraph"/>
        <w:numPr>
          <w:ilvl w:val="0"/>
          <w:numId w:val="14"/>
        </w:numPr>
        <w:tabs>
          <w:tab w:val="left" w:pos="720"/>
        </w:tabs>
        <w:spacing w:before="24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Attainment, improvement, and domain scores are not rounded during the underlying scoring process. </w:t>
      </w:r>
      <w:r w:rsidR="007415EE" w:rsidRPr="00CA5F81">
        <w:rPr>
          <w:rFonts w:ascii="Times New Roman" w:hAnsi="Times New Roman" w:cs="Times New Roman"/>
          <w:sz w:val="24"/>
          <w:szCs w:val="24"/>
        </w:rPr>
        <w:t>However, t</w:t>
      </w:r>
      <w:r w:rsidRPr="00CA5F81">
        <w:rPr>
          <w:rFonts w:ascii="Times New Roman" w:hAnsi="Times New Roman" w:cs="Times New Roman"/>
          <w:sz w:val="24"/>
          <w:szCs w:val="24"/>
        </w:rPr>
        <w:t xml:space="preserve">he final QPS is rounded to the nearest hundredth (e.g., </w:t>
      </w:r>
      <w:r w:rsidR="00AA7EA9">
        <w:rPr>
          <w:rFonts w:ascii="Times New Roman" w:hAnsi="Times New Roman" w:cs="Times New Roman"/>
          <w:sz w:val="24"/>
          <w:szCs w:val="24"/>
        </w:rPr>
        <w:t xml:space="preserve">0.8524 is rounded to </w:t>
      </w:r>
      <w:r w:rsidRPr="00CA5F81">
        <w:rPr>
          <w:rFonts w:ascii="Times New Roman" w:hAnsi="Times New Roman" w:cs="Times New Roman"/>
          <w:sz w:val="24"/>
          <w:szCs w:val="24"/>
        </w:rPr>
        <w:t xml:space="preserve">0.85). </w:t>
      </w:r>
      <w:r w:rsidR="007415EE" w:rsidRPr="00CA5F81">
        <w:rPr>
          <w:rFonts w:ascii="Times New Roman" w:hAnsi="Times New Roman" w:cs="Times New Roman"/>
          <w:sz w:val="24"/>
          <w:szCs w:val="24"/>
        </w:rPr>
        <w:t>F</w:t>
      </w:r>
      <w:r w:rsidRPr="00CA5F81">
        <w:rPr>
          <w:rFonts w:ascii="Times New Roman" w:hAnsi="Times New Roman" w:cs="Times New Roman"/>
          <w:sz w:val="24"/>
          <w:szCs w:val="24"/>
        </w:rPr>
        <w:t xml:space="preserve">or purposes of display on the QPS report, attainment, improvement, and domain scores are </w:t>
      </w:r>
      <w:r w:rsidR="007415EE" w:rsidRPr="00CA5F81">
        <w:rPr>
          <w:rFonts w:ascii="Times New Roman" w:hAnsi="Times New Roman" w:cs="Times New Roman"/>
          <w:sz w:val="24"/>
          <w:szCs w:val="24"/>
        </w:rPr>
        <w:t>displayed as a rounded number</w:t>
      </w:r>
      <w:r w:rsidRPr="00CA5F81">
        <w:rPr>
          <w:rFonts w:ascii="Times New Roman" w:hAnsi="Times New Roman" w:cs="Times New Roman"/>
          <w:sz w:val="24"/>
          <w:szCs w:val="24"/>
        </w:rPr>
        <w:t xml:space="preserve"> to the nearest hundredth</w:t>
      </w:r>
      <w:r w:rsidR="00AA7EA9">
        <w:rPr>
          <w:rFonts w:ascii="Times New Roman" w:hAnsi="Times New Roman" w:cs="Times New Roman"/>
          <w:sz w:val="24"/>
          <w:szCs w:val="24"/>
        </w:rPr>
        <w:t xml:space="preserve"> even though they are not rounded in the calculation until the final QPS</w:t>
      </w:r>
      <w:r w:rsidRPr="00CA5F81">
        <w:rPr>
          <w:rFonts w:ascii="Times New Roman" w:hAnsi="Times New Roman" w:cs="Times New Roman"/>
          <w:sz w:val="24"/>
          <w:szCs w:val="24"/>
        </w:rPr>
        <w:t xml:space="preserve">. </w:t>
      </w:r>
      <w:r w:rsidR="00A501DC" w:rsidRPr="00CA5F81">
        <w:rPr>
          <w:rFonts w:ascii="Times New Roman" w:hAnsi="Times New Roman" w:cs="Times New Roman"/>
          <w:sz w:val="24"/>
          <w:szCs w:val="24"/>
        </w:rPr>
        <w:t xml:space="preserve">Per the Acute Hospital RFA, attainment points are capped at 9. </w:t>
      </w:r>
    </w:p>
    <w:p w14:paraId="26518FED" w14:textId="18450114" w:rsidR="000C5B70" w:rsidRPr="00B62CD3" w:rsidRDefault="002924A6" w:rsidP="00D74B58">
      <w:pPr>
        <w:pStyle w:val="ListParagraph"/>
        <w:numPr>
          <w:ilvl w:val="0"/>
          <w:numId w:val="14"/>
        </w:numPr>
        <w:tabs>
          <w:tab w:val="left" w:pos="720"/>
        </w:tabs>
        <w:spacing w:before="240"/>
        <w:contextualSpacing w:val="0"/>
        <w:rPr>
          <w:rFonts w:ascii="Times New Roman" w:hAnsi="Times New Roman" w:cs="Times New Roman"/>
          <w:sz w:val="24"/>
          <w:szCs w:val="24"/>
        </w:rPr>
      </w:pPr>
      <w:r w:rsidRPr="00CA5F81">
        <w:rPr>
          <w:rFonts w:ascii="Times New Roman" w:hAnsi="Times New Roman" w:cs="Times New Roman"/>
          <w:sz w:val="24"/>
          <w:szCs w:val="24"/>
        </w:rPr>
        <w:t>H</w:t>
      </w:r>
      <w:r w:rsidR="002A71B5" w:rsidRPr="00CA5F81">
        <w:rPr>
          <w:rFonts w:ascii="Times New Roman" w:hAnsi="Times New Roman" w:cs="Times New Roman"/>
          <w:sz w:val="24"/>
          <w:szCs w:val="24"/>
        </w:rPr>
        <w:t xml:space="preserve">ospitals that do not meet validation threshold (fail) for the rate year are coded as INVALID for the chart-based measures.  </w:t>
      </w:r>
    </w:p>
    <w:p w14:paraId="628D7BAA" w14:textId="7AA75C33" w:rsidR="00991114" w:rsidRPr="00CA5F81" w:rsidRDefault="00991114" w:rsidP="000C5B70">
      <w:pPr>
        <w:pStyle w:val="ListParagraph"/>
        <w:numPr>
          <w:ilvl w:val="0"/>
          <w:numId w:val="14"/>
        </w:numPr>
        <w:tabs>
          <w:tab w:val="left" w:pos="720"/>
        </w:tabs>
        <w:spacing w:before="240"/>
        <w:rPr>
          <w:rFonts w:ascii="Times New Roman" w:hAnsi="Times New Roman" w:cs="Times New Roman"/>
          <w:sz w:val="24"/>
          <w:szCs w:val="24"/>
        </w:rPr>
      </w:pPr>
      <w:r w:rsidRPr="00CA5F81">
        <w:rPr>
          <w:rFonts w:ascii="Times New Roman" w:hAnsi="Times New Roman" w:cs="Times New Roman"/>
          <w:sz w:val="24"/>
          <w:szCs w:val="24"/>
        </w:rPr>
        <w:t xml:space="preserve">When the case minimum is not met, the rate is displayed on the </w:t>
      </w:r>
      <w:r w:rsidR="00642777">
        <w:rPr>
          <w:rFonts w:ascii="Times New Roman" w:hAnsi="Times New Roman" w:cs="Times New Roman"/>
          <w:sz w:val="24"/>
          <w:szCs w:val="24"/>
        </w:rPr>
        <w:t>QPS</w:t>
      </w:r>
      <w:r w:rsidRPr="00CA5F81">
        <w:rPr>
          <w:rFonts w:ascii="Times New Roman" w:hAnsi="Times New Roman" w:cs="Times New Roman"/>
          <w:sz w:val="24"/>
          <w:szCs w:val="24"/>
        </w:rPr>
        <w:t xml:space="preserve"> report as CMU. </w:t>
      </w:r>
    </w:p>
    <w:p w14:paraId="491DC1FC" w14:textId="77777777" w:rsidR="00744601" w:rsidRPr="00CA5F81" w:rsidRDefault="00744601" w:rsidP="000731D0">
      <w:pPr>
        <w:tabs>
          <w:tab w:val="left" w:pos="360"/>
        </w:tabs>
        <w:rPr>
          <w:rFonts w:ascii="Times New Roman" w:hAnsi="Times New Roman" w:cs="Times New Roman"/>
          <w:sz w:val="24"/>
          <w:szCs w:val="24"/>
          <w:u w:val="single"/>
        </w:rPr>
      </w:pPr>
      <w:r w:rsidRPr="00CA5F81">
        <w:rPr>
          <w:rFonts w:ascii="Times New Roman" w:hAnsi="Times New Roman" w:cs="Times New Roman"/>
          <w:sz w:val="24"/>
          <w:szCs w:val="24"/>
          <w:u w:val="single"/>
        </w:rPr>
        <w:t xml:space="preserve">Domain Weighting Redistribution: </w:t>
      </w:r>
    </w:p>
    <w:p w14:paraId="3D6D57BD" w14:textId="15027949" w:rsidR="00A95A7C" w:rsidRPr="00B62CD3" w:rsidRDefault="00744601" w:rsidP="00D74B58">
      <w:pPr>
        <w:pStyle w:val="ListParagraph"/>
        <w:numPr>
          <w:ilvl w:val="0"/>
          <w:numId w:val="15"/>
        </w:numPr>
        <w:tabs>
          <w:tab w:val="left" w:pos="360"/>
        </w:tabs>
        <w:ind w:left="72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If a hospital is not eligible for one or more measures in a domain, the weighting </w:t>
      </w:r>
      <w:r w:rsidR="00093C18" w:rsidRPr="00CA5F81">
        <w:rPr>
          <w:rFonts w:ascii="Times New Roman" w:hAnsi="Times New Roman" w:cs="Times New Roman"/>
          <w:sz w:val="24"/>
          <w:szCs w:val="24"/>
        </w:rPr>
        <w:t>for th</w:t>
      </w:r>
      <w:r w:rsidR="00477B9D" w:rsidRPr="00CA5F81">
        <w:rPr>
          <w:rFonts w:ascii="Times New Roman" w:hAnsi="Times New Roman" w:cs="Times New Roman"/>
          <w:sz w:val="24"/>
          <w:szCs w:val="24"/>
        </w:rPr>
        <w:t>e</w:t>
      </w:r>
      <w:r w:rsidR="00093C18" w:rsidRPr="00CA5F81">
        <w:rPr>
          <w:rFonts w:ascii="Times New Roman" w:hAnsi="Times New Roman" w:cs="Times New Roman"/>
          <w:sz w:val="24"/>
          <w:szCs w:val="24"/>
        </w:rPr>
        <w:t xml:space="preserve"> measure</w:t>
      </w:r>
      <w:r w:rsidR="00477B9D" w:rsidRPr="00CA5F81">
        <w:rPr>
          <w:rFonts w:ascii="Times New Roman" w:hAnsi="Times New Roman" w:cs="Times New Roman"/>
          <w:sz w:val="24"/>
          <w:szCs w:val="24"/>
        </w:rPr>
        <w:t>(s)</w:t>
      </w:r>
      <w:r w:rsidR="00093C18" w:rsidRPr="00CA5F81">
        <w:rPr>
          <w:rFonts w:ascii="Times New Roman" w:hAnsi="Times New Roman" w:cs="Times New Roman"/>
          <w:sz w:val="24"/>
          <w:szCs w:val="24"/>
        </w:rPr>
        <w:t xml:space="preserve"> </w:t>
      </w:r>
      <w:r w:rsidRPr="00CA5F81">
        <w:rPr>
          <w:rFonts w:ascii="Times New Roman" w:hAnsi="Times New Roman" w:cs="Times New Roman"/>
          <w:sz w:val="24"/>
          <w:szCs w:val="24"/>
        </w:rPr>
        <w:t>is redistributed to the remaining eligible measures</w:t>
      </w:r>
      <w:r w:rsidR="00FF5D1B" w:rsidRPr="00CA5F81">
        <w:rPr>
          <w:rFonts w:ascii="Times New Roman" w:hAnsi="Times New Roman" w:cs="Times New Roman"/>
          <w:sz w:val="24"/>
          <w:szCs w:val="24"/>
        </w:rPr>
        <w:t xml:space="preserve"> in the domain, if applicable</w:t>
      </w:r>
      <w:r w:rsidRPr="00CA5F81">
        <w:rPr>
          <w:rFonts w:ascii="Times New Roman" w:hAnsi="Times New Roman" w:cs="Times New Roman"/>
          <w:sz w:val="24"/>
          <w:szCs w:val="24"/>
        </w:rPr>
        <w:t xml:space="preserve">. </w:t>
      </w:r>
    </w:p>
    <w:p w14:paraId="36AD4BEB" w14:textId="6F3AF715" w:rsidR="00A95A7C" w:rsidRPr="00B62CD3" w:rsidRDefault="00744601" w:rsidP="00D74B58">
      <w:pPr>
        <w:pStyle w:val="ListParagraph"/>
        <w:numPr>
          <w:ilvl w:val="0"/>
          <w:numId w:val="15"/>
        </w:numPr>
        <w:tabs>
          <w:tab w:val="left" w:pos="360"/>
        </w:tabs>
        <w:ind w:left="72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If a hospital does not have any valid measure results for a domain for which it is eligible (e.g. all measures are CMU or INVALID), the domain weighting is equally redistributed to the remaining eligible domains. </w:t>
      </w:r>
    </w:p>
    <w:p w14:paraId="6AD70917" w14:textId="77777777" w:rsidR="00744601" w:rsidRPr="00CA5F81" w:rsidRDefault="00744601" w:rsidP="00CA5F81">
      <w:pPr>
        <w:pStyle w:val="ListParagraph"/>
        <w:numPr>
          <w:ilvl w:val="0"/>
          <w:numId w:val="15"/>
        </w:numPr>
        <w:tabs>
          <w:tab w:val="left" w:pos="360"/>
        </w:tabs>
        <w:ind w:left="720"/>
        <w:rPr>
          <w:rFonts w:ascii="Times New Roman" w:hAnsi="Times New Roman" w:cs="Times New Roman"/>
          <w:sz w:val="24"/>
          <w:szCs w:val="24"/>
        </w:rPr>
      </w:pPr>
      <w:r w:rsidRPr="00CA5F81">
        <w:rPr>
          <w:rFonts w:ascii="Times New Roman" w:hAnsi="Times New Roman" w:cs="Times New Roman"/>
          <w:sz w:val="24"/>
          <w:szCs w:val="24"/>
        </w:rPr>
        <w:t xml:space="preserve">Domain weights for hospitals with and without specialty domains are published in Appendix J of the acute hospital RFA. Domain scores are capped at 1. If equal redistribution is not possible, the patient safety domain is first prioritized for the additional weight, followed by the care coordination domain (e.g. redistributing 8.33 points to each remaining domain is rounded to 8.34 for patient safety). </w:t>
      </w:r>
    </w:p>
    <w:p w14:paraId="07B5997C" w14:textId="5BD94E77" w:rsidR="000731D0" w:rsidRPr="00CA5F81" w:rsidRDefault="00744601" w:rsidP="000731D0">
      <w:pPr>
        <w:tabs>
          <w:tab w:val="left" w:pos="360"/>
        </w:tabs>
        <w:ind w:left="360" w:firstLine="0"/>
        <w:rPr>
          <w:rFonts w:ascii="Times New Roman" w:hAnsi="Times New Roman" w:cs="Times New Roman"/>
          <w:sz w:val="24"/>
          <w:szCs w:val="24"/>
          <w:u w:val="single"/>
        </w:rPr>
      </w:pPr>
      <w:r w:rsidRPr="00CA5F81">
        <w:rPr>
          <w:rFonts w:ascii="Times New Roman" w:hAnsi="Times New Roman" w:cs="Times New Roman"/>
          <w:sz w:val="24"/>
          <w:szCs w:val="24"/>
          <w:u w:val="single"/>
        </w:rPr>
        <w:t xml:space="preserve">Improvement </w:t>
      </w:r>
      <w:r w:rsidR="00ED69BF" w:rsidRPr="00CA5F81">
        <w:rPr>
          <w:rFonts w:ascii="Times New Roman" w:hAnsi="Times New Roman" w:cs="Times New Roman"/>
          <w:sz w:val="24"/>
          <w:szCs w:val="24"/>
          <w:u w:val="single"/>
        </w:rPr>
        <w:t>Points</w:t>
      </w:r>
      <w:r w:rsidRPr="00CA5F81">
        <w:rPr>
          <w:rFonts w:ascii="Times New Roman" w:hAnsi="Times New Roman" w:cs="Times New Roman"/>
          <w:sz w:val="24"/>
          <w:szCs w:val="24"/>
          <w:u w:val="single"/>
        </w:rPr>
        <w:t xml:space="preserve">: </w:t>
      </w:r>
    </w:p>
    <w:p w14:paraId="3E6062DE" w14:textId="1AF4A7E9" w:rsidR="001467AA" w:rsidRPr="00B62CD3" w:rsidRDefault="00744601" w:rsidP="00D74B58">
      <w:pPr>
        <w:pStyle w:val="ListParagraph"/>
        <w:numPr>
          <w:ilvl w:val="0"/>
          <w:numId w:val="16"/>
        </w:numPr>
        <w:tabs>
          <w:tab w:val="left" w:pos="360"/>
        </w:tabs>
        <w:ind w:left="72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If a hospital failed validation in the prior year, </w:t>
      </w:r>
      <w:r w:rsidR="00ED69BF" w:rsidRPr="00CA5F81">
        <w:rPr>
          <w:rFonts w:ascii="Times New Roman" w:hAnsi="Times New Roman" w:cs="Times New Roman"/>
          <w:sz w:val="24"/>
          <w:szCs w:val="24"/>
        </w:rPr>
        <w:t>the prior year measure result</w:t>
      </w:r>
      <w:r w:rsidR="0018457B" w:rsidRPr="00CA5F81">
        <w:rPr>
          <w:rFonts w:ascii="Times New Roman" w:hAnsi="Times New Roman" w:cs="Times New Roman"/>
          <w:sz w:val="24"/>
          <w:szCs w:val="24"/>
        </w:rPr>
        <w:t xml:space="preserve">s for the chart-based measure are not eligible to be used for assessing improvement points in subsequent years. </w:t>
      </w:r>
      <w:r w:rsidRPr="00CA5F81">
        <w:rPr>
          <w:rFonts w:ascii="Times New Roman" w:hAnsi="Times New Roman" w:cs="Times New Roman"/>
          <w:sz w:val="24"/>
          <w:szCs w:val="24"/>
        </w:rPr>
        <w:t xml:space="preserve"> </w:t>
      </w:r>
    </w:p>
    <w:p w14:paraId="318BE68E" w14:textId="74E56D86" w:rsidR="001467AA" w:rsidRPr="00B62CD3" w:rsidRDefault="00744601" w:rsidP="00D74B58">
      <w:pPr>
        <w:pStyle w:val="ListParagraph"/>
        <w:numPr>
          <w:ilvl w:val="0"/>
          <w:numId w:val="16"/>
        </w:numPr>
        <w:tabs>
          <w:tab w:val="left" w:pos="360"/>
        </w:tabs>
        <w:ind w:left="72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When case minimums are unmet for P4P measures, the measure is not scored for the current rate year and the measure result is not eligible to be used for assessing improvement points in subsequent years. </w:t>
      </w:r>
    </w:p>
    <w:p w14:paraId="518156E8" w14:textId="373B627F" w:rsidR="001467AA" w:rsidRPr="00B62CD3" w:rsidRDefault="00744601" w:rsidP="00D74B58">
      <w:pPr>
        <w:pStyle w:val="ListParagraph"/>
        <w:numPr>
          <w:ilvl w:val="0"/>
          <w:numId w:val="16"/>
        </w:numPr>
        <w:tabs>
          <w:tab w:val="left" w:pos="360"/>
        </w:tabs>
        <w:ind w:left="720"/>
        <w:contextualSpacing w:val="0"/>
        <w:rPr>
          <w:rFonts w:ascii="Times New Roman" w:hAnsi="Times New Roman" w:cs="Times New Roman"/>
          <w:sz w:val="24"/>
          <w:szCs w:val="24"/>
        </w:rPr>
      </w:pPr>
      <w:r w:rsidRPr="00CA5F81">
        <w:rPr>
          <w:rFonts w:ascii="Times New Roman" w:hAnsi="Times New Roman" w:cs="Times New Roman"/>
          <w:sz w:val="24"/>
          <w:szCs w:val="24"/>
        </w:rPr>
        <w:t xml:space="preserve">When case minimums are unmet for P4R measures, the measure is scored for the current rate year (assuming other eligibility requirements are met), but the measure result is not eligible to be used for assessing improvement points in subsequent years. </w:t>
      </w:r>
    </w:p>
    <w:p w14:paraId="416DD326" w14:textId="38989B0F" w:rsidR="00FE1BFA" w:rsidRPr="00CA5F81" w:rsidRDefault="00744601" w:rsidP="00CA5F81">
      <w:pPr>
        <w:pStyle w:val="ListParagraph"/>
        <w:numPr>
          <w:ilvl w:val="0"/>
          <w:numId w:val="16"/>
        </w:numPr>
        <w:tabs>
          <w:tab w:val="left" w:pos="360"/>
        </w:tabs>
        <w:ind w:left="720"/>
        <w:rPr>
          <w:rFonts w:ascii="Times New Roman" w:hAnsi="Times New Roman" w:cs="Times New Roman"/>
          <w:sz w:val="24"/>
          <w:szCs w:val="24"/>
        </w:rPr>
      </w:pPr>
      <w:r w:rsidRPr="00CA5F81">
        <w:rPr>
          <w:rFonts w:ascii="Times New Roman" w:hAnsi="Times New Roman" w:cs="Times New Roman"/>
          <w:sz w:val="24"/>
          <w:szCs w:val="24"/>
        </w:rPr>
        <w:t>When case minimums are unmet for R measures, the measure is not eligible for scoring and the measure result is not eligible to be used for assessing improvement points in subsequent years.</w:t>
      </w:r>
    </w:p>
    <w:sectPr w:rsidR="00FE1BFA" w:rsidRPr="00CA5F81" w:rsidSect="002A1B35">
      <w:headerReference w:type="default" r:id="rId16"/>
      <w:pgSz w:w="12240" w:h="15840"/>
      <w:pgMar w:top="720" w:right="720" w:bottom="720" w:left="630" w:header="490"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0660" w14:textId="77777777" w:rsidR="00163163" w:rsidRDefault="00163163" w:rsidP="00BA5A8B">
      <w:pPr>
        <w:spacing w:after="0" w:line="240" w:lineRule="auto"/>
      </w:pPr>
      <w:r>
        <w:separator/>
      </w:r>
    </w:p>
  </w:endnote>
  <w:endnote w:type="continuationSeparator" w:id="0">
    <w:p w14:paraId="07CDFE6B" w14:textId="77777777" w:rsidR="00163163" w:rsidRDefault="00163163" w:rsidP="00BA5A8B">
      <w:pPr>
        <w:spacing w:after="0" w:line="240" w:lineRule="auto"/>
      </w:pPr>
      <w:r>
        <w:continuationSeparator/>
      </w:r>
    </w:p>
  </w:endnote>
  <w:endnote w:type="continuationNotice" w:id="1">
    <w:p w14:paraId="6F64659F" w14:textId="77777777" w:rsidR="00163163" w:rsidRDefault="00163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AF73" w14:textId="20CFD9AF" w:rsidR="00C131B0" w:rsidRDefault="004A58BD" w:rsidP="004A58BD">
    <w:pPr>
      <w:pStyle w:val="Footer"/>
    </w:pPr>
    <w:r w:rsidRPr="004A58BD">
      <w:rPr>
        <w:rFonts w:ascii="Times New Roman" w:eastAsia="Times New Roman" w:hAnsi="Times New Roman" w:cs="Times New Roman"/>
        <w:sz w:val="16"/>
        <w:szCs w:val="16"/>
        <w:lang w:eastAsia="x-none"/>
      </w:rPr>
      <w:t>RY202</w:t>
    </w:r>
    <w:r w:rsidR="00E932A5">
      <w:rPr>
        <w:rFonts w:ascii="Times New Roman" w:eastAsia="Times New Roman" w:hAnsi="Times New Roman" w:cs="Times New Roman"/>
        <w:sz w:val="16"/>
        <w:szCs w:val="16"/>
        <w:lang w:eastAsia="x-none"/>
      </w:rPr>
      <w:t>5</w:t>
    </w:r>
    <w:r w:rsidRPr="004A58BD">
      <w:rPr>
        <w:rFonts w:ascii="Times New Roman" w:eastAsia="Times New Roman" w:hAnsi="Times New Roman" w:cs="Times New Roman"/>
        <w:sz w:val="16"/>
        <w:szCs w:val="16"/>
        <w:lang w:eastAsia="x-none"/>
      </w:rPr>
      <w:t xml:space="preserve"> EOHHS Hospital Clinical Quality Incentive</w:t>
    </w:r>
    <w:r>
      <w:rPr>
        <w:rFonts w:ascii="Times New Roman" w:eastAsia="Times New Roman" w:hAnsi="Times New Roman" w:cs="Times New Roman"/>
        <w:sz w:val="16"/>
        <w:szCs w:val="16"/>
        <w:lang w:eastAsia="x-none"/>
      </w:rPr>
      <w:t xml:space="preserve"> </w:t>
    </w:r>
    <w:r w:rsidRPr="004A58BD">
      <w:rPr>
        <w:rFonts w:ascii="Times New Roman" w:eastAsia="Times New Roman" w:hAnsi="Times New Roman" w:cs="Times New Roman"/>
        <w:sz w:val="16"/>
        <w:szCs w:val="16"/>
        <w:lang w:eastAsia="x-none"/>
      </w:rPr>
      <w:t xml:space="preserve">Program </w:t>
    </w:r>
    <w:r>
      <w:rPr>
        <w:rFonts w:ascii="Times New Roman" w:eastAsia="Times New Roman" w:hAnsi="Times New Roman" w:cs="Times New Roman"/>
        <w:sz w:val="16"/>
        <w:szCs w:val="16"/>
        <w:lang w:eastAsia="x-none"/>
      </w:rPr>
      <w:t>Release Notes</w:t>
    </w:r>
    <w:r w:rsidRPr="004A58BD">
      <w:rPr>
        <w:rFonts w:ascii="Times New Roman" w:eastAsia="Times New Roman" w:hAnsi="Times New Roman" w:cs="Times New Roman"/>
        <w:sz w:val="16"/>
        <w:szCs w:val="16"/>
        <w:lang w:eastAsia="x-none"/>
      </w:rPr>
      <w:t xml:space="preserve"> (v</w:t>
    </w:r>
    <w:r w:rsidR="00E932A5">
      <w:rPr>
        <w:rFonts w:ascii="Times New Roman" w:eastAsia="Times New Roman" w:hAnsi="Times New Roman" w:cs="Times New Roman"/>
        <w:sz w:val="16"/>
        <w:szCs w:val="16"/>
        <w:lang w:eastAsia="x-none"/>
      </w:rPr>
      <w:t>3</w:t>
    </w:r>
    <w:r w:rsidRPr="004A58BD">
      <w:rPr>
        <w:rFonts w:ascii="Times New Roman" w:eastAsia="Times New Roman" w:hAnsi="Times New Roman" w:cs="Times New Roman"/>
        <w:sz w:val="16"/>
        <w:szCs w:val="16"/>
        <w:lang w:eastAsia="x-none"/>
      </w:rPr>
      <w:t>.</w:t>
    </w:r>
    <w:r w:rsidR="00E932A5">
      <w:rPr>
        <w:rFonts w:ascii="Times New Roman" w:eastAsia="Times New Roman" w:hAnsi="Times New Roman" w:cs="Times New Roman"/>
        <w:sz w:val="16"/>
        <w:szCs w:val="16"/>
        <w:lang w:eastAsia="x-none"/>
      </w:rPr>
      <w:t>1</w:t>
    </w:r>
    <w:r w:rsidRPr="004A58BD">
      <w:rPr>
        <w:rFonts w:ascii="Times New Roman" w:eastAsia="Times New Roman" w:hAnsi="Times New Roman" w:cs="Times New Roman"/>
        <w:sz w:val="16"/>
        <w:szCs w:val="16"/>
        <w:lang w:eastAsia="x-none"/>
      </w:rPr>
      <w:t>)</w:t>
    </w:r>
    <w:r w:rsidR="00C131B0">
      <w:rPr>
        <w:rFonts w:ascii="Times New Roman" w:eastAsia="Times New Roman" w:hAnsi="Times New Roman" w:cs="Times New Roman"/>
        <w:sz w:val="16"/>
        <w:szCs w:val="16"/>
        <w:lang w:eastAsia="x-none"/>
      </w:rPr>
      <w:tab/>
    </w:r>
    <w:sdt>
      <w:sdtPr>
        <w:rPr>
          <w:rFonts w:ascii="Times New Roman" w:hAnsi="Times New Roman" w:cs="Times New Roman"/>
        </w:rPr>
        <w:id w:val="483121355"/>
        <w:docPartObj>
          <w:docPartGallery w:val="Page Numbers (Bottom of Page)"/>
          <w:docPartUnique/>
        </w:docPartObj>
      </w:sdtPr>
      <w:sdtEndPr/>
      <w:sdtContent>
        <w:r w:rsidR="00C131B0" w:rsidRPr="00E847A5">
          <w:rPr>
            <w:rFonts w:ascii="Times New Roman" w:hAnsi="Times New Roman" w:cs="Times New Roman"/>
          </w:rPr>
          <w:t xml:space="preserve">Page | </w:t>
        </w:r>
        <w:r w:rsidR="00C131B0" w:rsidRPr="00E847A5">
          <w:rPr>
            <w:rFonts w:ascii="Times New Roman" w:hAnsi="Times New Roman" w:cs="Times New Roman"/>
          </w:rPr>
          <w:fldChar w:fldCharType="begin"/>
        </w:r>
        <w:r w:rsidR="00C131B0" w:rsidRPr="00E847A5">
          <w:rPr>
            <w:rFonts w:ascii="Times New Roman" w:hAnsi="Times New Roman" w:cs="Times New Roman"/>
          </w:rPr>
          <w:instrText xml:space="preserve"> PAGE   \* MERGEFORMAT </w:instrText>
        </w:r>
        <w:r w:rsidR="00C131B0" w:rsidRPr="00E847A5">
          <w:rPr>
            <w:rFonts w:ascii="Times New Roman" w:hAnsi="Times New Roman" w:cs="Times New Roman"/>
          </w:rPr>
          <w:fldChar w:fldCharType="separate"/>
        </w:r>
        <w:r w:rsidR="002A6EAC">
          <w:rPr>
            <w:rFonts w:ascii="Times New Roman" w:hAnsi="Times New Roman" w:cs="Times New Roman"/>
            <w:noProof/>
          </w:rPr>
          <w:t>2</w:t>
        </w:r>
        <w:r w:rsidR="00C131B0" w:rsidRPr="00E847A5">
          <w:rPr>
            <w:rFonts w:ascii="Times New Roman" w:hAnsi="Times New Roman" w:cs="Times New Roman"/>
            <w:noProof/>
          </w:rPr>
          <w:fldChar w:fldCharType="end"/>
        </w:r>
        <w:r w:rsidR="00C131B0" w:rsidRPr="00E847A5">
          <w:rPr>
            <w:rFonts w:ascii="Times New Roman" w:hAnsi="Times New Roman" w:cs="Times New Roman"/>
          </w:rPr>
          <w:t xml:space="preserve"> </w:t>
        </w:r>
      </w:sdtContent>
    </w:sdt>
  </w:p>
  <w:p w14:paraId="0BD8E78C" w14:textId="77777777" w:rsidR="00A62D62" w:rsidRPr="00AD0261" w:rsidRDefault="00A62D62" w:rsidP="00AD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7AAA" w14:textId="77777777" w:rsidR="00163163" w:rsidRDefault="00163163" w:rsidP="00BA5A8B">
      <w:pPr>
        <w:spacing w:after="0" w:line="240" w:lineRule="auto"/>
      </w:pPr>
      <w:r>
        <w:separator/>
      </w:r>
    </w:p>
  </w:footnote>
  <w:footnote w:type="continuationSeparator" w:id="0">
    <w:p w14:paraId="738CEB56" w14:textId="77777777" w:rsidR="00163163" w:rsidRDefault="00163163" w:rsidP="00BA5A8B">
      <w:pPr>
        <w:spacing w:after="0" w:line="240" w:lineRule="auto"/>
      </w:pPr>
      <w:r>
        <w:continuationSeparator/>
      </w:r>
    </w:p>
  </w:footnote>
  <w:footnote w:type="continuationNotice" w:id="1">
    <w:p w14:paraId="62D0E75E" w14:textId="77777777" w:rsidR="00163163" w:rsidRDefault="00163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1EA66722" w14:paraId="04D008F7" w14:textId="77777777" w:rsidTr="1EA66722">
      <w:trPr>
        <w:trHeight w:val="300"/>
      </w:trPr>
      <w:tc>
        <w:tcPr>
          <w:tcW w:w="3455" w:type="dxa"/>
        </w:tcPr>
        <w:p w14:paraId="3A48A303" w14:textId="401ACCFD" w:rsidR="1EA66722" w:rsidRDefault="1EA66722" w:rsidP="1EA66722">
          <w:pPr>
            <w:pStyle w:val="Header"/>
            <w:ind w:left="-115"/>
          </w:pPr>
        </w:p>
      </w:tc>
      <w:tc>
        <w:tcPr>
          <w:tcW w:w="3455" w:type="dxa"/>
        </w:tcPr>
        <w:p w14:paraId="5B255BCE" w14:textId="2DD63A16" w:rsidR="1EA66722" w:rsidRDefault="1EA66722" w:rsidP="1EA66722">
          <w:pPr>
            <w:pStyle w:val="Header"/>
            <w:jc w:val="center"/>
          </w:pPr>
        </w:p>
      </w:tc>
      <w:tc>
        <w:tcPr>
          <w:tcW w:w="3455" w:type="dxa"/>
        </w:tcPr>
        <w:p w14:paraId="3816FC01" w14:textId="44DB18D3" w:rsidR="1EA66722" w:rsidRDefault="1EA66722" w:rsidP="1EA66722">
          <w:pPr>
            <w:pStyle w:val="Header"/>
            <w:ind w:right="-115"/>
            <w:jc w:val="right"/>
          </w:pPr>
        </w:p>
      </w:tc>
    </w:tr>
  </w:tbl>
  <w:p w14:paraId="12B51FB6" w14:textId="5F1D6B83" w:rsidR="1EA66722" w:rsidRDefault="1EA66722" w:rsidP="1EA6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EA66722" w14:paraId="2ABB67F4" w14:textId="77777777" w:rsidTr="1EA66722">
      <w:trPr>
        <w:trHeight w:val="300"/>
      </w:trPr>
      <w:tc>
        <w:tcPr>
          <w:tcW w:w="3600" w:type="dxa"/>
        </w:tcPr>
        <w:p w14:paraId="3E1EE486" w14:textId="48FCEAB9" w:rsidR="1EA66722" w:rsidRDefault="1EA66722" w:rsidP="1EA66722">
          <w:pPr>
            <w:pStyle w:val="Header"/>
            <w:ind w:left="-115"/>
          </w:pPr>
        </w:p>
      </w:tc>
      <w:tc>
        <w:tcPr>
          <w:tcW w:w="3600" w:type="dxa"/>
        </w:tcPr>
        <w:p w14:paraId="6C65F381" w14:textId="089B3801" w:rsidR="1EA66722" w:rsidRDefault="1EA66722" w:rsidP="1EA66722">
          <w:pPr>
            <w:pStyle w:val="Header"/>
            <w:jc w:val="center"/>
          </w:pPr>
        </w:p>
      </w:tc>
      <w:tc>
        <w:tcPr>
          <w:tcW w:w="3600" w:type="dxa"/>
        </w:tcPr>
        <w:p w14:paraId="6894F067" w14:textId="5A776BC3" w:rsidR="1EA66722" w:rsidRDefault="1EA66722" w:rsidP="1EA66722">
          <w:pPr>
            <w:pStyle w:val="Header"/>
            <w:ind w:right="-115"/>
            <w:jc w:val="right"/>
          </w:pPr>
        </w:p>
      </w:tc>
    </w:tr>
  </w:tbl>
  <w:p w14:paraId="4E552C9E" w14:textId="562B9985" w:rsidR="1EA66722" w:rsidRDefault="1EA66722" w:rsidP="1EA6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79F45"/>
    <w:multiLevelType w:val="hybridMultilevel"/>
    <w:tmpl w:val="97041E5A"/>
    <w:lvl w:ilvl="0" w:tplc="FFFFFFFF">
      <w:start w:val="1"/>
      <w:numFmt w:val="bullet"/>
      <w:lvlText w:val="•"/>
      <w:lvlJc w:val="left"/>
    </w:lvl>
    <w:lvl w:ilvl="1" w:tplc="1E276D9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A6CE5"/>
    <w:multiLevelType w:val="hybridMultilevel"/>
    <w:tmpl w:val="2B827272"/>
    <w:lvl w:ilvl="0" w:tplc="741816C6">
      <w:start w:val="1"/>
      <w:numFmt w:val="bullet"/>
      <w:lvlText w:val=""/>
      <w:lvlJc w:val="left"/>
      <w:pPr>
        <w:ind w:left="360" w:hanging="360"/>
      </w:pPr>
      <w:rPr>
        <w:rFonts w:ascii="Symbol" w:hAnsi="Symbol" w:hint="default"/>
        <w:b w:val="0"/>
        <w:i w:val="0"/>
        <w:sz w:val="16"/>
        <w:szCs w:val="22"/>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103B4A43"/>
    <w:multiLevelType w:val="hybridMultilevel"/>
    <w:tmpl w:val="500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444C7"/>
    <w:multiLevelType w:val="hybridMultilevel"/>
    <w:tmpl w:val="F776F8C0"/>
    <w:lvl w:ilvl="0" w:tplc="5D6C8A38">
      <w:start w:val="1"/>
      <w:numFmt w:val="bullet"/>
      <w:lvlText w:val=""/>
      <w:lvlJc w:val="left"/>
      <w:pPr>
        <w:tabs>
          <w:tab w:val="num" w:pos="360"/>
        </w:tabs>
        <w:ind w:left="360" w:hanging="360"/>
      </w:pPr>
      <w:rPr>
        <w:rFonts w:ascii="Symbol" w:hAnsi="Symbol" w:hint="default"/>
        <w:color w:val="auto"/>
        <w:sz w:val="16"/>
        <w:szCs w:val="16"/>
      </w:rPr>
    </w:lvl>
    <w:lvl w:ilvl="1" w:tplc="0409000B">
      <w:start w:val="1"/>
      <w:numFmt w:val="bullet"/>
      <w:lvlText w:val=""/>
      <w:lvlJc w:val="left"/>
      <w:pPr>
        <w:tabs>
          <w:tab w:val="num" w:pos="360"/>
        </w:tabs>
        <w:ind w:left="360" w:hanging="360"/>
      </w:pPr>
      <w:rPr>
        <w:rFonts w:ascii="Wingdings" w:hAnsi="Wingdings" w:hint="default"/>
        <w:color w:val="auto"/>
        <w:sz w:val="16"/>
        <w:szCs w:val="16"/>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55A5AAB"/>
    <w:multiLevelType w:val="hybridMultilevel"/>
    <w:tmpl w:val="FC9A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C7EC7"/>
    <w:multiLevelType w:val="hybridMultilevel"/>
    <w:tmpl w:val="E14A7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1B1A50"/>
    <w:multiLevelType w:val="hybridMultilevel"/>
    <w:tmpl w:val="3FC4C0A6"/>
    <w:lvl w:ilvl="0" w:tplc="1E276D96">
      <w:start w:val="1"/>
      <w:numFmt w:val="bullet"/>
      <w:lvlText w:val="•"/>
      <w:lvlJc w:val="left"/>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EE07C8"/>
    <w:multiLevelType w:val="hybridMultilevel"/>
    <w:tmpl w:val="386CEE80"/>
    <w:lvl w:ilvl="0" w:tplc="7B6EBBA2">
      <w:start w:val="1"/>
      <w:numFmt w:val="lowerRoman"/>
      <w:lvlText w:val="%1.)"/>
      <w:lvlJc w:val="left"/>
      <w:pPr>
        <w:ind w:left="1080" w:hanging="360"/>
      </w:pPr>
      <w:rPr>
        <w:rFonts w:hint="default"/>
        <w:b w:val="0"/>
        <w:i w:val="0"/>
        <w:color w:val="auto"/>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479F6617"/>
    <w:multiLevelType w:val="hybridMultilevel"/>
    <w:tmpl w:val="281ABABA"/>
    <w:lvl w:ilvl="0" w:tplc="B9D4780E">
      <w:start w:val="1"/>
      <w:numFmt w:val="decimal"/>
      <w:lvlText w:val="%1."/>
      <w:lvlJc w:val="left"/>
      <w:pPr>
        <w:ind w:left="1080" w:hanging="360"/>
      </w:pPr>
    </w:lvl>
    <w:lvl w:ilvl="1" w:tplc="52748772">
      <w:start w:val="1"/>
      <w:numFmt w:val="lowerLetter"/>
      <w:lvlText w:val="%2."/>
      <w:lvlJc w:val="left"/>
      <w:pPr>
        <w:ind w:left="1800" w:hanging="360"/>
      </w:pPr>
    </w:lvl>
    <w:lvl w:ilvl="2" w:tplc="8EEA35AC">
      <w:start w:val="1"/>
      <w:numFmt w:val="lowerRoman"/>
      <w:lvlText w:val="%3."/>
      <w:lvlJc w:val="right"/>
      <w:pPr>
        <w:ind w:left="2520" w:hanging="180"/>
      </w:pPr>
    </w:lvl>
    <w:lvl w:ilvl="3" w:tplc="08C00920">
      <w:start w:val="1"/>
      <w:numFmt w:val="decimal"/>
      <w:lvlText w:val="%4."/>
      <w:lvlJc w:val="left"/>
      <w:pPr>
        <w:ind w:left="1080" w:hanging="360"/>
      </w:pPr>
      <w:rPr>
        <w:rFonts w:hint="default"/>
      </w:rPr>
    </w:lvl>
    <w:lvl w:ilvl="4" w:tplc="AB3EF0DE">
      <w:start w:val="1"/>
      <w:numFmt w:val="lowerLetter"/>
      <w:lvlText w:val="%5."/>
      <w:lvlJc w:val="left"/>
      <w:pPr>
        <w:ind w:left="3960" w:hanging="360"/>
      </w:pPr>
    </w:lvl>
    <w:lvl w:ilvl="5" w:tplc="06B83D6A">
      <w:start w:val="1"/>
      <w:numFmt w:val="lowerRoman"/>
      <w:lvlText w:val="%6."/>
      <w:lvlJc w:val="right"/>
      <w:pPr>
        <w:ind w:left="4680" w:hanging="180"/>
      </w:pPr>
    </w:lvl>
    <w:lvl w:ilvl="6" w:tplc="A072DEB6">
      <w:start w:val="1"/>
      <w:numFmt w:val="decimal"/>
      <w:lvlText w:val="%7."/>
      <w:lvlJc w:val="left"/>
      <w:pPr>
        <w:ind w:left="5400" w:hanging="360"/>
      </w:pPr>
    </w:lvl>
    <w:lvl w:ilvl="7" w:tplc="852092EE">
      <w:start w:val="1"/>
      <w:numFmt w:val="lowerLetter"/>
      <w:lvlText w:val="%8."/>
      <w:lvlJc w:val="left"/>
      <w:pPr>
        <w:ind w:left="6120" w:hanging="360"/>
      </w:pPr>
    </w:lvl>
    <w:lvl w:ilvl="8" w:tplc="32E4C4F0">
      <w:start w:val="1"/>
      <w:numFmt w:val="lowerRoman"/>
      <w:lvlText w:val="%9."/>
      <w:lvlJc w:val="right"/>
      <w:pPr>
        <w:ind w:left="6840" w:hanging="180"/>
      </w:pPr>
    </w:lvl>
  </w:abstractNum>
  <w:abstractNum w:abstractNumId="9" w15:restartNumberingAfterBreak="0">
    <w:nsid w:val="4A0847E9"/>
    <w:multiLevelType w:val="hybridMultilevel"/>
    <w:tmpl w:val="D0F6F66C"/>
    <w:lvl w:ilvl="0" w:tplc="484E2B76">
      <w:start w:val="1"/>
      <w:numFmt w:val="decimal"/>
      <w:lvlText w:val="%1."/>
      <w:lvlJc w:val="left"/>
      <w:pPr>
        <w:ind w:left="720" w:hanging="360"/>
      </w:pPr>
      <w:rPr>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DB3FFB"/>
    <w:multiLevelType w:val="hybridMultilevel"/>
    <w:tmpl w:val="0A40B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C0DE3"/>
    <w:multiLevelType w:val="hybridMultilevel"/>
    <w:tmpl w:val="FC7A8FAC"/>
    <w:lvl w:ilvl="0" w:tplc="1E276D96">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0123C"/>
    <w:multiLevelType w:val="hybridMultilevel"/>
    <w:tmpl w:val="D4DA2628"/>
    <w:lvl w:ilvl="0" w:tplc="30A8F8AC">
      <w:start w:val="1"/>
      <w:numFmt w:val="decimal"/>
      <w:lvlText w:val="%1)"/>
      <w:lvlJc w:val="left"/>
      <w:pPr>
        <w:ind w:left="720" w:hanging="360"/>
      </w:pPr>
      <w:rPr>
        <w:rFonts w:hint="default"/>
        <w:b w:val="0"/>
        <w:bCs/>
        <w:i w:val="0"/>
        <w:iCs w:val="0"/>
        <w:sz w:val="24"/>
        <w:szCs w:val="24"/>
      </w:rPr>
    </w:lvl>
    <w:lvl w:ilvl="1" w:tplc="4C6E718E">
      <w:start w:val="1"/>
      <w:numFmt w:val="lowerLetter"/>
      <w:lvlText w:val="%2."/>
      <w:lvlJc w:val="left"/>
      <w:pPr>
        <w:ind w:left="1170" w:hanging="360"/>
      </w:pPr>
      <w:rPr>
        <w:b w:val="0"/>
        <w:bCs/>
        <w:i w:val="0"/>
        <w:iCs w:val="0"/>
      </w:rPr>
    </w:lvl>
    <w:lvl w:ilvl="2" w:tplc="EC900D72">
      <w:start w:val="1"/>
      <w:numFmt w:val="lowerRoman"/>
      <w:lvlText w:val="%3."/>
      <w:lvlJc w:val="right"/>
      <w:pPr>
        <w:ind w:left="1710" w:hanging="180"/>
      </w:pPr>
      <w:rPr>
        <w:b w:val="0"/>
        <w:bCs/>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864A1"/>
    <w:multiLevelType w:val="hybridMultilevel"/>
    <w:tmpl w:val="64662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A213E2"/>
    <w:multiLevelType w:val="hybridMultilevel"/>
    <w:tmpl w:val="9BF6C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C51B9A"/>
    <w:multiLevelType w:val="hybridMultilevel"/>
    <w:tmpl w:val="FBB6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E1E34"/>
    <w:multiLevelType w:val="hybridMultilevel"/>
    <w:tmpl w:val="5E6E0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C5160E"/>
    <w:multiLevelType w:val="hybridMultilevel"/>
    <w:tmpl w:val="CAEC7A6C"/>
    <w:lvl w:ilvl="0" w:tplc="087E485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16cid:durableId="1196388594">
    <w:abstractNumId w:val="8"/>
  </w:num>
  <w:num w:numId="2" w16cid:durableId="2062095477">
    <w:abstractNumId w:val="1"/>
  </w:num>
  <w:num w:numId="3" w16cid:durableId="788472966">
    <w:abstractNumId w:val="3"/>
  </w:num>
  <w:num w:numId="4" w16cid:durableId="1440687505">
    <w:abstractNumId w:val="13"/>
  </w:num>
  <w:num w:numId="5" w16cid:durableId="1749617448">
    <w:abstractNumId w:val="12"/>
  </w:num>
  <w:num w:numId="6" w16cid:durableId="1221088958">
    <w:abstractNumId w:val="2"/>
  </w:num>
  <w:num w:numId="7" w16cid:durableId="998532863">
    <w:abstractNumId w:val="7"/>
  </w:num>
  <w:num w:numId="8" w16cid:durableId="4981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299988">
    <w:abstractNumId w:val="0"/>
  </w:num>
  <w:num w:numId="10" w16cid:durableId="2128621868">
    <w:abstractNumId w:val="9"/>
  </w:num>
  <w:num w:numId="11" w16cid:durableId="1160776703">
    <w:abstractNumId w:val="11"/>
  </w:num>
  <w:num w:numId="12" w16cid:durableId="310065690">
    <w:abstractNumId w:val="6"/>
  </w:num>
  <w:num w:numId="13" w16cid:durableId="2036155136">
    <w:abstractNumId w:val="5"/>
  </w:num>
  <w:num w:numId="14" w16cid:durableId="1185095270">
    <w:abstractNumId w:val="15"/>
  </w:num>
  <w:num w:numId="15" w16cid:durableId="1670448193">
    <w:abstractNumId w:val="16"/>
  </w:num>
  <w:num w:numId="16" w16cid:durableId="835917607">
    <w:abstractNumId w:val="14"/>
  </w:num>
  <w:num w:numId="17" w16cid:durableId="1571651335">
    <w:abstractNumId w:val="17"/>
  </w:num>
  <w:num w:numId="18" w16cid:durableId="680936458">
    <w:abstractNumId w:val="4"/>
  </w:num>
  <w:num w:numId="19" w16cid:durableId="181698864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00E5C"/>
    <w:rsid w:val="000018C3"/>
    <w:rsid w:val="00001B4A"/>
    <w:rsid w:val="00002337"/>
    <w:rsid w:val="00002400"/>
    <w:rsid w:val="00002E93"/>
    <w:rsid w:val="0000371D"/>
    <w:rsid w:val="00003E74"/>
    <w:rsid w:val="00004ED7"/>
    <w:rsid w:val="00005AB3"/>
    <w:rsid w:val="00006AE7"/>
    <w:rsid w:val="0000714A"/>
    <w:rsid w:val="00007F0B"/>
    <w:rsid w:val="000130EA"/>
    <w:rsid w:val="0001593A"/>
    <w:rsid w:val="00015A33"/>
    <w:rsid w:val="00015DAF"/>
    <w:rsid w:val="000165F3"/>
    <w:rsid w:val="0001770C"/>
    <w:rsid w:val="00017721"/>
    <w:rsid w:val="00017B88"/>
    <w:rsid w:val="00022B78"/>
    <w:rsid w:val="00024651"/>
    <w:rsid w:val="00024ECC"/>
    <w:rsid w:val="000273D3"/>
    <w:rsid w:val="00027D8F"/>
    <w:rsid w:val="00027FBF"/>
    <w:rsid w:val="00031149"/>
    <w:rsid w:val="00031872"/>
    <w:rsid w:val="00032851"/>
    <w:rsid w:val="00032E55"/>
    <w:rsid w:val="000331F5"/>
    <w:rsid w:val="000334C9"/>
    <w:rsid w:val="00034C57"/>
    <w:rsid w:val="00034DCB"/>
    <w:rsid w:val="000354EE"/>
    <w:rsid w:val="00035B4C"/>
    <w:rsid w:val="0004039E"/>
    <w:rsid w:val="000419DE"/>
    <w:rsid w:val="00042F0E"/>
    <w:rsid w:val="00043701"/>
    <w:rsid w:val="00043BA4"/>
    <w:rsid w:val="000445AE"/>
    <w:rsid w:val="000455A3"/>
    <w:rsid w:val="000457A9"/>
    <w:rsid w:val="000474EA"/>
    <w:rsid w:val="00047F33"/>
    <w:rsid w:val="00047F7E"/>
    <w:rsid w:val="00050922"/>
    <w:rsid w:val="0005157D"/>
    <w:rsid w:val="000518CF"/>
    <w:rsid w:val="00051D48"/>
    <w:rsid w:val="00052097"/>
    <w:rsid w:val="000521FE"/>
    <w:rsid w:val="00052AFD"/>
    <w:rsid w:val="00052FC2"/>
    <w:rsid w:val="00053624"/>
    <w:rsid w:val="00053C94"/>
    <w:rsid w:val="00055253"/>
    <w:rsid w:val="00055D4C"/>
    <w:rsid w:val="0005614B"/>
    <w:rsid w:val="00056D7C"/>
    <w:rsid w:val="000573D3"/>
    <w:rsid w:val="00060156"/>
    <w:rsid w:val="00060B46"/>
    <w:rsid w:val="0006120F"/>
    <w:rsid w:val="00061EB2"/>
    <w:rsid w:val="00062486"/>
    <w:rsid w:val="00062530"/>
    <w:rsid w:val="000627ED"/>
    <w:rsid w:val="0006319D"/>
    <w:rsid w:val="000637FB"/>
    <w:rsid w:val="00064373"/>
    <w:rsid w:val="00064FAC"/>
    <w:rsid w:val="00067425"/>
    <w:rsid w:val="00067922"/>
    <w:rsid w:val="00067DE9"/>
    <w:rsid w:val="000718CD"/>
    <w:rsid w:val="000722DD"/>
    <w:rsid w:val="00072C1D"/>
    <w:rsid w:val="000731D0"/>
    <w:rsid w:val="0007484C"/>
    <w:rsid w:val="00074B79"/>
    <w:rsid w:val="00075C06"/>
    <w:rsid w:val="00075C13"/>
    <w:rsid w:val="00076145"/>
    <w:rsid w:val="0008071B"/>
    <w:rsid w:val="00081E1F"/>
    <w:rsid w:val="00082F6E"/>
    <w:rsid w:val="00083A12"/>
    <w:rsid w:val="00083E20"/>
    <w:rsid w:val="00086183"/>
    <w:rsid w:val="00087612"/>
    <w:rsid w:val="000877C0"/>
    <w:rsid w:val="00091186"/>
    <w:rsid w:val="0009177D"/>
    <w:rsid w:val="00091812"/>
    <w:rsid w:val="00092169"/>
    <w:rsid w:val="00093C18"/>
    <w:rsid w:val="00093D2F"/>
    <w:rsid w:val="00094970"/>
    <w:rsid w:val="00095AD1"/>
    <w:rsid w:val="00096CFE"/>
    <w:rsid w:val="00097692"/>
    <w:rsid w:val="000A005A"/>
    <w:rsid w:val="000A059A"/>
    <w:rsid w:val="000A1A50"/>
    <w:rsid w:val="000A1BF1"/>
    <w:rsid w:val="000A2481"/>
    <w:rsid w:val="000A2B50"/>
    <w:rsid w:val="000A343C"/>
    <w:rsid w:val="000A3852"/>
    <w:rsid w:val="000A5A9D"/>
    <w:rsid w:val="000A6A42"/>
    <w:rsid w:val="000B0534"/>
    <w:rsid w:val="000B0EA7"/>
    <w:rsid w:val="000B1916"/>
    <w:rsid w:val="000B2227"/>
    <w:rsid w:val="000B2639"/>
    <w:rsid w:val="000B37C6"/>
    <w:rsid w:val="000B3AEF"/>
    <w:rsid w:val="000B3B23"/>
    <w:rsid w:val="000B3B2D"/>
    <w:rsid w:val="000B3C8F"/>
    <w:rsid w:val="000B3EC8"/>
    <w:rsid w:val="000B50E8"/>
    <w:rsid w:val="000B5599"/>
    <w:rsid w:val="000B6020"/>
    <w:rsid w:val="000B7BFE"/>
    <w:rsid w:val="000C437F"/>
    <w:rsid w:val="000C46BC"/>
    <w:rsid w:val="000C4AC4"/>
    <w:rsid w:val="000C5261"/>
    <w:rsid w:val="000C5B70"/>
    <w:rsid w:val="000C5F33"/>
    <w:rsid w:val="000C62AF"/>
    <w:rsid w:val="000C6A0F"/>
    <w:rsid w:val="000C732B"/>
    <w:rsid w:val="000C7963"/>
    <w:rsid w:val="000C7B51"/>
    <w:rsid w:val="000D0F64"/>
    <w:rsid w:val="000D106B"/>
    <w:rsid w:val="000D16CE"/>
    <w:rsid w:val="000D19C6"/>
    <w:rsid w:val="000D1B6E"/>
    <w:rsid w:val="000D23E4"/>
    <w:rsid w:val="000D2921"/>
    <w:rsid w:val="000D36E7"/>
    <w:rsid w:val="000D3AA1"/>
    <w:rsid w:val="000D3DF8"/>
    <w:rsid w:val="000D41F3"/>
    <w:rsid w:val="000D50DD"/>
    <w:rsid w:val="000D719D"/>
    <w:rsid w:val="000D7B4A"/>
    <w:rsid w:val="000D7F9F"/>
    <w:rsid w:val="000E0D15"/>
    <w:rsid w:val="000E0DE9"/>
    <w:rsid w:val="000E1BAA"/>
    <w:rsid w:val="000E237D"/>
    <w:rsid w:val="000E2F42"/>
    <w:rsid w:val="000E2FAC"/>
    <w:rsid w:val="000E3406"/>
    <w:rsid w:val="000E41F0"/>
    <w:rsid w:val="000E4596"/>
    <w:rsid w:val="000E51CC"/>
    <w:rsid w:val="000E6BB5"/>
    <w:rsid w:val="000E7145"/>
    <w:rsid w:val="000E7B5D"/>
    <w:rsid w:val="000E7F68"/>
    <w:rsid w:val="000F1139"/>
    <w:rsid w:val="000F1799"/>
    <w:rsid w:val="000F17D9"/>
    <w:rsid w:val="000F234A"/>
    <w:rsid w:val="000F3DE3"/>
    <w:rsid w:val="000F4B4B"/>
    <w:rsid w:val="000F4E45"/>
    <w:rsid w:val="000F4F23"/>
    <w:rsid w:val="000F55B7"/>
    <w:rsid w:val="000F6C65"/>
    <w:rsid w:val="000F6F66"/>
    <w:rsid w:val="00100641"/>
    <w:rsid w:val="00100A49"/>
    <w:rsid w:val="00101039"/>
    <w:rsid w:val="00101077"/>
    <w:rsid w:val="001010BB"/>
    <w:rsid w:val="00101DAE"/>
    <w:rsid w:val="00101DB5"/>
    <w:rsid w:val="0010226D"/>
    <w:rsid w:val="00102481"/>
    <w:rsid w:val="00103045"/>
    <w:rsid w:val="00103D1C"/>
    <w:rsid w:val="00104C5E"/>
    <w:rsid w:val="00104DD9"/>
    <w:rsid w:val="00104E79"/>
    <w:rsid w:val="00105B94"/>
    <w:rsid w:val="00105C7F"/>
    <w:rsid w:val="00105EA8"/>
    <w:rsid w:val="001067EA"/>
    <w:rsid w:val="00106907"/>
    <w:rsid w:val="00106BCF"/>
    <w:rsid w:val="0010778F"/>
    <w:rsid w:val="001112FB"/>
    <w:rsid w:val="00112454"/>
    <w:rsid w:val="001145AD"/>
    <w:rsid w:val="001147F3"/>
    <w:rsid w:val="0011481F"/>
    <w:rsid w:val="00114844"/>
    <w:rsid w:val="00114FAB"/>
    <w:rsid w:val="00115E7D"/>
    <w:rsid w:val="00116A1B"/>
    <w:rsid w:val="00117590"/>
    <w:rsid w:val="00117C6A"/>
    <w:rsid w:val="00121AAC"/>
    <w:rsid w:val="00122FF8"/>
    <w:rsid w:val="00123B85"/>
    <w:rsid w:val="001241B8"/>
    <w:rsid w:val="001245EA"/>
    <w:rsid w:val="001260B1"/>
    <w:rsid w:val="00126919"/>
    <w:rsid w:val="001272AF"/>
    <w:rsid w:val="0012778C"/>
    <w:rsid w:val="00127F56"/>
    <w:rsid w:val="00127FCA"/>
    <w:rsid w:val="001305D9"/>
    <w:rsid w:val="00130A3D"/>
    <w:rsid w:val="00130E1F"/>
    <w:rsid w:val="001330CB"/>
    <w:rsid w:val="00133CA4"/>
    <w:rsid w:val="00134A16"/>
    <w:rsid w:val="001366D9"/>
    <w:rsid w:val="001409A4"/>
    <w:rsid w:val="00140CD0"/>
    <w:rsid w:val="00141BD4"/>
    <w:rsid w:val="00141CDF"/>
    <w:rsid w:val="00142CE0"/>
    <w:rsid w:val="00143585"/>
    <w:rsid w:val="00143D9B"/>
    <w:rsid w:val="00144A0E"/>
    <w:rsid w:val="00144AC8"/>
    <w:rsid w:val="001467AA"/>
    <w:rsid w:val="00146DD7"/>
    <w:rsid w:val="00146ED2"/>
    <w:rsid w:val="001478CC"/>
    <w:rsid w:val="00147B9C"/>
    <w:rsid w:val="00147D7D"/>
    <w:rsid w:val="00150143"/>
    <w:rsid w:val="00150878"/>
    <w:rsid w:val="0015162B"/>
    <w:rsid w:val="00151EB7"/>
    <w:rsid w:val="0015298B"/>
    <w:rsid w:val="00153756"/>
    <w:rsid w:val="00153D20"/>
    <w:rsid w:val="00153E10"/>
    <w:rsid w:val="001548E7"/>
    <w:rsid w:val="001551A4"/>
    <w:rsid w:val="00155BA1"/>
    <w:rsid w:val="001563E8"/>
    <w:rsid w:val="001571F3"/>
    <w:rsid w:val="0015741A"/>
    <w:rsid w:val="0015782F"/>
    <w:rsid w:val="00160550"/>
    <w:rsid w:val="00160820"/>
    <w:rsid w:val="00161604"/>
    <w:rsid w:val="00161983"/>
    <w:rsid w:val="001621C7"/>
    <w:rsid w:val="00163163"/>
    <w:rsid w:val="001639DC"/>
    <w:rsid w:val="001640EE"/>
    <w:rsid w:val="00164D1C"/>
    <w:rsid w:val="001668ED"/>
    <w:rsid w:val="0016787A"/>
    <w:rsid w:val="0017094F"/>
    <w:rsid w:val="00170CA6"/>
    <w:rsid w:val="00173DA0"/>
    <w:rsid w:val="001756E7"/>
    <w:rsid w:val="00176A8C"/>
    <w:rsid w:val="00182512"/>
    <w:rsid w:val="00183BC8"/>
    <w:rsid w:val="00183F6B"/>
    <w:rsid w:val="0018457B"/>
    <w:rsid w:val="00184EB5"/>
    <w:rsid w:val="001852EA"/>
    <w:rsid w:val="00185619"/>
    <w:rsid w:val="00186369"/>
    <w:rsid w:val="0018739A"/>
    <w:rsid w:val="001876D6"/>
    <w:rsid w:val="00187C66"/>
    <w:rsid w:val="00187D1F"/>
    <w:rsid w:val="00190826"/>
    <w:rsid w:val="00190852"/>
    <w:rsid w:val="001912DA"/>
    <w:rsid w:val="00191B22"/>
    <w:rsid w:val="00192A21"/>
    <w:rsid w:val="00192B6A"/>
    <w:rsid w:val="00193DB2"/>
    <w:rsid w:val="001942BF"/>
    <w:rsid w:val="00194438"/>
    <w:rsid w:val="00194856"/>
    <w:rsid w:val="00194D5E"/>
    <w:rsid w:val="001A067F"/>
    <w:rsid w:val="001A108A"/>
    <w:rsid w:val="001A1EEA"/>
    <w:rsid w:val="001A3E36"/>
    <w:rsid w:val="001A3F40"/>
    <w:rsid w:val="001A5198"/>
    <w:rsid w:val="001B144F"/>
    <w:rsid w:val="001B2B09"/>
    <w:rsid w:val="001B388A"/>
    <w:rsid w:val="001B5670"/>
    <w:rsid w:val="001B576C"/>
    <w:rsid w:val="001B57FA"/>
    <w:rsid w:val="001B6BB8"/>
    <w:rsid w:val="001B7039"/>
    <w:rsid w:val="001B756B"/>
    <w:rsid w:val="001B7911"/>
    <w:rsid w:val="001B7BE6"/>
    <w:rsid w:val="001B7C81"/>
    <w:rsid w:val="001B7E4C"/>
    <w:rsid w:val="001C4B20"/>
    <w:rsid w:val="001C513A"/>
    <w:rsid w:val="001C59EA"/>
    <w:rsid w:val="001C6039"/>
    <w:rsid w:val="001C68B9"/>
    <w:rsid w:val="001C70F7"/>
    <w:rsid w:val="001C78D2"/>
    <w:rsid w:val="001C7AA5"/>
    <w:rsid w:val="001D1306"/>
    <w:rsid w:val="001D142E"/>
    <w:rsid w:val="001D2318"/>
    <w:rsid w:val="001D26A3"/>
    <w:rsid w:val="001D2D75"/>
    <w:rsid w:val="001D2F25"/>
    <w:rsid w:val="001D3207"/>
    <w:rsid w:val="001D32C4"/>
    <w:rsid w:val="001D3787"/>
    <w:rsid w:val="001D3ADF"/>
    <w:rsid w:val="001D3C6E"/>
    <w:rsid w:val="001D5902"/>
    <w:rsid w:val="001D592C"/>
    <w:rsid w:val="001D5DCF"/>
    <w:rsid w:val="001D718E"/>
    <w:rsid w:val="001E1179"/>
    <w:rsid w:val="001E1DCC"/>
    <w:rsid w:val="001E2081"/>
    <w:rsid w:val="001E2117"/>
    <w:rsid w:val="001E24AD"/>
    <w:rsid w:val="001E2CED"/>
    <w:rsid w:val="001E2F67"/>
    <w:rsid w:val="001E2FFC"/>
    <w:rsid w:val="001E3118"/>
    <w:rsid w:val="001E31EC"/>
    <w:rsid w:val="001E332B"/>
    <w:rsid w:val="001E39AD"/>
    <w:rsid w:val="001E3CA3"/>
    <w:rsid w:val="001E44E4"/>
    <w:rsid w:val="001E5370"/>
    <w:rsid w:val="001E57B4"/>
    <w:rsid w:val="001E6430"/>
    <w:rsid w:val="001E6B18"/>
    <w:rsid w:val="001E73B0"/>
    <w:rsid w:val="001F0598"/>
    <w:rsid w:val="001F0782"/>
    <w:rsid w:val="001F1A83"/>
    <w:rsid w:val="001F2DDD"/>
    <w:rsid w:val="001F3ACC"/>
    <w:rsid w:val="001F42F5"/>
    <w:rsid w:val="001F58FE"/>
    <w:rsid w:val="001F5F67"/>
    <w:rsid w:val="001F6A8A"/>
    <w:rsid w:val="001F6A9D"/>
    <w:rsid w:val="001F744F"/>
    <w:rsid w:val="001F7574"/>
    <w:rsid w:val="001F7CC0"/>
    <w:rsid w:val="002002AA"/>
    <w:rsid w:val="00200953"/>
    <w:rsid w:val="00200BE4"/>
    <w:rsid w:val="00200E52"/>
    <w:rsid w:val="00201093"/>
    <w:rsid w:val="002024C3"/>
    <w:rsid w:val="0020257C"/>
    <w:rsid w:val="00203049"/>
    <w:rsid w:val="002033A8"/>
    <w:rsid w:val="0020453D"/>
    <w:rsid w:val="00204B07"/>
    <w:rsid w:val="00205743"/>
    <w:rsid w:val="002058A9"/>
    <w:rsid w:val="0020787B"/>
    <w:rsid w:val="002079C4"/>
    <w:rsid w:val="00210754"/>
    <w:rsid w:val="00210B12"/>
    <w:rsid w:val="002115D7"/>
    <w:rsid w:val="00211A15"/>
    <w:rsid w:val="00212600"/>
    <w:rsid w:val="00212909"/>
    <w:rsid w:val="002132DB"/>
    <w:rsid w:val="00215423"/>
    <w:rsid w:val="00215C2C"/>
    <w:rsid w:val="00217FBD"/>
    <w:rsid w:val="002205B3"/>
    <w:rsid w:val="00220B49"/>
    <w:rsid w:val="002211D4"/>
    <w:rsid w:val="00221E03"/>
    <w:rsid w:val="002224FE"/>
    <w:rsid w:val="002225E0"/>
    <w:rsid w:val="00222F09"/>
    <w:rsid w:val="00224350"/>
    <w:rsid w:val="002245AD"/>
    <w:rsid w:val="00224BF0"/>
    <w:rsid w:val="00225A3F"/>
    <w:rsid w:val="00227BD5"/>
    <w:rsid w:val="0023181F"/>
    <w:rsid w:val="00231CC8"/>
    <w:rsid w:val="00232625"/>
    <w:rsid w:val="002329EC"/>
    <w:rsid w:val="00233C73"/>
    <w:rsid w:val="0023468B"/>
    <w:rsid w:val="0023482B"/>
    <w:rsid w:val="00234F2F"/>
    <w:rsid w:val="00234F94"/>
    <w:rsid w:val="002361E2"/>
    <w:rsid w:val="002367C6"/>
    <w:rsid w:val="00237723"/>
    <w:rsid w:val="00237C4A"/>
    <w:rsid w:val="00237ED7"/>
    <w:rsid w:val="00240138"/>
    <w:rsid w:val="00242901"/>
    <w:rsid w:val="00242D77"/>
    <w:rsid w:val="00242E75"/>
    <w:rsid w:val="00243708"/>
    <w:rsid w:val="00243A0C"/>
    <w:rsid w:val="00243D05"/>
    <w:rsid w:val="002446AC"/>
    <w:rsid w:val="00244D33"/>
    <w:rsid w:val="002456ED"/>
    <w:rsid w:val="00246901"/>
    <w:rsid w:val="00246BEA"/>
    <w:rsid w:val="00247C0B"/>
    <w:rsid w:val="0025070F"/>
    <w:rsid w:val="00250DBC"/>
    <w:rsid w:val="00251902"/>
    <w:rsid w:val="00252239"/>
    <w:rsid w:val="00253435"/>
    <w:rsid w:val="00253F18"/>
    <w:rsid w:val="002545A4"/>
    <w:rsid w:val="00254881"/>
    <w:rsid w:val="00254FF9"/>
    <w:rsid w:val="0025561B"/>
    <w:rsid w:val="00255C08"/>
    <w:rsid w:val="00255C6E"/>
    <w:rsid w:val="0025661B"/>
    <w:rsid w:val="002609BE"/>
    <w:rsid w:val="00261303"/>
    <w:rsid w:val="0026133E"/>
    <w:rsid w:val="00261436"/>
    <w:rsid w:val="0026169F"/>
    <w:rsid w:val="002618EE"/>
    <w:rsid w:val="0026311F"/>
    <w:rsid w:val="00263319"/>
    <w:rsid w:val="002643FF"/>
    <w:rsid w:val="002645DE"/>
    <w:rsid w:val="00265FD9"/>
    <w:rsid w:val="00266308"/>
    <w:rsid w:val="00266647"/>
    <w:rsid w:val="002672E8"/>
    <w:rsid w:val="00271DC0"/>
    <w:rsid w:val="00273648"/>
    <w:rsid w:val="002756C8"/>
    <w:rsid w:val="0027575D"/>
    <w:rsid w:val="00277A8B"/>
    <w:rsid w:val="002801F4"/>
    <w:rsid w:val="002802AC"/>
    <w:rsid w:val="00280A04"/>
    <w:rsid w:val="00281056"/>
    <w:rsid w:val="002810FD"/>
    <w:rsid w:val="0028188F"/>
    <w:rsid w:val="00282410"/>
    <w:rsid w:val="00284075"/>
    <w:rsid w:val="00284F3A"/>
    <w:rsid w:val="00285A12"/>
    <w:rsid w:val="00285A30"/>
    <w:rsid w:val="00285AB1"/>
    <w:rsid w:val="00285FC7"/>
    <w:rsid w:val="00286A3B"/>
    <w:rsid w:val="0028759F"/>
    <w:rsid w:val="00287C62"/>
    <w:rsid w:val="00287EC2"/>
    <w:rsid w:val="00290732"/>
    <w:rsid w:val="002924A6"/>
    <w:rsid w:val="002926A1"/>
    <w:rsid w:val="0029376E"/>
    <w:rsid w:val="00295389"/>
    <w:rsid w:val="0029597B"/>
    <w:rsid w:val="00296262"/>
    <w:rsid w:val="00296680"/>
    <w:rsid w:val="002978B1"/>
    <w:rsid w:val="00297FE0"/>
    <w:rsid w:val="002A0349"/>
    <w:rsid w:val="002A063D"/>
    <w:rsid w:val="002A1B35"/>
    <w:rsid w:val="002A2186"/>
    <w:rsid w:val="002A26C8"/>
    <w:rsid w:val="002A3A37"/>
    <w:rsid w:val="002A48F2"/>
    <w:rsid w:val="002A49DB"/>
    <w:rsid w:val="002A4CD7"/>
    <w:rsid w:val="002A5AC4"/>
    <w:rsid w:val="002A5E07"/>
    <w:rsid w:val="002A66DF"/>
    <w:rsid w:val="002A6EAC"/>
    <w:rsid w:val="002A704B"/>
    <w:rsid w:val="002A71B5"/>
    <w:rsid w:val="002B4CB2"/>
    <w:rsid w:val="002B5173"/>
    <w:rsid w:val="002B52F6"/>
    <w:rsid w:val="002B58F4"/>
    <w:rsid w:val="002B77BD"/>
    <w:rsid w:val="002B7D0D"/>
    <w:rsid w:val="002C07CB"/>
    <w:rsid w:val="002C1429"/>
    <w:rsid w:val="002C1BB1"/>
    <w:rsid w:val="002C239A"/>
    <w:rsid w:val="002C2E51"/>
    <w:rsid w:val="002C3512"/>
    <w:rsid w:val="002C4AC6"/>
    <w:rsid w:val="002C4C68"/>
    <w:rsid w:val="002C4E73"/>
    <w:rsid w:val="002C5853"/>
    <w:rsid w:val="002C5F62"/>
    <w:rsid w:val="002C6B64"/>
    <w:rsid w:val="002C6F8E"/>
    <w:rsid w:val="002C7A98"/>
    <w:rsid w:val="002C7AD4"/>
    <w:rsid w:val="002C7E6F"/>
    <w:rsid w:val="002D1390"/>
    <w:rsid w:val="002D2353"/>
    <w:rsid w:val="002D38A7"/>
    <w:rsid w:val="002D448F"/>
    <w:rsid w:val="002D5394"/>
    <w:rsid w:val="002D69ED"/>
    <w:rsid w:val="002D6B86"/>
    <w:rsid w:val="002D72F7"/>
    <w:rsid w:val="002D7B48"/>
    <w:rsid w:val="002D7D74"/>
    <w:rsid w:val="002E025A"/>
    <w:rsid w:val="002E05ED"/>
    <w:rsid w:val="002E2099"/>
    <w:rsid w:val="002E2D8C"/>
    <w:rsid w:val="002E519C"/>
    <w:rsid w:val="002E5FFE"/>
    <w:rsid w:val="002E6091"/>
    <w:rsid w:val="002E689D"/>
    <w:rsid w:val="002E6C76"/>
    <w:rsid w:val="002E6ED5"/>
    <w:rsid w:val="002E7424"/>
    <w:rsid w:val="002E743A"/>
    <w:rsid w:val="002E7D0D"/>
    <w:rsid w:val="002E7E73"/>
    <w:rsid w:val="002F0211"/>
    <w:rsid w:val="002F06BB"/>
    <w:rsid w:val="002F1839"/>
    <w:rsid w:val="002F18C7"/>
    <w:rsid w:val="002F1F04"/>
    <w:rsid w:val="002F29F7"/>
    <w:rsid w:val="002F2E25"/>
    <w:rsid w:val="002F3252"/>
    <w:rsid w:val="002F4955"/>
    <w:rsid w:val="002F5057"/>
    <w:rsid w:val="002F5F2F"/>
    <w:rsid w:val="002F6797"/>
    <w:rsid w:val="002F6F64"/>
    <w:rsid w:val="002F7093"/>
    <w:rsid w:val="002F7B9D"/>
    <w:rsid w:val="002F7BE9"/>
    <w:rsid w:val="002F7FA1"/>
    <w:rsid w:val="003003C5"/>
    <w:rsid w:val="0030131E"/>
    <w:rsid w:val="003020EF"/>
    <w:rsid w:val="00303024"/>
    <w:rsid w:val="0030329E"/>
    <w:rsid w:val="00303B51"/>
    <w:rsid w:val="00304DB0"/>
    <w:rsid w:val="003052CF"/>
    <w:rsid w:val="00306B98"/>
    <w:rsid w:val="00307936"/>
    <w:rsid w:val="00310723"/>
    <w:rsid w:val="003107BD"/>
    <w:rsid w:val="00310BB4"/>
    <w:rsid w:val="00312487"/>
    <w:rsid w:val="003139EE"/>
    <w:rsid w:val="00313FE9"/>
    <w:rsid w:val="00314260"/>
    <w:rsid w:val="00314765"/>
    <w:rsid w:val="0031526D"/>
    <w:rsid w:val="00316192"/>
    <w:rsid w:val="00320416"/>
    <w:rsid w:val="00320B6C"/>
    <w:rsid w:val="00321467"/>
    <w:rsid w:val="00321625"/>
    <w:rsid w:val="00322603"/>
    <w:rsid w:val="00323392"/>
    <w:rsid w:val="00323B40"/>
    <w:rsid w:val="00323BBA"/>
    <w:rsid w:val="00323C19"/>
    <w:rsid w:val="00324287"/>
    <w:rsid w:val="00324708"/>
    <w:rsid w:val="00324DA6"/>
    <w:rsid w:val="00326100"/>
    <w:rsid w:val="0032614A"/>
    <w:rsid w:val="003264AD"/>
    <w:rsid w:val="00330BA0"/>
    <w:rsid w:val="00330FBF"/>
    <w:rsid w:val="00331641"/>
    <w:rsid w:val="00331B25"/>
    <w:rsid w:val="003322C8"/>
    <w:rsid w:val="00332724"/>
    <w:rsid w:val="00334BA6"/>
    <w:rsid w:val="00334F04"/>
    <w:rsid w:val="00334FE8"/>
    <w:rsid w:val="00336A88"/>
    <w:rsid w:val="003419F0"/>
    <w:rsid w:val="00342172"/>
    <w:rsid w:val="00342DD9"/>
    <w:rsid w:val="003431E6"/>
    <w:rsid w:val="003438BD"/>
    <w:rsid w:val="00345156"/>
    <w:rsid w:val="003468E3"/>
    <w:rsid w:val="00346BF5"/>
    <w:rsid w:val="00346EC1"/>
    <w:rsid w:val="0034777C"/>
    <w:rsid w:val="00347A6F"/>
    <w:rsid w:val="00347ABD"/>
    <w:rsid w:val="00347AC2"/>
    <w:rsid w:val="00350F56"/>
    <w:rsid w:val="003513C6"/>
    <w:rsid w:val="00353FD1"/>
    <w:rsid w:val="003544DC"/>
    <w:rsid w:val="00354708"/>
    <w:rsid w:val="0035555F"/>
    <w:rsid w:val="00355661"/>
    <w:rsid w:val="0035671D"/>
    <w:rsid w:val="003569BA"/>
    <w:rsid w:val="00356DD4"/>
    <w:rsid w:val="00357596"/>
    <w:rsid w:val="00357CE5"/>
    <w:rsid w:val="003607E8"/>
    <w:rsid w:val="00361F1D"/>
    <w:rsid w:val="00361F59"/>
    <w:rsid w:val="003623CE"/>
    <w:rsid w:val="00362B28"/>
    <w:rsid w:val="0036521F"/>
    <w:rsid w:val="003654AA"/>
    <w:rsid w:val="00365DB8"/>
    <w:rsid w:val="00372F89"/>
    <w:rsid w:val="00373706"/>
    <w:rsid w:val="0037410B"/>
    <w:rsid w:val="003753A9"/>
    <w:rsid w:val="0037576D"/>
    <w:rsid w:val="00376681"/>
    <w:rsid w:val="00380B7C"/>
    <w:rsid w:val="00380FC8"/>
    <w:rsid w:val="003843A5"/>
    <w:rsid w:val="0038469B"/>
    <w:rsid w:val="00385265"/>
    <w:rsid w:val="003852CC"/>
    <w:rsid w:val="00386588"/>
    <w:rsid w:val="00386C75"/>
    <w:rsid w:val="00386D52"/>
    <w:rsid w:val="003876E1"/>
    <w:rsid w:val="003912F7"/>
    <w:rsid w:val="0039185F"/>
    <w:rsid w:val="00391B1D"/>
    <w:rsid w:val="00392C8C"/>
    <w:rsid w:val="003934A0"/>
    <w:rsid w:val="003943DA"/>
    <w:rsid w:val="0039563F"/>
    <w:rsid w:val="00395FB1"/>
    <w:rsid w:val="00395FCC"/>
    <w:rsid w:val="003969C8"/>
    <w:rsid w:val="003973DD"/>
    <w:rsid w:val="003A0AE2"/>
    <w:rsid w:val="003A1575"/>
    <w:rsid w:val="003A3117"/>
    <w:rsid w:val="003A3415"/>
    <w:rsid w:val="003A473C"/>
    <w:rsid w:val="003A4FC3"/>
    <w:rsid w:val="003A50DE"/>
    <w:rsid w:val="003A6BF9"/>
    <w:rsid w:val="003A6D3B"/>
    <w:rsid w:val="003A6FE9"/>
    <w:rsid w:val="003A7D5C"/>
    <w:rsid w:val="003B0F91"/>
    <w:rsid w:val="003B194A"/>
    <w:rsid w:val="003B1993"/>
    <w:rsid w:val="003B1A9A"/>
    <w:rsid w:val="003B21D2"/>
    <w:rsid w:val="003B2B96"/>
    <w:rsid w:val="003B3E1D"/>
    <w:rsid w:val="003B3EB5"/>
    <w:rsid w:val="003B456F"/>
    <w:rsid w:val="003B4A02"/>
    <w:rsid w:val="003B65C8"/>
    <w:rsid w:val="003B68CD"/>
    <w:rsid w:val="003B770E"/>
    <w:rsid w:val="003B7915"/>
    <w:rsid w:val="003C0C02"/>
    <w:rsid w:val="003C136F"/>
    <w:rsid w:val="003C1937"/>
    <w:rsid w:val="003C1E44"/>
    <w:rsid w:val="003C24D7"/>
    <w:rsid w:val="003C5487"/>
    <w:rsid w:val="003C58E7"/>
    <w:rsid w:val="003C59D9"/>
    <w:rsid w:val="003C5B8F"/>
    <w:rsid w:val="003C5C3A"/>
    <w:rsid w:val="003C67C7"/>
    <w:rsid w:val="003C74E1"/>
    <w:rsid w:val="003C79F3"/>
    <w:rsid w:val="003D0BFF"/>
    <w:rsid w:val="003D103E"/>
    <w:rsid w:val="003D12BE"/>
    <w:rsid w:val="003D1BBE"/>
    <w:rsid w:val="003D1C86"/>
    <w:rsid w:val="003D2399"/>
    <w:rsid w:val="003D2C09"/>
    <w:rsid w:val="003D5418"/>
    <w:rsid w:val="003D56A9"/>
    <w:rsid w:val="003D5CB9"/>
    <w:rsid w:val="003D7142"/>
    <w:rsid w:val="003D7BC6"/>
    <w:rsid w:val="003E0663"/>
    <w:rsid w:val="003E0ACB"/>
    <w:rsid w:val="003E0B05"/>
    <w:rsid w:val="003E10FD"/>
    <w:rsid w:val="003E2A4F"/>
    <w:rsid w:val="003E2D66"/>
    <w:rsid w:val="003E503B"/>
    <w:rsid w:val="003E54C6"/>
    <w:rsid w:val="003E5AAF"/>
    <w:rsid w:val="003E6706"/>
    <w:rsid w:val="003E7F23"/>
    <w:rsid w:val="003F25C1"/>
    <w:rsid w:val="003F283E"/>
    <w:rsid w:val="003F2BC3"/>
    <w:rsid w:val="003F3235"/>
    <w:rsid w:val="003F32D8"/>
    <w:rsid w:val="003F343C"/>
    <w:rsid w:val="003F4BDF"/>
    <w:rsid w:val="003F4E63"/>
    <w:rsid w:val="003F618D"/>
    <w:rsid w:val="003F6632"/>
    <w:rsid w:val="003F669E"/>
    <w:rsid w:val="003F778C"/>
    <w:rsid w:val="003F7B70"/>
    <w:rsid w:val="00401361"/>
    <w:rsid w:val="00402E6D"/>
    <w:rsid w:val="00403FE2"/>
    <w:rsid w:val="004043E4"/>
    <w:rsid w:val="0040472F"/>
    <w:rsid w:val="00404927"/>
    <w:rsid w:val="00406458"/>
    <w:rsid w:val="00406A95"/>
    <w:rsid w:val="00407DA5"/>
    <w:rsid w:val="00407DB3"/>
    <w:rsid w:val="00411423"/>
    <w:rsid w:val="00411926"/>
    <w:rsid w:val="004121E8"/>
    <w:rsid w:val="004139A0"/>
    <w:rsid w:val="00413C4C"/>
    <w:rsid w:val="00414E69"/>
    <w:rsid w:val="00415002"/>
    <w:rsid w:val="00415914"/>
    <w:rsid w:val="00416B08"/>
    <w:rsid w:val="00420463"/>
    <w:rsid w:val="00420A3C"/>
    <w:rsid w:val="00422282"/>
    <w:rsid w:val="004227ED"/>
    <w:rsid w:val="00422C2C"/>
    <w:rsid w:val="004235E8"/>
    <w:rsid w:val="004236F0"/>
    <w:rsid w:val="00423E65"/>
    <w:rsid w:val="0042436E"/>
    <w:rsid w:val="00426A5E"/>
    <w:rsid w:val="0042718F"/>
    <w:rsid w:val="0043208A"/>
    <w:rsid w:val="00432BD0"/>
    <w:rsid w:val="00433C3D"/>
    <w:rsid w:val="00433D9B"/>
    <w:rsid w:val="00434320"/>
    <w:rsid w:val="004346DC"/>
    <w:rsid w:val="004363FD"/>
    <w:rsid w:val="00436BDD"/>
    <w:rsid w:val="0043748F"/>
    <w:rsid w:val="00440234"/>
    <w:rsid w:val="004406B6"/>
    <w:rsid w:val="0044135C"/>
    <w:rsid w:val="0044138F"/>
    <w:rsid w:val="00442EA0"/>
    <w:rsid w:val="0044469E"/>
    <w:rsid w:val="00444D53"/>
    <w:rsid w:val="00444E80"/>
    <w:rsid w:val="00445B27"/>
    <w:rsid w:val="004465C1"/>
    <w:rsid w:val="00446AD9"/>
    <w:rsid w:val="00446DC8"/>
    <w:rsid w:val="00447593"/>
    <w:rsid w:val="004502E4"/>
    <w:rsid w:val="00451002"/>
    <w:rsid w:val="0045154F"/>
    <w:rsid w:val="00451C90"/>
    <w:rsid w:val="00452780"/>
    <w:rsid w:val="004527AB"/>
    <w:rsid w:val="00452BC8"/>
    <w:rsid w:val="00453454"/>
    <w:rsid w:val="0045481A"/>
    <w:rsid w:val="00455A14"/>
    <w:rsid w:val="004567A1"/>
    <w:rsid w:val="00456CC1"/>
    <w:rsid w:val="00456D5D"/>
    <w:rsid w:val="004604B6"/>
    <w:rsid w:val="004614F6"/>
    <w:rsid w:val="00461836"/>
    <w:rsid w:val="00461B62"/>
    <w:rsid w:val="00461C38"/>
    <w:rsid w:val="00461E74"/>
    <w:rsid w:val="00462609"/>
    <w:rsid w:val="0046305E"/>
    <w:rsid w:val="0046436F"/>
    <w:rsid w:val="0046504E"/>
    <w:rsid w:val="00467CB8"/>
    <w:rsid w:val="004700DD"/>
    <w:rsid w:val="00470CC0"/>
    <w:rsid w:val="0047302E"/>
    <w:rsid w:val="004759BC"/>
    <w:rsid w:val="00475C95"/>
    <w:rsid w:val="004760DF"/>
    <w:rsid w:val="00477B9D"/>
    <w:rsid w:val="00477B9E"/>
    <w:rsid w:val="00480D63"/>
    <w:rsid w:val="00481546"/>
    <w:rsid w:val="0048314C"/>
    <w:rsid w:val="004833DB"/>
    <w:rsid w:val="00483526"/>
    <w:rsid w:val="00483E8F"/>
    <w:rsid w:val="004841AD"/>
    <w:rsid w:val="00484A98"/>
    <w:rsid w:val="00484E79"/>
    <w:rsid w:val="00484F36"/>
    <w:rsid w:val="00485FDD"/>
    <w:rsid w:val="00486D98"/>
    <w:rsid w:val="00486EAD"/>
    <w:rsid w:val="004874DE"/>
    <w:rsid w:val="00487AFB"/>
    <w:rsid w:val="004901AB"/>
    <w:rsid w:val="00490CBE"/>
    <w:rsid w:val="00490CEF"/>
    <w:rsid w:val="00491E6A"/>
    <w:rsid w:val="0049215D"/>
    <w:rsid w:val="00492446"/>
    <w:rsid w:val="00492887"/>
    <w:rsid w:val="00492DAA"/>
    <w:rsid w:val="00493C08"/>
    <w:rsid w:val="00494513"/>
    <w:rsid w:val="00494926"/>
    <w:rsid w:val="00494D84"/>
    <w:rsid w:val="00497AB1"/>
    <w:rsid w:val="00497FA4"/>
    <w:rsid w:val="004A0856"/>
    <w:rsid w:val="004A0BDE"/>
    <w:rsid w:val="004A161A"/>
    <w:rsid w:val="004A2368"/>
    <w:rsid w:val="004A24AB"/>
    <w:rsid w:val="004A27DC"/>
    <w:rsid w:val="004A3336"/>
    <w:rsid w:val="004A38E1"/>
    <w:rsid w:val="004A39DD"/>
    <w:rsid w:val="004A4D40"/>
    <w:rsid w:val="004A515A"/>
    <w:rsid w:val="004A58BD"/>
    <w:rsid w:val="004A595A"/>
    <w:rsid w:val="004A654E"/>
    <w:rsid w:val="004A6D2B"/>
    <w:rsid w:val="004A6D40"/>
    <w:rsid w:val="004A6F0F"/>
    <w:rsid w:val="004A7F23"/>
    <w:rsid w:val="004B0A9C"/>
    <w:rsid w:val="004B182B"/>
    <w:rsid w:val="004B1E18"/>
    <w:rsid w:val="004B496C"/>
    <w:rsid w:val="004B7B3F"/>
    <w:rsid w:val="004C0ADD"/>
    <w:rsid w:val="004C1366"/>
    <w:rsid w:val="004C1D65"/>
    <w:rsid w:val="004C3615"/>
    <w:rsid w:val="004C3B3C"/>
    <w:rsid w:val="004C46BE"/>
    <w:rsid w:val="004C5C6E"/>
    <w:rsid w:val="004C6600"/>
    <w:rsid w:val="004D07C3"/>
    <w:rsid w:val="004D1357"/>
    <w:rsid w:val="004D17EF"/>
    <w:rsid w:val="004D2D16"/>
    <w:rsid w:val="004D30F3"/>
    <w:rsid w:val="004D4CEF"/>
    <w:rsid w:val="004D70A6"/>
    <w:rsid w:val="004D75C7"/>
    <w:rsid w:val="004D791E"/>
    <w:rsid w:val="004D7D04"/>
    <w:rsid w:val="004E05D1"/>
    <w:rsid w:val="004E0FD7"/>
    <w:rsid w:val="004E18DB"/>
    <w:rsid w:val="004E1B76"/>
    <w:rsid w:val="004E2C7A"/>
    <w:rsid w:val="004E377B"/>
    <w:rsid w:val="004E6842"/>
    <w:rsid w:val="004E68E5"/>
    <w:rsid w:val="004E6E4C"/>
    <w:rsid w:val="004E717A"/>
    <w:rsid w:val="004E7464"/>
    <w:rsid w:val="004E7813"/>
    <w:rsid w:val="004F009D"/>
    <w:rsid w:val="004F03A1"/>
    <w:rsid w:val="004F0BA3"/>
    <w:rsid w:val="004F10BA"/>
    <w:rsid w:val="004F345D"/>
    <w:rsid w:val="004F39CD"/>
    <w:rsid w:val="004F44F3"/>
    <w:rsid w:val="004F51FB"/>
    <w:rsid w:val="004F5616"/>
    <w:rsid w:val="004F5F88"/>
    <w:rsid w:val="004F6747"/>
    <w:rsid w:val="004F6961"/>
    <w:rsid w:val="004F6EF5"/>
    <w:rsid w:val="004F7A88"/>
    <w:rsid w:val="004F7DCD"/>
    <w:rsid w:val="00500160"/>
    <w:rsid w:val="005002D1"/>
    <w:rsid w:val="0050167C"/>
    <w:rsid w:val="00501F2C"/>
    <w:rsid w:val="00502D10"/>
    <w:rsid w:val="00503DF4"/>
    <w:rsid w:val="00505342"/>
    <w:rsid w:val="005068AB"/>
    <w:rsid w:val="00510750"/>
    <w:rsid w:val="00510C5F"/>
    <w:rsid w:val="0051168B"/>
    <w:rsid w:val="005126BF"/>
    <w:rsid w:val="00513B6A"/>
    <w:rsid w:val="00514BDD"/>
    <w:rsid w:val="0051501F"/>
    <w:rsid w:val="005161B3"/>
    <w:rsid w:val="005162A6"/>
    <w:rsid w:val="00516D14"/>
    <w:rsid w:val="00517E13"/>
    <w:rsid w:val="0052040E"/>
    <w:rsid w:val="0052185A"/>
    <w:rsid w:val="005227B0"/>
    <w:rsid w:val="00522B82"/>
    <w:rsid w:val="00524253"/>
    <w:rsid w:val="0052508A"/>
    <w:rsid w:val="005305D4"/>
    <w:rsid w:val="005308A8"/>
    <w:rsid w:val="00530D86"/>
    <w:rsid w:val="00531607"/>
    <w:rsid w:val="00531ADB"/>
    <w:rsid w:val="00531F8E"/>
    <w:rsid w:val="00532EEC"/>
    <w:rsid w:val="005349DA"/>
    <w:rsid w:val="00534C38"/>
    <w:rsid w:val="005363FF"/>
    <w:rsid w:val="00542F3B"/>
    <w:rsid w:val="005432D2"/>
    <w:rsid w:val="00543F76"/>
    <w:rsid w:val="00544388"/>
    <w:rsid w:val="005446AE"/>
    <w:rsid w:val="00544CA8"/>
    <w:rsid w:val="00544FF4"/>
    <w:rsid w:val="00547B57"/>
    <w:rsid w:val="00547C8B"/>
    <w:rsid w:val="0055147C"/>
    <w:rsid w:val="0055175C"/>
    <w:rsid w:val="00551898"/>
    <w:rsid w:val="0055230A"/>
    <w:rsid w:val="0055258A"/>
    <w:rsid w:val="00554184"/>
    <w:rsid w:val="00555237"/>
    <w:rsid w:val="0055580B"/>
    <w:rsid w:val="00555EBB"/>
    <w:rsid w:val="0055634C"/>
    <w:rsid w:val="0055767B"/>
    <w:rsid w:val="005600A6"/>
    <w:rsid w:val="005609C1"/>
    <w:rsid w:val="00560B2F"/>
    <w:rsid w:val="00561B31"/>
    <w:rsid w:val="005625F1"/>
    <w:rsid w:val="005630A9"/>
    <w:rsid w:val="00563AA7"/>
    <w:rsid w:val="00563D7A"/>
    <w:rsid w:val="00563EA9"/>
    <w:rsid w:val="00564A1F"/>
    <w:rsid w:val="005651AF"/>
    <w:rsid w:val="00567B20"/>
    <w:rsid w:val="00567B62"/>
    <w:rsid w:val="005703A2"/>
    <w:rsid w:val="0057086A"/>
    <w:rsid w:val="005712A3"/>
    <w:rsid w:val="00571348"/>
    <w:rsid w:val="005719CB"/>
    <w:rsid w:val="00571A22"/>
    <w:rsid w:val="00571F08"/>
    <w:rsid w:val="00572A24"/>
    <w:rsid w:val="00572BA5"/>
    <w:rsid w:val="005734E2"/>
    <w:rsid w:val="00573684"/>
    <w:rsid w:val="0057408A"/>
    <w:rsid w:val="00574424"/>
    <w:rsid w:val="005749FB"/>
    <w:rsid w:val="005761FC"/>
    <w:rsid w:val="0057692B"/>
    <w:rsid w:val="00576AAD"/>
    <w:rsid w:val="00577439"/>
    <w:rsid w:val="005778BE"/>
    <w:rsid w:val="0058000D"/>
    <w:rsid w:val="00580CEE"/>
    <w:rsid w:val="00580DAB"/>
    <w:rsid w:val="0058119E"/>
    <w:rsid w:val="00581311"/>
    <w:rsid w:val="005813D0"/>
    <w:rsid w:val="0058230F"/>
    <w:rsid w:val="005833DA"/>
    <w:rsid w:val="005837B1"/>
    <w:rsid w:val="0058471A"/>
    <w:rsid w:val="00585687"/>
    <w:rsid w:val="00585CD0"/>
    <w:rsid w:val="00585CE5"/>
    <w:rsid w:val="005870A7"/>
    <w:rsid w:val="00590512"/>
    <w:rsid w:val="00591E3F"/>
    <w:rsid w:val="005922EA"/>
    <w:rsid w:val="00593660"/>
    <w:rsid w:val="00593DF0"/>
    <w:rsid w:val="00594256"/>
    <w:rsid w:val="00595457"/>
    <w:rsid w:val="00595F1F"/>
    <w:rsid w:val="005960D5"/>
    <w:rsid w:val="00596250"/>
    <w:rsid w:val="005966A4"/>
    <w:rsid w:val="00597846"/>
    <w:rsid w:val="005A1448"/>
    <w:rsid w:val="005A1E42"/>
    <w:rsid w:val="005A2B4F"/>
    <w:rsid w:val="005A31BA"/>
    <w:rsid w:val="005A3615"/>
    <w:rsid w:val="005A3D67"/>
    <w:rsid w:val="005A4246"/>
    <w:rsid w:val="005A4DFE"/>
    <w:rsid w:val="005A4FBC"/>
    <w:rsid w:val="005A69FF"/>
    <w:rsid w:val="005A6FD4"/>
    <w:rsid w:val="005B0245"/>
    <w:rsid w:val="005B0C28"/>
    <w:rsid w:val="005B23BE"/>
    <w:rsid w:val="005B2B01"/>
    <w:rsid w:val="005B2D09"/>
    <w:rsid w:val="005B3247"/>
    <w:rsid w:val="005B3AD3"/>
    <w:rsid w:val="005B3C7B"/>
    <w:rsid w:val="005B4B6D"/>
    <w:rsid w:val="005B4DF4"/>
    <w:rsid w:val="005B5298"/>
    <w:rsid w:val="005B5C5E"/>
    <w:rsid w:val="005B663A"/>
    <w:rsid w:val="005B684C"/>
    <w:rsid w:val="005B774F"/>
    <w:rsid w:val="005C01E8"/>
    <w:rsid w:val="005C05D4"/>
    <w:rsid w:val="005C4371"/>
    <w:rsid w:val="005C4765"/>
    <w:rsid w:val="005C4824"/>
    <w:rsid w:val="005C4AEE"/>
    <w:rsid w:val="005C4B6D"/>
    <w:rsid w:val="005C4B78"/>
    <w:rsid w:val="005C4C73"/>
    <w:rsid w:val="005C6292"/>
    <w:rsid w:val="005C77AE"/>
    <w:rsid w:val="005D0255"/>
    <w:rsid w:val="005D0858"/>
    <w:rsid w:val="005D223B"/>
    <w:rsid w:val="005D2A44"/>
    <w:rsid w:val="005D33D8"/>
    <w:rsid w:val="005D484A"/>
    <w:rsid w:val="005D5C15"/>
    <w:rsid w:val="005D6F1F"/>
    <w:rsid w:val="005D75DD"/>
    <w:rsid w:val="005D77B3"/>
    <w:rsid w:val="005E160E"/>
    <w:rsid w:val="005E23DE"/>
    <w:rsid w:val="005E2691"/>
    <w:rsid w:val="005E2D58"/>
    <w:rsid w:val="005E34CB"/>
    <w:rsid w:val="005E4A7D"/>
    <w:rsid w:val="005E4BE3"/>
    <w:rsid w:val="005E4CF4"/>
    <w:rsid w:val="005E6DD1"/>
    <w:rsid w:val="005E744D"/>
    <w:rsid w:val="005E7F95"/>
    <w:rsid w:val="005F0AEB"/>
    <w:rsid w:val="005F0BC4"/>
    <w:rsid w:val="005F0CC0"/>
    <w:rsid w:val="005F21AE"/>
    <w:rsid w:val="005F23F2"/>
    <w:rsid w:val="005F252A"/>
    <w:rsid w:val="005F2535"/>
    <w:rsid w:val="005F41E9"/>
    <w:rsid w:val="005F4EF9"/>
    <w:rsid w:val="005F5D76"/>
    <w:rsid w:val="005F5FB0"/>
    <w:rsid w:val="005F6AFD"/>
    <w:rsid w:val="005F70E2"/>
    <w:rsid w:val="006002E9"/>
    <w:rsid w:val="00600DAB"/>
    <w:rsid w:val="00600DB6"/>
    <w:rsid w:val="00601394"/>
    <w:rsid w:val="00602557"/>
    <w:rsid w:val="00603A8D"/>
    <w:rsid w:val="00604881"/>
    <w:rsid w:val="0060520A"/>
    <w:rsid w:val="0060698D"/>
    <w:rsid w:val="00607779"/>
    <w:rsid w:val="00610E9E"/>
    <w:rsid w:val="00610F81"/>
    <w:rsid w:val="00612451"/>
    <w:rsid w:val="006124AB"/>
    <w:rsid w:val="00612DE5"/>
    <w:rsid w:val="00613AEE"/>
    <w:rsid w:val="00615A5E"/>
    <w:rsid w:val="00616B52"/>
    <w:rsid w:val="00617430"/>
    <w:rsid w:val="00617555"/>
    <w:rsid w:val="006175ED"/>
    <w:rsid w:val="006177E2"/>
    <w:rsid w:val="00617820"/>
    <w:rsid w:val="0061795D"/>
    <w:rsid w:val="00620050"/>
    <w:rsid w:val="00620459"/>
    <w:rsid w:val="00622A8C"/>
    <w:rsid w:val="00623255"/>
    <w:rsid w:val="006235CF"/>
    <w:rsid w:val="00624DAF"/>
    <w:rsid w:val="0062544B"/>
    <w:rsid w:val="006272C6"/>
    <w:rsid w:val="00627D84"/>
    <w:rsid w:val="00630D58"/>
    <w:rsid w:val="00631191"/>
    <w:rsid w:val="00631DB2"/>
    <w:rsid w:val="00631DC7"/>
    <w:rsid w:val="006335A0"/>
    <w:rsid w:val="006339FA"/>
    <w:rsid w:val="00633F09"/>
    <w:rsid w:val="006356DF"/>
    <w:rsid w:val="00635BDA"/>
    <w:rsid w:val="00635C8D"/>
    <w:rsid w:val="006369EB"/>
    <w:rsid w:val="00636C81"/>
    <w:rsid w:val="00637E6A"/>
    <w:rsid w:val="0064023E"/>
    <w:rsid w:val="00640AA1"/>
    <w:rsid w:val="00640AAE"/>
    <w:rsid w:val="00641395"/>
    <w:rsid w:val="006423A7"/>
    <w:rsid w:val="00642777"/>
    <w:rsid w:val="006433CF"/>
    <w:rsid w:val="00643E88"/>
    <w:rsid w:val="00645BAD"/>
    <w:rsid w:val="006471C4"/>
    <w:rsid w:val="00647BE2"/>
    <w:rsid w:val="00650D74"/>
    <w:rsid w:val="006525DF"/>
    <w:rsid w:val="00653A13"/>
    <w:rsid w:val="00653CD0"/>
    <w:rsid w:val="00654131"/>
    <w:rsid w:val="00656769"/>
    <w:rsid w:val="00656E0C"/>
    <w:rsid w:val="006607F5"/>
    <w:rsid w:val="00661612"/>
    <w:rsid w:val="006617FD"/>
    <w:rsid w:val="006633F5"/>
    <w:rsid w:val="006647FF"/>
    <w:rsid w:val="00664B79"/>
    <w:rsid w:val="006651A1"/>
    <w:rsid w:val="006657C9"/>
    <w:rsid w:val="00665979"/>
    <w:rsid w:val="00665BA7"/>
    <w:rsid w:val="00667043"/>
    <w:rsid w:val="0066760C"/>
    <w:rsid w:val="00670ED0"/>
    <w:rsid w:val="00671429"/>
    <w:rsid w:val="006715A6"/>
    <w:rsid w:val="00671A9A"/>
    <w:rsid w:val="00673DCE"/>
    <w:rsid w:val="006740DD"/>
    <w:rsid w:val="00674ABA"/>
    <w:rsid w:val="00675644"/>
    <w:rsid w:val="0067582D"/>
    <w:rsid w:val="0067593B"/>
    <w:rsid w:val="00676D25"/>
    <w:rsid w:val="00677390"/>
    <w:rsid w:val="00677B48"/>
    <w:rsid w:val="00680FFA"/>
    <w:rsid w:val="00681F64"/>
    <w:rsid w:val="00682221"/>
    <w:rsid w:val="00682BD9"/>
    <w:rsid w:val="00682C03"/>
    <w:rsid w:val="00684D70"/>
    <w:rsid w:val="00685A24"/>
    <w:rsid w:val="00686B1E"/>
    <w:rsid w:val="00687123"/>
    <w:rsid w:val="00691B55"/>
    <w:rsid w:val="00691DD6"/>
    <w:rsid w:val="00691E45"/>
    <w:rsid w:val="006922C9"/>
    <w:rsid w:val="00692708"/>
    <w:rsid w:val="00692918"/>
    <w:rsid w:val="00694418"/>
    <w:rsid w:val="00694DBA"/>
    <w:rsid w:val="00696352"/>
    <w:rsid w:val="006A0325"/>
    <w:rsid w:val="006A0B91"/>
    <w:rsid w:val="006A1604"/>
    <w:rsid w:val="006A194D"/>
    <w:rsid w:val="006A1ADC"/>
    <w:rsid w:val="006A20EF"/>
    <w:rsid w:val="006A2353"/>
    <w:rsid w:val="006A277C"/>
    <w:rsid w:val="006A382F"/>
    <w:rsid w:val="006A4D04"/>
    <w:rsid w:val="006A5A56"/>
    <w:rsid w:val="006A6769"/>
    <w:rsid w:val="006B0254"/>
    <w:rsid w:val="006B0268"/>
    <w:rsid w:val="006B1530"/>
    <w:rsid w:val="006B18D0"/>
    <w:rsid w:val="006B18FA"/>
    <w:rsid w:val="006B2711"/>
    <w:rsid w:val="006B33CB"/>
    <w:rsid w:val="006B3405"/>
    <w:rsid w:val="006B3481"/>
    <w:rsid w:val="006B39B8"/>
    <w:rsid w:val="006B538D"/>
    <w:rsid w:val="006B7A57"/>
    <w:rsid w:val="006C14C0"/>
    <w:rsid w:val="006C1A86"/>
    <w:rsid w:val="006C2133"/>
    <w:rsid w:val="006C2751"/>
    <w:rsid w:val="006C2887"/>
    <w:rsid w:val="006C3226"/>
    <w:rsid w:val="006C373F"/>
    <w:rsid w:val="006C4F8F"/>
    <w:rsid w:val="006C5457"/>
    <w:rsid w:val="006C65A2"/>
    <w:rsid w:val="006D03CB"/>
    <w:rsid w:val="006D0A81"/>
    <w:rsid w:val="006D0BAB"/>
    <w:rsid w:val="006D0C0D"/>
    <w:rsid w:val="006D169D"/>
    <w:rsid w:val="006D245A"/>
    <w:rsid w:val="006D2658"/>
    <w:rsid w:val="006D518D"/>
    <w:rsid w:val="006D53E6"/>
    <w:rsid w:val="006D5650"/>
    <w:rsid w:val="006D56D9"/>
    <w:rsid w:val="006D5E56"/>
    <w:rsid w:val="006D6B53"/>
    <w:rsid w:val="006D6F0A"/>
    <w:rsid w:val="006D725A"/>
    <w:rsid w:val="006D7359"/>
    <w:rsid w:val="006D791E"/>
    <w:rsid w:val="006E0364"/>
    <w:rsid w:val="006E08BC"/>
    <w:rsid w:val="006E0BD6"/>
    <w:rsid w:val="006E16DE"/>
    <w:rsid w:val="006E1BD8"/>
    <w:rsid w:val="006E1D60"/>
    <w:rsid w:val="006E2586"/>
    <w:rsid w:val="006E2947"/>
    <w:rsid w:val="006E3BAD"/>
    <w:rsid w:val="006E4547"/>
    <w:rsid w:val="006E52F2"/>
    <w:rsid w:val="006E703A"/>
    <w:rsid w:val="006E7AE5"/>
    <w:rsid w:val="006F25B1"/>
    <w:rsid w:val="006F2FDD"/>
    <w:rsid w:val="006F32A0"/>
    <w:rsid w:val="006F3B7C"/>
    <w:rsid w:val="006F4B37"/>
    <w:rsid w:val="006F4C7A"/>
    <w:rsid w:val="006F4DC5"/>
    <w:rsid w:val="006F51D2"/>
    <w:rsid w:val="006F5A23"/>
    <w:rsid w:val="006F5F33"/>
    <w:rsid w:val="006F77DA"/>
    <w:rsid w:val="0070019A"/>
    <w:rsid w:val="0070108E"/>
    <w:rsid w:val="00701294"/>
    <w:rsid w:val="00703BBA"/>
    <w:rsid w:val="007047E3"/>
    <w:rsid w:val="007053C1"/>
    <w:rsid w:val="00706695"/>
    <w:rsid w:val="007067FD"/>
    <w:rsid w:val="00706EC8"/>
    <w:rsid w:val="00707D46"/>
    <w:rsid w:val="007107A9"/>
    <w:rsid w:val="00710D8D"/>
    <w:rsid w:val="00710E58"/>
    <w:rsid w:val="007114FC"/>
    <w:rsid w:val="00712AB2"/>
    <w:rsid w:val="00713459"/>
    <w:rsid w:val="00713827"/>
    <w:rsid w:val="007158C4"/>
    <w:rsid w:val="0071758C"/>
    <w:rsid w:val="00717643"/>
    <w:rsid w:val="00717C28"/>
    <w:rsid w:val="00721148"/>
    <w:rsid w:val="00721AF9"/>
    <w:rsid w:val="00722B4D"/>
    <w:rsid w:val="00724C32"/>
    <w:rsid w:val="007309E3"/>
    <w:rsid w:val="00730B86"/>
    <w:rsid w:val="00732553"/>
    <w:rsid w:val="0073466F"/>
    <w:rsid w:val="00734EF3"/>
    <w:rsid w:val="00735E6F"/>
    <w:rsid w:val="00736B7E"/>
    <w:rsid w:val="007376F3"/>
    <w:rsid w:val="007376FA"/>
    <w:rsid w:val="0073786E"/>
    <w:rsid w:val="007415EE"/>
    <w:rsid w:val="00741EFD"/>
    <w:rsid w:val="0074223F"/>
    <w:rsid w:val="00742494"/>
    <w:rsid w:val="007424FC"/>
    <w:rsid w:val="007426DC"/>
    <w:rsid w:val="00742966"/>
    <w:rsid w:val="007430C7"/>
    <w:rsid w:val="00744601"/>
    <w:rsid w:val="0074589E"/>
    <w:rsid w:val="00745AC1"/>
    <w:rsid w:val="0074768F"/>
    <w:rsid w:val="007501BC"/>
    <w:rsid w:val="00751371"/>
    <w:rsid w:val="00751478"/>
    <w:rsid w:val="007535A8"/>
    <w:rsid w:val="007538E9"/>
    <w:rsid w:val="00754E71"/>
    <w:rsid w:val="007555C1"/>
    <w:rsid w:val="00756641"/>
    <w:rsid w:val="007566AD"/>
    <w:rsid w:val="00756705"/>
    <w:rsid w:val="00757851"/>
    <w:rsid w:val="0076033A"/>
    <w:rsid w:val="007609E3"/>
    <w:rsid w:val="00762962"/>
    <w:rsid w:val="00766DBB"/>
    <w:rsid w:val="007673BD"/>
    <w:rsid w:val="00767C2F"/>
    <w:rsid w:val="0077036D"/>
    <w:rsid w:val="00770611"/>
    <w:rsid w:val="007752FD"/>
    <w:rsid w:val="00775437"/>
    <w:rsid w:val="007778DB"/>
    <w:rsid w:val="00780C17"/>
    <w:rsid w:val="00781095"/>
    <w:rsid w:val="00781E5F"/>
    <w:rsid w:val="00782E21"/>
    <w:rsid w:val="00783012"/>
    <w:rsid w:val="00783026"/>
    <w:rsid w:val="0078412C"/>
    <w:rsid w:val="007849EB"/>
    <w:rsid w:val="0078545C"/>
    <w:rsid w:val="00786982"/>
    <w:rsid w:val="00786B18"/>
    <w:rsid w:val="00786EC3"/>
    <w:rsid w:val="00792C1D"/>
    <w:rsid w:val="00793381"/>
    <w:rsid w:val="00793553"/>
    <w:rsid w:val="00795680"/>
    <w:rsid w:val="00795D04"/>
    <w:rsid w:val="007974EE"/>
    <w:rsid w:val="007978CD"/>
    <w:rsid w:val="00797BDF"/>
    <w:rsid w:val="007A0CB1"/>
    <w:rsid w:val="007A3BC5"/>
    <w:rsid w:val="007A3D93"/>
    <w:rsid w:val="007A4CA3"/>
    <w:rsid w:val="007A4EE1"/>
    <w:rsid w:val="007A5D25"/>
    <w:rsid w:val="007A6003"/>
    <w:rsid w:val="007A61F8"/>
    <w:rsid w:val="007A6C42"/>
    <w:rsid w:val="007A6D32"/>
    <w:rsid w:val="007A71D9"/>
    <w:rsid w:val="007B0C55"/>
    <w:rsid w:val="007B20E1"/>
    <w:rsid w:val="007B3A53"/>
    <w:rsid w:val="007B40B3"/>
    <w:rsid w:val="007B4601"/>
    <w:rsid w:val="007B5776"/>
    <w:rsid w:val="007B6201"/>
    <w:rsid w:val="007B63D5"/>
    <w:rsid w:val="007B6671"/>
    <w:rsid w:val="007B6A79"/>
    <w:rsid w:val="007B6E0B"/>
    <w:rsid w:val="007B7ACB"/>
    <w:rsid w:val="007C016D"/>
    <w:rsid w:val="007C1CC7"/>
    <w:rsid w:val="007C22F9"/>
    <w:rsid w:val="007C36AB"/>
    <w:rsid w:val="007C3FC4"/>
    <w:rsid w:val="007C4093"/>
    <w:rsid w:val="007C40BA"/>
    <w:rsid w:val="007C4176"/>
    <w:rsid w:val="007C4C2F"/>
    <w:rsid w:val="007C51B1"/>
    <w:rsid w:val="007C69F7"/>
    <w:rsid w:val="007C6D5B"/>
    <w:rsid w:val="007C6E8E"/>
    <w:rsid w:val="007C768D"/>
    <w:rsid w:val="007C7927"/>
    <w:rsid w:val="007C7B7C"/>
    <w:rsid w:val="007C7EDC"/>
    <w:rsid w:val="007D0338"/>
    <w:rsid w:val="007D07AA"/>
    <w:rsid w:val="007D114F"/>
    <w:rsid w:val="007D1C06"/>
    <w:rsid w:val="007D26B1"/>
    <w:rsid w:val="007D2D7F"/>
    <w:rsid w:val="007D3033"/>
    <w:rsid w:val="007D42DA"/>
    <w:rsid w:val="007D79C1"/>
    <w:rsid w:val="007E02E9"/>
    <w:rsid w:val="007E1A4C"/>
    <w:rsid w:val="007E2E24"/>
    <w:rsid w:val="007E35CA"/>
    <w:rsid w:val="007E40AC"/>
    <w:rsid w:val="007E5694"/>
    <w:rsid w:val="007E5C3C"/>
    <w:rsid w:val="007E626E"/>
    <w:rsid w:val="007E7BFB"/>
    <w:rsid w:val="007E7D98"/>
    <w:rsid w:val="007F083B"/>
    <w:rsid w:val="007F0B7D"/>
    <w:rsid w:val="007F37C7"/>
    <w:rsid w:val="007F4018"/>
    <w:rsid w:val="007F42B1"/>
    <w:rsid w:val="007F4B16"/>
    <w:rsid w:val="007F4E71"/>
    <w:rsid w:val="007F4E77"/>
    <w:rsid w:val="007F57F8"/>
    <w:rsid w:val="007F6AF0"/>
    <w:rsid w:val="007F6DBF"/>
    <w:rsid w:val="007F7A03"/>
    <w:rsid w:val="007F7F43"/>
    <w:rsid w:val="00800168"/>
    <w:rsid w:val="008007B3"/>
    <w:rsid w:val="00801772"/>
    <w:rsid w:val="00801F50"/>
    <w:rsid w:val="0080298B"/>
    <w:rsid w:val="00802EC8"/>
    <w:rsid w:val="0080300F"/>
    <w:rsid w:val="00804421"/>
    <w:rsid w:val="008047C0"/>
    <w:rsid w:val="008048B5"/>
    <w:rsid w:val="008066A3"/>
    <w:rsid w:val="00806ADC"/>
    <w:rsid w:val="00807418"/>
    <w:rsid w:val="00807844"/>
    <w:rsid w:val="0081057C"/>
    <w:rsid w:val="00810AFE"/>
    <w:rsid w:val="008114E7"/>
    <w:rsid w:val="00811F4C"/>
    <w:rsid w:val="00812306"/>
    <w:rsid w:val="0081405F"/>
    <w:rsid w:val="00814B70"/>
    <w:rsid w:val="00814C54"/>
    <w:rsid w:val="00814DBD"/>
    <w:rsid w:val="00816274"/>
    <w:rsid w:val="00816AB8"/>
    <w:rsid w:val="00816EBB"/>
    <w:rsid w:val="00817119"/>
    <w:rsid w:val="00820140"/>
    <w:rsid w:val="008207B9"/>
    <w:rsid w:val="00821AAB"/>
    <w:rsid w:val="00821EE0"/>
    <w:rsid w:val="008233B6"/>
    <w:rsid w:val="008244B3"/>
    <w:rsid w:val="00825677"/>
    <w:rsid w:val="008259F1"/>
    <w:rsid w:val="00825B3D"/>
    <w:rsid w:val="00826D34"/>
    <w:rsid w:val="00826DD3"/>
    <w:rsid w:val="00827074"/>
    <w:rsid w:val="00827B59"/>
    <w:rsid w:val="008309A2"/>
    <w:rsid w:val="00830E56"/>
    <w:rsid w:val="008327A9"/>
    <w:rsid w:val="00832B62"/>
    <w:rsid w:val="0083459E"/>
    <w:rsid w:val="00835267"/>
    <w:rsid w:val="00835908"/>
    <w:rsid w:val="00836912"/>
    <w:rsid w:val="008375CD"/>
    <w:rsid w:val="008400B6"/>
    <w:rsid w:val="00842106"/>
    <w:rsid w:val="0084218E"/>
    <w:rsid w:val="00843A9B"/>
    <w:rsid w:val="0084403A"/>
    <w:rsid w:val="00844178"/>
    <w:rsid w:val="00846B99"/>
    <w:rsid w:val="00850338"/>
    <w:rsid w:val="008513EC"/>
    <w:rsid w:val="00851F1B"/>
    <w:rsid w:val="00852203"/>
    <w:rsid w:val="00852892"/>
    <w:rsid w:val="00852BC4"/>
    <w:rsid w:val="008531AF"/>
    <w:rsid w:val="0085391A"/>
    <w:rsid w:val="00853B21"/>
    <w:rsid w:val="00855067"/>
    <w:rsid w:val="00860102"/>
    <w:rsid w:val="0086224B"/>
    <w:rsid w:val="008625AB"/>
    <w:rsid w:val="0086311C"/>
    <w:rsid w:val="00863353"/>
    <w:rsid w:val="00863B67"/>
    <w:rsid w:val="00864187"/>
    <w:rsid w:val="00864313"/>
    <w:rsid w:val="00864957"/>
    <w:rsid w:val="008664FB"/>
    <w:rsid w:val="00866BEF"/>
    <w:rsid w:val="00867684"/>
    <w:rsid w:val="008677EB"/>
    <w:rsid w:val="0086798E"/>
    <w:rsid w:val="008719D9"/>
    <w:rsid w:val="00871A23"/>
    <w:rsid w:val="00872764"/>
    <w:rsid w:val="00872788"/>
    <w:rsid w:val="008738B5"/>
    <w:rsid w:val="008748EB"/>
    <w:rsid w:val="00874DAE"/>
    <w:rsid w:val="00875A44"/>
    <w:rsid w:val="00876A8A"/>
    <w:rsid w:val="00877329"/>
    <w:rsid w:val="00880A1F"/>
    <w:rsid w:val="00883724"/>
    <w:rsid w:val="00883EF3"/>
    <w:rsid w:val="008847BF"/>
    <w:rsid w:val="008856AF"/>
    <w:rsid w:val="00885B2A"/>
    <w:rsid w:val="0088611E"/>
    <w:rsid w:val="00887107"/>
    <w:rsid w:val="00887C73"/>
    <w:rsid w:val="00887D79"/>
    <w:rsid w:val="00887E76"/>
    <w:rsid w:val="00892887"/>
    <w:rsid w:val="00893528"/>
    <w:rsid w:val="00893581"/>
    <w:rsid w:val="008938F8"/>
    <w:rsid w:val="00894219"/>
    <w:rsid w:val="008950EF"/>
    <w:rsid w:val="008A0350"/>
    <w:rsid w:val="008A1732"/>
    <w:rsid w:val="008A191C"/>
    <w:rsid w:val="008A20DD"/>
    <w:rsid w:val="008A5497"/>
    <w:rsid w:val="008A5AD8"/>
    <w:rsid w:val="008A5D1F"/>
    <w:rsid w:val="008A633B"/>
    <w:rsid w:val="008B0543"/>
    <w:rsid w:val="008B1037"/>
    <w:rsid w:val="008B2BBA"/>
    <w:rsid w:val="008B404F"/>
    <w:rsid w:val="008B4B8E"/>
    <w:rsid w:val="008B572E"/>
    <w:rsid w:val="008B64AA"/>
    <w:rsid w:val="008B6600"/>
    <w:rsid w:val="008B697D"/>
    <w:rsid w:val="008B768D"/>
    <w:rsid w:val="008C2319"/>
    <w:rsid w:val="008C32B6"/>
    <w:rsid w:val="008C38AF"/>
    <w:rsid w:val="008C3AB1"/>
    <w:rsid w:val="008C3DCD"/>
    <w:rsid w:val="008C3FBC"/>
    <w:rsid w:val="008C4223"/>
    <w:rsid w:val="008C4312"/>
    <w:rsid w:val="008C4AE6"/>
    <w:rsid w:val="008C4EDD"/>
    <w:rsid w:val="008C4F10"/>
    <w:rsid w:val="008C55B0"/>
    <w:rsid w:val="008C5C83"/>
    <w:rsid w:val="008C5F4C"/>
    <w:rsid w:val="008C6FB2"/>
    <w:rsid w:val="008C703E"/>
    <w:rsid w:val="008C72AE"/>
    <w:rsid w:val="008C7711"/>
    <w:rsid w:val="008C7F30"/>
    <w:rsid w:val="008D18BF"/>
    <w:rsid w:val="008D224C"/>
    <w:rsid w:val="008D257E"/>
    <w:rsid w:val="008D2BF4"/>
    <w:rsid w:val="008D39CC"/>
    <w:rsid w:val="008D5AF1"/>
    <w:rsid w:val="008D5FBA"/>
    <w:rsid w:val="008D63C0"/>
    <w:rsid w:val="008D65EC"/>
    <w:rsid w:val="008D66E8"/>
    <w:rsid w:val="008D7440"/>
    <w:rsid w:val="008D79D6"/>
    <w:rsid w:val="008D7E2D"/>
    <w:rsid w:val="008E008D"/>
    <w:rsid w:val="008E107E"/>
    <w:rsid w:val="008E3193"/>
    <w:rsid w:val="008E3B31"/>
    <w:rsid w:val="008E3C8C"/>
    <w:rsid w:val="008E4AE3"/>
    <w:rsid w:val="008E4E73"/>
    <w:rsid w:val="008E4FE9"/>
    <w:rsid w:val="008E523B"/>
    <w:rsid w:val="008E5497"/>
    <w:rsid w:val="008E6495"/>
    <w:rsid w:val="008E64CA"/>
    <w:rsid w:val="008E6558"/>
    <w:rsid w:val="008E7D5F"/>
    <w:rsid w:val="008F0197"/>
    <w:rsid w:val="008F1018"/>
    <w:rsid w:val="008F28D8"/>
    <w:rsid w:val="008F3707"/>
    <w:rsid w:val="008F3D8D"/>
    <w:rsid w:val="008F3F5A"/>
    <w:rsid w:val="008F51B1"/>
    <w:rsid w:val="008F53F5"/>
    <w:rsid w:val="008F59FE"/>
    <w:rsid w:val="008F5E90"/>
    <w:rsid w:val="008F6308"/>
    <w:rsid w:val="009029EF"/>
    <w:rsid w:val="009044D6"/>
    <w:rsid w:val="00904A7E"/>
    <w:rsid w:val="009054D7"/>
    <w:rsid w:val="00905D06"/>
    <w:rsid w:val="00906287"/>
    <w:rsid w:val="009071F8"/>
    <w:rsid w:val="00907C0B"/>
    <w:rsid w:val="00910082"/>
    <w:rsid w:val="00910DB8"/>
    <w:rsid w:val="0091104A"/>
    <w:rsid w:val="00911708"/>
    <w:rsid w:val="00911C5C"/>
    <w:rsid w:val="00912528"/>
    <w:rsid w:val="00912B22"/>
    <w:rsid w:val="00912D0A"/>
    <w:rsid w:val="00913774"/>
    <w:rsid w:val="009140B0"/>
    <w:rsid w:val="00914265"/>
    <w:rsid w:val="009160A0"/>
    <w:rsid w:val="009165A9"/>
    <w:rsid w:val="00916655"/>
    <w:rsid w:val="009170F2"/>
    <w:rsid w:val="00917B64"/>
    <w:rsid w:val="00920A31"/>
    <w:rsid w:val="009212C0"/>
    <w:rsid w:val="0092223F"/>
    <w:rsid w:val="0092476F"/>
    <w:rsid w:val="009248E6"/>
    <w:rsid w:val="00924A8D"/>
    <w:rsid w:val="009251A5"/>
    <w:rsid w:val="00926621"/>
    <w:rsid w:val="00926A48"/>
    <w:rsid w:val="00926E37"/>
    <w:rsid w:val="009270EF"/>
    <w:rsid w:val="009279CA"/>
    <w:rsid w:val="00927A27"/>
    <w:rsid w:val="009302D9"/>
    <w:rsid w:val="00930533"/>
    <w:rsid w:val="0093060B"/>
    <w:rsid w:val="00930639"/>
    <w:rsid w:val="00930731"/>
    <w:rsid w:val="00930CE8"/>
    <w:rsid w:val="00934A3B"/>
    <w:rsid w:val="0093523C"/>
    <w:rsid w:val="00941260"/>
    <w:rsid w:val="0094248B"/>
    <w:rsid w:val="009435A5"/>
    <w:rsid w:val="0094526C"/>
    <w:rsid w:val="00945B7B"/>
    <w:rsid w:val="00945F43"/>
    <w:rsid w:val="00945FCD"/>
    <w:rsid w:val="009472B7"/>
    <w:rsid w:val="0094790D"/>
    <w:rsid w:val="009504E4"/>
    <w:rsid w:val="00950577"/>
    <w:rsid w:val="00950EBA"/>
    <w:rsid w:val="00950F1A"/>
    <w:rsid w:val="009528AB"/>
    <w:rsid w:val="00952A04"/>
    <w:rsid w:val="00952D30"/>
    <w:rsid w:val="00953310"/>
    <w:rsid w:val="00954596"/>
    <w:rsid w:val="009548B3"/>
    <w:rsid w:val="00954B46"/>
    <w:rsid w:val="009551DF"/>
    <w:rsid w:val="00956CEF"/>
    <w:rsid w:val="0095792C"/>
    <w:rsid w:val="00962464"/>
    <w:rsid w:val="00962626"/>
    <w:rsid w:val="009626A4"/>
    <w:rsid w:val="00962899"/>
    <w:rsid w:val="0096290D"/>
    <w:rsid w:val="00964251"/>
    <w:rsid w:val="009652F2"/>
    <w:rsid w:val="00965B69"/>
    <w:rsid w:val="009725D2"/>
    <w:rsid w:val="009725F8"/>
    <w:rsid w:val="00972BEB"/>
    <w:rsid w:val="00973070"/>
    <w:rsid w:val="009740C8"/>
    <w:rsid w:val="00974ABA"/>
    <w:rsid w:val="0097544C"/>
    <w:rsid w:val="0097618A"/>
    <w:rsid w:val="00976B07"/>
    <w:rsid w:val="009775A4"/>
    <w:rsid w:val="00977F85"/>
    <w:rsid w:val="00980030"/>
    <w:rsid w:val="00981EAF"/>
    <w:rsid w:val="00982A3D"/>
    <w:rsid w:val="00984C04"/>
    <w:rsid w:val="00985C90"/>
    <w:rsid w:val="00985E31"/>
    <w:rsid w:val="009869E4"/>
    <w:rsid w:val="00987FBF"/>
    <w:rsid w:val="00990D8D"/>
    <w:rsid w:val="00991114"/>
    <w:rsid w:val="0099158A"/>
    <w:rsid w:val="009915BC"/>
    <w:rsid w:val="009917A1"/>
    <w:rsid w:val="00995DB9"/>
    <w:rsid w:val="00995EF9"/>
    <w:rsid w:val="00996206"/>
    <w:rsid w:val="00997714"/>
    <w:rsid w:val="00997D83"/>
    <w:rsid w:val="009A05D5"/>
    <w:rsid w:val="009A0B8C"/>
    <w:rsid w:val="009A1229"/>
    <w:rsid w:val="009A1ECD"/>
    <w:rsid w:val="009A2AC6"/>
    <w:rsid w:val="009A2C45"/>
    <w:rsid w:val="009A4164"/>
    <w:rsid w:val="009A4835"/>
    <w:rsid w:val="009A4B1B"/>
    <w:rsid w:val="009A4CDF"/>
    <w:rsid w:val="009A5638"/>
    <w:rsid w:val="009A688D"/>
    <w:rsid w:val="009A6B35"/>
    <w:rsid w:val="009A7278"/>
    <w:rsid w:val="009A75F3"/>
    <w:rsid w:val="009B010B"/>
    <w:rsid w:val="009B03A5"/>
    <w:rsid w:val="009B0AC4"/>
    <w:rsid w:val="009B10BB"/>
    <w:rsid w:val="009B17BC"/>
    <w:rsid w:val="009B17EC"/>
    <w:rsid w:val="009B4BB3"/>
    <w:rsid w:val="009B584B"/>
    <w:rsid w:val="009B5DE5"/>
    <w:rsid w:val="009B5F28"/>
    <w:rsid w:val="009B626D"/>
    <w:rsid w:val="009B63F0"/>
    <w:rsid w:val="009B6F4E"/>
    <w:rsid w:val="009B7A10"/>
    <w:rsid w:val="009C0FA1"/>
    <w:rsid w:val="009C11B0"/>
    <w:rsid w:val="009C20FC"/>
    <w:rsid w:val="009C2243"/>
    <w:rsid w:val="009C272A"/>
    <w:rsid w:val="009C2A0E"/>
    <w:rsid w:val="009C36B9"/>
    <w:rsid w:val="009C4243"/>
    <w:rsid w:val="009C514B"/>
    <w:rsid w:val="009C7D2F"/>
    <w:rsid w:val="009D108F"/>
    <w:rsid w:val="009D1224"/>
    <w:rsid w:val="009D16E9"/>
    <w:rsid w:val="009D1DB8"/>
    <w:rsid w:val="009D2987"/>
    <w:rsid w:val="009D3215"/>
    <w:rsid w:val="009D34F7"/>
    <w:rsid w:val="009D42F1"/>
    <w:rsid w:val="009D5EA9"/>
    <w:rsid w:val="009D68EE"/>
    <w:rsid w:val="009D6966"/>
    <w:rsid w:val="009D6BD0"/>
    <w:rsid w:val="009D6F85"/>
    <w:rsid w:val="009D76F8"/>
    <w:rsid w:val="009D79A5"/>
    <w:rsid w:val="009E16CA"/>
    <w:rsid w:val="009E1D74"/>
    <w:rsid w:val="009E26AC"/>
    <w:rsid w:val="009E2898"/>
    <w:rsid w:val="009E30CF"/>
    <w:rsid w:val="009E47F9"/>
    <w:rsid w:val="009E4A3C"/>
    <w:rsid w:val="009E53C2"/>
    <w:rsid w:val="009E7656"/>
    <w:rsid w:val="009F0393"/>
    <w:rsid w:val="009F079A"/>
    <w:rsid w:val="009F07A5"/>
    <w:rsid w:val="009F0B45"/>
    <w:rsid w:val="009F16D5"/>
    <w:rsid w:val="009F27B8"/>
    <w:rsid w:val="009F2B7F"/>
    <w:rsid w:val="009F2F3A"/>
    <w:rsid w:val="009F3B95"/>
    <w:rsid w:val="009F61A3"/>
    <w:rsid w:val="009F6C5D"/>
    <w:rsid w:val="009F71FC"/>
    <w:rsid w:val="009F7A0F"/>
    <w:rsid w:val="00A018F3"/>
    <w:rsid w:val="00A0271B"/>
    <w:rsid w:val="00A02D38"/>
    <w:rsid w:val="00A0345B"/>
    <w:rsid w:val="00A034DD"/>
    <w:rsid w:val="00A03624"/>
    <w:rsid w:val="00A0433F"/>
    <w:rsid w:val="00A0448D"/>
    <w:rsid w:val="00A04CAD"/>
    <w:rsid w:val="00A06BC9"/>
    <w:rsid w:val="00A06C6F"/>
    <w:rsid w:val="00A07B4C"/>
    <w:rsid w:val="00A11C01"/>
    <w:rsid w:val="00A126B4"/>
    <w:rsid w:val="00A1382B"/>
    <w:rsid w:val="00A14482"/>
    <w:rsid w:val="00A14FA8"/>
    <w:rsid w:val="00A1563D"/>
    <w:rsid w:val="00A166D5"/>
    <w:rsid w:val="00A1689C"/>
    <w:rsid w:val="00A16A09"/>
    <w:rsid w:val="00A16B82"/>
    <w:rsid w:val="00A177BE"/>
    <w:rsid w:val="00A17E81"/>
    <w:rsid w:val="00A17F25"/>
    <w:rsid w:val="00A20639"/>
    <w:rsid w:val="00A209F6"/>
    <w:rsid w:val="00A217EC"/>
    <w:rsid w:val="00A21C6F"/>
    <w:rsid w:val="00A23127"/>
    <w:rsid w:val="00A23F30"/>
    <w:rsid w:val="00A24133"/>
    <w:rsid w:val="00A24610"/>
    <w:rsid w:val="00A255FC"/>
    <w:rsid w:val="00A25EEA"/>
    <w:rsid w:val="00A261B3"/>
    <w:rsid w:val="00A2690A"/>
    <w:rsid w:val="00A26A2F"/>
    <w:rsid w:val="00A30C34"/>
    <w:rsid w:val="00A319D0"/>
    <w:rsid w:val="00A320A6"/>
    <w:rsid w:val="00A32230"/>
    <w:rsid w:val="00A33765"/>
    <w:rsid w:val="00A348E5"/>
    <w:rsid w:val="00A34C86"/>
    <w:rsid w:val="00A378B6"/>
    <w:rsid w:val="00A40005"/>
    <w:rsid w:val="00A418BF"/>
    <w:rsid w:val="00A418F1"/>
    <w:rsid w:val="00A41F63"/>
    <w:rsid w:val="00A42716"/>
    <w:rsid w:val="00A4289D"/>
    <w:rsid w:val="00A43243"/>
    <w:rsid w:val="00A43FC3"/>
    <w:rsid w:val="00A44AEE"/>
    <w:rsid w:val="00A450A8"/>
    <w:rsid w:val="00A45414"/>
    <w:rsid w:val="00A462CC"/>
    <w:rsid w:val="00A4652A"/>
    <w:rsid w:val="00A46932"/>
    <w:rsid w:val="00A50092"/>
    <w:rsid w:val="00A501DC"/>
    <w:rsid w:val="00A5082C"/>
    <w:rsid w:val="00A50A77"/>
    <w:rsid w:val="00A53110"/>
    <w:rsid w:val="00A5339F"/>
    <w:rsid w:val="00A53F07"/>
    <w:rsid w:val="00A54B77"/>
    <w:rsid w:val="00A55069"/>
    <w:rsid w:val="00A55271"/>
    <w:rsid w:val="00A553A4"/>
    <w:rsid w:val="00A55AAE"/>
    <w:rsid w:val="00A567B0"/>
    <w:rsid w:val="00A56932"/>
    <w:rsid w:val="00A571D4"/>
    <w:rsid w:val="00A601EE"/>
    <w:rsid w:val="00A61A36"/>
    <w:rsid w:val="00A61C25"/>
    <w:rsid w:val="00A62842"/>
    <w:rsid w:val="00A62D62"/>
    <w:rsid w:val="00A64873"/>
    <w:rsid w:val="00A651CD"/>
    <w:rsid w:val="00A65B0E"/>
    <w:rsid w:val="00A66B17"/>
    <w:rsid w:val="00A670E0"/>
    <w:rsid w:val="00A67AE6"/>
    <w:rsid w:val="00A70E39"/>
    <w:rsid w:val="00A716F8"/>
    <w:rsid w:val="00A751B4"/>
    <w:rsid w:val="00A75ADA"/>
    <w:rsid w:val="00A76275"/>
    <w:rsid w:val="00A769A0"/>
    <w:rsid w:val="00A7786E"/>
    <w:rsid w:val="00A80FFD"/>
    <w:rsid w:val="00A82A66"/>
    <w:rsid w:val="00A8380E"/>
    <w:rsid w:val="00A843A8"/>
    <w:rsid w:val="00A85143"/>
    <w:rsid w:val="00A855D7"/>
    <w:rsid w:val="00A868AE"/>
    <w:rsid w:val="00A87C47"/>
    <w:rsid w:val="00A900FD"/>
    <w:rsid w:val="00A905D7"/>
    <w:rsid w:val="00A909AE"/>
    <w:rsid w:val="00A91A12"/>
    <w:rsid w:val="00A94B57"/>
    <w:rsid w:val="00A95A7C"/>
    <w:rsid w:val="00A968FF"/>
    <w:rsid w:val="00A96BF2"/>
    <w:rsid w:val="00A9740E"/>
    <w:rsid w:val="00A975E5"/>
    <w:rsid w:val="00A97695"/>
    <w:rsid w:val="00A977B3"/>
    <w:rsid w:val="00AA1381"/>
    <w:rsid w:val="00AA2636"/>
    <w:rsid w:val="00AA3A2B"/>
    <w:rsid w:val="00AA4C3E"/>
    <w:rsid w:val="00AA6110"/>
    <w:rsid w:val="00AA7106"/>
    <w:rsid w:val="00AA7131"/>
    <w:rsid w:val="00AA7BB3"/>
    <w:rsid w:val="00AA7E13"/>
    <w:rsid w:val="00AA7EA9"/>
    <w:rsid w:val="00AB1160"/>
    <w:rsid w:val="00AB18E5"/>
    <w:rsid w:val="00AB1BD2"/>
    <w:rsid w:val="00AB1C5E"/>
    <w:rsid w:val="00AB425A"/>
    <w:rsid w:val="00AB49A2"/>
    <w:rsid w:val="00AB5027"/>
    <w:rsid w:val="00AB529C"/>
    <w:rsid w:val="00AB5ABA"/>
    <w:rsid w:val="00AB6C6E"/>
    <w:rsid w:val="00AB73F3"/>
    <w:rsid w:val="00AB77F2"/>
    <w:rsid w:val="00AC02C6"/>
    <w:rsid w:val="00AC1413"/>
    <w:rsid w:val="00AC14AE"/>
    <w:rsid w:val="00AC1640"/>
    <w:rsid w:val="00AC166C"/>
    <w:rsid w:val="00AC1BDB"/>
    <w:rsid w:val="00AC2A31"/>
    <w:rsid w:val="00AC31FE"/>
    <w:rsid w:val="00AC36B2"/>
    <w:rsid w:val="00AC50BC"/>
    <w:rsid w:val="00AC7348"/>
    <w:rsid w:val="00AC75BF"/>
    <w:rsid w:val="00AC793E"/>
    <w:rsid w:val="00AD0261"/>
    <w:rsid w:val="00AD09E6"/>
    <w:rsid w:val="00AD24D7"/>
    <w:rsid w:val="00AD31D7"/>
    <w:rsid w:val="00AD3691"/>
    <w:rsid w:val="00AD38F7"/>
    <w:rsid w:val="00AD430F"/>
    <w:rsid w:val="00AD71F7"/>
    <w:rsid w:val="00AE03E5"/>
    <w:rsid w:val="00AE1B84"/>
    <w:rsid w:val="00AE3728"/>
    <w:rsid w:val="00AE43F7"/>
    <w:rsid w:val="00AE52C4"/>
    <w:rsid w:val="00AE5E96"/>
    <w:rsid w:val="00AE6D1C"/>
    <w:rsid w:val="00AE718F"/>
    <w:rsid w:val="00AE7345"/>
    <w:rsid w:val="00AE796B"/>
    <w:rsid w:val="00AF0904"/>
    <w:rsid w:val="00AF0E7D"/>
    <w:rsid w:val="00AF1534"/>
    <w:rsid w:val="00AF242B"/>
    <w:rsid w:val="00AF5990"/>
    <w:rsid w:val="00AF62CC"/>
    <w:rsid w:val="00B011D8"/>
    <w:rsid w:val="00B0174A"/>
    <w:rsid w:val="00B01A6B"/>
    <w:rsid w:val="00B03025"/>
    <w:rsid w:val="00B03551"/>
    <w:rsid w:val="00B037B9"/>
    <w:rsid w:val="00B03B85"/>
    <w:rsid w:val="00B05755"/>
    <w:rsid w:val="00B069D1"/>
    <w:rsid w:val="00B0715B"/>
    <w:rsid w:val="00B1097E"/>
    <w:rsid w:val="00B10EF8"/>
    <w:rsid w:val="00B115B7"/>
    <w:rsid w:val="00B132EC"/>
    <w:rsid w:val="00B133DE"/>
    <w:rsid w:val="00B1513C"/>
    <w:rsid w:val="00B16159"/>
    <w:rsid w:val="00B162FC"/>
    <w:rsid w:val="00B16619"/>
    <w:rsid w:val="00B1684A"/>
    <w:rsid w:val="00B175EF"/>
    <w:rsid w:val="00B2013F"/>
    <w:rsid w:val="00B22510"/>
    <w:rsid w:val="00B2348A"/>
    <w:rsid w:val="00B23787"/>
    <w:rsid w:val="00B2528F"/>
    <w:rsid w:val="00B26AB6"/>
    <w:rsid w:val="00B27917"/>
    <w:rsid w:val="00B3095B"/>
    <w:rsid w:val="00B30FA4"/>
    <w:rsid w:val="00B31E9B"/>
    <w:rsid w:val="00B3243F"/>
    <w:rsid w:val="00B325B0"/>
    <w:rsid w:val="00B34928"/>
    <w:rsid w:val="00B35433"/>
    <w:rsid w:val="00B37721"/>
    <w:rsid w:val="00B37805"/>
    <w:rsid w:val="00B40271"/>
    <w:rsid w:val="00B40A66"/>
    <w:rsid w:val="00B40D98"/>
    <w:rsid w:val="00B41306"/>
    <w:rsid w:val="00B41917"/>
    <w:rsid w:val="00B421B3"/>
    <w:rsid w:val="00B43042"/>
    <w:rsid w:val="00B43955"/>
    <w:rsid w:val="00B43A5B"/>
    <w:rsid w:val="00B43DDB"/>
    <w:rsid w:val="00B44414"/>
    <w:rsid w:val="00B44BE9"/>
    <w:rsid w:val="00B46544"/>
    <w:rsid w:val="00B46EA7"/>
    <w:rsid w:val="00B4700D"/>
    <w:rsid w:val="00B47400"/>
    <w:rsid w:val="00B50AB3"/>
    <w:rsid w:val="00B50DBD"/>
    <w:rsid w:val="00B51C2A"/>
    <w:rsid w:val="00B529C3"/>
    <w:rsid w:val="00B52A34"/>
    <w:rsid w:val="00B52B19"/>
    <w:rsid w:val="00B52C15"/>
    <w:rsid w:val="00B52EB4"/>
    <w:rsid w:val="00B54029"/>
    <w:rsid w:val="00B5539F"/>
    <w:rsid w:val="00B55D1C"/>
    <w:rsid w:val="00B55D96"/>
    <w:rsid w:val="00B55EF1"/>
    <w:rsid w:val="00B5621D"/>
    <w:rsid w:val="00B56E87"/>
    <w:rsid w:val="00B57966"/>
    <w:rsid w:val="00B60878"/>
    <w:rsid w:val="00B60E12"/>
    <w:rsid w:val="00B6169C"/>
    <w:rsid w:val="00B62537"/>
    <w:rsid w:val="00B62CD3"/>
    <w:rsid w:val="00B636DA"/>
    <w:rsid w:val="00B6470F"/>
    <w:rsid w:val="00B64C1F"/>
    <w:rsid w:val="00B64F64"/>
    <w:rsid w:val="00B656B8"/>
    <w:rsid w:val="00B67040"/>
    <w:rsid w:val="00B67A2E"/>
    <w:rsid w:val="00B70E50"/>
    <w:rsid w:val="00B70EAA"/>
    <w:rsid w:val="00B71506"/>
    <w:rsid w:val="00B73CE4"/>
    <w:rsid w:val="00B73FAE"/>
    <w:rsid w:val="00B745CF"/>
    <w:rsid w:val="00B75373"/>
    <w:rsid w:val="00B756D9"/>
    <w:rsid w:val="00B76EDC"/>
    <w:rsid w:val="00B77258"/>
    <w:rsid w:val="00B773DC"/>
    <w:rsid w:val="00B77C45"/>
    <w:rsid w:val="00B80A08"/>
    <w:rsid w:val="00B80AAB"/>
    <w:rsid w:val="00B81069"/>
    <w:rsid w:val="00B82777"/>
    <w:rsid w:val="00B8408B"/>
    <w:rsid w:val="00B85217"/>
    <w:rsid w:val="00B85456"/>
    <w:rsid w:val="00B85825"/>
    <w:rsid w:val="00B859DF"/>
    <w:rsid w:val="00B85A03"/>
    <w:rsid w:val="00B85EA7"/>
    <w:rsid w:val="00B85F5D"/>
    <w:rsid w:val="00B86621"/>
    <w:rsid w:val="00B866D5"/>
    <w:rsid w:val="00B86868"/>
    <w:rsid w:val="00B86FFF"/>
    <w:rsid w:val="00B87618"/>
    <w:rsid w:val="00B9172C"/>
    <w:rsid w:val="00B9176C"/>
    <w:rsid w:val="00B918AD"/>
    <w:rsid w:val="00B91FEE"/>
    <w:rsid w:val="00B935AA"/>
    <w:rsid w:val="00B93CBF"/>
    <w:rsid w:val="00B94089"/>
    <w:rsid w:val="00B94958"/>
    <w:rsid w:val="00B94A7D"/>
    <w:rsid w:val="00B95BAF"/>
    <w:rsid w:val="00B965C2"/>
    <w:rsid w:val="00B96718"/>
    <w:rsid w:val="00BA0464"/>
    <w:rsid w:val="00BA0AD5"/>
    <w:rsid w:val="00BA0E74"/>
    <w:rsid w:val="00BA1802"/>
    <w:rsid w:val="00BA2A70"/>
    <w:rsid w:val="00BA31FC"/>
    <w:rsid w:val="00BA34E4"/>
    <w:rsid w:val="00BA495D"/>
    <w:rsid w:val="00BA4A18"/>
    <w:rsid w:val="00BA5A8B"/>
    <w:rsid w:val="00BA5E16"/>
    <w:rsid w:val="00BA6057"/>
    <w:rsid w:val="00BA68A1"/>
    <w:rsid w:val="00BA6C72"/>
    <w:rsid w:val="00BB01F8"/>
    <w:rsid w:val="00BB05C8"/>
    <w:rsid w:val="00BB0C2A"/>
    <w:rsid w:val="00BB10FD"/>
    <w:rsid w:val="00BB18E0"/>
    <w:rsid w:val="00BB2018"/>
    <w:rsid w:val="00BB3D62"/>
    <w:rsid w:val="00BB574A"/>
    <w:rsid w:val="00BB6A67"/>
    <w:rsid w:val="00BB6B53"/>
    <w:rsid w:val="00BB7041"/>
    <w:rsid w:val="00BB7DBA"/>
    <w:rsid w:val="00BC136A"/>
    <w:rsid w:val="00BC1E1F"/>
    <w:rsid w:val="00BC23FD"/>
    <w:rsid w:val="00BC415E"/>
    <w:rsid w:val="00BC4FE1"/>
    <w:rsid w:val="00BC6622"/>
    <w:rsid w:val="00BC72DA"/>
    <w:rsid w:val="00BC759E"/>
    <w:rsid w:val="00BD13C2"/>
    <w:rsid w:val="00BD2692"/>
    <w:rsid w:val="00BD36D9"/>
    <w:rsid w:val="00BD470E"/>
    <w:rsid w:val="00BD4D1E"/>
    <w:rsid w:val="00BD4E5C"/>
    <w:rsid w:val="00BD5542"/>
    <w:rsid w:val="00BD5622"/>
    <w:rsid w:val="00BD5775"/>
    <w:rsid w:val="00BD5829"/>
    <w:rsid w:val="00BD6809"/>
    <w:rsid w:val="00BD75E1"/>
    <w:rsid w:val="00BD78B4"/>
    <w:rsid w:val="00BE05A6"/>
    <w:rsid w:val="00BE0903"/>
    <w:rsid w:val="00BE1DCE"/>
    <w:rsid w:val="00BE21D1"/>
    <w:rsid w:val="00BE22F3"/>
    <w:rsid w:val="00BE24FD"/>
    <w:rsid w:val="00BE27DB"/>
    <w:rsid w:val="00BE5A4F"/>
    <w:rsid w:val="00BE6887"/>
    <w:rsid w:val="00BE7EBB"/>
    <w:rsid w:val="00BF0222"/>
    <w:rsid w:val="00BF0D97"/>
    <w:rsid w:val="00BF1E9A"/>
    <w:rsid w:val="00BF3738"/>
    <w:rsid w:val="00BF59F0"/>
    <w:rsid w:val="00BF677D"/>
    <w:rsid w:val="00BF7E2B"/>
    <w:rsid w:val="00BF7E84"/>
    <w:rsid w:val="00C00896"/>
    <w:rsid w:val="00C00D82"/>
    <w:rsid w:val="00C00E12"/>
    <w:rsid w:val="00C03105"/>
    <w:rsid w:val="00C03E65"/>
    <w:rsid w:val="00C04B90"/>
    <w:rsid w:val="00C056B9"/>
    <w:rsid w:val="00C0611A"/>
    <w:rsid w:val="00C0641B"/>
    <w:rsid w:val="00C0695C"/>
    <w:rsid w:val="00C07FB5"/>
    <w:rsid w:val="00C11782"/>
    <w:rsid w:val="00C11AA7"/>
    <w:rsid w:val="00C12A0D"/>
    <w:rsid w:val="00C12A6D"/>
    <w:rsid w:val="00C131B0"/>
    <w:rsid w:val="00C131B4"/>
    <w:rsid w:val="00C13586"/>
    <w:rsid w:val="00C13F5B"/>
    <w:rsid w:val="00C1472C"/>
    <w:rsid w:val="00C14777"/>
    <w:rsid w:val="00C17523"/>
    <w:rsid w:val="00C204E8"/>
    <w:rsid w:val="00C21E1C"/>
    <w:rsid w:val="00C222F7"/>
    <w:rsid w:val="00C22933"/>
    <w:rsid w:val="00C24349"/>
    <w:rsid w:val="00C25991"/>
    <w:rsid w:val="00C307CB"/>
    <w:rsid w:val="00C30FC9"/>
    <w:rsid w:val="00C313C1"/>
    <w:rsid w:val="00C314B4"/>
    <w:rsid w:val="00C3289F"/>
    <w:rsid w:val="00C32C08"/>
    <w:rsid w:val="00C3322D"/>
    <w:rsid w:val="00C3346E"/>
    <w:rsid w:val="00C34BA2"/>
    <w:rsid w:val="00C3613B"/>
    <w:rsid w:val="00C36BD4"/>
    <w:rsid w:val="00C3705A"/>
    <w:rsid w:val="00C373A5"/>
    <w:rsid w:val="00C40479"/>
    <w:rsid w:val="00C40C77"/>
    <w:rsid w:val="00C41739"/>
    <w:rsid w:val="00C425CC"/>
    <w:rsid w:val="00C42E04"/>
    <w:rsid w:val="00C43503"/>
    <w:rsid w:val="00C4394D"/>
    <w:rsid w:val="00C450CF"/>
    <w:rsid w:val="00C45943"/>
    <w:rsid w:val="00C47CA2"/>
    <w:rsid w:val="00C50748"/>
    <w:rsid w:val="00C50905"/>
    <w:rsid w:val="00C511C8"/>
    <w:rsid w:val="00C51EC5"/>
    <w:rsid w:val="00C52F35"/>
    <w:rsid w:val="00C53B32"/>
    <w:rsid w:val="00C53BD0"/>
    <w:rsid w:val="00C53D9F"/>
    <w:rsid w:val="00C53DBE"/>
    <w:rsid w:val="00C5489B"/>
    <w:rsid w:val="00C55913"/>
    <w:rsid w:val="00C55F3B"/>
    <w:rsid w:val="00C56E7A"/>
    <w:rsid w:val="00C5707D"/>
    <w:rsid w:val="00C608F7"/>
    <w:rsid w:val="00C61BF4"/>
    <w:rsid w:val="00C62CED"/>
    <w:rsid w:val="00C64D7E"/>
    <w:rsid w:val="00C6586A"/>
    <w:rsid w:val="00C65891"/>
    <w:rsid w:val="00C65B54"/>
    <w:rsid w:val="00C66EF6"/>
    <w:rsid w:val="00C67EDA"/>
    <w:rsid w:val="00C71D63"/>
    <w:rsid w:val="00C73C7E"/>
    <w:rsid w:val="00C73DB5"/>
    <w:rsid w:val="00C73EF1"/>
    <w:rsid w:val="00C74944"/>
    <w:rsid w:val="00C76346"/>
    <w:rsid w:val="00C77168"/>
    <w:rsid w:val="00C775F8"/>
    <w:rsid w:val="00C77A14"/>
    <w:rsid w:val="00C77C47"/>
    <w:rsid w:val="00C8018B"/>
    <w:rsid w:val="00C80763"/>
    <w:rsid w:val="00C8194B"/>
    <w:rsid w:val="00C82B00"/>
    <w:rsid w:val="00C84BA7"/>
    <w:rsid w:val="00C84CBA"/>
    <w:rsid w:val="00C84F59"/>
    <w:rsid w:val="00C85CD9"/>
    <w:rsid w:val="00C85E17"/>
    <w:rsid w:val="00C86E25"/>
    <w:rsid w:val="00C871B6"/>
    <w:rsid w:val="00C904E3"/>
    <w:rsid w:val="00C9161E"/>
    <w:rsid w:val="00C91DE3"/>
    <w:rsid w:val="00C91EDC"/>
    <w:rsid w:val="00C93002"/>
    <w:rsid w:val="00C94E44"/>
    <w:rsid w:val="00C94FE9"/>
    <w:rsid w:val="00C95170"/>
    <w:rsid w:val="00C95586"/>
    <w:rsid w:val="00C95A35"/>
    <w:rsid w:val="00C96081"/>
    <w:rsid w:val="00C9609B"/>
    <w:rsid w:val="00C96C62"/>
    <w:rsid w:val="00C97AA9"/>
    <w:rsid w:val="00CA07D1"/>
    <w:rsid w:val="00CA0B9C"/>
    <w:rsid w:val="00CA0CA5"/>
    <w:rsid w:val="00CA11A5"/>
    <w:rsid w:val="00CA19CA"/>
    <w:rsid w:val="00CA1AAE"/>
    <w:rsid w:val="00CA1BE1"/>
    <w:rsid w:val="00CA2150"/>
    <w:rsid w:val="00CA31AE"/>
    <w:rsid w:val="00CA3373"/>
    <w:rsid w:val="00CA3F9B"/>
    <w:rsid w:val="00CA4044"/>
    <w:rsid w:val="00CA4192"/>
    <w:rsid w:val="00CA551C"/>
    <w:rsid w:val="00CA5F35"/>
    <w:rsid w:val="00CA5F81"/>
    <w:rsid w:val="00CA64F9"/>
    <w:rsid w:val="00CA65E0"/>
    <w:rsid w:val="00CA6B48"/>
    <w:rsid w:val="00CA6D66"/>
    <w:rsid w:val="00CA6F25"/>
    <w:rsid w:val="00CA6F52"/>
    <w:rsid w:val="00CA6FA0"/>
    <w:rsid w:val="00CA72B9"/>
    <w:rsid w:val="00CB0D80"/>
    <w:rsid w:val="00CB13DB"/>
    <w:rsid w:val="00CB29C1"/>
    <w:rsid w:val="00CB3CED"/>
    <w:rsid w:val="00CB3F56"/>
    <w:rsid w:val="00CB3FCB"/>
    <w:rsid w:val="00CB5194"/>
    <w:rsid w:val="00CB521B"/>
    <w:rsid w:val="00CB533E"/>
    <w:rsid w:val="00CB541C"/>
    <w:rsid w:val="00CB5420"/>
    <w:rsid w:val="00CB65FA"/>
    <w:rsid w:val="00CB715A"/>
    <w:rsid w:val="00CB7C7C"/>
    <w:rsid w:val="00CC02A3"/>
    <w:rsid w:val="00CC1B61"/>
    <w:rsid w:val="00CC1B7F"/>
    <w:rsid w:val="00CC26C5"/>
    <w:rsid w:val="00CC2836"/>
    <w:rsid w:val="00CC28B7"/>
    <w:rsid w:val="00CC2FB6"/>
    <w:rsid w:val="00CC3177"/>
    <w:rsid w:val="00CC33F6"/>
    <w:rsid w:val="00CC4948"/>
    <w:rsid w:val="00CC4D82"/>
    <w:rsid w:val="00CC5492"/>
    <w:rsid w:val="00CC6307"/>
    <w:rsid w:val="00CC6FF1"/>
    <w:rsid w:val="00CC7AF9"/>
    <w:rsid w:val="00CD0050"/>
    <w:rsid w:val="00CD1479"/>
    <w:rsid w:val="00CD1FCA"/>
    <w:rsid w:val="00CD29CC"/>
    <w:rsid w:val="00CD2EB5"/>
    <w:rsid w:val="00CD403D"/>
    <w:rsid w:val="00CD494D"/>
    <w:rsid w:val="00CD5440"/>
    <w:rsid w:val="00CD5D74"/>
    <w:rsid w:val="00CD63C5"/>
    <w:rsid w:val="00CD697D"/>
    <w:rsid w:val="00CD6B5B"/>
    <w:rsid w:val="00CD76BA"/>
    <w:rsid w:val="00CD7835"/>
    <w:rsid w:val="00CE148C"/>
    <w:rsid w:val="00CE1958"/>
    <w:rsid w:val="00CE28BA"/>
    <w:rsid w:val="00CE4131"/>
    <w:rsid w:val="00CE5B11"/>
    <w:rsid w:val="00CE5B54"/>
    <w:rsid w:val="00CE64BA"/>
    <w:rsid w:val="00CE6B9B"/>
    <w:rsid w:val="00CE6F0E"/>
    <w:rsid w:val="00CF0454"/>
    <w:rsid w:val="00CF0860"/>
    <w:rsid w:val="00CF122E"/>
    <w:rsid w:val="00CF12D7"/>
    <w:rsid w:val="00CF19FD"/>
    <w:rsid w:val="00CF2E3B"/>
    <w:rsid w:val="00CF366B"/>
    <w:rsid w:val="00CF3918"/>
    <w:rsid w:val="00CF4933"/>
    <w:rsid w:val="00CF5F69"/>
    <w:rsid w:val="00CF5F74"/>
    <w:rsid w:val="00CF6711"/>
    <w:rsid w:val="00D0009D"/>
    <w:rsid w:val="00D013B9"/>
    <w:rsid w:val="00D01A62"/>
    <w:rsid w:val="00D01B74"/>
    <w:rsid w:val="00D03ABA"/>
    <w:rsid w:val="00D04147"/>
    <w:rsid w:val="00D04B76"/>
    <w:rsid w:val="00D0581F"/>
    <w:rsid w:val="00D062C5"/>
    <w:rsid w:val="00D06AF3"/>
    <w:rsid w:val="00D072DF"/>
    <w:rsid w:val="00D10181"/>
    <w:rsid w:val="00D1076C"/>
    <w:rsid w:val="00D133F1"/>
    <w:rsid w:val="00D14ADB"/>
    <w:rsid w:val="00D1666F"/>
    <w:rsid w:val="00D166D2"/>
    <w:rsid w:val="00D16AFA"/>
    <w:rsid w:val="00D1740E"/>
    <w:rsid w:val="00D17CB6"/>
    <w:rsid w:val="00D21593"/>
    <w:rsid w:val="00D229D5"/>
    <w:rsid w:val="00D22EA5"/>
    <w:rsid w:val="00D237BB"/>
    <w:rsid w:val="00D24560"/>
    <w:rsid w:val="00D24A86"/>
    <w:rsid w:val="00D252CE"/>
    <w:rsid w:val="00D26858"/>
    <w:rsid w:val="00D26C54"/>
    <w:rsid w:val="00D2719A"/>
    <w:rsid w:val="00D27699"/>
    <w:rsid w:val="00D306B3"/>
    <w:rsid w:val="00D31262"/>
    <w:rsid w:val="00D314DD"/>
    <w:rsid w:val="00D317C1"/>
    <w:rsid w:val="00D31CD8"/>
    <w:rsid w:val="00D32116"/>
    <w:rsid w:val="00D32FE5"/>
    <w:rsid w:val="00D345B0"/>
    <w:rsid w:val="00D346F1"/>
    <w:rsid w:val="00D367E4"/>
    <w:rsid w:val="00D3738E"/>
    <w:rsid w:val="00D373E4"/>
    <w:rsid w:val="00D37888"/>
    <w:rsid w:val="00D417E1"/>
    <w:rsid w:val="00D42054"/>
    <w:rsid w:val="00D425DB"/>
    <w:rsid w:val="00D42B7B"/>
    <w:rsid w:val="00D42FDF"/>
    <w:rsid w:val="00D42FEB"/>
    <w:rsid w:val="00D434BF"/>
    <w:rsid w:val="00D43E8C"/>
    <w:rsid w:val="00D44653"/>
    <w:rsid w:val="00D47F01"/>
    <w:rsid w:val="00D518FD"/>
    <w:rsid w:val="00D53503"/>
    <w:rsid w:val="00D53BA6"/>
    <w:rsid w:val="00D53C72"/>
    <w:rsid w:val="00D54C81"/>
    <w:rsid w:val="00D550B7"/>
    <w:rsid w:val="00D5575B"/>
    <w:rsid w:val="00D55E2A"/>
    <w:rsid w:val="00D56096"/>
    <w:rsid w:val="00D5675C"/>
    <w:rsid w:val="00D575C5"/>
    <w:rsid w:val="00D60097"/>
    <w:rsid w:val="00D607B1"/>
    <w:rsid w:val="00D60AE5"/>
    <w:rsid w:val="00D61189"/>
    <w:rsid w:val="00D6358E"/>
    <w:rsid w:val="00D639C7"/>
    <w:rsid w:val="00D6497D"/>
    <w:rsid w:val="00D64E7C"/>
    <w:rsid w:val="00D66223"/>
    <w:rsid w:val="00D6654E"/>
    <w:rsid w:val="00D667D2"/>
    <w:rsid w:val="00D66B2B"/>
    <w:rsid w:val="00D675D0"/>
    <w:rsid w:val="00D71C18"/>
    <w:rsid w:val="00D72004"/>
    <w:rsid w:val="00D721C8"/>
    <w:rsid w:val="00D7271C"/>
    <w:rsid w:val="00D72BE8"/>
    <w:rsid w:val="00D72D29"/>
    <w:rsid w:val="00D73503"/>
    <w:rsid w:val="00D7381B"/>
    <w:rsid w:val="00D74B58"/>
    <w:rsid w:val="00D77246"/>
    <w:rsid w:val="00D82AB3"/>
    <w:rsid w:val="00D82DFD"/>
    <w:rsid w:val="00D832BB"/>
    <w:rsid w:val="00D84FA3"/>
    <w:rsid w:val="00D85B96"/>
    <w:rsid w:val="00D85CFF"/>
    <w:rsid w:val="00D85DE7"/>
    <w:rsid w:val="00D85F88"/>
    <w:rsid w:val="00D86F68"/>
    <w:rsid w:val="00D8708B"/>
    <w:rsid w:val="00D90179"/>
    <w:rsid w:val="00D92A7C"/>
    <w:rsid w:val="00D9341A"/>
    <w:rsid w:val="00D93AAD"/>
    <w:rsid w:val="00D9459D"/>
    <w:rsid w:val="00D95651"/>
    <w:rsid w:val="00D96004"/>
    <w:rsid w:val="00D97035"/>
    <w:rsid w:val="00D973BE"/>
    <w:rsid w:val="00D975ED"/>
    <w:rsid w:val="00D976DD"/>
    <w:rsid w:val="00DA08BF"/>
    <w:rsid w:val="00DA1218"/>
    <w:rsid w:val="00DA1566"/>
    <w:rsid w:val="00DA1886"/>
    <w:rsid w:val="00DA1C51"/>
    <w:rsid w:val="00DA1FDC"/>
    <w:rsid w:val="00DA2970"/>
    <w:rsid w:val="00DA416E"/>
    <w:rsid w:val="00DA4266"/>
    <w:rsid w:val="00DA6806"/>
    <w:rsid w:val="00DA69BD"/>
    <w:rsid w:val="00DB0427"/>
    <w:rsid w:val="00DB0AD2"/>
    <w:rsid w:val="00DB3FB0"/>
    <w:rsid w:val="00DB4812"/>
    <w:rsid w:val="00DB4B37"/>
    <w:rsid w:val="00DB511E"/>
    <w:rsid w:val="00DB5200"/>
    <w:rsid w:val="00DB5790"/>
    <w:rsid w:val="00DB5AEE"/>
    <w:rsid w:val="00DB6EEE"/>
    <w:rsid w:val="00DB799C"/>
    <w:rsid w:val="00DB7D5A"/>
    <w:rsid w:val="00DC0035"/>
    <w:rsid w:val="00DC09DE"/>
    <w:rsid w:val="00DC11D2"/>
    <w:rsid w:val="00DC16F9"/>
    <w:rsid w:val="00DC2165"/>
    <w:rsid w:val="00DC3056"/>
    <w:rsid w:val="00DC3253"/>
    <w:rsid w:val="00DC478C"/>
    <w:rsid w:val="00DC482B"/>
    <w:rsid w:val="00DC6A20"/>
    <w:rsid w:val="00DD1186"/>
    <w:rsid w:val="00DD18EE"/>
    <w:rsid w:val="00DD259F"/>
    <w:rsid w:val="00DD262A"/>
    <w:rsid w:val="00DD3377"/>
    <w:rsid w:val="00DD39F4"/>
    <w:rsid w:val="00DD3CAA"/>
    <w:rsid w:val="00DD3CE1"/>
    <w:rsid w:val="00DD4767"/>
    <w:rsid w:val="00DD4D25"/>
    <w:rsid w:val="00DD66A7"/>
    <w:rsid w:val="00DD7A8D"/>
    <w:rsid w:val="00DD7E31"/>
    <w:rsid w:val="00DE1810"/>
    <w:rsid w:val="00DE1CF8"/>
    <w:rsid w:val="00DE2DD4"/>
    <w:rsid w:val="00DE36B2"/>
    <w:rsid w:val="00DE3915"/>
    <w:rsid w:val="00DE4754"/>
    <w:rsid w:val="00DE68B7"/>
    <w:rsid w:val="00DE73AE"/>
    <w:rsid w:val="00DF0120"/>
    <w:rsid w:val="00DF0DFF"/>
    <w:rsid w:val="00DF111E"/>
    <w:rsid w:val="00DF2DD9"/>
    <w:rsid w:val="00DF3159"/>
    <w:rsid w:val="00DF3D2B"/>
    <w:rsid w:val="00DF445F"/>
    <w:rsid w:val="00DF46E9"/>
    <w:rsid w:val="00DF5212"/>
    <w:rsid w:val="00DF52B8"/>
    <w:rsid w:val="00DF5403"/>
    <w:rsid w:val="00DF68A5"/>
    <w:rsid w:val="00DF72FC"/>
    <w:rsid w:val="00E00252"/>
    <w:rsid w:val="00E00BF7"/>
    <w:rsid w:val="00E00DEB"/>
    <w:rsid w:val="00E00F1A"/>
    <w:rsid w:val="00E00F5C"/>
    <w:rsid w:val="00E0171A"/>
    <w:rsid w:val="00E018FA"/>
    <w:rsid w:val="00E0199A"/>
    <w:rsid w:val="00E0203C"/>
    <w:rsid w:val="00E02929"/>
    <w:rsid w:val="00E02D6F"/>
    <w:rsid w:val="00E03F7C"/>
    <w:rsid w:val="00E04FC4"/>
    <w:rsid w:val="00E05C34"/>
    <w:rsid w:val="00E061A6"/>
    <w:rsid w:val="00E06204"/>
    <w:rsid w:val="00E06541"/>
    <w:rsid w:val="00E06643"/>
    <w:rsid w:val="00E067B5"/>
    <w:rsid w:val="00E0738A"/>
    <w:rsid w:val="00E1057C"/>
    <w:rsid w:val="00E10EA4"/>
    <w:rsid w:val="00E11030"/>
    <w:rsid w:val="00E11B06"/>
    <w:rsid w:val="00E11C6F"/>
    <w:rsid w:val="00E12383"/>
    <w:rsid w:val="00E12BDD"/>
    <w:rsid w:val="00E135A2"/>
    <w:rsid w:val="00E13DAF"/>
    <w:rsid w:val="00E14F9D"/>
    <w:rsid w:val="00E1669E"/>
    <w:rsid w:val="00E16C15"/>
    <w:rsid w:val="00E16EB2"/>
    <w:rsid w:val="00E17696"/>
    <w:rsid w:val="00E20051"/>
    <w:rsid w:val="00E20610"/>
    <w:rsid w:val="00E21163"/>
    <w:rsid w:val="00E2283B"/>
    <w:rsid w:val="00E237A2"/>
    <w:rsid w:val="00E24997"/>
    <w:rsid w:val="00E24D54"/>
    <w:rsid w:val="00E24DBF"/>
    <w:rsid w:val="00E273C7"/>
    <w:rsid w:val="00E27775"/>
    <w:rsid w:val="00E27C6A"/>
    <w:rsid w:val="00E31763"/>
    <w:rsid w:val="00E31C9F"/>
    <w:rsid w:val="00E33851"/>
    <w:rsid w:val="00E34A34"/>
    <w:rsid w:val="00E35345"/>
    <w:rsid w:val="00E367DF"/>
    <w:rsid w:val="00E36964"/>
    <w:rsid w:val="00E36FBB"/>
    <w:rsid w:val="00E3715F"/>
    <w:rsid w:val="00E40635"/>
    <w:rsid w:val="00E412BA"/>
    <w:rsid w:val="00E417F9"/>
    <w:rsid w:val="00E41B0E"/>
    <w:rsid w:val="00E4380F"/>
    <w:rsid w:val="00E455BB"/>
    <w:rsid w:val="00E45BD7"/>
    <w:rsid w:val="00E460B6"/>
    <w:rsid w:val="00E464A3"/>
    <w:rsid w:val="00E46542"/>
    <w:rsid w:val="00E467BB"/>
    <w:rsid w:val="00E46B52"/>
    <w:rsid w:val="00E46C3E"/>
    <w:rsid w:val="00E470BD"/>
    <w:rsid w:val="00E47258"/>
    <w:rsid w:val="00E500A2"/>
    <w:rsid w:val="00E5022B"/>
    <w:rsid w:val="00E5038F"/>
    <w:rsid w:val="00E508A2"/>
    <w:rsid w:val="00E522A7"/>
    <w:rsid w:val="00E52C03"/>
    <w:rsid w:val="00E53CB1"/>
    <w:rsid w:val="00E53FFC"/>
    <w:rsid w:val="00E55440"/>
    <w:rsid w:val="00E56890"/>
    <w:rsid w:val="00E57E6D"/>
    <w:rsid w:val="00E60200"/>
    <w:rsid w:val="00E6035F"/>
    <w:rsid w:val="00E60F37"/>
    <w:rsid w:val="00E61DB3"/>
    <w:rsid w:val="00E62058"/>
    <w:rsid w:val="00E62A73"/>
    <w:rsid w:val="00E63EB2"/>
    <w:rsid w:val="00E643F8"/>
    <w:rsid w:val="00E65187"/>
    <w:rsid w:val="00E66A16"/>
    <w:rsid w:val="00E6753B"/>
    <w:rsid w:val="00E67761"/>
    <w:rsid w:val="00E67837"/>
    <w:rsid w:val="00E67A6F"/>
    <w:rsid w:val="00E67F15"/>
    <w:rsid w:val="00E703E3"/>
    <w:rsid w:val="00E70CD6"/>
    <w:rsid w:val="00E70EF3"/>
    <w:rsid w:val="00E71E40"/>
    <w:rsid w:val="00E72815"/>
    <w:rsid w:val="00E72AA6"/>
    <w:rsid w:val="00E755A0"/>
    <w:rsid w:val="00E75B3C"/>
    <w:rsid w:val="00E77671"/>
    <w:rsid w:val="00E7778A"/>
    <w:rsid w:val="00E77A11"/>
    <w:rsid w:val="00E77AA1"/>
    <w:rsid w:val="00E80BC0"/>
    <w:rsid w:val="00E80C23"/>
    <w:rsid w:val="00E81FF0"/>
    <w:rsid w:val="00E8268A"/>
    <w:rsid w:val="00E8277A"/>
    <w:rsid w:val="00E82805"/>
    <w:rsid w:val="00E833E4"/>
    <w:rsid w:val="00E83C2E"/>
    <w:rsid w:val="00E83DF9"/>
    <w:rsid w:val="00E847A5"/>
    <w:rsid w:val="00E85A35"/>
    <w:rsid w:val="00E860C9"/>
    <w:rsid w:val="00E86A12"/>
    <w:rsid w:val="00E87CC0"/>
    <w:rsid w:val="00E9062C"/>
    <w:rsid w:val="00E927B5"/>
    <w:rsid w:val="00E92C1B"/>
    <w:rsid w:val="00E932A5"/>
    <w:rsid w:val="00E932AD"/>
    <w:rsid w:val="00E93511"/>
    <w:rsid w:val="00E942F9"/>
    <w:rsid w:val="00E95A95"/>
    <w:rsid w:val="00E963FD"/>
    <w:rsid w:val="00E969C7"/>
    <w:rsid w:val="00E96EE0"/>
    <w:rsid w:val="00E975E8"/>
    <w:rsid w:val="00E9764D"/>
    <w:rsid w:val="00EA04F8"/>
    <w:rsid w:val="00EA0FF8"/>
    <w:rsid w:val="00EA1020"/>
    <w:rsid w:val="00EA1461"/>
    <w:rsid w:val="00EA17E3"/>
    <w:rsid w:val="00EA1EDD"/>
    <w:rsid w:val="00EA330C"/>
    <w:rsid w:val="00EA3A3C"/>
    <w:rsid w:val="00EA4AB1"/>
    <w:rsid w:val="00EA4B86"/>
    <w:rsid w:val="00EA52F7"/>
    <w:rsid w:val="00EA7992"/>
    <w:rsid w:val="00EB0761"/>
    <w:rsid w:val="00EB0833"/>
    <w:rsid w:val="00EB0A98"/>
    <w:rsid w:val="00EB13B4"/>
    <w:rsid w:val="00EB201F"/>
    <w:rsid w:val="00EB250E"/>
    <w:rsid w:val="00EB2913"/>
    <w:rsid w:val="00EB2A28"/>
    <w:rsid w:val="00EB3989"/>
    <w:rsid w:val="00EB3BE5"/>
    <w:rsid w:val="00EB3F24"/>
    <w:rsid w:val="00EB4A43"/>
    <w:rsid w:val="00EB560B"/>
    <w:rsid w:val="00EB5681"/>
    <w:rsid w:val="00EB5DE9"/>
    <w:rsid w:val="00EB5F52"/>
    <w:rsid w:val="00EB6109"/>
    <w:rsid w:val="00EB709A"/>
    <w:rsid w:val="00EB7BFC"/>
    <w:rsid w:val="00EB7CA5"/>
    <w:rsid w:val="00EC1894"/>
    <w:rsid w:val="00EC1CAF"/>
    <w:rsid w:val="00EC24A0"/>
    <w:rsid w:val="00EC2A61"/>
    <w:rsid w:val="00EC2AA3"/>
    <w:rsid w:val="00EC3A1A"/>
    <w:rsid w:val="00EC3BCE"/>
    <w:rsid w:val="00EC4DF8"/>
    <w:rsid w:val="00EC6DD7"/>
    <w:rsid w:val="00EC724E"/>
    <w:rsid w:val="00EC74B9"/>
    <w:rsid w:val="00EC756D"/>
    <w:rsid w:val="00EC765C"/>
    <w:rsid w:val="00EC7954"/>
    <w:rsid w:val="00ED0820"/>
    <w:rsid w:val="00ED0A03"/>
    <w:rsid w:val="00ED1F8D"/>
    <w:rsid w:val="00ED2D0D"/>
    <w:rsid w:val="00ED3A29"/>
    <w:rsid w:val="00ED3AAF"/>
    <w:rsid w:val="00ED4A3E"/>
    <w:rsid w:val="00ED517B"/>
    <w:rsid w:val="00ED69BF"/>
    <w:rsid w:val="00ED7CD6"/>
    <w:rsid w:val="00ED7E67"/>
    <w:rsid w:val="00EE03B3"/>
    <w:rsid w:val="00EE0D86"/>
    <w:rsid w:val="00EE1E6A"/>
    <w:rsid w:val="00EE2B52"/>
    <w:rsid w:val="00EE2DD4"/>
    <w:rsid w:val="00EE3DE3"/>
    <w:rsid w:val="00EE43C6"/>
    <w:rsid w:val="00EE5F74"/>
    <w:rsid w:val="00EF1E1A"/>
    <w:rsid w:val="00EF2AB7"/>
    <w:rsid w:val="00EF3760"/>
    <w:rsid w:val="00EF4F9B"/>
    <w:rsid w:val="00EF5E33"/>
    <w:rsid w:val="00F003CC"/>
    <w:rsid w:val="00F00556"/>
    <w:rsid w:val="00F00886"/>
    <w:rsid w:val="00F0152D"/>
    <w:rsid w:val="00F01DD1"/>
    <w:rsid w:val="00F0298F"/>
    <w:rsid w:val="00F03D53"/>
    <w:rsid w:val="00F04139"/>
    <w:rsid w:val="00F0494D"/>
    <w:rsid w:val="00F049BC"/>
    <w:rsid w:val="00F05224"/>
    <w:rsid w:val="00F0587E"/>
    <w:rsid w:val="00F0590C"/>
    <w:rsid w:val="00F05C79"/>
    <w:rsid w:val="00F079C9"/>
    <w:rsid w:val="00F07C8B"/>
    <w:rsid w:val="00F10063"/>
    <w:rsid w:val="00F101C2"/>
    <w:rsid w:val="00F104FE"/>
    <w:rsid w:val="00F10C72"/>
    <w:rsid w:val="00F11588"/>
    <w:rsid w:val="00F12431"/>
    <w:rsid w:val="00F12446"/>
    <w:rsid w:val="00F12C10"/>
    <w:rsid w:val="00F12CF8"/>
    <w:rsid w:val="00F13292"/>
    <w:rsid w:val="00F13CB1"/>
    <w:rsid w:val="00F13CCA"/>
    <w:rsid w:val="00F13FF4"/>
    <w:rsid w:val="00F141C8"/>
    <w:rsid w:val="00F145B6"/>
    <w:rsid w:val="00F148D5"/>
    <w:rsid w:val="00F15C55"/>
    <w:rsid w:val="00F15DAD"/>
    <w:rsid w:val="00F176F8"/>
    <w:rsid w:val="00F17EB3"/>
    <w:rsid w:val="00F211A6"/>
    <w:rsid w:val="00F2138C"/>
    <w:rsid w:val="00F218FA"/>
    <w:rsid w:val="00F22106"/>
    <w:rsid w:val="00F22665"/>
    <w:rsid w:val="00F22690"/>
    <w:rsid w:val="00F23437"/>
    <w:rsid w:val="00F2454E"/>
    <w:rsid w:val="00F24A40"/>
    <w:rsid w:val="00F25804"/>
    <w:rsid w:val="00F277B4"/>
    <w:rsid w:val="00F308C6"/>
    <w:rsid w:val="00F314EF"/>
    <w:rsid w:val="00F31557"/>
    <w:rsid w:val="00F31575"/>
    <w:rsid w:val="00F3192E"/>
    <w:rsid w:val="00F31DB8"/>
    <w:rsid w:val="00F32698"/>
    <w:rsid w:val="00F3317D"/>
    <w:rsid w:val="00F33502"/>
    <w:rsid w:val="00F341D6"/>
    <w:rsid w:val="00F34397"/>
    <w:rsid w:val="00F350E7"/>
    <w:rsid w:val="00F35D64"/>
    <w:rsid w:val="00F37A21"/>
    <w:rsid w:val="00F4086A"/>
    <w:rsid w:val="00F42503"/>
    <w:rsid w:val="00F4288E"/>
    <w:rsid w:val="00F42C3B"/>
    <w:rsid w:val="00F42FC1"/>
    <w:rsid w:val="00F44C35"/>
    <w:rsid w:val="00F44F23"/>
    <w:rsid w:val="00F452DE"/>
    <w:rsid w:val="00F458C7"/>
    <w:rsid w:val="00F45B19"/>
    <w:rsid w:val="00F45C61"/>
    <w:rsid w:val="00F464BA"/>
    <w:rsid w:val="00F46666"/>
    <w:rsid w:val="00F475A3"/>
    <w:rsid w:val="00F4764F"/>
    <w:rsid w:val="00F50E42"/>
    <w:rsid w:val="00F515E6"/>
    <w:rsid w:val="00F51A67"/>
    <w:rsid w:val="00F51BD9"/>
    <w:rsid w:val="00F51D16"/>
    <w:rsid w:val="00F51D58"/>
    <w:rsid w:val="00F5277A"/>
    <w:rsid w:val="00F53ED1"/>
    <w:rsid w:val="00F54D20"/>
    <w:rsid w:val="00F578EA"/>
    <w:rsid w:val="00F61667"/>
    <w:rsid w:val="00F62A2E"/>
    <w:rsid w:val="00F62C7B"/>
    <w:rsid w:val="00F6353A"/>
    <w:rsid w:val="00F6477B"/>
    <w:rsid w:val="00F64B90"/>
    <w:rsid w:val="00F6555E"/>
    <w:rsid w:val="00F655EB"/>
    <w:rsid w:val="00F66D78"/>
    <w:rsid w:val="00F670C6"/>
    <w:rsid w:val="00F70592"/>
    <w:rsid w:val="00F72820"/>
    <w:rsid w:val="00F72CE9"/>
    <w:rsid w:val="00F74343"/>
    <w:rsid w:val="00F75B19"/>
    <w:rsid w:val="00F775E7"/>
    <w:rsid w:val="00F77C41"/>
    <w:rsid w:val="00F8099E"/>
    <w:rsid w:val="00F80D84"/>
    <w:rsid w:val="00F829AB"/>
    <w:rsid w:val="00F834F7"/>
    <w:rsid w:val="00F83EDE"/>
    <w:rsid w:val="00F840D6"/>
    <w:rsid w:val="00F84BBD"/>
    <w:rsid w:val="00F855E0"/>
    <w:rsid w:val="00F85B74"/>
    <w:rsid w:val="00F86384"/>
    <w:rsid w:val="00F9012B"/>
    <w:rsid w:val="00F90D52"/>
    <w:rsid w:val="00F91D01"/>
    <w:rsid w:val="00F92023"/>
    <w:rsid w:val="00F920B2"/>
    <w:rsid w:val="00F92602"/>
    <w:rsid w:val="00F9276B"/>
    <w:rsid w:val="00F92F04"/>
    <w:rsid w:val="00F945C0"/>
    <w:rsid w:val="00F9477A"/>
    <w:rsid w:val="00F9484F"/>
    <w:rsid w:val="00F94DA4"/>
    <w:rsid w:val="00F9560C"/>
    <w:rsid w:val="00F95EA3"/>
    <w:rsid w:val="00F962BD"/>
    <w:rsid w:val="00F96BB0"/>
    <w:rsid w:val="00FA05A7"/>
    <w:rsid w:val="00FA05C2"/>
    <w:rsid w:val="00FA0FBA"/>
    <w:rsid w:val="00FA12C0"/>
    <w:rsid w:val="00FA3D59"/>
    <w:rsid w:val="00FA44FB"/>
    <w:rsid w:val="00FA4EE7"/>
    <w:rsid w:val="00FA55E6"/>
    <w:rsid w:val="00FA6E18"/>
    <w:rsid w:val="00FA7041"/>
    <w:rsid w:val="00FA76E5"/>
    <w:rsid w:val="00FA7A9E"/>
    <w:rsid w:val="00FB099A"/>
    <w:rsid w:val="00FB1C32"/>
    <w:rsid w:val="00FB226B"/>
    <w:rsid w:val="00FB2FC3"/>
    <w:rsid w:val="00FB55B9"/>
    <w:rsid w:val="00FB61C4"/>
    <w:rsid w:val="00FC04CC"/>
    <w:rsid w:val="00FC0839"/>
    <w:rsid w:val="00FC11D5"/>
    <w:rsid w:val="00FC146E"/>
    <w:rsid w:val="00FC2250"/>
    <w:rsid w:val="00FC2772"/>
    <w:rsid w:val="00FC2B0A"/>
    <w:rsid w:val="00FC2B5E"/>
    <w:rsid w:val="00FC32CF"/>
    <w:rsid w:val="00FC3999"/>
    <w:rsid w:val="00FC409B"/>
    <w:rsid w:val="00FC7C49"/>
    <w:rsid w:val="00FD0309"/>
    <w:rsid w:val="00FD0A0F"/>
    <w:rsid w:val="00FD3CCC"/>
    <w:rsid w:val="00FD4027"/>
    <w:rsid w:val="00FD485F"/>
    <w:rsid w:val="00FD4CFE"/>
    <w:rsid w:val="00FD676B"/>
    <w:rsid w:val="00FD7D5B"/>
    <w:rsid w:val="00FE05D5"/>
    <w:rsid w:val="00FE1BFA"/>
    <w:rsid w:val="00FE24B4"/>
    <w:rsid w:val="00FE3794"/>
    <w:rsid w:val="00FE5FEC"/>
    <w:rsid w:val="00FE60C5"/>
    <w:rsid w:val="00FE6699"/>
    <w:rsid w:val="00FE6B63"/>
    <w:rsid w:val="00FE6F2F"/>
    <w:rsid w:val="00FE71CE"/>
    <w:rsid w:val="00FE7860"/>
    <w:rsid w:val="00FE7E7E"/>
    <w:rsid w:val="00FF02D2"/>
    <w:rsid w:val="00FF0443"/>
    <w:rsid w:val="00FF119C"/>
    <w:rsid w:val="00FF18A5"/>
    <w:rsid w:val="00FF393D"/>
    <w:rsid w:val="00FF3AC8"/>
    <w:rsid w:val="00FF46EF"/>
    <w:rsid w:val="00FF4C4A"/>
    <w:rsid w:val="00FF5D1B"/>
    <w:rsid w:val="00FF6972"/>
    <w:rsid w:val="00FF6C85"/>
    <w:rsid w:val="0168E756"/>
    <w:rsid w:val="02EA5920"/>
    <w:rsid w:val="02EC9BD6"/>
    <w:rsid w:val="044ECE78"/>
    <w:rsid w:val="046DB4D5"/>
    <w:rsid w:val="0507608B"/>
    <w:rsid w:val="0618A37D"/>
    <w:rsid w:val="06BD2BB3"/>
    <w:rsid w:val="07CA1703"/>
    <w:rsid w:val="083BB036"/>
    <w:rsid w:val="0843948C"/>
    <w:rsid w:val="0898EC16"/>
    <w:rsid w:val="09B281AF"/>
    <w:rsid w:val="0C2F2106"/>
    <w:rsid w:val="0C881FEB"/>
    <w:rsid w:val="0D296053"/>
    <w:rsid w:val="0D2C6D37"/>
    <w:rsid w:val="0EC84013"/>
    <w:rsid w:val="0F1C6E04"/>
    <w:rsid w:val="0F71C2F8"/>
    <w:rsid w:val="101DDFF9"/>
    <w:rsid w:val="10AEF019"/>
    <w:rsid w:val="11B4C148"/>
    <w:rsid w:val="127C9624"/>
    <w:rsid w:val="127E8916"/>
    <w:rsid w:val="130CC9AA"/>
    <w:rsid w:val="132655F6"/>
    <w:rsid w:val="135D089F"/>
    <w:rsid w:val="13BEDA9F"/>
    <w:rsid w:val="15289295"/>
    <w:rsid w:val="16A79C06"/>
    <w:rsid w:val="16DB3D03"/>
    <w:rsid w:val="17380126"/>
    <w:rsid w:val="183DFF0F"/>
    <w:rsid w:val="183F79F6"/>
    <w:rsid w:val="186EEE08"/>
    <w:rsid w:val="19212280"/>
    <w:rsid w:val="192BCDB5"/>
    <w:rsid w:val="1AE54FE3"/>
    <w:rsid w:val="1B0E003D"/>
    <w:rsid w:val="1B4516BD"/>
    <w:rsid w:val="1B517330"/>
    <w:rsid w:val="1B5D32D3"/>
    <w:rsid w:val="1B82C47F"/>
    <w:rsid w:val="1D185173"/>
    <w:rsid w:val="1E78D8F1"/>
    <w:rsid w:val="1EA66722"/>
    <w:rsid w:val="1ECBFED6"/>
    <w:rsid w:val="20197AA0"/>
    <w:rsid w:val="21BE46FD"/>
    <w:rsid w:val="228FA82E"/>
    <w:rsid w:val="22E6F95C"/>
    <w:rsid w:val="23548466"/>
    <w:rsid w:val="2371ECB0"/>
    <w:rsid w:val="2399ACD0"/>
    <w:rsid w:val="23B732A9"/>
    <w:rsid w:val="23B7BC4C"/>
    <w:rsid w:val="2441E282"/>
    <w:rsid w:val="24642CD5"/>
    <w:rsid w:val="24B7E0BE"/>
    <w:rsid w:val="24E263EF"/>
    <w:rsid w:val="253F2D33"/>
    <w:rsid w:val="2684AB13"/>
    <w:rsid w:val="26F3F53F"/>
    <w:rsid w:val="283E6623"/>
    <w:rsid w:val="28A5C03E"/>
    <w:rsid w:val="29EFAEA5"/>
    <w:rsid w:val="2A55914E"/>
    <w:rsid w:val="2B951ECB"/>
    <w:rsid w:val="2C3DDE69"/>
    <w:rsid w:val="2D10CF1D"/>
    <w:rsid w:val="2E133E4E"/>
    <w:rsid w:val="2E955D15"/>
    <w:rsid w:val="2FB35DFC"/>
    <w:rsid w:val="30E54E53"/>
    <w:rsid w:val="30E67025"/>
    <w:rsid w:val="3121F511"/>
    <w:rsid w:val="312709A6"/>
    <w:rsid w:val="3237D396"/>
    <w:rsid w:val="32B1E763"/>
    <w:rsid w:val="3414B034"/>
    <w:rsid w:val="358F1CBF"/>
    <w:rsid w:val="36077EFB"/>
    <w:rsid w:val="36596A53"/>
    <w:rsid w:val="368EA136"/>
    <w:rsid w:val="3760F069"/>
    <w:rsid w:val="3764B095"/>
    <w:rsid w:val="37A83E6E"/>
    <w:rsid w:val="37E21F2D"/>
    <w:rsid w:val="38F8FF94"/>
    <w:rsid w:val="397CEA53"/>
    <w:rsid w:val="397DEF8E"/>
    <w:rsid w:val="39F66B3B"/>
    <w:rsid w:val="3A672C29"/>
    <w:rsid w:val="3ABED3A7"/>
    <w:rsid w:val="3AF21F23"/>
    <w:rsid w:val="3D4AF905"/>
    <w:rsid w:val="3E134FD9"/>
    <w:rsid w:val="3F6F2272"/>
    <w:rsid w:val="41922786"/>
    <w:rsid w:val="41BDD2A5"/>
    <w:rsid w:val="42779AE3"/>
    <w:rsid w:val="4308DECF"/>
    <w:rsid w:val="43263D1F"/>
    <w:rsid w:val="432A5791"/>
    <w:rsid w:val="4547553B"/>
    <w:rsid w:val="45759557"/>
    <w:rsid w:val="45CD295F"/>
    <w:rsid w:val="4763C6C8"/>
    <w:rsid w:val="4789E5EE"/>
    <w:rsid w:val="483B388C"/>
    <w:rsid w:val="49A43FFC"/>
    <w:rsid w:val="49E54E6C"/>
    <w:rsid w:val="4A6B3E31"/>
    <w:rsid w:val="4A6EADEE"/>
    <w:rsid w:val="4B9B7A38"/>
    <w:rsid w:val="4D051F8B"/>
    <w:rsid w:val="4D544947"/>
    <w:rsid w:val="4FE6CB2E"/>
    <w:rsid w:val="50116845"/>
    <w:rsid w:val="504B3CEA"/>
    <w:rsid w:val="50B3392A"/>
    <w:rsid w:val="50BFC08E"/>
    <w:rsid w:val="510D41B8"/>
    <w:rsid w:val="5115D053"/>
    <w:rsid w:val="5249E045"/>
    <w:rsid w:val="52CB5419"/>
    <w:rsid w:val="54A5E1CA"/>
    <w:rsid w:val="55095327"/>
    <w:rsid w:val="554A8593"/>
    <w:rsid w:val="5555960D"/>
    <w:rsid w:val="5694A2AB"/>
    <w:rsid w:val="56E0C30F"/>
    <w:rsid w:val="5747157A"/>
    <w:rsid w:val="581559A4"/>
    <w:rsid w:val="58E90157"/>
    <w:rsid w:val="5B124D09"/>
    <w:rsid w:val="5B2D0D93"/>
    <w:rsid w:val="5B998599"/>
    <w:rsid w:val="5BA181C5"/>
    <w:rsid w:val="5CB71F64"/>
    <w:rsid w:val="5CE0F26B"/>
    <w:rsid w:val="5D71227A"/>
    <w:rsid w:val="5DAD96F6"/>
    <w:rsid w:val="602263C7"/>
    <w:rsid w:val="60F27689"/>
    <w:rsid w:val="6130F137"/>
    <w:rsid w:val="6164BE42"/>
    <w:rsid w:val="61F1B9D6"/>
    <w:rsid w:val="62836E23"/>
    <w:rsid w:val="63BD097B"/>
    <w:rsid w:val="64A7EA39"/>
    <w:rsid w:val="6546E547"/>
    <w:rsid w:val="65F3AF77"/>
    <w:rsid w:val="65FA7FE0"/>
    <w:rsid w:val="68313452"/>
    <w:rsid w:val="6863CA96"/>
    <w:rsid w:val="6CDD7FCD"/>
    <w:rsid w:val="6DE659B6"/>
    <w:rsid w:val="6DFA15D4"/>
    <w:rsid w:val="6EE0E72E"/>
    <w:rsid w:val="6F524C86"/>
    <w:rsid w:val="700896A8"/>
    <w:rsid w:val="710A397D"/>
    <w:rsid w:val="74B7BF2C"/>
    <w:rsid w:val="754EF66A"/>
    <w:rsid w:val="756E6798"/>
    <w:rsid w:val="763190FE"/>
    <w:rsid w:val="764D0E60"/>
    <w:rsid w:val="76F87F24"/>
    <w:rsid w:val="771E13A4"/>
    <w:rsid w:val="77FCBB1F"/>
    <w:rsid w:val="7946D939"/>
    <w:rsid w:val="797E4261"/>
    <w:rsid w:val="7A7C7163"/>
    <w:rsid w:val="7AB0B621"/>
    <w:rsid w:val="7B424D89"/>
    <w:rsid w:val="7BB76F8A"/>
    <w:rsid w:val="7C4B6997"/>
    <w:rsid w:val="7C7F7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C897"/>
  <w15:docId w15:val="{43060440-CD40-4F4D-814B-CA7F690E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F1"/>
    <w:pPr>
      <w:keepNext/>
      <w:keepLines/>
      <w:spacing w:after="0"/>
      <w:jc w:val="center"/>
      <w:outlineLvl w:val="0"/>
    </w:pPr>
    <w:rPr>
      <w:rFonts w:ascii="Times New Roman" w:eastAsiaTheme="majorEastAsia" w:hAnsi="Times New Roman" w:cs="Times New Roman"/>
      <w:b/>
      <w:bCs/>
      <w:sz w:val="52"/>
      <w:szCs w:val="52"/>
    </w:rPr>
  </w:style>
  <w:style w:type="paragraph" w:styleId="Heading2">
    <w:name w:val="heading 2"/>
    <w:basedOn w:val="Title"/>
    <w:next w:val="Normal"/>
    <w:link w:val="Heading2Char"/>
    <w:uiPriority w:val="9"/>
    <w:unhideWhenUsed/>
    <w:qFormat/>
    <w:rsid w:val="00AA1381"/>
    <w:pPr>
      <w:outlineLvl w:val="1"/>
    </w:pPr>
    <w:rPr>
      <w:rFonts w:cs="Times New Roman"/>
      <w:b/>
      <w:color w:val="auto"/>
      <w:sz w:val="32"/>
      <w:szCs w:val="32"/>
    </w:rPr>
  </w:style>
  <w:style w:type="paragraph" w:styleId="Heading3">
    <w:name w:val="heading 3"/>
    <w:basedOn w:val="Normal"/>
    <w:next w:val="Normal"/>
    <w:link w:val="Heading3Char"/>
    <w:uiPriority w:val="9"/>
    <w:unhideWhenUsed/>
    <w:qFormat/>
    <w:rsid w:val="008244B3"/>
    <w:pPr>
      <w:spacing w:after="0" w:line="240" w:lineRule="auto"/>
      <w:jc w:val="center"/>
      <w:outlineLvl w:val="2"/>
    </w:pPr>
    <w:rPr>
      <w:rFonts w:ascii="Times New Roman" w:eastAsia="Times New Roman" w:hAnsi="Times New Roman" w:cs="Times New Roman"/>
      <w:b/>
      <w:spacing w:val="-2"/>
    </w:rPr>
  </w:style>
  <w:style w:type="paragraph" w:styleId="Heading4">
    <w:name w:val="heading 4"/>
    <w:basedOn w:val="Normal"/>
    <w:next w:val="Normal"/>
    <w:link w:val="Heading4Char"/>
    <w:uiPriority w:val="9"/>
    <w:unhideWhenUsed/>
    <w:qFormat/>
    <w:rsid w:val="001942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9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B"/>
  </w:style>
  <w:style w:type="paragraph" w:styleId="Footer">
    <w:name w:val="footer"/>
    <w:basedOn w:val="Normal"/>
    <w:link w:val="FooterChar"/>
    <w:uiPriority w:val="99"/>
    <w:unhideWhenUsed/>
    <w:rsid w:val="00BA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B"/>
  </w:style>
  <w:style w:type="paragraph" w:styleId="BalloonText">
    <w:name w:val="Balloon Text"/>
    <w:basedOn w:val="Normal"/>
    <w:link w:val="BalloonTextChar"/>
    <w:uiPriority w:val="99"/>
    <w:semiHidden/>
    <w:unhideWhenUsed/>
    <w:rsid w:val="00B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8B"/>
    <w:rPr>
      <w:rFonts w:ascii="Tahoma" w:hAnsi="Tahoma" w:cs="Tahoma"/>
      <w:sz w:val="16"/>
      <w:szCs w:val="16"/>
    </w:rPr>
  </w:style>
  <w:style w:type="paragraph" w:customStyle="1" w:styleId="3372873BB58A4DED866D2BE34882C06C">
    <w:name w:val="3372873BB58A4DED866D2BE34882C06C"/>
    <w:rsid w:val="00BA5A8B"/>
    <w:rPr>
      <w:rFonts w:eastAsiaTheme="minorEastAsia"/>
      <w:lang w:eastAsia="ja-JP"/>
    </w:rPr>
  </w:style>
  <w:style w:type="table" w:styleId="TableGrid">
    <w:name w:val="Table Grid"/>
    <w:basedOn w:val="TableNormal"/>
    <w:uiPriority w:val="59"/>
    <w:rsid w:val="00326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326100"/>
    <w:pPr>
      <w:contextualSpacing/>
    </w:pPr>
  </w:style>
  <w:style w:type="table" w:customStyle="1" w:styleId="Calendar1">
    <w:name w:val="Calendar 1"/>
    <w:basedOn w:val="TableNormal"/>
    <w:uiPriority w:val="99"/>
    <w:qFormat/>
    <w:rsid w:val="000F234A"/>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Accent4">
    <w:name w:val="Light Shading Accent 4"/>
    <w:basedOn w:val="TableNormal"/>
    <w:uiPriority w:val="60"/>
    <w:rsid w:val="00CD697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CD69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3020EF"/>
    <w:rPr>
      <w:color w:val="0000FF" w:themeColor="hyperlink"/>
      <w:u w:val="single"/>
    </w:rPr>
  </w:style>
  <w:style w:type="character" w:customStyle="1" w:styleId="Heading1Char">
    <w:name w:val="Heading 1 Char"/>
    <w:basedOn w:val="DefaultParagraphFont"/>
    <w:link w:val="Heading1"/>
    <w:uiPriority w:val="9"/>
    <w:rsid w:val="005625F1"/>
    <w:rPr>
      <w:rFonts w:ascii="Times New Roman" w:eastAsiaTheme="majorEastAsia" w:hAnsi="Times New Roman" w:cs="Times New Roman"/>
      <w:b/>
      <w:bCs/>
      <w:sz w:val="52"/>
      <w:szCs w:val="52"/>
    </w:rPr>
  </w:style>
  <w:style w:type="table" w:styleId="LightShading-Accent1">
    <w:name w:val="Light Shading Accent 1"/>
    <w:basedOn w:val="TableNormal"/>
    <w:uiPriority w:val="60"/>
    <w:rsid w:val="00F466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D303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D30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List-Accent4">
    <w:name w:val="Colorful List Accent 4"/>
    <w:basedOn w:val="TableNormal"/>
    <w:uiPriority w:val="72"/>
    <w:rsid w:val="00F31DB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31DB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31DB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
    <w:name w:val="Light Grid"/>
    <w:basedOn w:val="TableNormal"/>
    <w:uiPriority w:val="62"/>
    <w:rsid w:val="00E338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3D56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3">
    <w:name w:val="Medium List 1 Accent 3"/>
    <w:basedOn w:val="TableNormal"/>
    <w:uiPriority w:val="65"/>
    <w:rsid w:val="003D56A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1">
    <w:name w:val="Medium List 1 Accent 1"/>
    <w:basedOn w:val="TableNormal"/>
    <w:uiPriority w:val="65"/>
    <w:rsid w:val="003D56A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D56A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1">
    <w:name w:val="Light List Accent 1"/>
    <w:basedOn w:val="TableNormal"/>
    <w:uiPriority w:val="61"/>
    <w:rsid w:val="00EE5F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FD4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85F"/>
    <w:rPr>
      <w:sz w:val="20"/>
      <w:szCs w:val="20"/>
    </w:rPr>
  </w:style>
  <w:style w:type="character" w:styleId="FootnoteReference">
    <w:name w:val="footnote reference"/>
    <w:basedOn w:val="DefaultParagraphFont"/>
    <w:uiPriority w:val="99"/>
    <w:semiHidden/>
    <w:unhideWhenUsed/>
    <w:rsid w:val="00FD485F"/>
    <w:rPr>
      <w:vertAlign w:val="superscript"/>
    </w:rPr>
  </w:style>
  <w:style w:type="paragraph" w:styleId="Title">
    <w:name w:val="Title"/>
    <w:basedOn w:val="Normal"/>
    <w:next w:val="Normal"/>
    <w:link w:val="TitleChar"/>
    <w:uiPriority w:val="10"/>
    <w:qFormat/>
    <w:rsid w:val="00F115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15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1802"/>
    <w:pPr>
      <w:spacing w:after="0" w:line="240" w:lineRule="auto"/>
    </w:pPr>
  </w:style>
  <w:style w:type="table" w:styleId="TableClassic1">
    <w:name w:val="Table Classic 1"/>
    <w:basedOn w:val="TableNormal"/>
    <w:rsid w:val="00593DF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1"/>
    <w:rsid w:val="0034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1381"/>
    <w:rPr>
      <w:rFonts w:asciiTheme="majorHAnsi" w:eastAsiaTheme="majorEastAsia" w:hAnsiTheme="majorHAnsi" w:cs="Times New Roman"/>
      <w:b/>
      <w:spacing w:val="5"/>
      <w:kern w:val="28"/>
      <w:sz w:val="32"/>
      <w:szCs w:val="32"/>
    </w:rPr>
  </w:style>
  <w:style w:type="character" w:customStyle="1" w:styleId="Heading3Char">
    <w:name w:val="Heading 3 Char"/>
    <w:basedOn w:val="DefaultParagraphFont"/>
    <w:link w:val="Heading3"/>
    <w:uiPriority w:val="9"/>
    <w:rsid w:val="008244B3"/>
    <w:rPr>
      <w:rFonts w:ascii="Times New Roman" w:eastAsia="Times New Roman" w:hAnsi="Times New Roman" w:cs="Times New Roman"/>
      <w:b/>
      <w:spacing w:val="-2"/>
    </w:rPr>
  </w:style>
  <w:style w:type="character" w:styleId="Emphasis">
    <w:name w:val="Emphasis"/>
    <w:qFormat/>
    <w:rsid w:val="00D17CB6"/>
    <w:rPr>
      <w:rFonts w:ascii="Times New Roman" w:hAnsi="Times New Roman" w:cs="Times New Roman"/>
      <w:i/>
      <w:sz w:val="20"/>
      <w:szCs w:val="20"/>
      <w:u w:val="single"/>
    </w:rPr>
  </w:style>
  <w:style w:type="table" w:customStyle="1" w:styleId="Style1">
    <w:name w:val="Style1"/>
    <w:basedOn w:val="TableNormal"/>
    <w:uiPriority w:val="99"/>
    <w:rsid w:val="008244B3"/>
    <w:pPr>
      <w:spacing w:after="0" w:line="240" w:lineRule="auto"/>
    </w:pPr>
    <w:tblPr/>
  </w:style>
  <w:style w:type="paragraph" w:styleId="BodyTextIndent">
    <w:name w:val="Body Text Indent"/>
    <w:basedOn w:val="Normal"/>
    <w:link w:val="BodyTextIndentChar"/>
    <w:uiPriority w:val="99"/>
    <w:unhideWhenUsed/>
    <w:rsid w:val="00781095"/>
    <w:pPr>
      <w:spacing w:after="120"/>
      <w:ind w:left="360"/>
    </w:pPr>
  </w:style>
  <w:style w:type="character" w:customStyle="1" w:styleId="BodyTextIndentChar">
    <w:name w:val="Body Text Indent Char"/>
    <w:basedOn w:val="DefaultParagraphFont"/>
    <w:link w:val="BodyTextIndent"/>
    <w:uiPriority w:val="99"/>
    <w:rsid w:val="00781095"/>
  </w:style>
  <w:style w:type="character" w:customStyle="1" w:styleId="MessageHeaderLabel">
    <w:name w:val="Message Header Label"/>
    <w:uiPriority w:val="99"/>
    <w:rsid w:val="005A69FF"/>
    <w:rPr>
      <w:rFonts w:ascii="Arial" w:hAnsi="Arial"/>
      <w:b/>
      <w:spacing w:val="-4"/>
      <w:sz w:val="18"/>
      <w:vertAlign w:val="baseline"/>
    </w:rPr>
  </w:style>
  <w:style w:type="paragraph" w:customStyle="1" w:styleId="EmphasisU">
    <w:name w:val="Emphasis_U"/>
    <w:basedOn w:val="Normal"/>
    <w:link w:val="EmphasisUChar"/>
    <w:qFormat/>
    <w:rsid w:val="005A69FF"/>
    <w:pPr>
      <w:spacing w:after="0" w:line="240" w:lineRule="auto"/>
      <w:jc w:val="both"/>
    </w:pPr>
    <w:rPr>
      <w:rFonts w:ascii="Times New Roman" w:eastAsia="Times New Roman" w:hAnsi="Times New Roman" w:cs="Times New Roman"/>
      <w:i/>
      <w:sz w:val="24"/>
      <w:szCs w:val="24"/>
      <w:u w:val="single"/>
    </w:rPr>
  </w:style>
  <w:style w:type="character" w:customStyle="1" w:styleId="EmphasisUChar">
    <w:name w:val="Emphasis_U Char"/>
    <w:basedOn w:val="DefaultParagraphFont"/>
    <w:link w:val="EmphasisU"/>
    <w:rsid w:val="005A69FF"/>
    <w:rPr>
      <w:rFonts w:ascii="Times New Roman" w:eastAsia="Times New Roman" w:hAnsi="Times New Roman" w:cs="Times New Roman"/>
      <w:i/>
      <w:sz w:val="24"/>
      <w:szCs w:val="24"/>
      <w:u w:val="single"/>
    </w:rPr>
  </w:style>
  <w:style w:type="table" w:styleId="MediumShading2-Accent5">
    <w:name w:val="Medium Shading 2 Accent 5"/>
    <w:basedOn w:val="TableNormal"/>
    <w:uiPriority w:val="64"/>
    <w:rsid w:val="008A5D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rsid w:val="00422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91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nhideWhenUsed/>
    <w:rsid w:val="00FB1C32"/>
    <w:rPr>
      <w:sz w:val="16"/>
      <w:szCs w:val="16"/>
    </w:rPr>
  </w:style>
  <w:style w:type="paragraph" w:styleId="CommentText">
    <w:name w:val="annotation text"/>
    <w:basedOn w:val="Normal"/>
    <w:link w:val="CommentTextChar"/>
    <w:unhideWhenUsed/>
    <w:rsid w:val="00FB1C32"/>
    <w:pPr>
      <w:spacing w:line="240" w:lineRule="auto"/>
    </w:pPr>
    <w:rPr>
      <w:sz w:val="20"/>
      <w:szCs w:val="20"/>
    </w:rPr>
  </w:style>
  <w:style w:type="character" w:customStyle="1" w:styleId="CommentTextChar">
    <w:name w:val="Comment Text Char"/>
    <w:basedOn w:val="DefaultParagraphFont"/>
    <w:link w:val="CommentText"/>
    <w:rsid w:val="00FB1C32"/>
    <w:rPr>
      <w:sz w:val="20"/>
      <w:szCs w:val="20"/>
    </w:rPr>
  </w:style>
  <w:style w:type="paragraph" w:styleId="CommentSubject">
    <w:name w:val="annotation subject"/>
    <w:basedOn w:val="CommentText"/>
    <w:next w:val="CommentText"/>
    <w:link w:val="CommentSubjectChar"/>
    <w:uiPriority w:val="99"/>
    <w:semiHidden/>
    <w:unhideWhenUsed/>
    <w:rsid w:val="00FB1C32"/>
    <w:rPr>
      <w:b/>
      <w:bCs/>
    </w:rPr>
  </w:style>
  <w:style w:type="character" w:customStyle="1" w:styleId="CommentSubjectChar">
    <w:name w:val="Comment Subject Char"/>
    <w:basedOn w:val="CommentTextChar"/>
    <w:link w:val="CommentSubject"/>
    <w:uiPriority w:val="99"/>
    <w:semiHidden/>
    <w:rsid w:val="00FB1C32"/>
    <w:rPr>
      <w:b/>
      <w:bCs/>
      <w:sz w:val="20"/>
      <w:szCs w:val="20"/>
    </w:rPr>
  </w:style>
  <w:style w:type="character" w:customStyle="1" w:styleId="ListParagraphChar">
    <w:name w:val="List Paragraph Char"/>
    <w:aliases w:val="Bullet List Char"/>
    <w:basedOn w:val="DefaultParagraphFont"/>
    <w:link w:val="ListParagraph"/>
    <w:uiPriority w:val="34"/>
    <w:locked/>
    <w:rsid w:val="001A108A"/>
  </w:style>
  <w:style w:type="character" w:customStyle="1" w:styleId="Heading4Char">
    <w:name w:val="Heading 4 Char"/>
    <w:basedOn w:val="DefaultParagraphFont"/>
    <w:link w:val="Heading4"/>
    <w:uiPriority w:val="9"/>
    <w:rsid w:val="001942B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101039"/>
    <w:pPr>
      <w:spacing w:after="0" w:line="240" w:lineRule="auto"/>
    </w:pPr>
  </w:style>
  <w:style w:type="character" w:styleId="UnresolvedMention">
    <w:name w:val="Unresolved Mention"/>
    <w:basedOn w:val="DefaultParagraphFont"/>
    <w:uiPriority w:val="99"/>
    <w:semiHidden/>
    <w:unhideWhenUsed/>
    <w:rsid w:val="002446AC"/>
    <w:rPr>
      <w:color w:val="605E5C"/>
      <w:shd w:val="clear" w:color="auto" w:fill="E1DFDD"/>
    </w:rPr>
  </w:style>
  <w:style w:type="character" w:customStyle="1" w:styleId="A1">
    <w:name w:val="A1"/>
    <w:uiPriority w:val="99"/>
    <w:rsid w:val="00887E76"/>
    <w:rPr>
      <w:rFonts w:ascii="Open Sans" w:hAnsi="Open Sans" w:cs="Open Sans" w:hint="default"/>
      <w:b/>
      <w:bCs/>
      <w:color w:val="000000"/>
      <w:sz w:val="20"/>
      <w:szCs w:val="20"/>
    </w:rPr>
  </w:style>
  <w:style w:type="character" w:styleId="Strong">
    <w:name w:val="Strong"/>
    <w:basedOn w:val="DefaultParagraphFont"/>
    <w:uiPriority w:val="22"/>
    <w:qFormat/>
    <w:rsid w:val="004B182B"/>
    <w:rPr>
      <w:b/>
      <w:bCs/>
    </w:rPr>
  </w:style>
  <w:style w:type="character" w:styleId="IntenseEmphasis">
    <w:name w:val="Intense Emphasis"/>
    <w:basedOn w:val="DefaultParagraphFont"/>
    <w:uiPriority w:val="21"/>
    <w:qFormat/>
    <w:rsid w:val="00F72820"/>
    <w:rPr>
      <w:i/>
      <w:iCs/>
      <w:color w:val="4F81BD" w:themeColor="accent1"/>
    </w:rPr>
  </w:style>
  <w:style w:type="character" w:styleId="SubtleEmphasis">
    <w:name w:val="Subtle Emphasis"/>
    <w:basedOn w:val="DefaultParagraphFont"/>
    <w:uiPriority w:val="19"/>
    <w:qFormat/>
    <w:rsid w:val="005B4B6D"/>
    <w:rPr>
      <w:i/>
      <w:iCs/>
      <w:color w:val="404040" w:themeColor="text1" w:themeTint="BF"/>
    </w:rPr>
  </w:style>
  <w:style w:type="table" w:customStyle="1" w:styleId="TableGrid3">
    <w:name w:val="Table Grid3"/>
    <w:basedOn w:val="TableNormal"/>
    <w:next w:val="TableGrid"/>
    <w:uiPriority w:val="39"/>
    <w:rsid w:val="00087612"/>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25804"/>
    <w:pPr>
      <w:spacing w:before="100" w:beforeAutospacing="1" w:after="100" w:afterAutospacing="1" w:line="240" w:lineRule="auto"/>
      <w:ind w:left="0" w:firstLine="0"/>
    </w:pPr>
    <w:rPr>
      <w:rFonts w:ascii="Arial" w:eastAsia="Times New Roman" w:hAnsi="Arial" w:cs="Times New Roman"/>
      <w:sz w:val="20"/>
      <w:szCs w:val="24"/>
    </w:rPr>
  </w:style>
  <w:style w:type="paragraph" w:customStyle="1" w:styleId="Body">
    <w:name w:val="Body"/>
    <w:link w:val="BodyChar1"/>
    <w:qFormat/>
    <w:rsid w:val="00692708"/>
    <w:pPr>
      <w:spacing w:before="180" w:after="0" w:line="240" w:lineRule="auto"/>
      <w:ind w:left="0" w:firstLine="0"/>
    </w:pPr>
    <w:rPr>
      <w:rFonts w:ascii="Arial" w:eastAsia="Times New Roman" w:hAnsi="Arial" w:cs="Times New Roman"/>
      <w:kern w:val="24"/>
      <w:sz w:val="21"/>
      <w:szCs w:val="20"/>
    </w:rPr>
  </w:style>
  <w:style w:type="character" w:customStyle="1" w:styleId="BodyChar1">
    <w:name w:val="Body Char1"/>
    <w:basedOn w:val="DefaultParagraphFont"/>
    <w:link w:val="Body"/>
    <w:rsid w:val="00692708"/>
    <w:rPr>
      <w:rFonts w:ascii="Arial" w:eastAsia="Times New Roman" w:hAnsi="Arial" w:cs="Times New Roman"/>
      <w:kern w:val="24"/>
      <w:sz w:val="21"/>
      <w:szCs w:val="20"/>
    </w:rPr>
  </w:style>
  <w:style w:type="character" w:customStyle="1" w:styleId="normaltextrun">
    <w:name w:val="normaltextrun"/>
    <w:basedOn w:val="DefaultParagraphFont"/>
    <w:rsid w:val="005002D1"/>
  </w:style>
  <w:style w:type="paragraph" w:customStyle="1" w:styleId="paragraph">
    <w:name w:val="paragraph"/>
    <w:basedOn w:val="Normal"/>
    <w:rsid w:val="005002D1"/>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eop">
    <w:name w:val="eop"/>
    <w:basedOn w:val="DefaultParagraphFont"/>
    <w:rsid w:val="005002D1"/>
  </w:style>
  <w:style w:type="paragraph" w:styleId="TOCHeading">
    <w:name w:val="TOC Heading"/>
    <w:basedOn w:val="Heading1"/>
    <w:next w:val="Normal"/>
    <w:uiPriority w:val="39"/>
    <w:unhideWhenUsed/>
    <w:qFormat/>
    <w:rsid w:val="008531AF"/>
    <w:pPr>
      <w:spacing w:before="240" w:line="259" w:lineRule="auto"/>
      <w:ind w:left="0" w:firstLine="0"/>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531AF"/>
    <w:pPr>
      <w:spacing w:after="100"/>
      <w:ind w:left="0"/>
    </w:pPr>
  </w:style>
  <w:style w:type="paragraph" w:styleId="TOC2">
    <w:name w:val="toc 2"/>
    <w:basedOn w:val="Normal"/>
    <w:next w:val="Normal"/>
    <w:autoRedefine/>
    <w:uiPriority w:val="39"/>
    <w:unhideWhenUsed/>
    <w:rsid w:val="008531AF"/>
    <w:pPr>
      <w:spacing w:after="100"/>
      <w:ind w:left="220"/>
    </w:pPr>
  </w:style>
  <w:style w:type="paragraph" w:styleId="TOC3">
    <w:name w:val="toc 3"/>
    <w:basedOn w:val="Normal"/>
    <w:next w:val="Normal"/>
    <w:autoRedefine/>
    <w:uiPriority w:val="39"/>
    <w:unhideWhenUsed/>
    <w:rsid w:val="008531AF"/>
    <w:pPr>
      <w:spacing w:after="100"/>
      <w:ind w:left="440"/>
    </w:pPr>
  </w:style>
  <w:style w:type="table" w:customStyle="1" w:styleId="TableGrid16">
    <w:name w:val="Table Grid16"/>
    <w:basedOn w:val="TableNormal"/>
    <w:next w:val="TableGrid"/>
    <w:uiPriority w:val="59"/>
    <w:rsid w:val="00EC2A61"/>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35267"/>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55D1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56">
      <w:bodyDiv w:val="1"/>
      <w:marLeft w:val="0"/>
      <w:marRight w:val="0"/>
      <w:marTop w:val="0"/>
      <w:marBottom w:val="0"/>
      <w:divBdr>
        <w:top w:val="none" w:sz="0" w:space="0" w:color="auto"/>
        <w:left w:val="none" w:sz="0" w:space="0" w:color="auto"/>
        <w:bottom w:val="none" w:sz="0" w:space="0" w:color="auto"/>
        <w:right w:val="none" w:sz="0" w:space="0" w:color="auto"/>
      </w:divBdr>
    </w:div>
    <w:div w:id="198009577">
      <w:bodyDiv w:val="1"/>
      <w:marLeft w:val="0"/>
      <w:marRight w:val="0"/>
      <w:marTop w:val="0"/>
      <w:marBottom w:val="0"/>
      <w:divBdr>
        <w:top w:val="none" w:sz="0" w:space="0" w:color="auto"/>
        <w:left w:val="none" w:sz="0" w:space="0" w:color="auto"/>
        <w:bottom w:val="none" w:sz="0" w:space="0" w:color="auto"/>
        <w:right w:val="none" w:sz="0" w:space="0" w:color="auto"/>
      </w:divBdr>
    </w:div>
    <w:div w:id="436171704">
      <w:bodyDiv w:val="1"/>
      <w:marLeft w:val="0"/>
      <w:marRight w:val="0"/>
      <w:marTop w:val="0"/>
      <w:marBottom w:val="0"/>
      <w:divBdr>
        <w:top w:val="none" w:sz="0" w:space="0" w:color="auto"/>
        <w:left w:val="none" w:sz="0" w:space="0" w:color="auto"/>
        <w:bottom w:val="none" w:sz="0" w:space="0" w:color="auto"/>
        <w:right w:val="none" w:sz="0" w:space="0" w:color="auto"/>
      </w:divBdr>
    </w:div>
    <w:div w:id="505874212">
      <w:bodyDiv w:val="1"/>
      <w:marLeft w:val="0"/>
      <w:marRight w:val="0"/>
      <w:marTop w:val="0"/>
      <w:marBottom w:val="0"/>
      <w:divBdr>
        <w:top w:val="none" w:sz="0" w:space="0" w:color="auto"/>
        <w:left w:val="none" w:sz="0" w:space="0" w:color="auto"/>
        <w:bottom w:val="none" w:sz="0" w:space="0" w:color="auto"/>
        <w:right w:val="none" w:sz="0" w:space="0" w:color="auto"/>
      </w:divBdr>
    </w:div>
    <w:div w:id="624889534">
      <w:bodyDiv w:val="1"/>
      <w:marLeft w:val="0"/>
      <w:marRight w:val="0"/>
      <w:marTop w:val="0"/>
      <w:marBottom w:val="0"/>
      <w:divBdr>
        <w:top w:val="none" w:sz="0" w:space="0" w:color="auto"/>
        <w:left w:val="none" w:sz="0" w:space="0" w:color="auto"/>
        <w:bottom w:val="none" w:sz="0" w:space="0" w:color="auto"/>
        <w:right w:val="none" w:sz="0" w:space="0" w:color="auto"/>
      </w:divBdr>
    </w:div>
    <w:div w:id="720976539">
      <w:bodyDiv w:val="1"/>
      <w:marLeft w:val="0"/>
      <w:marRight w:val="0"/>
      <w:marTop w:val="0"/>
      <w:marBottom w:val="0"/>
      <w:divBdr>
        <w:top w:val="none" w:sz="0" w:space="0" w:color="auto"/>
        <w:left w:val="none" w:sz="0" w:space="0" w:color="auto"/>
        <w:bottom w:val="none" w:sz="0" w:space="0" w:color="auto"/>
        <w:right w:val="none" w:sz="0" w:space="0" w:color="auto"/>
      </w:divBdr>
    </w:div>
    <w:div w:id="965814889">
      <w:bodyDiv w:val="1"/>
      <w:marLeft w:val="0"/>
      <w:marRight w:val="0"/>
      <w:marTop w:val="0"/>
      <w:marBottom w:val="0"/>
      <w:divBdr>
        <w:top w:val="none" w:sz="0" w:space="0" w:color="auto"/>
        <w:left w:val="none" w:sz="0" w:space="0" w:color="auto"/>
        <w:bottom w:val="none" w:sz="0" w:space="0" w:color="auto"/>
        <w:right w:val="none" w:sz="0" w:space="0" w:color="auto"/>
      </w:divBdr>
    </w:div>
    <w:div w:id="1464736619">
      <w:bodyDiv w:val="1"/>
      <w:marLeft w:val="0"/>
      <w:marRight w:val="0"/>
      <w:marTop w:val="0"/>
      <w:marBottom w:val="0"/>
      <w:divBdr>
        <w:top w:val="none" w:sz="0" w:space="0" w:color="auto"/>
        <w:left w:val="none" w:sz="0" w:space="0" w:color="auto"/>
        <w:bottom w:val="none" w:sz="0" w:space="0" w:color="auto"/>
        <w:right w:val="none" w:sz="0" w:space="0" w:color="auto"/>
      </w:divBdr>
    </w:div>
    <w:div w:id="1480731953">
      <w:bodyDiv w:val="1"/>
      <w:marLeft w:val="0"/>
      <w:marRight w:val="0"/>
      <w:marTop w:val="0"/>
      <w:marBottom w:val="0"/>
      <w:divBdr>
        <w:top w:val="none" w:sz="0" w:space="0" w:color="auto"/>
        <w:left w:val="none" w:sz="0" w:space="0" w:color="auto"/>
        <w:bottom w:val="none" w:sz="0" w:space="0" w:color="auto"/>
        <w:right w:val="none" w:sz="0" w:space="0" w:color="auto"/>
      </w:divBdr>
    </w:div>
    <w:div w:id="1924677576">
      <w:bodyDiv w:val="1"/>
      <w:marLeft w:val="0"/>
      <w:marRight w:val="0"/>
      <w:marTop w:val="0"/>
      <w:marBottom w:val="0"/>
      <w:divBdr>
        <w:top w:val="none" w:sz="0" w:space="0" w:color="auto"/>
        <w:left w:val="none" w:sz="0" w:space="0" w:color="auto"/>
        <w:bottom w:val="none" w:sz="0" w:space="0" w:color="auto"/>
        <w:right w:val="none" w:sz="0" w:space="0" w:color="auto"/>
      </w:divBdr>
    </w:div>
    <w:div w:id="1961571287">
      <w:bodyDiv w:val="1"/>
      <w:marLeft w:val="0"/>
      <w:marRight w:val="0"/>
      <w:marTop w:val="0"/>
      <w:marBottom w:val="0"/>
      <w:divBdr>
        <w:top w:val="none" w:sz="0" w:space="0" w:color="auto"/>
        <w:left w:val="none" w:sz="0" w:space="0" w:color="auto"/>
        <w:bottom w:val="none" w:sz="0" w:space="0" w:color="auto"/>
        <w:right w:val="none" w:sz="0" w:space="0" w:color="auto"/>
      </w:divBdr>
    </w:div>
    <w:div w:id="20903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sqexhelp@tellig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ssqexhelp@tellige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massqex-portal.telligen.com/__;!!CPANwP4y!SzN2X5lzXWDd_tjLbaVZVSN2NNonzOF7U93aKOSgWFOImK60zdusggcQE2M9pkUPrSO6wNa693sH7WtWGxyC64v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1CAF8-F0FA-4836-B29B-BB4D629F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23847-662F-41D8-8075-B20D911BDD52}">
  <ds:schemaRefs>
    <ds:schemaRef ds:uri="http://schemas.microsoft.com/sharepoint/v3/contenttype/forms"/>
  </ds:schemaRefs>
</ds:datastoreItem>
</file>

<file path=customXml/itemProps3.xml><?xml version="1.0" encoding="utf-8"?>
<ds:datastoreItem xmlns:ds="http://schemas.openxmlformats.org/officeDocument/2006/customXml" ds:itemID="{ACE02244-AA8B-477D-B09F-A4A0A44E5F00}">
  <ds:schemaRefs>
    <ds:schemaRef ds:uri="http://schemas.openxmlformats.org/officeDocument/2006/bibliography"/>
  </ds:schemaRefs>
</ds:datastoreItem>
</file>

<file path=customXml/itemProps4.xml><?xml version="1.0" encoding="utf-8"?>
<ds:datastoreItem xmlns:ds="http://schemas.openxmlformats.org/officeDocument/2006/customXml" ds:itemID="{F90AFE1A-DB5D-4507-B7EB-6A4E9367FD1F}">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RY24 CQI Program Release Notes v2.1</vt:lpstr>
    </vt:vector>
  </TitlesOfParts>
  <Company/>
  <LinksUpToDate>false</LinksUpToDate>
  <CharactersWithSpaces>13775</CharactersWithSpaces>
  <SharedDoc>false</SharedDoc>
  <HLinks>
    <vt:vector size="18" baseType="variant">
      <vt:variant>
        <vt:i4>3473434</vt:i4>
      </vt:variant>
      <vt:variant>
        <vt:i4>6</vt:i4>
      </vt:variant>
      <vt:variant>
        <vt:i4>0</vt:i4>
      </vt:variant>
      <vt:variant>
        <vt:i4>5</vt:i4>
      </vt:variant>
      <vt:variant>
        <vt:lpwstr>mailto:massqexhelp@telligen.com</vt:lpwstr>
      </vt:variant>
      <vt:variant>
        <vt:lpwstr/>
      </vt:variant>
      <vt:variant>
        <vt:i4>524329</vt:i4>
      </vt:variant>
      <vt:variant>
        <vt:i4>3</vt:i4>
      </vt:variant>
      <vt:variant>
        <vt:i4>0</vt:i4>
      </vt:variant>
      <vt:variant>
        <vt:i4>5</vt:i4>
      </vt:variant>
      <vt:variant>
        <vt:lpwstr>https://urldefense.com/v3/__https:/massqex-portal.telligen.com/__;!!CPANwP4y!SzN2X5lzXWDd_tjLbaVZVSN2NNonzOF7U93aKOSgWFOImK60zdusggcQE2M9pkUPrSO6wNa693sH7WtWGxyC64vZ$</vt:lpwstr>
      </vt:variant>
      <vt:variant>
        <vt:lpwstr/>
      </vt:variant>
      <vt:variant>
        <vt:i4>3473434</vt:i4>
      </vt:variant>
      <vt:variant>
        <vt:i4>0</vt:i4>
      </vt:variant>
      <vt:variant>
        <vt:i4>0</vt:i4>
      </vt:variant>
      <vt:variant>
        <vt:i4>5</vt:i4>
      </vt:variant>
      <vt:variant>
        <vt:lpwstr>mailto:massqexhelp@telligen.com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RY25 CQI Program Release Notes v3.1</dc:title>
  <dc:subject/>
  <dc:creator>EHS</dc:creator>
  <cp:keywords/>
  <dc:description/>
  <cp:lastModifiedBy>Leblanc, Donna M (EHS)</cp:lastModifiedBy>
  <cp:revision>6</cp:revision>
  <cp:lastPrinted>2024-05-28T23:35:00Z</cp:lastPrinted>
  <dcterms:created xsi:type="dcterms:W3CDTF">2025-04-14T14:22:00Z</dcterms:created>
  <dcterms:modified xsi:type="dcterms:W3CDTF">2025-04-15T19:39:00Z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0x010100CCE5B1B55FDC6F46992CBD8D384DCF63</vt:lpwstr>
  </property>
  <property fmtid="{D5CDD505-2E9C-101B-9397-08002B2CF9AE}" pid="4" name="lcf76f155ced4ddcb4097134ff3c332f">
    <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_docset_NoMedatataSyncRequired">
    <vt:lpwstr>False</vt:lpwstr>
  </property>
</Properties>
</file>