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81C" w:rsidRPr="005F4F59" w:rsidRDefault="001715AF" w:rsidP="00AA5F57">
      <w:pPr>
        <w:spacing w:before="100" w:beforeAutospacing="1" w:after="0" w:line="240" w:lineRule="auto"/>
        <w:outlineLvl w:val="1"/>
        <w:rPr>
          <w:rFonts w:eastAsia="Times New Roman" w:cstheme="minorHAnsi"/>
          <w:b/>
          <w:bCs/>
          <w:color w:val="000000"/>
          <w:kern w:val="36"/>
        </w:rPr>
      </w:pPr>
      <w:bookmarkStart w:id="0" w:name="_GoBack"/>
      <w:bookmarkEnd w:id="0"/>
      <w:r w:rsidRPr="005F4F59">
        <w:rPr>
          <w:rFonts w:eastAsia="Times New Roman" w:cstheme="minorHAnsi"/>
          <w:b/>
          <w:bCs/>
          <w:color w:val="000000"/>
        </w:rPr>
        <w:t>Safe and Supportive Schools Commission</w:t>
      </w:r>
      <w:r w:rsidR="00996127" w:rsidRPr="005F4F59">
        <w:rPr>
          <w:rFonts w:eastAsia="Times New Roman" w:cstheme="minorHAnsi"/>
          <w:b/>
          <w:bCs/>
          <w:color w:val="000000"/>
        </w:rPr>
        <w:br/>
      </w:r>
      <w:r w:rsidR="005F4F59" w:rsidRPr="005F4F59">
        <w:rPr>
          <w:rFonts w:cstheme="minorHAnsi"/>
          <w:color w:val="000000"/>
        </w:rPr>
        <w:t xml:space="preserve">The Safe and Supportive Schools Commission (Commission) was created as part of the </w:t>
      </w:r>
      <w:hyperlink r:id="rId5" w:tgtFrame="_blank" w:tooltip="External Link" w:history="1">
        <w:r w:rsidR="005F4F59" w:rsidRPr="005F4F59">
          <w:rPr>
            <w:rStyle w:val="Hyperlink"/>
            <w:rFonts w:cstheme="minorHAnsi"/>
            <w:color w:val="0066CC"/>
          </w:rPr>
          <w:t>Safe and Supportive Schools Framework Law</w:t>
        </w:r>
      </w:hyperlink>
      <w:r w:rsidR="005F4F59" w:rsidRPr="005F4F59">
        <w:rPr>
          <w:rFonts w:cstheme="minorHAnsi"/>
          <w:color w:val="000000"/>
        </w:rPr>
        <w:t xml:space="preserve"> (Massachusetts General Laws, chapter 69, section 1P), through </w:t>
      </w:r>
      <w:hyperlink r:id="rId6" w:tgtFrame="_blank" w:tooltip="External Link" w:history="1">
        <w:r w:rsidR="005F4F59" w:rsidRPr="005F4F59">
          <w:rPr>
            <w:rStyle w:val="Hyperlink"/>
            <w:rFonts w:cstheme="minorHAnsi"/>
            <w:color w:val="0066CC"/>
          </w:rPr>
          <w:t>An Act Relative to the Reduction of Gun Violence</w:t>
        </w:r>
      </w:hyperlink>
      <w:r w:rsidR="005F4F59" w:rsidRPr="005F4F59">
        <w:rPr>
          <w:rFonts w:cstheme="minorHAnsi"/>
          <w:color w:val="000000"/>
        </w:rPr>
        <w:t xml:space="preserve">. Chapter 284 of the Acts of 2014 </w:t>
      </w:r>
      <w:proofErr w:type="gramStart"/>
      <w:r w:rsidR="005F4F59" w:rsidRPr="005F4F59">
        <w:rPr>
          <w:rFonts w:cstheme="minorHAnsi"/>
          <w:color w:val="000000"/>
        </w:rPr>
        <w:t>was signed</w:t>
      </w:r>
      <w:proofErr w:type="gramEnd"/>
      <w:r w:rsidR="005F4F59" w:rsidRPr="005F4F59">
        <w:rPr>
          <w:rFonts w:cstheme="minorHAnsi"/>
          <w:color w:val="000000"/>
        </w:rPr>
        <w:t xml:space="preserve"> into law on August 13, 2014 (House Bill 4376).</w:t>
      </w:r>
      <w:r w:rsidR="005F4F59">
        <w:rPr>
          <w:rFonts w:eastAsia="Times New Roman" w:cstheme="minorHAnsi"/>
        </w:rPr>
        <w:t xml:space="preserve"> The Commission’s website is</w:t>
      </w:r>
      <w:r w:rsidR="005F4F59" w:rsidRPr="005F4F59">
        <w:rPr>
          <w:rFonts w:eastAsia="Times New Roman" w:cstheme="minorHAnsi"/>
        </w:rPr>
        <w:t xml:space="preserve"> </w:t>
      </w:r>
      <w:hyperlink r:id="rId7" w:history="1">
        <w:r w:rsidR="005F4F59" w:rsidRPr="005F4F59">
          <w:rPr>
            <w:rStyle w:val="Hyperlink"/>
            <w:rFonts w:eastAsia="Times New Roman" w:cstheme="minorHAnsi"/>
          </w:rPr>
          <w:t>http://www.doe.mass.edu/sfs/safety/?section=commission</w:t>
        </w:r>
      </w:hyperlink>
      <w:r w:rsidR="005F4F59">
        <w:rPr>
          <w:rFonts w:eastAsia="Times New Roman" w:cstheme="minorHAnsi"/>
        </w:rPr>
        <w:t>.</w:t>
      </w:r>
      <w:r w:rsidR="005F4F59" w:rsidRPr="005F4F59">
        <w:rPr>
          <w:rFonts w:eastAsia="Times New Roman" w:cstheme="minorHAnsi"/>
          <w:color w:val="0000FF"/>
          <w:u w:val="single"/>
        </w:rPr>
        <w:t xml:space="preserve"> </w:t>
      </w:r>
    </w:p>
    <w:p w:rsidR="00243681" w:rsidRPr="005F4F59" w:rsidRDefault="00243681" w:rsidP="00243681">
      <w:pPr>
        <w:spacing w:after="0"/>
        <w:rPr>
          <w:rFonts w:eastAsia="Times New Roman" w:cstheme="minorHAnsi"/>
          <w:b/>
          <w:bCs/>
          <w:color w:val="000000"/>
        </w:rPr>
      </w:pPr>
      <w:r>
        <w:rPr>
          <w:rFonts w:eastAsia="Times New Roman" w:cstheme="minorHAnsi"/>
          <w:b/>
          <w:bCs/>
          <w:color w:val="000000"/>
        </w:rPr>
        <w:br/>
      </w:r>
      <w:r w:rsidRPr="005F4F59">
        <w:rPr>
          <w:rFonts w:eastAsia="Times New Roman" w:cstheme="minorHAnsi"/>
          <w:b/>
          <w:bCs/>
          <w:color w:val="000000"/>
        </w:rPr>
        <w:t>Safe and Supportive Schools Defined (per M.G.L., c.69, s.1P)</w:t>
      </w:r>
    </w:p>
    <w:p w:rsidR="00243681" w:rsidRPr="005F4F59" w:rsidRDefault="00243681" w:rsidP="00243681">
      <w:pPr>
        <w:spacing w:after="0" w:line="240" w:lineRule="auto"/>
        <w:rPr>
          <w:rFonts w:eastAsia="Times New Roman" w:cstheme="minorHAnsi"/>
        </w:rPr>
      </w:pPr>
      <w:r w:rsidRPr="005F4F59">
        <w:rPr>
          <w:rFonts w:eastAsia="Times New Roman" w:cstheme="minorHAnsi"/>
        </w:rPr>
        <w:t>Schools that foster</w:t>
      </w:r>
      <w:r w:rsidRPr="005F4F59">
        <w:rPr>
          <w:rFonts w:eastAsia="Times New Roman" w:cstheme="minorHAnsi"/>
          <w:b/>
          <w:bCs/>
        </w:rPr>
        <w:t xml:space="preserve"> </w:t>
      </w:r>
      <w:r w:rsidRPr="005F4F59">
        <w:rPr>
          <w:rFonts w:eastAsia="Times New Roman" w:cstheme="minorHAnsi"/>
          <w:bCs/>
          <w:i/>
        </w:rPr>
        <w:t>a safe, positive, healthy &amp; inclusive whole-school learning environment</w:t>
      </w:r>
      <w:r w:rsidRPr="005F4F59">
        <w:rPr>
          <w:rFonts w:eastAsia="Times New Roman" w:cstheme="minorHAnsi"/>
        </w:rPr>
        <w:t xml:space="preserve"> that: </w:t>
      </w:r>
    </w:p>
    <w:p w:rsidR="00243681" w:rsidRPr="005F4F59" w:rsidRDefault="00243681" w:rsidP="00243681">
      <w:pPr>
        <w:numPr>
          <w:ilvl w:val="0"/>
          <w:numId w:val="6"/>
        </w:numPr>
        <w:spacing w:after="100" w:afterAutospacing="1" w:line="240" w:lineRule="auto"/>
        <w:rPr>
          <w:rFonts w:eastAsia="Times New Roman" w:cstheme="minorHAnsi"/>
        </w:rPr>
      </w:pPr>
      <w:r w:rsidRPr="005F4F59">
        <w:rPr>
          <w:rFonts w:eastAsia="Times New Roman" w:cstheme="minorHAnsi"/>
        </w:rPr>
        <w:t xml:space="preserve">enables students to develop positive relationships with adults and peers, regulate their emotions and behavior, achieve academic and non-academic success in school and maintain physical and psychological health and well-being; and </w:t>
      </w:r>
    </w:p>
    <w:p w:rsidR="00243681" w:rsidRPr="005F4F59" w:rsidRDefault="00243681" w:rsidP="00243681">
      <w:pPr>
        <w:numPr>
          <w:ilvl w:val="0"/>
          <w:numId w:val="6"/>
        </w:numPr>
        <w:spacing w:before="100" w:beforeAutospacing="1" w:after="100" w:afterAutospacing="1" w:line="240" w:lineRule="auto"/>
        <w:rPr>
          <w:rFonts w:eastAsia="Times New Roman" w:cstheme="minorHAnsi"/>
        </w:rPr>
      </w:pPr>
      <w:proofErr w:type="gramStart"/>
      <w:r w:rsidRPr="005F4F59">
        <w:rPr>
          <w:rFonts w:eastAsia="Times New Roman" w:cstheme="minorHAnsi"/>
        </w:rPr>
        <w:t>integrates</w:t>
      </w:r>
      <w:proofErr w:type="gramEnd"/>
      <w:r w:rsidRPr="005F4F59">
        <w:rPr>
          <w:rFonts w:eastAsia="Times New Roman" w:cstheme="minorHAnsi"/>
        </w:rPr>
        <w:t xml:space="preserve"> services and aligns initiatives that promote students' behavioral health, including social and emotional learning, bullying prevention, trauma sensitivity, dropout prevention, truancy reduction, children's mental health, foster care and homeless youth education, inclusion of students with disabilities, positive behavioral approaches that reduce suspensions and expulsions and other similar initiatives.</w:t>
      </w:r>
    </w:p>
    <w:p w:rsidR="008B7B3A" w:rsidRPr="005F4F59" w:rsidRDefault="001715AF" w:rsidP="00EF72B0">
      <w:pPr>
        <w:spacing w:before="100" w:beforeAutospacing="1" w:after="0" w:line="240" w:lineRule="auto"/>
        <w:outlineLvl w:val="2"/>
        <w:rPr>
          <w:rFonts w:eastAsia="Times New Roman" w:cstheme="minorHAnsi"/>
        </w:rPr>
      </w:pPr>
      <w:r w:rsidRPr="005F4F59">
        <w:rPr>
          <w:rFonts w:eastAsia="Times New Roman" w:cstheme="minorHAnsi"/>
          <w:b/>
          <w:bCs/>
          <w:color w:val="000000"/>
        </w:rPr>
        <w:t>Commission Responsibilities</w:t>
      </w:r>
    </w:p>
    <w:p w:rsidR="008B7B3A" w:rsidRPr="005F4F59" w:rsidRDefault="008B7B3A" w:rsidP="008B7B3A">
      <w:pPr>
        <w:spacing w:after="0" w:line="240" w:lineRule="auto"/>
        <w:rPr>
          <w:rFonts w:eastAsia="Times New Roman" w:cstheme="minorHAnsi"/>
          <w:i/>
        </w:rPr>
      </w:pPr>
      <w:r w:rsidRPr="005F4F59">
        <w:rPr>
          <w:rFonts w:eastAsia="Times New Roman" w:cstheme="minorHAnsi"/>
          <w:i/>
        </w:rPr>
        <w:t xml:space="preserve">Make recommendations to the </w:t>
      </w:r>
      <w:r w:rsidR="0070190A" w:rsidRPr="005F4F59">
        <w:rPr>
          <w:rFonts w:eastAsia="Times New Roman" w:cstheme="minorHAnsi"/>
          <w:i/>
        </w:rPr>
        <w:t xml:space="preserve">Department and </w:t>
      </w:r>
      <w:r w:rsidRPr="005F4F59">
        <w:rPr>
          <w:rFonts w:eastAsia="Times New Roman" w:cstheme="minorHAnsi"/>
          <w:i/>
        </w:rPr>
        <w:t xml:space="preserve">Board </w:t>
      </w:r>
      <w:r w:rsidR="0070190A" w:rsidRPr="005F4F59">
        <w:rPr>
          <w:rFonts w:eastAsia="Times New Roman" w:cstheme="minorHAnsi"/>
          <w:i/>
        </w:rPr>
        <w:t xml:space="preserve">of Elementary and Secondary Education </w:t>
      </w:r>
      <w:r w:rsidRPr="005F4F59">
        <w:rPr>
          <w:rFonts w:eastAsia="Times New Roman" w:cstheme="minorHAnsi"/>
          <w:i/>
        </w:rPr>
        <w:t>regarding:</w:t>
      </w:r>
    </w:p>
    <w:p w:rsidR="001715AF" w:rsidRPr="005F4F59" w:rsidRDefault="001715AF" w:rsidP="00EF72B0">
      <w:pPr>
        <w:numPr>
          <w:ilvl w:val="0"/>
          <w:numId w:val="3"/>
        </w:numPr>
        <w:tabs>
          <w:tab w:val="clear" w:pos="720"/>
          <w:tab w:val="num" w:pos="360"/>
        </w:tabs>
        <w:spacing w:after="0" w:line="240" w:lineRule="auto"/>
        <w:ind w:left="360"/>
        <w:rPr>
          <w:rFonts w:eastAsia="Times New Roman" w:cstheme="minorHAnsi"/>
        </w:rPr>
      </w:pPr>
      <w:r w:rsidRPr="005F4F59">
        <w:rPr>
          <w:rFonts w:eastAsia="Times New Roman" w:cstheme="minorHAnsi"/>
        </w:rPr>
        <w:t xml:space="preserve">updating, improving and refining the </w:t>
      </w:r>
      <w:r w:rsidR="00AA5F57">
        <w:rPr>
          <w:rFonts w:eastAsia="Times New Roman" w:cstheme="minorHAnsi"/>
        </w:rPr>
        <w:t xml:space="preserve">Safe and Supportive Schools </w:t>
      </w:r>
      <w:r w:rsidR="008B7B3A" w:rsidRPr="005F4F59">
        <w:rPr>
          <w:rFonts w:eastAsia="Times New Roman" w:cstheme="minorHAnsi"/>
        </w:rPr>
        <w:t>Framework and Self-Assessment Tool for Schools (</w:t>
      </w:r>
      <w:hyperlink r:id="rId8" w:history="1">
        <w:r w:rsidR="00EF72B0" w:rsidRPr="005F4F59">
          <w:rPr>
            <w:rStyle w:val="Hyperlink"/>
            <w:rFonts w:eastAsia="Times New Roman" w:cstheme="minorHAnsi"/>
          </w:rPr>
          <w:t>http://BHPS321.org</w:t>
        </w:r>
      </w:hyperlink>
      <w:r w:rsidR="00EF72B0" w:rsidRPr="005F4F59">
        <w:rPr>
          <w:rFonts w:eastAsia="Times New Roman" w:cstheme="minorHAnsi"/>
        </w:rPr>
        <w:t>)</w:t>
      </w:r>
      <w:r w:rsidR="00AA5F57">
        <w:rPr>
          <w:rFonts w:eastAsia="Times New Roman" w:cstheme="minorHAnsi"/>
        </w:rPr>
        <w:t>, advising regarding the feasibility of statewide implementation</w:t>
      </w:r>
      <w:r w:rsidRPr="005F4F59">
        <w:rPr>
          <w:rFonts w:eastAsia="Times New Roman" w:cstheme="minorHAnsi"/>
        </w:rPr>
        <w:t xml:space="preserve">; </w:t>
      </w:r>
      <w:r w:rsidR="00EF72B0" w:rsidRPr="005F4F59">
        <w:rPr>
          <w:rFonts w:eastAsia="Times New Roman" w:cstheme="minorHAnsi"/>
        </w:rPr>
        <w:t xml:space="preserve"> and</w:t>
      </w:r>
    </w:p>
    <w:p w:rsidR="008B7B3A" w:rsidRPr="005F4F59" w:rsidRDefault="008B7B3A" w:rsidP="008B7B3A">
      <w:pPr>
        <w:spacing w:after="0" w:line="240" w:lineRule="auto"/>
        <w:rPr>
          <w:rFonts w:eastAsia="Times New Roman" w:cstheme="minorHAnsi"/>
          <w:i/>
        </w:rPr>
      </w:pPr>
      <w:r w:rsidRPr="005F4F59">
        <w:rPr>
          <w:rFonts w:eastAsia="Times New Roman" w:cstheme="minorHAnsi"/>
          <w:i/>
        </w:rPr>
        <w:t>Make recommendations to the Governor and legislature regarding:</w:t>
      </w:r>
    </w:p>
    <w:p w:rsidR="001715AF" w:rsidRPr="005F4F59" w:rsidRDefault="008B7B3A" w:rsidP="008B7B3A">
      <w:pPr>
        <w:numPr>
          <w:ilvl w:val="0"/>
          <w:numId w:val="3"/>
        </w:numPr>
        <w:tabs>
          <w:tab w:val="clear" w:pos="720"/>
          <w:tab w:val="num" w:pos="360"/>
        </w:tabs>
        <w:spacing w:after="100" w:afterAutospacing="1" w:line="240" w:lineRule="auto"/>
        <w:ind w:left="360"/>
        <w:rPr>
          <w:rFonts w:eastAsia="Times New Roman" w:cstheme="minorHAnsi"/>
        </w:rPr>
      </w:pPr>
      <w:r w:rsidRPr="005F4F59">
        <w:rPr>
          <w:rFonts w:eastAsia="Times New Roman" w:cstheme="minorHAnsi"/>
        </w:rPr>
        <w:t>S</w:t>
      </w:r>
      <w:r w:rsidR="001715AF" w:rsidRPr="005F4F59">
        <w:rPr>
          <w:rFonts w:eastAsia="Times New Roman" w:cstheme="minorHAnsi"/>
        </w:rPr>
        <w:t xml:space="preserve">trategies for increasing schools' capacity to carry out the administrative functions identified by the behavioral health and public schools task force; </w:t>
      </w:r>
    </w:p>
    <w:p w:rsidR="001715AF" w:rsidRPr="005F4F59" w:rsidRDefault="008B7B3A" w:rsidP="008B7B3A">
      <w:pPr>
        <w:numPr>
          <w:ilvl w:val="0"/>
          <w:numId w:val="3"/>
        </w:numPr>
        <w:tabs>
          <w:tab w:val="clear" w:pos="720"/>
          <w:tab w:val="num" w:pos="360"/>
        </w:tabs>
        <w:spacing w:before="100" w:beforeAutospacing="1" w:after="100" w:afterAutospacing="1" w:line="240" w:lineRule="auto"/>
        <w:ind w:left="360"/>
        <w:rPr>
          <w:rFonts w:eastAsia="Times New Roman" w:cstheme="minorHAnsi"/>
        </w:rPr>
      </w:pPr>
      <w:r w:rsidRPr="005F4F59">
        <w:rPr>
          <w:rFonts w:eastAsia="Times New Roman" w:cstheme="minorHAnsi"/>
        </w:rPr>
        <w:t>S</w:t>
      </w:r>
      <w:r w:rsidR="001715AF" w:rsidRPr="005F4F59">
        <w:rPr>
          <w:rFonts w:eastAsia="Times New Roman" w:cstheme="minorHAnsi"/>
        </w:rPr>
        <w:t xml:space="preserve">teps for improving schools' access to clinically, culturally and linguistically appropriate services; </w:t>
      </w:r>
    </w:p>
    <w:p w:rsidR="001715AF" w:rsidRPr="005F4F59" w:rsidRDefault="008B7B3A" w:rsidP="008B7B3A">
      <w:pPr>
        <w:numPr>
          <w:ilvl w:val="0"/>
          <w:numId w:val="3"/>
        </w:numPr>
        <w:tabs>
          <w:tab w:val="clear" w:pos="720"/>
          <w:tab w:val="num" w:pos="360"/>
        </w:tabs>
        <w:spacing w:before="100" w:beforeAutospacing="1" w:after="100" w:afterAutospacing="1" w:line="240" w:lineRule="auto"/>
        <w:ind w:left="360"/>
        <w:rPr>
          <w:rFonts w:eastAsia="Times New Roman" w:cstheme="minorHAnsi"/>
        </w:rPr>
      </w:pPr>
      <w:r w:rsidRPr="005F4F59">
        <w:rPr>
          <w:rFonts w:eastAsia="Times New Roman" w:cstheme="minorHAnsi"/>
        </w:rPr>
        <w:t>E</w:t>
      </w:r>
      <w:r w:rsidR="001715AF" w:rsidRPr="005F4F59">
        <w:rPr>
          <w:rFonts w:eastAsia="Times New Roman" w:cstheme="minorHAnsi"/>
        </w:rPr>
        <w:t xml:space="preserve">videnced-based training programs and professional development for school staff on addressing students' behavioral health and creating safe and supportive learning environments; </w:t>
      </w:r>
    </w:p>
    <w:p w:rsidR="001715AF" w:rsidRPr="005F4F59" w:rsidRDefault="008B7B3A" w:rsidP="008B7B3A">
      <w:pPr>
        <w:numPr>
          <w:ilvl w:val="0"/>
          <w:numId w:val="3"/>
        </w:numPr>
        <w:tabs>
          <w:tab w:val="clear" w:pos="720"/>
          <w:tab w:val="num" w:pos="360"/>
        </w:tabs>
        <w:spacing w:before="100" w:beforeAutospacing="1" w:after="100" w:afterAutospacing="1" w:line="240" w:lineRule="auto"/>
        <w:ind w:left="360"/>
        <w:rPr>
          <w:rFonts w:eastAsia="Times New Roman" w:cstheme="minorHAnsi"/>
        </w:rPr>
      </w:pPr>
      <w:r w:rsidRPr="005F4F59">
        <w:rPr>
          <w:rFonts w:eastAsia="Times New Roman" w:cstheme="minorHAnsi"/>
        </w:rPr>
        <w:t>F</w:t>
      </w:r>
      <w:r w:rsidR="001715AF" w:rsidRPr="005F4F59">
        <w:rPr>
          <w:rFonts w:eastAsia="Times New Roman" w:cstheme="minorHAnsi"/>
        </w:rPr>
        <w:t xml:space="preserve">ederal funding sources that can be leveraged to support statewide implementation of the framework; </w:t>
      </w:r>
    </w:p>
    <w:p w:rsidR="001715AF" w:rsidRPr="005F4F59" w:rsidRDefault="008B7B3A" w:rsidP="00B75C18">
      <w:pPr>
        <w:numPr>
          <w:ilvl w:val="0"/>
          <w:numId w:val="3"/>
        </w:numPr>
        <w:tabs>
          <w:tab w:val="clear" w:pos="720"/>
          <w:tab w:val="num" w:pos="360"/>
        </w:tabs>
        <w:spacing w:before="100" w:beforeAutospacing="1" w:after="100" w:afterAutospacing="1" w:line="240" w:lineRule="auto"/>
        <w:ind w:left="360" w:right="-270"/>
        <w:rPr>
          <w:rFonts w:eastAsia="Times New Roman" w:cstheme="minorHAnsi"/>
        </w:rPr>
      </w:pPr>
      <w:r w:rsidRPr="005F4F59">
        <w:rPr>
          <w:rFonts w:eastAsia="Times New Roman" w:cstheme="minorHAnsi"/>
        </w:rPr>
        <w:t>B</w:t>
      </w:r>
      <w:r w:rsidR="001715AF" w:rsidRPr="005F4F59">
        <w:rPr>
          <w:rFonts w:eastAsia="Times New Roman" w:cstheme="minorHAnsi"/>
        </w:rPr>
        <w:t xml:space="preserve">est practices for collaboration with families, including families of children with behavioral health needs; and </w:t>
      </w:r>
    </w:p>
    <w:p w:rsidR="001715AF" w:rsidRPr="005F4F59" w:rsidRDefault="008B7B3A" w:rsidP="008B7B3A">
      <w:pPr>
        <w:numPr>
          <w:ilvl w:val="0"/>
          <w:numId w:val="3"/>
        </w:numPr>
        <w:tabs>
          <w:tab w:val="clear" w:pos="720"/>
          <w:tab w:val="num" w:pos="360"/>
        </w:tabs>
        <w:spacing w:before="100" w:beforeAutospacing="1" w:after="100" w:afterAutospacing="1" w:line="240" w:lineRule="auto"/>
        <w:ind w:left="360"/>
        <w:rPr>
          <w:rFonts w:eastAsia="Times New Roman" w:cstheme="minorHAnsi"/>
        </w:rPr>
      </w:pPr>
      <w:r w:rsidRPr="005F4F59">
        <w:rPr>
          <w:rFonts w:eastAsia="Times New Roman" w:cstheme="minorHAnsi"/>
        </w:rPr>
        <w:t>M</w:t>
      </w:r>
      <w:r w:rsidR="001715AF" w:rsidRPr="005F4F59">
        <w:rPr>
          <w:rFonts w:eastAsia="Times New Roman" w:cstheme="minorHAnsi"/>
        </w:rPr>
        <w:t xml:space="preserve">odel approaches for integrating </w:t>
      </w:r>
      <w:r w:rsidRPr="005F4F59">
        <w:rPr>
          <w:rFonts w:eastAsia="Times New Roman" w:cstheme="minorHAnsi"/>
        </w:rPr>
        <w:t xml:space="preserve">safe and supportive </w:t>
      </w:r>
      <w:r w:rsidR="001715AF" w:rsidRPr="005F4F59">
        <w:rPr>
          <w:rFonts w:eastAsia="Times New Roman" w:cstheme="minorHAnsi"/>
        </w:rPr>
        <w:t>school action plans</w:t>
      </w:r>
      <w:r w:rsidRPr="005F4F59">
        <w:rPr>
          <w:rFonts w:eastAsia="Times New Roman" w:cstheme="minorHAnsi"/>
        </w:rPr>
        <w:t xml:space="preserve"> </w:t>
      </w:r>
      <w:r w:rsidR="001715AF" w:rsidRPr="005F4F59">
        <w:rPr>
          <w:rFonts w:eastAsia="Times New Roman" w:cstheme="minorHAnsi"/>
        </w:rPr>
        <w:t xml:space="preserve">with school improvement plans and for using the framework to organize other school and district improvement processes. </w:t>
      </w:r>
    </w:p>
    <w:p w:rsidR="00B75C18" w:rsidRPr="00B75C18" w:rsidRDefault="00657F40" w:rsidP="00AA5F57">
      <w:pPr>
        <w:spacing w:before="100" w:beforeAutospacing="1" w:after="0" w:line="240" w:lineRule="auto"/>
        <w:outlineLvl w:val="2"/>
        <w:rPr>
          <w:rFonts w:eastAsia="Times New Roman" w:cstheme="minorHAnsi"/>
        </w:rPr>
      </w:pPr>
      <w:r>
        <w:rPr>
          <w:rFonts w:eastAsia="Times New Roman" w:cstheme="minorHAnsi"/>
          <w:b/>
          <w:bCs/>
          <w:color w:val="000000"/>
        </w:rPr>
        <w:t xml:space="preserve">Commission </w:t>
      </w:r>
      <w:r w:rsidR="00AA5F57">
        <w:rPr>
          <w:rFonts w:eastAsia="Times New Roman" w:cstheme="minorHAnsi"/>
          <w:b/>
          <w:bCs/>
          <w:color w:val="000000"/>
        </w:rPr>
        <w:t>Reports</w:t>
      </w:r>
      <w:r>
        <w:rPr>
          <w:rFonts w:eastAsia="Times New Roman" w:cstheme="minorHAnsi"/>
          <w:b/>
          <w:bCs/>
          <w:color w:val="000000"/>
        </w:rPr>
        <w:t xml:space="preserve"> </w:t>
      </w:r>
      <w:r>
        <w:rPr>
          <w:rFonts w:eastAsia="Times New Roman" w:cstheme="minorHAnsi"/>
          <w:b/>
          <w:bCs/>
          <w:color w:val="000000"/>
        </w:rPr>
        <w:br/>
      </w:r>
      <w:proofErr w:type="gramStart"/>
      <w:r w:rsidR="00AA5F57">
        <w:rPr>
          <w:rFonts w:eastAsia="Times New Roman" w:cstheme="minorHAnsi"/>
        </w:rPr>
        <w:t>The</w:t>
      </w:r>
      <w:proofErr w:type="gramEnd"/>
      <w:r w:rsidR="00AA5F57">
        <w:rPr>
          <w:rFonts w:eastAsia="Times New Roman" w:cstheme="minorHAnsi"/>
        </w:rPr>
        <w:t xml:space="preserve"> C</w:t>
      </w:r>
      <w:r w:rsidRPr="00657F40">
        <w:rPr>
          <w:rFonts w:eastAsia="Times New Roman" w:cstheme="minorHAnsi"/>
        </w:rPr>
        <w:t xml:space="preserve">ommission </w:t>
      </w:r>
      <w:r w:rsidR="00AA5F57">
        <w:rPr>
          <w:rFonts w:eastAsia="Times New Roman" w:cstheme="minorHAnsi"/>
        </w:rPr>
        <w:t xml:space="preserve">has submitted four annual </w:t>
      </w:r>
      <w:r w:rsidRPr="00657F40">
        <w:rPr>
          <w:rFonts w:eastAsia="Times New Roman" w:cstheme="minorHAnsi"/>
        </w:rPr>
        <w:t xml:space="preserve">reports </w:t>
      </w:r>
      <w:r w:rsidR="00AA5F57">
        <w:rPr>
          <w:rFonts w:eastAsia="Times New Roman" w:cstheme="minorHAnsi"/>
        </w:rPr>
        <w:t>to the legislature,</w:t>
      </w:r>
      <w:r>
        <w:rPr>
          <w:rFonts w:eastAsia="Times New Roman" w:cstheme="minorHAnsi"/>
        </w:rPr>
        <w:t xml:space="preserve"> with recommendations and summaries of Commission activities</w:t>
      </w:r>
      <w:r w:rsidR="00243681">
        <w:rPr>
          <w:rFonts w:eastAsia="Times New Roman" w:cstheme="minorHAnsi"/>
        </w:rPr>
        <w:t xml:space="preserve"> during 2015-2018</w:t>
      </w:r>
      <w:r>
        <w:rPr>
          <w:rFonts w:eastAsia="Times New Roman" w:cstheme="minorHAnsi"/>
        </w:rPr>
        <w:t>.</w:t>
      </w:r>
      <w:r w:rsidR="00B75C18">
        <w:rPr>
          <w:rFonts w:eastAsia="Times New Roman" w:cstheme="minorHAnsi"/>
        </w:rPr>
        <w:t xml:space="preserve"> The Commission </w:t>
      </w:r>
      <w:r w:rsidR="00AA5F57">
        <w:rPr>
          <w:rFonts w:eastAsia="Times New Roman" w:cstheme="minorHAnsi"/>
        </w:rPr>
        <w:t>has also provided</w:t>
      </w:r>
      <w:r w:rsidR="00B75C18">
        <w:rPr>
          <w:rFonts w:eastAsia="Times New Roman" w:cstheme="minorHAnsi"/>
        </w:rPr>
        <w:t xml:space="preserve"> information</w:t>
      </w:r>
      <w:r w:rsidR="00243681">
        <w:rPr>
          <w:rFonts w:eastAsia="Times New Roman" w:cstheme="minorHAnsi"/>
        </w:rPr>
        <w:t xml:space="preserve"> to the Board of Elementary and Secondary Education</w:t>
      </w:r>
      <w:r w:rsidR="00B75C18">
        <w:rPr>
          <w:rFonts w:eastAsia="Times New Roman" w:cstheme="minorHAnsi"/>
        </w:rPr>
        <w:t xml:space="preserve"> related to principles of effective practice for integrating student supports</w:t>
      </w:r>
      <w:r w:rsidR="00243681">
        <w:rPr>
          <w:rFonts w:eastAsia="Times New Roman" w:cstheme="minorHAnsi"/>
        </w:rPr>
        <w:t xml:space="preserve">. Additionally, the Commission </w:t>
      </w:r>
      <w:r w:rsidR="00AA5F57">
        <w:rPr>
          <w:rFonts w:eastAsia="Times New Roman" w:cstheme="minorHAnsi"/>
        </w:rPr>
        <w:t xml:space="preserve">has helped guide </w:t>
      </w:r>
      <w:r w:rsidR="00243681">
        <w:rPr>
          <w:rFonts w:eastAsia="Times New Roman" w:cstheme="minorHAnsi"/>
        </w:rPr>
        <w:t xml:space="preserve">focus groups conducted by Department staff and by Harvard Law </w:t>
      </w:r>
      <w:proofErr w:type="gramStart"/>
      <w:r w:rsidR="00243681">
        <w:rPr>
          <w:rFonts w:eastAsia="Times New Roman" w:cstheme="minorHAnsi"/>
        </w:rPr>
        <w:t>Clinic</w:t>
      </w:r>
      <w:proofErr w:type="gramEnd"/>
      <w:r w:rsidR="00243681">
        <w:rPr>
          <w:rFonts w:eastAsia="Times New Roman" w:cstheme="minorHAnsi"/>
        </w:rPr>
        <w:t xml:space="preserve"> students (guided by a Commission member and colleagues from Mass. Advocates for Children and the Trauma and Learning Policy Initiative). Focus groups have been a variety of educational stakeholders such as administrators, school committees, teachers, students, families, and community-based supports providers. Topics have included</w:t>
      </w:r>
      <w:r w:rsidR="00B75C18">
        <w:rPr>
          <w:rFonts w:eastAsia="Times New Roman" w:cstheme="minorHAnsi"/>
        </w:rPr>
        <w:t xml:space="preserve"> </w:t>
      </w:r>
      <w:r>
        <w:rPr>
          <w:rFonts w:eastAsia="Times New Roman" w:cstheme="minorHAnsi"/>
        </w:rPr>
        <w:t xml:space="preserve">family engagement, administrative capacity to implement safe and supportive schools, and access to services. Additional focus group summary highlights </w:t>
      </w:r>
      <w:proofErr w:type="gramStart"/>
      <w:r>
        <w:rPr>
          <w:rFonts w:eastAsia="Times New Roman" w:cstheme="minorHAnsi"/>
        </w:rPr>
        <w:t>will be posted</w:t>
      </w:r>
      <w:proofErr w:type="gramEnd"/>
      <w:r>
        <w:rPr>
          <w:rFonts w:eastAsia="Times New Roman" w:cstheme="minorHAnsi"/>
        </w:rPr>
        <w:t xml:space="preserve"> later this year related to student voice and access to services.</w:t>
      </w:r>
      <w:r w:rsidR="00B75C18">
        <w:rPr>
          <w:rFonts w:eastAsia="Times New Roman" w:cstheme="minorHAnsi"/>
        </w:rPr>
        <w:br/>
      </w:r>
      <w:r w:rsidR="00B75C18">
        <w:rPr>
          <w:rFonts w:ascii="&amp;quot" w:hAnsi="&amp;quot"/>
          <w:noProof/>
          <w:color w:val="0000FF"/>
          <w:sz w:val="21"/>
          <w:szCs w:val="21"/>
        </w:rPr>
        <w:t xml:space="preserve"> </w:t>
      </w:r>
    </w:p>
    <w:p w:rsidR="001715AF" w:rsidRPr="00AA5F57" w:rsidRDefault="00996127" w:rsidP="00AA5F57">
      <w:pPr>
        <w:spacing w:after="0" w:line="240" w:lineRule="auto"/>
        <w:outlineLvl w:val="2"/>
        <w:rPr>
          <w:rFonts w:eastAsia="Times New Roman" w:cstheme="minorHAnsi"/>
          <w:b/>
          <w:bCs/>
          <w:color w:val="000000"/>
        </w:rPr>
      </w:pPr>
      <w:r w:rsidRPr="005F4F59">
        <w:rPr>
          <w:rFonts w:eastAsia="Times New Roman" w:cstheme="minorHAnsi"/>
          <w:b/>
          <w:bCs/>
          <w:color w:val="000000"/>
        </w:rPr>
        <w:t xml:space="preserve">Department </w:t>
      </w:r>
      <w:r w:rsidR="001715AF" w:rsidRPr="005F4F59">
        <w:rPr>
          <w:rFonts w:eastAsia="Times New Roman" w:cstheme="minorHAnsi"/>
          <w:b/>
          <w:bCs/>
          <w:color w:val="000000"/>
        </w:rPr>
        <w:t>Contact Information</w:t>
      </w:r>
      <w:r w:rsidRPr="005F4F59">
        <w:rPr>
          <w:rFonts w:eastAsia="Times New Roman" w:cstheme="minorHAnsi"/>
        </w:rPr>
        <w:br/>
      </w:r>
      <w:r w:rsidR="001715AF" w:rsidRPr="005F4F59">
        <w:rPr>
          <w:rFonts w:eastAsia="Times New Roman" w:cstheme="minorHAnsi"/>
        </w:rPr>
        <w:t xml:space="preserve">Rachelle Engler Bennett, </w:t>
      </w:r>
      <w:r w:rsidR="0070190A" w:rsidRPr="005F4F59">
        <w:rPr>
          <w:rFonts w:eastAsia="Times New Roman" w:cstheme="minorHAnsi"/>
        </w:rPr>
        <w:t xml:space="preserve">Associate Commissioner, Student and Family Support, </w:t>
      </w:r>
      <w:r w:rsidR="00F25C32" w:rsidRPr="005F4F59">
        <w:rPr>
          <w:rFonts w:eastAsia="Times New Roman" w:cstheme="minorHAnsi"/>
        </w:rPr>
        <w:t>and Commission Co-Chair:</w:t>
      </w:r>
      <w:r w:rsidR="001715AF" w:rsidRPr="005F4F59">
        <w:rPr>
          <w:rFonts w:eastAsia="Times New Roman" w:cstheme="minorHAnsi"/>
        </w:rPr>
        <w:t xml:space="preserve"> </w:t>
      </w:r>
      <w:hyperlink r:id="rId9" w:history="1">
        <w:r w:rsidR="001715AF" w:rsidRPr="005F4F59">
          <w:rPr>
            <w:rFonts w:eastAsia="Times New Roman" w:cstheme="minorHAnsi"/>
            <w:color w:val="0000FF"/>
            <w:u w:val="single"/>
          </w:rPr>
          <w:t>renglerbennett@doe.mass.edu</w:t>
        </w:r>
      </w:hyperlink>
      <w:r w:rsidR="001715AF" w:rsidRPr="005F4F59">
        <w:rPr>
          <w:rFonts w:eastAsia="Times New Roman" w:cstheme="minorHAnsi"/>
        </w:rPr>
        <w:t xml:space="preserve"> / 781-338-3205.</w:t>
      </w:r>
    </w:p>
    <w:p w:rsidR="00604F47" w:rsidRPr="005F4F59" w:rsidRDefault="00604F47" w:rsidP="008B7B3A">
      <w:pPr>
        <w:spacing w:after="100" w:afterAutospacing="1" w:line="240" w:lineRule="auto"/>
        <w:rPr>
          <w:rFonts w:eastAsia="Times New Roman" w:cstheme="minorHAnsi"/>
        </w:rPr>
      </w:pPr>
    </w:p>
    <w:sectPr w:rsidR="00604F47" w:rsidRPr="005F4F59" w:rsidSect="00B75C18">
      <w:pgSz w:w="12240" w:h="15840"/>
      <w:pgMar w:top="117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285"/>
    <w:multiLevelType w:val="multilevel"/>
    <w:tmpl w:val="3BB2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040F4"/>
    <w:multiLevelType w:val="multilevel"/>
    <w:tmpl w:val="083C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D6997"/>
    <w:multiLevelType w:val="multilevel"/>
    <w:tmpl w:val="2048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9A7EB9"/>
    <w:multiLevelType w:val="multilevel"/>
    <w:tmpl w:val="C53294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B5930C8"/>
    <w:multiLevelType w:val="multilevel"/>
    <w:tmpl w:val="5688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5D7277"/>
    <w:multiLevelType w:val="multilevel"/>
    <w:tmpl w:val="0688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6C7CC3"/>
    <w:multiLevelType w:val="multilevel"/>
    <w:tmpl w:val="236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D05B8E"/>
    <w:multiLevelType w:val="multilevel"/>
    <w:tmpl w:val="285E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6"/>
  </w:num>
  <w:num w:numId="5">
    <w:abstractNumId w:val="7"/>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AF"/>
    <w:rsid w:val="00014D77"/>
    <w:rsid w:val="00037DBD"/>
    <w:rsid w:val="00042B8A"/>
    <w:rsid w:val="00087A16"/>
    <w:rsid w:val="000B6E2C"/>
    <w:rsid w:val="000C0F22"/>
    <w:rsid w:val="000C33E0"/>
    <w:rsid w:val="000D38EC"/>
    <w:rsid w:val="000F5329"/>
    <w:rsid w:val="001326D0"/>
    <w:rsid w:val="00161A39"/>
    <w:rsid w:val="001715AF"/>
    <w:rsid w:val="001716CB"/>
    <w:rsid w:val="0017171E"/>
    <w:rsid w:val="001D3203"/>
    <w:rsid w:val="001E5672"/>
    <w:rsid w:val="00205146"/>
    <w:rsid w:val="002367E9"/>
    <w:rsid w:val="00243681"/>
    <w:rsid w:val="00252BBA"/>
    <w:rsid w:val="00263BD3"/>
    <w:rsid w:val="00274E4E"/>
    <w:rsid w:val="00281DC4"/>
    <w:rsid w:val="00286DC6"/>
    <w:rsid w:val="003044A3"/>
    <w:rsid w:val="00330ACA"/>
    <w:rsid w:val="00333F75"/>
    <w:rsid w:val="00337872"/>
    <w:rsid w:val="0035166B"/>
    <w:rsid w:val="003D3EDD"/>
    <w:rsid w:val="004306CD"/>
    <w:rsid w:val="004540FF"/>
    <w:rsid w:val="00462F45"/>
    <w:rsid w:val="004E1D7D"/>
    <w:rsid w:val="00524359"/>
    <w:rsid w:val="00540DE8"/>
    <w:rsid w:val="005460CB"/>
    <w:rsid w:val="005525EF"/>
    <w:rsid w:val="00562CFB"/>
    <w:rsid w:val="005E70B1"/>
    <w:rsid w:val="005F4F59"/>
    <w:rsid w:val="00604F47"/>
    <w:rsid w:val="00614400"/>
    <w:rsid w:val="00623559"/>
    <w:rsid w:val="006261C6"/>
    <w:rsid w:val="00657F19"/>
    <w:rsid w:val="00657F40"/>
    <w:rsid w:val="00677C15"/>
    <w:rsid w:val="006807CD"/>
    <w:rsid w:val="00685573"/>
    <w:rsid w:val="006A4CAE"/>
    <w:rsid w:val="006A649C"/>
    <w:rsid w:val="006C51FF"/>
    <w:rsid w:val="006F115F"/>
    <w:rsid w:val="0070190A"/>
    <w:rsid w:val="00741957"/>
    <w:rsid w:val="007947EE"/>
    <w:rsid w:val="007B396B"/>
    <w:rsid w:val="007B66E8"/>
    <w:rsid w:val="007D26B4"/>
    <w:rsid w:val="0080402D"/>
    <w:rsid w:val="008044DE"/>
    <w:rsid w:val="008340B5"/>
    <w:rsid w:val="00851679"/>
    <w:rsid w:val="0086389E"/>
    <w:rsid w:val="0087760B"/>
    <w:rsid w:val="0088434D"/>
    <w:rsid w:val="008B7B3A"/>
    <w:rsid w:val="008C5187"/>
    <w:rsid w:val="008F3729"/>
    <w:rsid w:val="009019F9"/>
    <w:rsid w:val="009020D8"/>
    <w:rsid w:val="009079FB"/>
    <w:rsid w:val="00927AF3"/>
    <w:rsid w:val="00954467"/>
    <w:rsid w:val="00954DCA"/>
    <w:rsid w:val="009675DC"/>
    <w:rsid w:val="0099210B"/>
    <w:rsid w:val="00992521"/>
    <w:rsid w:val="00996127"/>
    <w:rsid w:val="009B3CA3"/>
    <w:rsid w:val="009D6525"/>
    <w:rsid w:val="009F73D5"/>
    <w:rsid w:val="009F7D8F"/>
    <w:rsid w:val="00A125F3"/>
    <w:rsid w:val="00A24037"/>
    <w:rsid w:val="00A45695"/>
    <w:rsid w:val="00A64518"/>
    <w:rsid w:val="00A75401"/>
    <w:rsid w:val="00A80469"/>
    <w:rsid w:val="00A94034"/>
    <w:rsid w:val="00AA1F10"/>
    <w:rsid w:val="00AA5F57"/>
    <w:rsid w:val="00AB3949"/>
    <w:rsid w:val="00AE7D90"/>
    <w:rsid w:val="00AF1828"/>
    <w:rsid w:val="00B004D1"/>
    <w:rsid w:val="00B00542"/>
    <w:rsid w:val="00B0581C"/>
    <w:rsid w:val="00B1059A"/>
    <w:rsid w:val="00B308C3"/>
    <w:rsid w:val="00B51459"/>
    <w:rsid w:val="00B552FF"/>
    <w:rsid w:val="00B5759B"/>
    <w:rsid w:val="00B6180C"/>
    <w:rsid w:val="00B73A53"/>
    <w:rsid w:val="00B75C18"/>
    <w:rsid w:val="00B82A32"/>
    <w:rsid w:val="00B84642"/>
    <w:rsid w:val="00BF3B29"/>
    <w:rsid w:val="00C0069C"/>
    <w:rsid w:val="00C10182"/>
    <w:rsid w:val="00C13E6E"/>
    <w:rsid w:val="00C47170"/>
    <w:rsid w:val="00C50C32"/>
    <w:rsid w:val="00C54A17"/>
    <w:rsid w:val="00C97E81"/>
    <w:rsid w:val="00CA754F"/>
    <w:rsid w:val="00CC2A2A"/>
    <w:rsid w:val="00CE0F8D"/>
    <w:rsid w:val="00CF5747"/>
    <w:rsid w:val="00D13A91"/>
    <w:rsid w:val="00D60445"/>
    <w:rsid w:val="00D73AD9"/>
    <w:rsid w:val="00D902CF"/>
    <w:rsid w:val="00DB78C5"/>
    <w:rsid w:val="00E04AFA"/>
    <w:rsid w:val="00E51430"/>
    <w:rsid w:val="00E672BD"/>
    <w:rsid w:val="00EA2EE4"/>
    <w:rsid w:val="00EB1FAD"/>
    <w:rsid w:val="00EB5AC6"/>
    <w:rsid w:val="00EE0219"/>
    <w:rsid w:val="00EE136B"/>
    <w:rsid w:val="00EF72B0"/>
    <w:rsid w:val="00F13A42"/>
    <w:rsid w:val="00F25C32"/>
    <w:rsid w:val="00F270AD"/>
    <w:rsid w:val="00F52EF4"/>
    <w:rsid w:val="00F77DDF"/>
    <w:rsid w:val="00F966CD"/>
    <w:rsid w:val="00FB2124"/>
    <w:rsid w:val="00FB3073"/>
    <w:rsid w:val="00FD1FA4"/>
    <w:rsid w:val="00FD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80ED"/>
  <w15:docId w15:val="{F08D0C1B-801E-4F68-B918-FED38EB3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828"/>
  </w:style>
  <w:style w:type="paragraph" w:styleId="Heading1">
    <w:name w:val="heading 1"/>
    <w:basedOn w:val="Normal"/>
    <w:link w:val="Heading1Char"/>
    <w:uiPriority w:val="9"/>
    <w:qFormat/>
    <w:rsid w:val="001715AF"/>
    <w:pPr>
      <w:spacing w:after="100" w:afterAutospacing="1" w:line="240" w:lineRule="auto"/>
      <w:outlineLvl w:val="0"/>
    </w:pPr>
    <w:rPr>
      <w:rFonts w:ascii="Verdana" w:eastAsia="Times New Roman" w:hAnsi="Verdana" w:cs="Times New Roman"/>
      <w:b/>
      <w:bCs/>
      <w:color w:val="000000"/>
      <w:kern w:val="36"/>
    </w:rPr>
  </w:style>
  <w:style w:type="paragraph" w:styleId="Heading2">
    <w:name w:val="heading 2"/>
    <w:basedOn w:val="Normal"/>
    <w:link w:val="Heading2Char"/>
    <w:uiPriority w:val="9"/>
    <w:qFormat/>
    <w:rsid w:val="001715AF"/>
    <w:pPr>
      <w:spacing w:before="100" w:beforeAutospacing="1" w:after="100" w:afterAutospacing="1" w:line="240" w:lineRule="auto"/>
      <w:outlineLvl w:val="1"/>
    </w:pPr>
    <w:rPr>
      <w:rFonts w:ascii="Verdana" w:eastAsia="Times New Roman" w:hAnsi="Verdana" w:cs="Times New Roman"/>
      <w:b/>
      <w:bCs/>
      <w:color w:val="000000"/>
      <w:sz w:val="19"/>
      <w:szCs w:val="19"/>
    </w:rPr>
  </w:style>
  <w:style w:type="paragraph" w:styleId="Heading3">
    <w:name w:val="heading 3"/>
    <w:basedOn w:val="Normal"/>
    <w:link w:val="Heading3Char"/>
    <w:uiPriority w:val="9"/>
    <w:qFormat/>
    <w:rsid w:val="001715AF"/>
    <w:pPr>
      <w:spacing w:before="100" w:beforeAutospacing="1" w:after="100" w:afterAutospacing="1" w:line="240" w:lineRule="auto"/>
      <w:outlineLvl w:val="2"/>
    </w:pPr>
    <w:rPr>
      <w:rFonts w:ascii="Verdana" w:eastAsia="Times New Roman" w:hAnsi="Verdana" w:cs="Times New Roman"/>
      <w:b/>
      <w:bCs/>
      <w:color w:val="000000"/>
      <w:sz w:val="17"/>
      <w:szCs w:val="17"/>
    </w:rPr>
  </w:style>
  <w:style w:type="paragraph" w:styleId="Heading4">
    <w:name w:val="heading 4"/>
    <w:basedOn w:val="Normal"/>
    <w:link w:val="Heading4Char"/>
    <w:uiPriority w:val="9"/>
    <w:qFormat/>
    <w:rsid w:val="001715AF"/>
    <w:pPr>
      <w:spacing w:after="100" w:afterAutospacing="1" w:line="240" w:lineRule="auto"/>
      <w:outlineLvl w:val="3"/>
    </w:pPr>
    <w:rPr>
      <w:rFonts w:ascii="Verdana" w:eastAsia="Times New Roman" w:hAnsi="Verdana" w:cs="Times New Roman"/>
      <w:b/>
      <w:bCs/>
      <w:color w:val="0000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5AF"/>
    <w:rPr>
      <w:rFonts w:ascii="Verdana" w:eastAsia="Times New Roman" w:hAnsi="Verdana" w:cs="Times New Roman"/>
      <w:b/>
      <w:bCs/>
      <w:color w:val="000000"/>
      <w:kern w:val="36"/>
    </w:rPr>
  </w:style>
  <w:style w:type="character" w:customStyle="1" w:styleId="Heading2Char">
    <w:name w:val="Heading 2 Char"/>
    <w:basedOn w:val="DefaultParagraphFont"/>
    <w:link w:val="Heading2"/>
    <w:uiPriority w:val="9"/>
    <w:rsid w:val="001715AF"/>
    <w:rPr>
      <w:rFonts w:ascii="Verdana" w:eastAsia="Times New Roman" w:hAnsi="Verdana" w:cs="Times New Roman"/>
      <w:b/>
      <w:bCs/>
      <w:color w:val="000000"/>
      <w:sz w:val="19"/>
      <w:szCs w:val="19"/>
    </w:rPr>
  </w:style>
  <w:style w:type="character" w:customStyle="1" w:styleId="Heading3Char">
    <w:name w:val="Heading 3 Char"/>
    <w:basedOn w:val="DefaultParagraphFont"/>
    <w:link w:val="Heading3"/>
    <w:uiPriority w:val="9"/>
    <w:rsid w:val="001715AF"/>
    <w:rPr>
      <w:rFonts w:ascii="Verdana" w:eastAsia="Times New Roman" w:hAnsi="Verdana" w:cs="Times New Roman"/>
      <w:b/>
      <w:bCs/>
      <w:color w:val="000000"/>
      <w:sz w:val="17"/>
      <w:szCs w:val="17"/>
    </w:rPr>
  </w:style>
  <w:style w:type="character" w:customStyle="1" w:styleId="Heading4Char">
    <w:name w:val="Heading 4 Char"/>
    <w:basedOn w:val="DefaultParagraphFont"/>
    <w:link w:val="Heading4"/>
    <w:uiPriority w:val="9"/>
    <w:rsid w:val="001715AF"/>
    <w:rPr>
      <w:rFonts w:ascii="Verdana" w:eastAsia="Times New Roman" w:hAnsi="Verdana" w:cs="Times New Roman"/>
      <w:b/>
      <w:bCs/>
      <w:color w:val="000000"/>
      <w:sz w:val="14"/>
      <w:szCs w:val="14"/>
    </w:rPr>
  </w:style>
  <w:style w:type="character" w:styleId="Hyperlink">
    <w:name w:val="Hyperlink"/>
    <w:basedOn w:val="DefaultParagraphFont"/>
    <w:uiPriority w:val="99"/>
    <w:unhideWhenUsed/>
    <w:rsid w:val="001715AF"/>
    <w:rPr>
      <w:color w:val="0000FF"/>
      <w:u w:val="single"/>
    </w:rPr>
  </w:style>
  <w:style w:type="paragraph" w:styleId="NormalWeb">
    <w:name w:val="Normal (Web)"/>
    <w:basedOn w:val="Normal"/>
    <w:uiPriority w:val="99"/>
    <w:semiHidden/>
    <w:unhideWhenUsed/>
    <w:rsid w:val="001715AF"/>
    <w:pPr>
      <w:spacing w:before="100" w:beforeAutospacing="1" w:after="100" w:afterAutospacing="1" w:line="240" w:lineRule="auto"/>
    </w:pPr>
    <w:rPr>
      <w:rFonts w:ascii="Georgia" w:eastAsia="Times New Roman" w:hAnsi="Georgia" w:cs="Times New Roman"/>
      <w:sz w:val="23"/>
      <w:szCs w:val="23"/>
    </w:rPr>
  </w:style>
  <w:style w:type="character" w:customStyle="1" w:styleId="bold1">
    <w:name w:val="bold1"/>
    <w:basedOn w:val="DefaultParagraphFont"/>
    <w:rsid w:val="001715AF"/>
    <w:rPr>
      <w:b/>
      <w:bCs/>
    </w:rPr>
  </w:style>
  <w:style w:type="character" w:customStyle="1" w:styleId="em1">
    <w:name w:val="em1"/>
    <w:basedOn w:val="DefaultParagraphFont"/>
    <w:rsid w:val="001715AF"/>
    <w:rPr>
      <w:i/>
      <w:iCs/>
    </w:rPr>
  </w:style>
  <w:style w:type="character" w:customStyle="1" w:styleId="nav1">
    <w:name w:val="nav1"/>
    <w:basedOn w:val="DefaultParagraphFont"/>
    <w:rsid w:val="001715AF"/>
    <w:rPr>
      <w:rFonts w:ascii="Verdana" w:hAnsi="Verdana" w:hint="default"/>
      <w:b w:val="0"/>
      <w:bCs w:val="0"/>
      <w:sz w:val="13"/>
      <w:szCs w:val="13"/>
    </w:rPr>
  </w:style>
  <w:style w:type="paragraph" w:styleId="BalloonText">
    <w:name w:val="Balloon Text"/>
    <w:basedOn w:val="Normal"/>
    <w:link w:val="BalloonTextChar"/>
    <w:uiPriority w:val="99"/>
    <w:semiHidden/>
    <w:unhideWhenUsed/>
    <w:rsid w:val="00171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5AF"/>
    <w:rPr>
      <w:rFonts w:ascii="Tahoma" w:hAnsi="Tahoma" w:cs="Tahoma"/>
      <w:sz w:val="16"/>
      <w:szCs w:val="16"/>
    </w:rPr>
  </w:style>
  <w:style w:type="paragraph" w:customStyle="1" w:styleId="xxxmsonormal">
    <w:name w:val="x_xxmsonormal"/>
    <w:basedOn w:val="Normal"/>
    <w:uiPriority w:val="99"/>
    <w:rsid w:val="00604F47"/>
    <w:pPr>
      <w:spacing w:after="0" w:line="240" w:lineRule="auto"/>
    </w:pPr>
    <w:rPr>
      <w:rFonts w:ascii="Times New Roman" w:hAnsi="Times New Roman" w:cs="Times New Roman"/>
      <w:sz w:val="24"/>
      <w:szCs w:val="24"/>
    </w:rPr>
  </w:style>
  <w:style w:type="paragraph" w:customStyle="1" w:styleId="xxmsonormal">
    <w:name w:val="x_xmsonormal"/>
    <w:basedOn w:val="Normal"/>
    <w:uiPriority w:val="99"/>
    <w:rsid w:val="00604F47"/>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F4F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115840">
      <w:bodyDiv w:val="1"/>
      <w:marLeft w:val="0"/>
      <w:marRight w:val="0"/>
      <w:marTop w:val="0"/>
      <w:marBottom w:val="0"/>
      <w:divBdr>
        <w:top w:val="none" w:sz="0" w:space="0" w:color="auto"/>
        <w:left w:val="none" w:sz="0" w:space="0" w:color="auto"/>
        <w:bottom w:val="none" w:sz="0" w:space="0" w:color="auto"/>
        <w:right w:val="none" w:sz="0" w:space="0" w:color="auto"/>
      </w:divBdr>
      <w:divsChild>
        <w:div w:id="933123809">
          <w:marLeft w:val="0"/>
          <w:marRight w:val="0"/>
          <w:marTop w:val="30"/>
          <w:marBottom w:val="60"/>
          <w:divBdr>
            <w:top w:val="none" w:sz="0" w:space="0" w:color="auto"/>
            <w:left w:val="none" w:sz="0" w:space="0" w:color="auto"/>
            <w:bottom w:val="none" w:sz="0" w:space="0" w:color="auto"/>
            <w:right w:val="none" w:sz="0" w:space="0" w:color="auto"/>
          </w:divBdr>
        </w:div>
        <w:div w:id="433593377">
          <w:marLeft w:val="0"/>
          <w:marRight w:val="0"/>
          <w:marTop w:val="30"/>
          <w:marBottom w:val="60"/>
          <w:divBdr>
            <w:top w:val="none" w:sz="0" w:space="0" w:color="auto"/>
            <w:left w:val="none" w:sz="0" w:space="0" w:color="auto"/>
            <w:bottom w:val="none" w:sz="0" w:space="0" w:color="auto"/>
            <w:right w:val="none" w:sz="0" w:space="0" w:color="auto"/>
          </w:divBdr>
        </w:div>
        <w:div w:id="968783775">
          <w:marLeft w:val="0"/>
          <w:marRight w:val="0"/>
          <w:marTop w:val="30"/>
          <w:marBottom w:val="60"/>
          <w:divBdr>
            <w:top w:val="none" w:sz="0" w:space="0" w:color="auto"/>
            <w:left w:val="none" w:sz="0" w:space="0" w:color="auto"/>
            <w:bottom w:val="none" w:sz="0" w:space="0" w:color="auto"/>
            <w:right w:val="none" w:sz="0" w:space="0" w:color="auto"/>
          </w:divBdr>
        </w:div>
        <w:div w:id="1000423833">
          <w:marLeft w:val="0"/>
          <w:marRight w:val="0"/>
          <w:marTop w:val="30"/>
          <w:marBottom w:val="60"/>
          <w:divBdr>
            <w:top w:val="none" w:sz="0" w:space="0" w:color="auto"/>
            <w:left w:val="none" w:sz="0" w:space="0" w:color="auto"/>
            <w:bottom w:val="none" w:sz="0" w:space="0" w:color="auto"/>
            <w:right w:val="none" w:sz="0" w:space="0" w:color="auto"/>
          </w:divBdr>
        </w:div>
        <w:div w:id="429131827">
          <w:marLeft w:val="0"/>
          <w:marRight w:val="0"/>
          <w:marTop w:val="30"/>
          <w:marBottom w:val="60"/>
          <w:divBdr>
            <w:top w:val="none" w:sz="0" w:space="0" w:color="auto"/>
            <w:left w:val="none" w:sz="0" w:space="0" w:color="auto"/>
            <w:bottom w:val="none" w:sz="0" w:space="0" w:color="auto"/>
            <w:right w:val="none" w:sz="0" w:space="0" w:color="auto"/>
          </w:divBdr>
        </w:div>
        <w:div w:id="183053227">
          <w:marLeft w:val="0"/>
          <w:marRight w:val="0"/>
          <w:marTop w:val="30"/>
          <w:marBottom w:val="60"/>
          <w:divBdr>
            <w:top w:val="none" w:sz="0" w:space="0" w:color="auto"/>
            <w:left w:val="none" w:sz="0" w:space="0" w:color="auto"/>
            <w:bottom w:val="none" w:sz="0" w:space="0" w:color="auto"/>
            <w:right w:val="none" w:sz="0" w:space="0" w:color="auto"/>
          </w:divBdr>
        </w:div>
        <w:div w:id="1119420749">
          <w:marLeft w:val="0"/>
          <w:marRight w:val="0"/>
          <w:marTop w:val="30"/>
          <w:marBottom w:val="60"/>
          <w:divBdr>
            <w:top w:val="none" w:sz="0" w:space="0" w:color="auto"/>
            <w:left w:val="none" w:sz="0" w:space="0" w:color="auto"/>
            <w:bottom w:val="none" w:sz="0" w:space="0" w:color="auto"/>
            <w:right w:val="none" w:sz="0" w:space="0" w:color="auto"/>
          </w:divBdr>
        </w:div>
        <w:div w:id="2082022525">
          <w:marLeft w:val="0"/>
          <w:marRight w:val="0"/>
          <w:marTop w:val="30"/>
          <w:marBottom w:val="60"/>
          <w:divBdr>
            <w:top w:val="none" w:sz="0" w:space="0" w:color="auto"/>
            <w:left w:val="none" w:sz="0" w:space="0" w:color="auto"/>
            <w:bottom w:val="none" w:sz="0" w:space="0" w:color="auto"/>
            <w:right w:val="none" w:sz="0" w:space="0" w:color="auto"/>
          </w:divBdr>
          <w:divsChild>
            <w:div w:id="1789155077">
              <w:marLeft w:val="0"/>
              <w:marRight w:val="0"/>
              <w:marTop w:val="0"/>
              <w:marBottom w:val="0"/>
              <w:divBdr>
                <w:top w:val="none" w:sz="0" w:space="0" w:color="auto"/>
                <w:left w:val="none" w:sz="0" w:space="0" w:color="auto"/>
                <w:bottom w:val="none" w:sz="0" w:space="0" w:color="auto"/>
                <w:right w:val="none" w:sz="0" w:space="0" w:color="auto"/>
              </w:divBdr>
              <w:divsChild>
                <w:div w:id="1596595484">
                  <w:marLeft w:val="0"/>
                  <w:marRight w:val="0"/>
                  <w:marTop w:val="30"/>
                  <w:marBottom w:val="60"/>
                  <w:divBdr>
                    <w:top w:val="none" w:sz="0" w:space="0" w:color="auto"/>
                    <w:left w:val="none" w:sz="0" w:space="0" w:color="auto"/>
                    <w:bottom w:val="none" w:sz="0" w:space="0" w:color="auto"/>
                    <w:right w:val="none" w:sz="0" w:space="0" w:color="auto"/>
                  </w:divBdr>
                </w:div>
                <w:div w:id="1085878054">
                  <w:marLeft w:val="0"/>
                  <w:marRight w:val="0"/>
                  <w:marTop w:val="30"/>
                  <w:marBottom w:val="60"/>
                  <w:divBdr>
                    <w:top w:val="none" w:sz="0" w:space="0" w:color="auto"/>
                    <w:left w:val="none" w:sz="0" w:space="0" w:color="auto"/>
                    <w:bottom w:val="none" w:sz="0" w:space="0" w:color="auto"/>
                    <w:right w:val="none" w:sz="0" w:space="0" w:color="auto"/>
                  </w:divBdr>
                </w:div>
              </w:divsChild>
            </w:div>
          </w:divsChild>
        </w:div>
        <w:div w:id="1364550614">
          <w:marLeft w:val="0"/>
          <w:marRight w:val="0"/>
          <w:marTop w:val="30"/>
          <w:marBottom w:val="60"/>
          <w:divBdr>
            <w:top w:val="none" w:sz="0" w:space="0" w:color="auto"/>
            <w:left w:val="none" w:sz="0" w:space="0" w:color="auto"/>
            <w:bottom w:val="none" w:sz="0" w:space="0" w:color="auto"/>
            <w:right w:val="none" w:sz="0" w:space="0" w:color="auto"/>
          </w:divBdr>
        </w:div>
        <w:div w:id="954561226">
          <w:marLeft w:val="0"/>
          <w:marRight w:val="0"/>
          <w:marTop w:val="30"/>
          <w:marBottom w:val="60"/>
          <w:divBdr>
            <w:top w:val="none" w:sz="0" w:space="0" w:color="auto"/>
            <w:left w:val="none" w:sz="0" w:space="0" w:color="auto"/>
            <w:bottom w:val="none" w:sz="0" w:space="0" w:color="auto"/>
            <w:right w:val="none" w:sz="0" w:space="0" w:color="auto"/>
          </w:divBdr>
        </w:div>
        <w:div w:id="1533151790">
          <w:marLeft w:val="0"/>
          <w:marRight w:val="0"/>
          <w:marTop w:val="30"/>
          <w:marBottom w:val="60"/>
          <w:divBdr>
            <w:top w:val="none" w:sz="0" w:space="0" w:color="auto"/>
            <w:left w:val="none" w:sz="0" w:space="0" w:color="auto"/>
            <w:bottom w:val="none" w:sz="0" w:space="0" w:color="auto"/>
            <w:right w:val="none" w:sz="0" w:space="0" w:color="auto"/>
          </w:divBdr>
        </w:div>
        <w:div w:id="461001523">
          <w:marLeft w:val="0"/>
          <w:marRight w:val="0"/>
          <w:marTop w:val="30"/>
          <w:marBottom w:val="60"/>
          <w:divBdr>
            <w:top w:val="none" w:sz="0" w:space="0" w:color="auto"/>
            <w:left w:val="none" w:sz="0" w:space="0" w:color="auto"/>
            <w:bottom w:val="none" w:sz="0" w:space="0" w:color="auto"/>
            <w:right w:val="none" w:sz="0" w:space="0" w:color="auto"/>
          </w:divBdr>
        </w:div>
        <w:div w:id="1648436289">
          <w:marLeft w:val="0"/>
          <w:marRight w:val="0"/>
          <w:marTop w:val="30"/>
          <w:marBottom w:val="60"/>
          <w:divBdr>
            <w:top w:val="none" w:sz="0" w:space="0" w:color="auto"/>
            <w:left w:val="none" w:sz="0" w:space="0" w:color="auto"/>
            <w:bottom w:val="none" w:sz="0" w:space="0" w:color="auto"/>
            <w:right w:val="none" w:sz="0" w:space="0" w:color="auto"/>
          </w:divBdr>
        </w:div>
        <w:div w:id="1458529914">
          <w:marLeft w:val="0"/>
          <w:marRight w:val="0"/>
          <w:marTop w:val="30"/>
          <w:marBottom w:val="60"/>
          <w:divBdr>
            <w:top w:val="none" w:sz="0" w:space="0" w:color="auto"/>
            <w:left w:val="none" w:sz="0" w:space="0" w:color="auto"/>
            <w:bottom w:val="none" w:sz="0" w:space="0" w:color="auto"/>
            <w:right w:val="none" w:sz="0" w:space="0" w:color="auto"/>
          </w:divBdr>
        </w:div>
        <w:div w:id="220020906">
          <w:marLeft w:val="0"/>
          <w:marRight w:val="0"/>
          <w:marTop w:val="30"/>
          <w:marBottom w:val="60"/>
          <w:divBdr>
            <w:top w:val="none" w:sz="0" w:space="0" w:color="auto"/>
            <w:left w:val="none" w:sz="0" w:space="0" w:color="auto"/>
            <w:bottom w:val="none" w:sz="0" w:space="0" w:color="auto"/>
            <w:right w:val="none" w:sz="0" w:space="0" w:color="auto"/>
          </w:divBdr>
        </w:div>
        <w:div w:id="1143423961">
          <w:marLeft w:val="0"/>
          <w:marRight w:val="0"/>
          <w:marTop w:val="30"/>
          <w:marBottom w:val="60"/>
          <w:divBdr>
            <w:top w:val="none" w:sz="0" w:space="0" w:color="auto"/>
            <w:left w:val="none" w:sz="0" w:space="0" w:color="auto"/>
            <w:bottom w:val="none" w:sz="0" w:space="0" w:color="auto"/>
            <w:right w:val="none" w:sz="0" w:space="0" w:color="auto"/>
          </w:divBdr>
        </w:div>
      </w:divsChild>
    </w:div>
    <w:div w:id="1824003094">
      <w:bodyDiv w:val="1"/>
      <w:marLeft w:val="0"/>
      <w:marRight w:val="0"/>
      <w:marTop w:val="0"/>
      <w:marBottom w:val="0"/>
      <w:divBdr>
        <w:top w:val="none" w:sz="0" w:space="0" w:color="auto"/>
        <w:left w:val="none" w:sz="0" w:space="0" w:color="auto"/>
        <w:bottom w:val="none" w:sz="0" w:space="0" w:color="auto"/>
        <w:right w:val="none" w:sz="0" w:space="0" w:color="auto"/>
      </w:divBdr>
    </w:div>
    <w:div w:id="1949657615">
      <w:bodyDiv w:val="1"/>
      <w:marLeft w:val="0"/>
      <w:marRight w:val="0"/>
      <w:marTop w:val="0"/>
      <w:marBottom w:val="0"/>
      <w:divBdr>
        <w:top w:val="none" w:sz="0" w:space="0" w:color="auto"/>
        <w:left w:val="none" w:sz="0" w:space="0" w:color="auto"/>
        <w:bottom w:val="none" w:sz="0" w:space="0" w:color="auto"/>
        <w:right w:val="none" w:sz="0" w:space="0" w:color="auto"/>
      </w:divBdr>
      <w:divsChild>
        <w:div w:id="904879156">
          <w:marLeft w:val="480"/>
          <w:marRight w:val="0"/>
          <w:marTop w:val="0"/>
          <w:marBottom w:val="0"/>
          <w:divBdr>
            <w:top w:val="none" w:sz="0" w:space="0" w:color="auto"/>
            <w:left w:val="none" w:sz="0" w:space="0" w:color="auto"/>
            <w:bottom w:val="none" w:sz="0" w:space="0" w:color="auto"/>
            <w:right w:val="none" w:sz="0" w:space="0" w:color="auto"/>
          </w:divBdr>
        </w:div>
        <w:div w:id="1761439775">
          <w:marLeft w:val="480"/>
          <w:marRight w:val="0"/>
          <w:marTop w:val="0"/>
          <w:marBottom w:val="0"/>
          <w:divBdr>
            <w:top w:val="none" w:sz="0" w:space="0" w:color="auto"/>
            <w:left w:val="none" w:sz="0" w:space="0" w:color="auto"/>
            <w:bottom w:val="none" w:sz="0" w:space="0" w:color="auto"/>
            <w:right w:val="none" w:sz="0" w:space="0" w:color="auto"/>
          </w:divBdr>
        </w:div>
        <w:div w:id="241067754">
          <w:marLeft w:val="480"/>
          <w:marRight w:val="0"/>
          <w:marTop w:val="0"/>
          <w:marBottom w:val="0"/>
          <w:divBdr>
            <w:top w:val="none" w:sz="0" w:space="0" w:color="auto"/>
            <w:left w:val="none" w:sz="0" w:space="0" w:color="auto"/>
            <w:bottom w:val="none" w:sz="0" w:space="0" w:color="auto"/>
            <w:right w:val="none" w:sz="0" w:space="0" w:color="auto"/>
          </w:divBdr>
        </w:div>
        <w:div w:id="11368720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HPS321.org" TargetMode="External"/><Relationship Id="rId3" Type="http://schemas.openxmlformats.org/officeDocument/2006/relationships/settings" Target="settings.xml"/><Relationship Id="rId7" Type="http://schemas.openxmlformats.org/officeDocument/2006/relationships/hyperlink" Target="http://www.doe.mass.edu/sfs/safety/?section=com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legislature.gov/Laws/SessionLaws/Acts/2014/Chapter284" TargetMode="External"/><Relationship Id="rId11" Type="http://schemas.openxmlformats.org/officeDocument/2006/relationships/theme" Target="theme/theme1.xml"/><Relationship Id="rId5" Type="http://schemas.openxmlformats.org/officeDocument/2006/relationships/hyperlink" Target="https://malegislature.gov/Laws/GeneralLaws/PartI/TitleXII/Chapter69/Section1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nglerbennett@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Rachelle E. Bennett</dc:creator>
  <cp:lastModifiedBy>Bennett, Rachelle Engler (DESE)</cp:lastModifiedBy>
  <cp:revision>4</cp:revision>
  <cp:lastPrinted>2018-12-03T18:52:00Z</cp:lastPrinted>
  <dcterms:created xsi:type="dcterms:W3CDTF">2019-04-04T23:58:00Z</dcterms:created>
  <dcterms:modified xsi:type="dcterms:W3CDTF">2019-04-05T00:41:00Z</dcterms:modified>
</cp:coreProperties>
</file>