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34"/>
        <w:gridCol w:w="2387"/>
        <w:gridCol w:w="2695"/>
        <w:gridCol w:w="2433"/>
        <w:gridCol w:w="2335"/>
      </w:tblGrid>
      <w:tr w:rsidR="0069682D" w:rsidRPr="00F55227" w14:paraId="48F314D4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  <w:hideMark/>
          </w:tcPr>
          <w:p w14:paraId="3D73DB26" w14:textId="57F69F77" w:rsidR="00F55227" w:rsidRPr="00F55227" w:rsidRDefault="00EC50A5" w:rsidP="00B65AA0">
            <w:pPr>
              <w:spacing w:line="240" w:lineRule="auto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</w:t>
            </w:r>
            <w:r w:rsidR="00F55227" w:rsidRPr="00F55227">
              <w:rPr>
                <w:b/>
                <w:bCs/>
                <w:color w:val="FFFFFF" w:themeColor="background1"/>
              </w:rPr>
              <w:t>No.</w:t>
            </w:r>
            <w:r w:rsidR="00F55227" w:rsidRPr="00F55227">
              <w:rPr>
                <w:color w:val="FFFFFF" w:themeColor="background1"/>
              </w:rPr>
              <w:t> 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  <w:hideMark/>
          </w:tcPr>
          <w:p w14:paraId="20AB10FB" w14:textId="77777777" w:rsidR="00F55227" w:rsidRPr="00F55227" w:rsidRDefault="00F55227" w:rsidP="00B65AA0">
            <w:pPr>
              <w:spacing w:line="240" w:lineRule="auto"/>
              <w:rPr>
                <w:color w:val="FFFFFF" w:themeColor="background1"/>
              </w:rPr>
            </w:pPr>
            <w:r w:rsidRPr="00F55227">
              <w:rPr>
                <w:b/>
                <w:bCs/>
                <w:color w:val="FFFFFF" w:themeColor="background1"/>
              </w:rPr>
              <w:t>Goal</w:t>
            </w:r>
            <w:r w:rsidRPr="00F55227">
              <w:rPr>
                <w:color w:val="FFFFFF" w:themeColor="background1"/>
              </w:rPr>
              <w:t> 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  <w:hideMark/>
          </w:tcPr>
          <w:p w14:paraId="5DB72E4B" w14:textId="77777777" w:rsidR="00F55227" w:rsidRPr="00F55227" w:rsidRDefault="00F55227" w:rsidP="00B65AA0">
            <w:pPr>
              <w:spacing w:line="240" w:lineRule="auto"/>
              <w:rPr>
                <w:color w:val="FFFFFF" w:themeColor="background1"/>
              </w:rPr>
            </w:pPr>
            <w:r w:rsidRPr="00F55227">
              <w:rPr>
                <w:b/>
                <w:bCs/>
                <w:color w:val="FFFFFF" w:themeColor="background1"/>
              </w:rPr>
              <w:t> Objective</w:t>
            </w:r>
            <w:r w:rsidRPr="00F55227">
              <w:rPr>
                <w:color w:val="FFFFFF" w:themeColor="background1"/>
              </w:rPr>
              <w:t> 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  <w:hideMark/>
          </w:tcPr>
          <w:p w14:paraId="5777ED87" w14:textId="77777777" w:rsidR="00F55227" w:rsidRPr="00F55227" w:rsidRDefault="00F55227" w:rsidP="00B65AA0">
            <w:pPr>
              <w:spacing w:line="240" w:lineRule="auto"/>
              <w:rPr>
                <w:color w:val="FFFFFF" w:themeColor="background1"/>
              </w:rPr>
            </w:pPr>
            <w:r w:rsidRPr="00F55227">
              <w:rPr>
                <w:b/>
                <w:bCs/>
                <w:color w:val="FFFFFF" w:themeColor="background1"/>
              </w:rPr>
              <w:t> Baseline</w:t>
            </w:r>
            <w:r w:rsidRPr="00F55227">
              <w:rPr>
                <w:color w:val="FFFFFF" w:themeColor="background1"/>
              </w:rPr>
              <w:t> 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  <w:hideMark/>
          </w:tcPr>
          <w:p w14:paraId="2EE03EAB" w14:textId="6224D632" w:rsidR="00F55227" w:rsidRPr="00F55227" w:rsidRDefault="00F55227" w:rsidP="00B65AA0">
            <w:pPr>
              <w:spacing w:line="240" w:lineRule="auto"/>
              <w:rPr>
                <w:color w:val="FFFFFF" w:themeColor="background1"/>
              </w:rPr>
            </w:pPr>
            <w:r w:rsidRPr="00F55227">
              <w:rPr>
                <w:b/>
                <w:bCs/>
                <w:color w:val="FFFFFF" w:themeColor="background1"/>
              </w:rPr>
              <w:t xml:space="preserve">Year 1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  <w:hideMark/>
          </w:tcPr>
          <w:p w14:paraId="6BD0EBCD" w14:textId="3A3A273D" w:rsidR="00F55227" w:rsidRPr="00F55227" w:rsidRDefault="00F55227" w:rsidP="00B65AA0">
            <w:pPr>
              <w:spacing w:line="240" w:lineRule="auto"/>
              <w:rPr>
                <w:color w:val="FFFFFF" w:themeColor="background1"/>
              </w:rPr>
            </w:pPr>
            <w:r w:rsidRPr="00F55227">
              <w:rPr>
                <w:b/>
                <w:bCs/>
                <w:color w:val="FFFFFF" w:themeColor="background1"/>
              </w:rPr>
              <w:t xml:space="preserve">Year 2 </w:t>
            </w:r>
          </w:p>
        </w:tc>
      </w:tr>
      <w:tr w:rsidR="009363D7" w:rsidRPr="00F55227" w14:paraId="41CF04BB" w14:textId="77777777" w:rsidTr="7F563276">
        <w:trPr>
          <w:trHeight w:val="495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3072DE83" w14:textId="77777777" w:rsidR="00F55227" w:rsidRPr="00F55227" w:rsidRDefault="00F55227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1: Prevention of fatal and non-fatal opioid overdoses</w:t>
            </w:r>
            <w:r w:rsidRPr="00F55227">
              <w:t> </w:t>
            </w:r>
          </w:p>
        </w:tc>
      </w:tr>
      <w:tr w:rsidR="009363D7" w:rsidRPr="00F55227" w14:paraId="0763EC45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4122" w14:textId="367FA535" w:rsidR="009363D7" w:rsidRPr="00F55227" w:rsidRDefault="00283100" w:rsidP="00B65AA0">
            <w:pPr>
              <w:spacing w:line="240" w:lineRule="auto"/>
            </w:pPr>
            <w:r>
              <w:t>1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A97E" w14:textId="1BD23A26" w:rsidR="009363D7" w:rsidRPr="00F55227" w:rsidRDefault="009921A8" w:rsidP="00B65AA0">
            <w:pPr>
              <w:spacing w:line="240" w:lineRule="auto"/>
            </w:pPr>
            <w:r w:rsidRPr="00F55227">
              <w:t xml:space="preserve">Expand overdose prevention education </w:t>
            </w:r>
            <w:r>
              <w:t>via eLearning using TRAIN</w:t>
            </w:r>
            <w:r w:rsidRPr="00F55227">
              <w:t> </w:t>
            </w:r>
            <w:r w:rsidR="00B866AF">
              <w:t>system.</w:t>
            </w:r>
            <w:r w:rsidRPr="00F55227">
              <w:t>  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0F3A" w14:textId="48A4F88B" w:rsidR="009363D7" w:rsidRPr="00F55227" w:rsidRDefault="009921A8" w:rsidP="00B65AA0">
            <w:pPr>
              <w:spacing w:line="240" w:lineRule="auto"/>
            </w:pPr>
            <w:r>
              <w:t xml:space="preserve">Launch </w:t>
            </w:r>
            <w:r w:rsidR="00B866AF">
              <w:t>this new overdose prevention and response</w:t>
            </w:r>
            <w:r>
              <w:t xml:space="preserve"> eLearning module</w:t>
            </w:r>
            <w:r w:rsidR="00B866AF">
              <w:t xml:space="preserve"> in TRAIN system.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A16B6" w14:textId="1994D5C7" w:rsidR="009363D7" w:rsidRPr="00F55227" w:rsidRDefault="00B65AA0" w:rsidP="00B65AA0">
            <w:pPr>
              <w:spacing w:line="240" w:lineRule="auto"/>
            </w:pPr>
            <w:r>
              <w:t xml:space="preserve">The eLearning module TRAIN launched in </w:t>
            </w:r>
            <w:proofErr w:type="gramStart"/>
            <w:r>
              <w:t>2025</w:t>
            </w:r>
            <w:proofErr w:type="gramEnd"/>
            <w:r>
              <w:t xml:space="preserve"> so the baseline is zero.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1A82" w14:textId="7AAC28B1" w:rsidR="009363D7" w:rsidRPr="00F55227" w:rsidRDefault="00F13199" w:rsidP="00B65AA0">
            <w:pPr>
              <w:spacing w:line="240" w:lineRule="auto"/>
            </w:pPr>
            <w:r>
              <w:t>Launch this new module to licensed and contracted</w:t>
            </w:r>
            <w:r w:rsidR="0027194C">
              <w:t xml:space="preserve"> SUD treatment and recovery</w:t>
            </w:r>
            <w:r>
              <w:t xml:space="preserve"> programs. </w:t>
            </w:r>
            <w:r w:rsidR="004F22AB">
              <w:t xml:space="preserve">Track number of completions in the training by </w:t>
            </w:r>
            <w:r w:rsidR="007222CB">
              <w:t xml:space="preserve">standard workforce development and training data collection measures.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D7A0" w14:textId="0A6282C3" w:rsidR="009363D7" w:rsidRPr="00F55227" w:rsidRDefault="0027194C" w:rsidP="00B65AA0">
            <w:pPr>
              <w:spacing w:line="240" w:lineRule="auto"/>
            </w:pPr>
            <w:r>
              <w:t xml:space="preserve">After Year 1, review the training program feedback and review trainee feedback about what they liked and </w:t>
            </w:r>
            <w:r w:rsidR="00253FA2">
              <w:t>ide</w:t>
            </w:r>
            <w:r w:rsidR="00B20AED">
              <w:t xml:space="preserve">ntify </w:t>
            </w:r>
            <w:r>
              <w:t>opportunities for improvement</w:t>
            </w:r>
            <w:r w:rsidR="00B20AED">
              <w:t>s</w:t>
            </w:r>
            <w:r>
              <w:t xml:space="preserve">. </w:t>
            </w:r>
            <w:r w:rsidR="005C797B">
              <w:t xml:space="preserve">Update </w:t>
            </w:r>
            <w:r>
              <w:t>t</w:t>
            </w:r>
            <w:r w:rsidR="00B20AED">
              <w:t>he</w:t>
            </w:r>
            <w:r w:rsidR="005C797B">
              <w:t xml:space="preserve"> modul</w:t>
            </w:r>
            <w:r w:rsidR="00CD03AB">
              <w:t xml:space="preserve">e based on </w:t>
            </w:r>
            <w:r w:rsidR="00B20AED">
              <w:t xml:space="preserve">the </w:t>
            </w:r>
            <w:r w:rsidR="00CD03AB">
              <w:t>received feedback</w:t>
            </w:r>
            <w:r w:rsidR="00B20AED">
              <w:t xml:space="preserve"> if needed. C</w:t>
            </w:r>
            <w:r w:rsidR="00CD03AB">
              <w:t xml:space="preserve">ontinuously promote </w:t>
            </w:r>
            <w:r w:rsidR="00F13199">
              <w:t xml:space="preserve">the overdose prevention and response </w:t>
            </w:r>
            <w:r w:rsidR="00CD03AB">
              <w:t>e-learning module</w:t>
            </w:r>
            <w:r w:rsidR="00F13199">
              <w:t xml:space="preserve"> across the state</w:t>
            </w:r>
            <w:r w:rsidR="00CD03AB">
              <w:t>.</w:t>
            </w:r>
          </w:p>
        </w:tc>
      </w:tr>
      <w:tr w:rsidR="009363D7" w:rsidRPr="00F55227" w14:paraId="29CA5D82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020C37EE" w14:textId="77777777" w:rsidR="00F55227" w:rsidRPr="00F55227" w:rsidRDefault="00F55227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2: Identification of high-risk populations using data from multiple sources</w:t>
            </w:r>
            <w:r w:rsidRPr="00F55227">
              <w:t> </w:t>
            </w:r>
          </w:p>
        </w:tc>
      </w:tr>
      <w:tr w:rsidR="008D3843" w:rsidRPr="00F55227" w14:paraId="4D613024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D7ADA" w14:textId="77777777" w:rsidR="008D3843" w:rsidRPr="00F55227" w:rsidRDefault="008D3843" w:rsidP="00B65AA0">
            <w:pPr>
              <w:spacing w:line="240" w:lineRule="auto"/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DF6E" w14:textId="5476E3DB" w:rsidR="008D3843" w:rsidRPr="00F55227" w:rsidRDefault="008D3843" w:rsidP="00B65AA0">
            <w:pPr>
              <w:spacing w:line="240" w:lineRule="auto"/>
            </w:pPr>
            <w:r w:rsidRPr="00F55227">
              <w:t>Improve ability to identify high risk populations and communities impacted by substance use disorders (SUDs) using data from multiple sources. 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E4E77" w14:textId="5004340A" w:rsidR="008D3843" w:rsidRPr="00F55227" w:rsidRDefault="008D3843" w:rsidP="00B65AA0">
            <w:pPr>
              <w:spacing w:line="240" w:lineRule="auto"/>
            </w:pPr>
            <w:r>
              <w:t>Continue to d</w:t>
            </w:r>
            <w:r w:rsidRPr="00F55227">
              <w:t>evelop a system for conducting ongoing needs assessment to support identification of high-risk populations and communities impacted by SUDs. 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4D3FD" w14:textId="745B5B0A" w:rsidR="008D3843" w:rsidRPr="00F55227" w:rsidRDefault="008D3843" w:rsidP="00B65AA0">
            <w:pPr>
              <w:spacing w:line="240" w:lineRule="auto"/>
            </w:pPr>
            <w:r>
              <w:t>BSAS has developed a new dashboard incorporating data from multiple sources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F5114" w14:textId="77777777" w:rsidR="008D3843" w:rsidRDefault="00881F04" w:rsidP="00B65AA0">
            <w:pPr>
              <w:spacing w:line="240" w:lineRule="auto"/>
            </w:pPr>
            <w:r>
              <w:t>Continue to identify and incorporate additional data sources</w:t>
            </w:r>
            <w:r w:rsidR="0069682D">
              <w:t xml:space="preserve"> to support the identification of high-need populations and geographic areas</w:t>
            </w:r>
            <w:r w:rsidR="00647190">
              <w:t>.</w:t>
            </w:r>
          </w:p>
          <w:p w14:paraId="255589EC" w14:textId="2CD62CEE" w:rsidR="00647190" w:rsidRPr="00F55227" w:rsidRDefault="00647190" w:rsidP="00B65AA0">
            <w:pPr>
              <w:spacing w:line="240" w:lineRule="auto"/>
            </w:pPr>
            <w:r w:rsidRPr="00482095">
              <w:lastRenderedPageBreak/>
              <w:t>Promote transparency and empower communities/partners to conduct needs assessment/identify high need populations</w:t>
            </w:r>
            <w:r>
              <w:t xml:space="preserve"> by increasing access to timely data.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D577" w14:textId="6EDB6EC2" w:rsidR="008D3843" w:rsidRDefault="00881F04" w:rsidP="00B65AA0">
            <w:pPr>
              <w:spacing w:line="240" w:lineRule="auto"/>
            </w:pPr>
            <w:proofErr w:type="gramStart"/>
            <w:r>
              <w:lastRenderedPageBreak/>
              <w:t>Continue</w:t>
            </w:r>
            <w:proofErr w:type="gramEnd"/>
            <w:r>
              <w:t xml:space="preserve"> to identify and incorporate additional data sources</w:t>
            </w:r>
            <w:r w:rsidR="0069682D">
              <w:t xml:space="preserve"> to </w:t>
            </w:r>
            <w:commentRangeStart w:id="0"/>
            <w:commentRangeStart w:id="1"/>
            <w:r w:rsidR="0069682D">
              <w:t>support</w:t>
            </w:r>
            <w:commentRangeEnd w:id="0"/>
            <w:r w:rsidR="00A35784">
              <w:rPr>
                <w:rStyle w:val="CommentReference"/>
              </w:rPr>
              <w:commentReference w:id="0"/>
            </w:r>
            <w:commentRangeEnd w:id="1"/>
            <w:r w:rsidR="00E3219C">
              <w:rPr>
                <w:rStyle w:val="CommentReference"/>
              </w:rPr>
              <w:commentReference w:id="1"/>
            </w:r>
            <w:r w:rsidR="0069682D">
              <w:t xml:space="preserve"> the identification of high-need populations and geographic areas</w:t>
            </w:r>
            <w:r w:rsidR="00647190">
              <w:t>.</w:t>
            </w:r>
          </w:p>
          <w:p w14:paraId="5D98E39F" w14:textId="45D2CEBE" w:rsidR="00482095" w:rsidRPr="00F55227" w:rsidRDefault="00482095" w:rsidP="00B65AA0">
            <w:pPr>
              <w:spacing w:line="240" w:lineRule="auto"/>
            </w:pPr>
            <w:r w:rsidRPr="00482095">
              <w:lastRenderedPageBreak/>
              <w:t>Promote transparency and empower communities/partners to conduct needs assessment/identify high need populations</w:t>
            </w:r>
            <w:r w:rsidR="00647190">
              <w:t xml:space="preserve"> by increasing access to timely data.</w:t>
            </w:r>
          </w:p>
        </w:tc>
      </w:tr>
      <w:tr w:rsidR="008D3843" w:rsidRPr="00F55227" w14:paraId="40365A42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54CC6472" w14:textId="77777777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lastRenderedPageBreak/>
              <w:t>SAMHSA Priority Area 3: Improved and enhanced substance abuse primary prevention in Massachusetts</w:t>
            </w:r>
            <w:r w:rsidRPr="00F55227">
              <w:t> </w:t>
            </w:r>
          </w:p>
        </w:tc>
      </w:tr>
      <w:tr w:rsidR="008D3843" w:rsidRPr="00F55227" w14:paraId="2E2F5A36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24B7" w14:textId="77BA4304" w:rsidR="008D3843" w:rsidRPr="00F55227" w:rsidRDefault="008D3843" w:rsidP="00B65AA0">
            <w:pPr>
              <w:spacing w:line="240" w:lineRule="auto"/>
            </w:pPr>
            <w:r w:rsidRPr="00F55227">
              <w:t>3 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4544" w14:textId="3FA9E664" w:rsidR="008D3843" w:rsidRPr="00F55227" w:rsidRDefault="008D3843" w:rsidP="00B65AA0">
            <w:pPr>
              <w:spacing w:line="240" w:lineRule="auto"/>
            </w:pPr>
            <w:r w:rsidRPr="00F55227">
              <w:t>Decrease substance use among young people in funded and partner communities. 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11CC" w14:textId="73F86091" w:rsidR="008D3843" w:rsidRPr="00F55227" w:rsidRDefault="008D3843" w:rsidP="00B65AA0">
            <w:pPr>
              <w:spacing w:line="240" w:lineRule="auto"/>
            </w:pPr>
            <w:r w:rsidRPr="00F55227">
              <w:t>Facilitate and support local community substance use prevention policy or practice changes. 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C5FB" w14:textId="1A9D9D81" w:rsidR="008D3843" w:rsidRPr="00F55227" w:rsidRDefault="008D3843" w:rsidP="00B65AA0">
            <w:pPr>
              <w:spacing w:line="240" w:lineRule="auto"/>
            </w:pPr>
            <w:r w:rsidRPr="00F55227">
              <w:t>Each funded municipal coalition proposes a new evidence-based and/or evidence informed policy/practice change from previous FY based on findings from Strategic Prevention Framework, 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8063A" w14:textId="2BB01709" w:rsidR="008D3843" w:rsidRPr="00F55227" w:rsidRDefault="008D3843" w:rsidP="00B65AA0">
            <w:pPr>
              <w:spacing w:line="240" w:lineRule="auto"/>
            </w:pPr>
            <w:r w:rsidRPr="00F55227">
              <w:t>Each municipal coalition facilitates at least one new evidence-based and/or evidence-informed policy/practice change from previous FY based on findings from Strategic Prevention Framework. 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3A2F4" w14:textId="1D707E73" w:rsidR="008D3843" w:rsidRPr="00F55227" w:rsidRDefault="008D3843" w:rsidP="00B65AA0">
            <w:pPr>
              <w:spacing w:line="240" w:lineRule="auto"/>
            </w:pPr>
            <w:r w:rsidRPr="00F55227">
              <w:t>Each municipal coalition facilitates at least one new evidence-based and/or evidence-informed policy/practice change from previous FY based on findings from Strategic Prevention Framework. </w:t>
            </w:r>
          </w:p>
        </w:tc>
      </w:tr>
      <w:tr w:rsidR="008D3843" w:rsidRPr="00F55227" w14:paraId="37611DDD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3F3A371D" w14:textId="77777777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4: Substance abuse screening, intervention and treatment integration with health care</w:t>
            </w:r>
            <w:r w:rsidRPr="00F55227">
              <w:t> </w:t>
            </w:r>
          </w:p>
        </w:tc>
      </w:tr>
      <w:tr w:rsidR="008D3843" w:rsidRPr="00F55227" w14:paraId="72526659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BA959" w14:textId="1953BD3D" w:rsidR="008D3843" w:rsidRPr="00F55227" w:rsidRDefault="008D3843" w:rsidP="00B65AA0">
            <w:pPr>
              <w:spacing w:line="240" w:lineRule="auto"/>
            </w:pPr>
            <w:r>
              <w:t>4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B4B8" w14:textId="527C02F3" w:rsidR="008D3843" w:rsidRPr="00F55227" w:rsidRDefault="008D3843" w:rsidP="00B65AA0">
            <w:pPr>
              <w:spacing w:line="240" w:lineRule="auto"/>
            </w:pPr>
            <w:r w:rsidRPr="00F55227">
              <w:t xml:space="preserve">Improve access to </w:t>
            </w:r>
            <w:r>
              <w:t xml:space="preserve">screening and treatment for Alcohol Use Disorder </w:t>
            </w:r>
            <w:r w:rsidRPr="00F55227">
              <w:t>statewide. 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B437" w14:textId="1E01D004" w:rsidR="008D3843" w:rsidRPr="00F55227" w:rsidRDefault="008D3843" w:rsidP="00B65AA0">
            <w:pPr>
              <w:spacing w:line="240" w:lineRule="auto"/>
            </w:pPr>
            <w:r>
              <w:t xml:space="preserve">Increase number of </w:t>
            </w:r>
            <w:proofErr w:type="gramStart"/>
            <w:r>
              <w:t>trainings</w:t>
            </w:r>
            <w:proofErr w:type="gramEnd"/>
            <w:r>
              <w:t xml:space="preserve"> for screening and treatment of Alcohol Use Disorder in outpatient healthcare settings 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4C63" w14:textId="48DFD5F6" w:rsidR="008D3843" w:rsidRPr="00F55227" w:rsidRDefault="008D3843" w:rsidP="00B65AA0">
            <w:pPr>
              <w:spacing w:line="240" w:lineRule="auto"/>
            </w:pPr>
            <w:r>
              <w:t xml:space="preserve">Currently there are no trainings offered for AUD; evaluate needed modules to put into production based on provider demand 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AEA9" w14:textId="1E29A42E" w:rsidR="008D3843" w:rsidRDefault="008D3843" w:rsidP="00B65AA0">
            <w:pPr>
              <w:spacing w:line="240" w:lineRule="auto"/>
            </w:pPr>
            <w:r>
              <w:t xml:space="preserve">Produce needed training modules and launch training series. Update series based on demand from providers. </w:t>
            </w:r>
          </w:p>
          <w:p w14:paraId="00EA6AD4" w14:textId="23276159" w:rsidR="008D3843" w:rsidRPr="00F55227" w:rsidRDefault="008D3843" w:rsidP="00B65AA0">
            <w:pPr>
              <w:spacing w:line="240" w:lineRule="auto"/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F9F8" w14:textId="37A909B7" w:rsidR="008D3843" w:rsidRPr="00F55227" w:rsidRDefault="008D3843" w:rsidP="00B65AA0">
            <w:pPr>
              <w:spacing w:line="240" w:lineRule="auto"/>
            </w:pPr>
            <w:r>
              <w:lastRenderedPageBreak/>
              <w:t xml:space="preserve">Increase number of outpatient providers trained in screening and treatment for Alcohol Use Disorder. </w:t>
            </w:r>
          </w:p>
        </w:tc>
      </w:tr>
      <w:tr w:rsidR="008D3843" w:rsidRPr="00F55227" w14:paraId="4B347658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61F9E78A" w14:textId="77777777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5: Substance abuse prevention, intervention, treatment, and recovery support for justice-involved individuals</w:t>
            </w:r>
            <w:r w:rsidRPr="00F55227">
              <w:t> </w:t>
            </w:r>
          </w:p>
        </w:tc>
      </w:tr>
      <w:tr w:rsidR="00881F04" w:rsidRPr="00F55227" w14:paraId="716A9E4C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0795CC" w14:textId="77C89D95" w:rsidR="008D3843" w:rsidRPr="00F55227" w:rsidRDefault="008D3843" w:rsidP="00B65AA0">
            <w:pPr>
              <w:spacing w:line="240" w:lineRule="auto"/>
            </w:pPr>
            <w:r>
              <w:t>5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A6F0D" w14:textId="64C2CA41" w:rsidR="008D3843" w:rsidRPr="00F55227" w:rsidRDefault="008D3843" w:rsidP="00B65AA0">
            <w:pPr>
              <w:spacing w:line="240" w:lineRule="auto"/>
            </w:pPr>
            <w:r w:rsidRPr="00F55227">
              <w:t xml:space="preserve">Reduce recidivism/relapse rate and overdose rates </w:t>
            </w:r>
            <w:r w:rsidR="004470D6">
              <w:t>among individuals</w:t>
            </w:r>
            <w:r>
              <w:t xml:space="preserve"> </w:t>
            </w:r>
            <w:r w:rsidRPr="00F55227">
              <w:t>reentering the community from incarceration</w:t>
            </w:r>
            <w:r>
              <w:t>.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2B8D" w14:textId="78D3D579" w:rsidR="008D3843" w:rsidRPr="00F55227" w:rsidRDefault="008D3843" w:rsidP="00B65AA0">
            <w:pPr>
              <w:spacing w:line="240" w:lineRule="auto"/>
            </w:pPr>
            <w:r w:rsidRPr="00F55227">
              <w:t xml:space="preserve">Fund community-based programs to offer re-entry services to </w:t>
            </w:r>
            <w:r w:rsidR="004470D6">
              <w:t xml:space="preserve">individuals </w:t>
            </w:r>
            <w:r w:rsidRPr="00F55227">
              <w:t>re-entering the community from incarceration. 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BA944A" w14:textId="77E536A9" w:rsidR="008D3843" w:rsidRPr="00F55227" w:rsidRDefault="008D3843" w:rsidP="00B65AA0">
            <w:pPr>
              <w:spacing w:line="240" w:lineRule="auto"/>
            </w:pPr>
            <w:r w:rsidRPr="00F55227">
              <w:t xml:space="preserve">BSAS just began funding 5 programs to provide re-entry services </w:t>
            </w:r>
            <w:r w:rsidR="004470D6">
              <w:t>for individuals</w:t>
            </w:r>
            <w:r w:rsidR="008D504C">
              <w:t xml:space="preserve"> </w:t>
            </w:r>
            <w:r w:rsidRPr="00F55227">
              <w:t>re-entering the community from incarceration. 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D7D372" w14:textId="2F1ADEB0" w:rsidR="008D3843" w:rsidRPr="00F55227" w:rsidRDefault="008D3843" w:rsidP="00B65AA0">
            <w:pPr>
              <w:spacing w:line="240" w:lineRule="auto"/>
            </w:pPr>
            <w:r w:rsidRPr="00F55227">
              <w:t xml:space="preserve">All funded sites </w:t>
            </w:r>
            <w:proofErr w:type="gramStart"/>
            <w:r w:rsidRPr="00F55227">
              <w:t>up</w:t>
            </w:r>
            <w:proofErr w:type="gramEnd"/>
            <w:r w:rsidRPr="00F55227">
              <w:t xml:space="preserve"> and running by end of year 1 and evaluation begins. 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779DA" w14:textId="22B80CF3" w:rsidR="008D3843" w:rsidRPr="00F55227" w:rsidRDefault="008D3843" w:rsidP="00B65AA0">
            <w:pPr>
              <w:spacing w:line="240" w:lineRule="auto"/>
            </w:pPr>
            <w:r w:rsidRPr="00F55227">
              <w:t>Continue to implement and evaluate funded programs. </w:t>
            </w:r>
          </w:p>
        </w:tc>
      </w:tr>
      <w:tr w:rsidR="008D3843" w:rsidRPr="00F55227" w14:paraId="78665198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5134F9F7" w14:textId="77777777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6: Reduced disparities in access to substance abuse prevention, intervention, treatment and recovery support for at-risk populations</w:t>
            </w:r>
            <w:r w:rsidRPr="00F55227">
              <w:t> </w:t>
            </w:r>
          </w:p>
        </w:tc>
      </w:tr>
      <w:tr w:rsidR="00881F04" w:rsidRPr="00F55227" w14:paraId="0623ECA0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9EAB2" w14:textId="0B5C4C51" w:rsidR="008D3843" w:rsidRPr="00F55227" w:rsidRDefault="008D3843" w:rsidP="00B65AA0">
            <w:pPr>
              <w:spacing w:line="240" w:lineRule="auto"/>
            </w:pPr>
            <w:r>
              <w:t>6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1DA9D9" w14:textId="19944AD3" w:rsidR="008D3843" w:rsidRPr="00F55227" w:rsidRDefault="008D3843" w:rsidP="00B65AA0">
            <w:pPr>
              <w:spacing w:line="240" w:lineRule="auto"/>
            </w:pPr>
            <w:commentRangeStart w:id="2"/>
            <w:commentRangeStart w:id="3"/>
            <w:commentRangeEnd w:id="2"/>
            <w:r>
              <w:rPr>
                <w:rStyle w:val="CommentReference"/>
              </w:rPr>
              <w:commentReference w:id="2"/>
            </w:r>
            <w:commentRangeEnd w:id="3"/>
            <w:r>
              <w:rPr>
                <w:rStyle w:val="CommentReference"/>
              </w:rPr>
              <w:commentReference w:id="3"/>
            </w:r>
            <w:r>
              <w:t>Utilizing available data, increase capacity of community leaders and non-clinical service providers, in geographic settings and populations identified as high-risk, to identify, navigate, and refer to available prevention, treatment, and recovery support services to reduce disparate access.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09C087" w14:textId="26731399" w:rsidR="008D3843" w:rsidRPr="00F55227" w:rsidRDefault="008D3843" w:rsidP="00B65AA0">
            <w:pPr>
              <w:spacing w:line="240" w:lineRule="auto"/>
            </w:pPr>
            <w:r>
              <w:t>Redirect focus of existing SBIRT technical assistance model for adapted and informal use in community settings.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2BB497" w14:textId="2DE8863D" w:rsidR="008D3843" w:rsidRPr="00F55227" w:rsidRDefault="008D3843" w:rsidP="00B65AA0">
            <w:pPr>
              <w:spacing w:line="240" w:lineRule="auto"/>
            </w:pPr>
            <w:r>
              <w:t>Individuals and community-based organizations representing at-risk populations report little understanding of available services and how to access them, as well as perceptions that services are not intended to serve their needs.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BBCB84" w14:textId="30FFCF6E" w:rsidR="008D3843" w:rsidRPr="00F55227" w:rsidRDefault="008D3843" w:rsidP="00B65AA0">
            <w:pPr>
              <w:spacing w:line="240" w:lineRule="auto"/>
            </w:pPr>
            <w:r>
              <w:t>Ten community leaders and/or service providers in community-based settings trained in adapted SBIRT model and implement in community settings, reporting increased understanding of service system and confidence identifying appropriate referral resources.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7B4572" w14:textId="788546E2" w:rsidR="008D3843" w:rsidRPr="00F55227" w:rsidRDefault="008D3843" w:rsidP="00B65AA0">
            <w:pPr>
              <w:spacing w:line="240" w:lineRule="auto"/>
            </w:pPr>
            <w:r>
              <w:t xml:space="preserve">Sustained framework in place to integrate new CBO relationships into adapted SBIRT training model with 15 individuals and/or organizations trained </w:t>
            </w:r>
            <w:commentRangeStart w:id="4"/>
            <w:r>
              <w:t>annually</w:t>
            </w:r>
            <w:commentRangeEnd w:id="4"/>
            <w:r>
              <w:rPr>
                <w:rStyle w:val="CommentReference"/>
              </w:rPr>
              <w:commentReference w:id="4"/>
            </w:r>
            <w:r>
              <w:t>.</w:t>
            </w:r>
          </w:p>
        </w:tc>
      </w:tr>
      <w:tr w:rsidR="008D3843" w:rsidRPr="00F55227" w14:paraId="366C21AD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79BBD876" w14:textId="77777777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7: Substance abuse prevention, intervention, treatment, and recovery support of pregnant women and women with dependent children</w:t>
            </w:r>
            <w:r w:rsidRPr="00F55227">
              <w:t> </w:t>
            </w:r>
          </w:p>
        </w:tc>
      </w:tr>
      <w:tr w:rsidR="008D3843" w:rsidRPr="00F55227" w14:paraId="54DDDB63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54A23" w14:textId="518B996C" w:rsidR="008D3843" w:rsidRPr="00F55227" w:rsidRDefault="008D3843" w:rsidP="00B65AA0">
            <w:pPr>
              <w:spacing w:line="240" w:lineRule="auto"/>
            </w:pPr>
            <w:r>
              <w:lastRenderedPageBreak/>
              <w:t>7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11C2" w14:textId="4677E736" w:rsidR="008D3843" w:rsidRDefault="008D3843" w:rsidP="00B65AA0">
            <w:pPr>
              <w:spacing w:line="240" w:lineRule="auto"/>
              <w:rPr>
                <w:rFonts w:ascii="Aptos" w:eastAsia="Aptos" w:hAnsi="Aptos" w:cs="Arial"/>
              </w:rPr>
            </w:pPr>
            <w:r w:rsidRPr="581A6CEC">
              <w:rPr>
                <w:rFonts w:ascii="Aptos" w:eastAsia="Aptos" w:hAnsi="Aptos" w:cs="Arial"/>
              </w:rPr>
              <w:t xml:space="preserve">Improve Family Care Planning (Plans of Safe Care) Practices to further support families who have infants with prenatal substance exposure.  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79B3" w14:textId="206F39D7" w:rsidR="008D3843" w:rsidRDefault="008D3843" w:rsidP="00B65AA0">
            <w:pPr>
              <w:spacing w:line="240" w:lineRule="auto"/>
              <w:rPr>
                <w:rFonts w:ascii="Aptos" w:eastAsia="Aptos" w:hAnsi="Aptos" w:cs="Arial"/>
              </w:rPr>
            </w:pPr>
            <w:r w:rsidRPr="581A6CEC">
              <w:rPr>
                <w:rFonts w:ascii="Aptos" w:eastAsia="Aptos" w:hAnsi="Aptos" w:cs="Arial"/>
              </w:rPr>
              <w:t xml:space="preserve">Provide family </w:t>
            </w:r>
            <w:proofErr w:type="gramStart"/>
            <w:r w:rsidRPr="581A6CEC">
              <w:rPr>
                <w:rFonts w:ascii="Aptos" w:eastAsia="Aptos" w:hAnsi="Aptos" w:cs="Arial"/>
              </w:rPr>
              <w:t>care plan</w:t>
            </w:r>
            <w:proofErr w:type="gramEnd"/>
            <w:r w:rsidRPr="581A6CEC">
              <w:rPr>
                <w:rFonts w:ascii="Aptos" w:eastAsia="Aptos" w:hAnsi="Aptos" w:cs="Arial"/>
              </w:rPr>
              <w:t xml:space="preserve"> training and technical assistance for service providers statewide.  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84C9" w14:textId="09E89275" w:rsidR="008D3843" w:rsidRDefault="008D3843" w:rsidP="00B65AA0">
            <w:pPr>
              <w:spacing w:line="240" w:lineRule="auto"/>
              <w:rPr>
                <w:rFonts w:ascii="Aptos" w:eastAsia="Aptos" w:hAnsi="Aptos" w:cs="Arial"/>
              </w:rPr>
            </w:pPr>
            <w:r w:rsidRPr="581A6CEC">
              <w:rPr>
                <w:rFonts w:ascii="Aptos" w:eastAsia="Aptos" w:hAnsi="Aptos" w:cs="Arial"/>
              </w:rPr>
              <w:t xml:space="preserve">Not currently providing this training.  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1B93" w14:textId="6B30CA30" w:rsidR="008D3843" w:rsidRDefault="008D3843" w:rsidP="00B65AA0">
            <w:pPr>
              <w:spacing w:line="240" w:lineRule="auto"/>
              <w:rPr>
                <w:rFonts w:ascii="Aptos" w:eastAsia="Aptos" w:hAnsi="Aptos" w:cs="Arial"/>
              </w:rPr>
            </w:pPr>
            <w:r w:rsidRPr="581A6CEC">
              <w:rPr>
                <w:rFonts w:ascii="Aptos" w:eastAsia="Aptos" w:hAnsi="Aptos" w:cs="Arial"/>
              </w:rPr>
              <w:t xml:space="preserve">Conduct focus groups and utilize family care plan multidisciplinary </w:t>
            </w:r>
            <w:proofErr w:type="gramStart"/>
            <w:r w:rsidRPr="581A6CEC">
              <w:rPr>
                <w:rFonts w:ascii="Aptos" w:eastAsia="Aptos" w:hAnsi="Aptos" w:cs="Arial"/>
              </w:rPr>
              <w:t>workgroup</w:t>
            </w:r>
            <w:proofErr w:type="gramEnd"/>
            <w:r w:rsidRPr="581A6CEC">
              <w:rPr>
                <w:rFonts w:ascii="Aptos" w:eastAsia="Aptos" w:hAnsi="Aptos" w:cs="Arial"/>
              </w:rPr>
              <w:t xml:space="preserve"> to support the development of the training in FY 26.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C476" w14:textId="6466A248" w:rsidR="008D3843" w:rsidRDefault="008D3843" w:rsidP="00B65AA0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81A6CEC">
              <w:rPr>
                <w:rFonts w:ascii="Aptos" w:eastAsia="Aptos" w:hAnsi="Aptos" w:cs="Aptos"/>
                <w:sz w:val="22"/>
                <w:szCs w:val="22"/>
              </w:rPr>
              <w:t xml:space="preserve">Implement FCP </w:t>
            </w:r>
            <w:proofErr w:type="gramStart"/>
            <w:r w:rsidRPr="581A6CEC">
              <w:rPr>
                <w:rFonts w:ascii="Aptos" w:eastAsia="Aptos" w:hAnsi="Aptos" w:cs="Aptos"/>
                <w:sz w:val="22"/>
                <w:szCs w:val="22"/>
              </w:rPr>
              <w:t>trainings</w:t>
            </w:r>
            <w:proofErr w:type="gramEnd"/>
            <w:r w:rsidRPr="581A6CEC">
              <w:rPr>
                <w:rFonts w:ascii="Aptos" w:eastAsia="Aptos" w:hAnsi="Aptos" w:cs="Aptos"/>
                <w:sz w:val="22"/>
                <w:szCs w:val="22"/>
              </w:rPr>
              <w:t xml:space="preserve"> regionally and provide technical assistance (open to providers </w:t>
            </w:r>
            <w:proofErr w:type="gramStart"/>
            <w:r w:rsidRPr="581A6CEC">
              <w:rPr>
                <w:rFonts w:ascii="Aptos" w:eastAsia="Aptos" w:hAnsi="Aptos" w:cs="Aptos"/>
                <w:sz w:val="22"/>
                <w:szCs w:val="22"/>
              </w:rPr>
              <w:t>in</w:t>
            </w:r>
            <w:proofErr w:type="gramEnd"/>
            <w:r w:rsidRPr="581A6CEC">
              <w:rPr>
                <w:rFonts w:ascii="Aptos" w:eastAsia="Aptos" w:hAnsi="Aptos" w:cs="Aptos"/>
                <w:sz w:val="22"/>
                <w:szCs w:val="22"/>
              </w:rPr>
              <w:t xml:space="preserve"> all levels of care) </w:t>
            </w:r>
            <w:proofErr w:type="gramStart"/>
            <w:r w:rsidRPr="581A6CEC">
              <w:rPr>
                <w:rFonts w:ascii="Aptos" w:eastAsia="Aptos" w:hAnsi="Aptos" w:cs="Aptos"/>
                <w:sz w:val="22"/>
                <w:szCs w:val="22"/>
              </w:rPr>
              <w:t>in</w:t>
            </w:r>
            <w:proofErr w:type="gramEnd"/>
            <w:r w:rsidRPr="581A6CEC">
              <w:rPr>
                <w:rFonts w:ascii="Aptos" w:eastAsia="Aptos" w:hAnsi="Aptos" w:cs="Aptos"/>
                <w:sz w:val="22"/>
                <w:szCs w:val="22"/>
              </w:rPr>
              <w:t xml:space="preserve"> FY 27. </w:t>
            </w:r>
          </w:p>
        </w:tc>
      </w:tr>
      <w:tr w:rsidR="008D3843" w:rsidRPr="00F55227" w14:paraId="27DB752C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2D1C0AEA" w14:textId="5504FA12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8:</w:t>
            </w:r>
            <w:r>
              <w:rPr>
                <w:b/>
                <w:bCs/>
              </w:rPr>
              <w:t xml:space="preserve"> </w:t>
            </w:r>
            <w:r w:rsidRPr="00F55227">
              <w:rPr>
                <w:b/>
                <w:bCs/>
              </w:rPr>
              <w:t>Substance abuse prevention, intervention, treatment, and recovery support workforce development</w:t>
            </w:r>
            <w:r w:rsidRPr="00F55227">
              <w:t> </w:t>
            </w:r>
          </w:p>
        </w:tc>
      </w:tr>
      <w:tr w:rsidR="008D3843" w:rsidRPr="00F55227" w14:paraId="12DFF28B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6E80" w14:textId="3F4F238A" w:rsidR="008D3843" w:rsidRPr="00F55227" w:rsidRDefault="008D3843" w:rsidP="00B65AA0">
            <w:pPr>
              <w:spacing w:line="240" w:lineRule="auto"/>
            </w:pPr>
            <w:r>
              <w:t>8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FBF1" w14:textId="06B33745" w:rsidR="008D3843" w:rsidRPr="00F55227" w:rsidRDefault="008D3843" w:rsidP="00B65AA0">
            <w:pPr>
              <w:spacing w:line="240" w:lineRule="auto"/>
            </w:pPr>
            <w:r>
              <w:t>Improve workforce recruitment and retention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256B" w14:textId="500D29CD" w:rsidR="008D3843" w:rsidRPr="00F55227" w:rsidRDefault="008D3843" w:rsidP="00B65AA0">
            <w:pPr>
              <w:spacing w:line="240" w:lineRule="auto"/>
            </w:pPr>
            <w:r>
              <w:t xml:space="preserve">Work with </w:t>
            </w:r>
            <w:proofErr w:type="gramStart"/>
            <w:r>
              <w:t>schools of social work</w:t>
            </w:r>
            <w:proofErr w:type="gramEnd"/>
            <w:r>
              <w:t xml:space="preserve"> to support students to graduate with LADC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3DAF" w14:textId="7647B0DC" w:rsidR="008D3843" w:rsidRPr="00F55227" w:rsidRDefault="008D3843" w:rsidP="00B65AA0">
            <w:pPr>
              <w:spacing w:line="240" w:lineRule="auto"/>
            </w:pPr>
            <w:r>
              <w:t xml:space="preserve">Currently no </w:t>
            </w:r>
            <w:proofErr w:type="gramStart"/>
            <w:r>
              <w:t>schools currently</w:t>
            </w:r>
            <w:proofErr w:type="gramEnd"/>
            <w:r>
              <w:t xml:space="preserve"> </w:t>
            </w:r>
            <w:proofErr w:type="gramStart"/>
            <w:r>
              <w:t>offering</w:t>
            </w:r>
            <w:proofErr w:type="gramEnd"/>
            <w:r>
              <w:t xml:space="preserve"> this as an option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24CF" w14:textId="5EF4D78D" w:rsidR="008D3843" w:rsidRPr="00F55227" w:rsidRDefault="008D3843" w:rsidP="00B65AA0">
            <w:pPr>
              <w:spacing w:line="240" w:lineRule="auto"/>
            </w:pPr>
            <w:r>
              <w:t>Partner with at least one school to do this Y1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08EB" w14:textId="514E2DA9" w:rsidR="008D3843" w:rsidRPr="00F55227" w:rsidRDefault="008D3843" w:rsidP="00B65AA0">
            <w:pPr>
              <w:spacing w:line="240" w:lineRule="auto"/>
            </w:pPr>
            <w:r>
              <w:t xml:space="preserve">Partner with at least one additional school to do this in </w:t>
            </w:r>
            <w:commentRangeStart w:id="5"/>
            <w:r>
              <w:t>Y2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8D3843" w:rsidRPr="00F55227" w14:paraId="2BFBF64C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69BDA8A7" w14:textId="77777777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9: Substance abuse prevention, intervention, treatment, and recovery support of youth and young adults</w:t>
            </w:r>
            <w:r w:rsidRPr="00F55227">
              <w:t> </w:t>
            </w:r>
          </w:p>
        </w:tc>
      </w:tr>
      <w:tr w:rsidR="008D3843" w:rsidRPr="00F55227" w14:paraId="6AF33DE7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68EC" w14:textId="269E4C77" w:rsidR="008D3843" w:rsidRPr="00F55227" w:rsidRDefault="008D3843" w:rsidP="00B65AA0">
            <w:pPr>
              <w:spacing w:line="240" w:lineRule="auto"/>
            </w:pPr>
            <w:r>
              <w:t>9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02B8" w14:textId="1166398A" w:rsidR="008D3843" w:rsidRPr="00F55227" w:rsidRDefault="008D3843" w:rsidP="00B65AA0">
            <w:pPr>
              <w:spacing w:line="240" w:lineRule="auto"/>
            </w:pPr>
            <w:r>
              <w:t>Improve access to developmentally appropriate</w:t>
            </w:r>
            <w:r w:rsidR="001C1CB1">
              <w:rPr>
                <w:rStyle w:val="CommentReference"/>
              </w:rPr>
              <w:t xml:space="preserve"> </w:t>
            </w:r>
            <w:r w:rsidR="001C1CB1">
              <w:t>su</w:t>
            </w:r>
            <w:r>
              <w:t>bstance use intervention and treatment for youth and young adults with co-occurring mental health and other needs</w:t>
            </w:r>
            <w:r w:rsidR="001C1CB1">
              <w:t xml:space="preserve"> which are tailored to the population served.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0CC8" w14:textId="4FFF0894" w:rsidR="008D3843" w:rsidRPr="00F55227" w:rsidRDefault="008D3843" w:rsidP="00B65AA0">
            <w:pPr>
              <w:spacing w:line="240" w:lineRule="auto"/>
            </w:pPr>
            <w:r>
              <w:t>Increase workforce capacity, across youth serving agencies, to assess for and treat co-occurring substance use risk or treatment needs in existing youth and young adult programs.</w:t>
            </w:r>
          </w:p>
          <w:p w14:paraId="09D636A5" w14:textId="2ADA2446" w:rsidR="008D3843" w:rsidRPr="00F55227" w:rsidRDefault="008D3843" w:rsidP="00B65AA0">
            <w:pPr>
              <w:spacing w:line="240" w:lineRule="auto"/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1DB2" w14:textId="194AA01C" w:rsidR="008D3843" w:rsidRPr="00F55227" w:rsidRDefault="008D3843" w:rsidP="00B65AA0">
            <w:pPr>
              <w:spacing w:line="240" w:lineRule="auto"/>
            </w:pPr>
            <w:r>
              <w:t xml:space="preserve">Standalone youth substance </w:t>
            </w:r>
            <w:proofErr w:type="gramStart"/>
            <w:r>
              <w:t>use</w:t>
            </w:r>
            <w:proofErr w:type="gramEnd"/>
            <w:r>
              <w:t xml:space="preserve"> stabilization and withdrawal management and residential programs have closed due to underutilization, amplifying the need for a more integrated care system for youth and their families.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39FD" w14:textId="2736E7AA" w:rsidR="008D3843" w:rsidRPr="00F55227" w:rsidRDefault="008D3843" w:rsidP="00B65AA0">
            <w:pPr>
              <w:spacing w:line="240" w:lineRule="auto"/>
            </w:pPr>
            <w:r>
              <w:t>Through a youth and young adult training and technical assistance vendor, create a toolkit and corresponding training modules for providers working with youth and young adults impacted by substance use.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705C" w14:textId="20639A64" w:rsidR="008D3843" w:rsidRPr="00F55227" w:rsidRDefault="008D3843" w:rsidP="00B65AA0">
            <w:pPr>
              <w:spacing w:line="240" w:lineRule="auto"/>
            </w:pPr>
            <w:r>
              <w:t>Demonstrate capacity to manage integrated youth stabilization and withdrawal management in at least 2 youth serving programs.</w:t>
            </w:r>
          </w:p>
        </w:tc>
      </w:tr>
      <w:tr w:rsidR="008D3843" w:rsidRPr="00F55227" w14:paraId="624FB2A9" w14:textId="77777777" w:rsidTr="7F563276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vAlign w:val="center"/>
            <w:hideMark/>
          </w:tcPr>
          <w:p w14:paraId="77D93192" w14:textId="77777777" w:rsidR="008D3843" w:rsidRPr="00F55227" w:rsidRDefault="008D3843" w:rsidP="00B65AA0">
            <w:pPr>
              <w:spacing w:line="240" w:lineRule="auto"/>
            </w:pPr>
            <w:r w:rsidRPr="00F55227">
              <w:rPr>
                <w:b/>
                <w:bCs/>
              </w:rPr>
              <w:t>SAMHSA Priority Area 10: Infectious disease prevention and treatment needs of clients in substance abuse treatment</w:t>
            </w:r>
            <w:r w:rsidRPr="00F55227">
              <w:t> </w:t>
            </w:r>
          </w:p>
        </w:tc>
      </w:tr>
      <w:tr w:rsidR="008D3843" w:rsidRPr="00F55227" w14:paraId="0009B058" w14:textId="77777777" w:rsidTr="7F563276">
        <w:trPr>
          <w:trHeight w:val="30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F0C84" w14:textId="78839E14" w:rsidR="008D3843" w:rsidRPr="00F55227" w:rsidRDefault="008D3843" w:rsidP="00B65AA0">
            <w:pPr>
              <w:spacing w:line="240" w:lineRule="auto"/>
            </w:pPr>
            <w:r>
              <w:lastRenderedPageBreak/>
              <w:t>10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E30B" w14:textId="0E726DE6" w:rsidR="008D3843" w:rsidRPr="00F55227" w:rsidRDefault="008D3843" w:rsidP="00B65AA0">
            <w:pPr>
              <w:spacing w:line="240" w:lineRule="auto"/>
            </w:pPr>
            <w:r>
              <w:t xml:space="preserve">Increase access to </w:t>
            </w:r>
            <w:proofErr w:type="gramStart"/>
            <w:r>
              <w:t>trainings</w:t>
            </w:r>
            <w:proofErr w:type="gramEnd"/>
            <w:r>
              <w:t xml:space="preserve"> on infectious disease and prevention for clients in substance use treatment by supporting and expanding on </w:t>
            </w:r>
            <w:r w:rsidR="0047425A">
              <w:t>a</w:t>
            </w:r>
            <w:r>
              <w:t>vailable eLearning modules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F497" w14:textId="79F76EDE" w:rsidR="008D3843" w:rsidRPr="00F55227" w:rsidRDefault="008D3843" w:rsidP="00B65AA0">
            <w:pPr>
              <w:spacing w:line="240" w:lineRule="auto"/>
            </w:pPr>
            <w:r>
              <w:t>To improve education of providers in substance use treatment facilities on infectious disease treatment and prevention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054B" w14:textId="5AAD319C" w:rsidR="008D3843" w:rsidRPr="00F55227" w:rsidRDefault="00B65AA0" w:rsidP="00B65AA0">
            <w:pPr>
              <w:spacing w:line="240" w:lineRule="auto"/>
            </w:pPr>
            <w:r>
              <w:t xml:space="preserve">Review available pilot eLearning modules available on infectious disease for substance use providers, evaluate next needed modules to put into production  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8F02E" w14:textId="27C964BE" w:rsidR="008D3843" w:rsidRPr="00F55227" w:rsidRDefault="008D3843" w:rsidP="00B65AA0">
            <w:pPr>
              <w:spacing w:line="240" w:lineRule="auto"/>
            </w:pPr>
            <w:r>
              <w:t xml:space="preserve">Produce needed eLearning modules and review existing modules to ensure needed subjects are covered according to </w:t>
            </w:r>
            <w:proofErr w:type="spellStart"/>
            <w:r>
              <w:t>provider</w:t>
            </w:r>
            <w:proofErr w:type="spellEnd"/>
            <w:r>
              <w:t xml:space="preserve"> feedback and demand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D7B2" w14:textId="21B8F543" w:rsidR="008D3843" w:rsidRPr="00F55227" w:rsidRDefault="008D3843" w:rsidP="00B65AA0">
            <w:pPr>
              <w:spacing w:line="240" w:lineRule="auto"/>
            </w:pPr>
            <w:r>
              <w:t xml:space="preserve">Produce needed eLearning modules and review existing modules to ensure needed subjects are covered according to </w:t>
            </w:r>
            <w:proofErr w:type="spellStart"/>
            <w:r>
              <w:t>provider</w:t>
            </w:r>
            <w:proofErr w:type="spellEnd"/>
            <w:r>
              <w:t xml:space="preserve"> feedback and demand </w:t>
            </w:r>
          </w:p>
        </w:tc>
      </w:tr>
    </w:tbl>
    <w:p w14:paraId="72821B7B" w14:textId="77777777" w:rsidR="00F55227" w:rsidRDefault="00F55227" w:rsidP="00B65AA0">
      <w:pPr>
        <w:spacing w:line="240" w:lineRule="auto"/>
      </w:pPr>
    </w:p>
    <w:sectPr w:rsidR="00F55227" w:rsidSect="00F855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chmitt, Nicole M (DPH)" w:date="2025-09-08T10:54:00Z" w:initials="NS">
    <w:p w14:paraId="261BEA58" w14:textId="77777777" w:rsidR="00A35784" w:rsidRDefault="00A35784" w:rsidP="00A35784">
      <w:pPr>
        <w:pStyle w:val="CommentText"/>
      </w:pPr>
      <w:r>
        <w:rPr>
          <w:rStyle w:val="CommentReference"/>
        </w:rPr>
        <w:annotationRef/>
      </w:r>
      <w:r>
        <w:t xml:space="preserve">Promote transparency and empower communities/partners to conduct needs assessment/identify high need populations </w:t>
      </w:r>
    </w:p>
  </w:comment>
  <w:comment w:id="1" w:author="Schmitt, Nicole M (DPH)" w:date="2025-09-08T10:55:00Z" w:initials="NS">
    <w:p w14:paraId="13120B92" w14:textId="77777777" w:rsidR="00E3219C" w:rsidRDefault="00E3219C" w:rsidP="00E3219C">
      <w:pPr>
        <w:pStyle w:val="CommentText"/>
      </w:pPr>
      <w:r>
        <w:rPr>
          <w:rStyle w:val="CommentReference"/>
        </w:rPr>
        <w:annotationRef/>
      </w:r>
      <w:r>
        <w:t xml:space="preserve">Continue to increase access to timely data  </w:t>
      </w:r>
    </w:p>
  </w:comment>
  <w:comment w:id="2" w:author="Schmitt, Nicole M (DPH)" w:date="2025-07-02T16:12:00Z" w:initials="NS">
    <w:p w14:paraId="14152295" w14:textId="5B75846F" w:rsidR="008D3843" w:rsidRDefault="008D3843" w:rsidP="00EC0ED8">
      <w:pPr>
        <w:pStyle w:val="CommentText"/>
      </w:pPr>
      <w:r>
        <w:rPr>
          <w:rStyle w:val="CommentReference"/>
        </w:rPr>
        <w:annotationRef/>
      </w:r>
      <w:r>
        <w:t>Adapted version of SBIRT for BIPOC+ serving orgs?</w:t>
      </w:r>
    </w:p>
  </w:comment>
  <w:comment w:id="3" w:author="Macone, Andrea (DPH)" w:date="2025-08-21T16:07:00Z" w:initials="MA">
    <w:p w14:paraId="6CABB54D" w14:textId="38282904" w:rsidR="008D3843" w:rsidRDefault="008D3843">
      <w:pPr>
        <w:pStyle w:val="CommentText"/>
      </w:pPr>
      <w:r>
        <w:rPr>
          <w:rStyle w:val="CommentReference"/>
        </w:rPr>
        <w:annotationRef/>
      </w:r>
      <w:r w:rsidRPr="42870766">
        <w:t>Got Lorraine's nudge so using this opportunity to confirm we have a meeting scheduled with MASBIRT TTA to discuss this coming up</w:t>
      </w:r>
    </w:p>
  </w:comment>
  <w:comment w:id="4" w:author="Macone, Andrea (DPH)" w:date="2025-07-02T17:06:00Z" w:initials="MA">
    <w:p w14:paraId="0300EE20" w14:textId="336FF19C" w:rsidR="008D3843" w:rsidRDefault="008D3843">
      <w:pPr>
        <w:pStyle w:val="CommentText"/>
      </w:pPr>
      <w:r>
        <w:rPr>
          <w:rStyle w:val="CommentReference"/>
        </w:rPr>
        <w:annotationRef/>
      </w:r>
      <w:r w:rsidRPr="6F0B622E">
        <w:t xml:space="preserve">@Nicole not sure if this is what you're looking for re: strategy but potentially: </w:t>
      </w:r>
    </w:p>
    <w:p w14:paraId="2E6EF328" w14:textId="47E88877" w:rsidR="008D3843" w:rsidRDefault="008D3843">
      <w:pPr>
        <w:pStyle w:val="CommentText"/>
      </w:pPr>
    </w:p>
    <w:p w14:paraId="247F2A8A" w14:textId="216D101B" w:rsidR="008D3843" w:rsidRDefault="008D3843">
      <w:pPr>
        <w:pStyle w:val="CommentText"/>
      </w:pPr>
      <w:r w:rsidRPr="3A8C2FD6">
        <w:t xml:space="preserve">Leverage existing TTA contract and ongoing/new relationships with CBOs serving at-risk communities to increase community capacity to navigate service system and increase access </w:t>
      </w:r>
    </w:p>
  </w:comment>
  <w:comment w:id="5" w:author="Schmitt, Nicole M (DPH)" w:date="2025-08-04T16:35:00Z" w:initials="NS">
    <w:p w14:paraId="71FE1589" w14:textId="65B52A1C" w:rsidR="008D3843" w:rsidRDefault="008D3843" w:rsidP="004475FD">
      <w:pPr>
        <w:pStyle w:val="CommentText"/>
      </w:pPr>
      <w:r>
        <w:rPr>
          <w:rStyle w:val="CommentReference"/>
        </w:rPr>
        <w:annotationRef/>
      </w:r>
      <w:r>
        <w:t>Option 2: Release practice guidance re career pathways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1BEA58" w15:done="1"/>
  <w15:commentEx w15:paraId="13120B92" w15:paraIdParent="261BEA58" w15:done="1"/>
  <w15:commentEx w15:paraId="14152295" w15:done="1"/>
  <w15:commentEx w15:paraId="6CABB54D" w15:paraIdParent="14152295" w15:done="1"/>
  <w15:commentEx w15:paraId="247F2A8A" w15:done="1"/>
  <w15:commentEx w15:paraId="71FE158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7F29D" w16cex:dateUtc="2025-09-08T14:54:00Z"/>
  <w16cex:commentExtensible w16cex:durableId="0DF9E930" w16cex:dateUtc="2025-09-08T14:55:00Z"/>
  <w16cex:commentExtensible w16cex:durableId="78C3B0FA" w16cex:dateUtc="2025-07-02T20:12:00Z"/>
  <w16cex:commentExtensible w16cex:durableId="589BFDDD" w16cex:dateUtc="2025-08-21T20:07:00Z"/>
  <w16cex:commentExtensible w16cex:durableId="2AE2B4A0" w16cex:dateUtc="2025-07-02T21:06:00Z"/>
  <w16cex:commentExtensible w16cex:durableId="7082211A" w16cex:dateUtc="2025-08-04T2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1BEA58" w16cid:durableId="5917F29D"/>
  <w16cid:commentId w16cid:paraId="13120B92" w16cid:durableId="0DF9E930"/>
  <w16cid:commentId w16cid:paraId="14152295" w16cid:durableId="78C3B0FA"/>
  <w16cid:commentId w16cid:paraId="6CABB54D" w16cid:durableId="589BFDDD"/>
  <w16cid:commentId w16cid:paraId="247F2A8A" w16cid:durableId="2AE2B4A0"/>
  <w16cid:commentId w16cid:paraId="71FE1589" w16cid:durableId="708221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mitt, Nicole M (DPH)">
    <w15:presenceInfo w15:providerId="AD" w15:userId="S::Nicole.M.Schmitt@mass.gov::072231d6-91fc-4e23-ae9f-b830863bfb07"/>
  </w15:person>
  <w15:person w15:author="Macone, Andrea (DPH)">
    <w15:presenceInfo w15:providerId="AD" w15:userId="S::andrea.macone@mass.gov::50abfa05-4567-484a-b133-d75d19c4e9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7"/>
    <w:rsid w:val="00013C5E"/>
    <w:rsid w:val="00040C4B"/>
    <w:rsid w:val="000469CD"/>
    <w:rsid w:val="00086F9D"/>
    <w:rsid w:val="00097E41"/>
    <w:rsid w:val="000A07FD"/>
    <w:rsid w:val="000A24A5"/>
    <w:rsid w:val="000A2600"/>
    <w:rsid w:val="000B3074"/>
    <w:rsid w:val="000C0201"/>
    <w:rsid w:val="000C5E7E"/>
    <w:rsid w:val="000D6FE7"/>
    <w:rsid w:val="000E25DB"/>
    <w:rsid w:val="000F054D"/>
    <w:rsid w:val="000F1D6F"/>
    <w:rsid w:val="000F5685"/>
    <w:rsid w:val="000F7132"/>
    <w:rsid w:val="00111428"/>
    <w:rsid w:val="0013506F"/>
    <w:rsid w:val="001360C4"/>
    <w:rsid w:val="00136F98"/>
    <w:rsid w:val="00142A52"/>
    <w:rsid w:val="001607AD"/>
    <w:rsid w:val="00160F1B"/>
    <w:rsid w:val="001715F0"/>
    <w:rsid w:val="001A1A9F"/>
    <w:rsid w:val="001C0724"/>
    <w:rsid w:val="001C1CB1"/>
    <w:rsid w:val="001D4323"/>
    <w:rsid w:val="001D5B1D"/>
    <w:rsid w:val="001F433E"/>
    <w:rsid w:val="001F43D3"/>
    <w:rsid w:val="00207105"/>
    <w:rsid w:val="002147B3"/>
    <w:rsid w:val="00230C00"/>
    <w:rsid w:val="00231659"/>
    <w:rsid w:val="0023665E"/>
    <w:rsid w:val="00240C12"/>
    <w:rsid w:val="002462D0"/>
    <w:rsid w:val="00253FA2"/>
    <w:rsid w:val="0027194C"/>
    <w:rsid w:val="00273B07"/>
    <w:rsid w:val="00283100"/>
    <w:rsid w:val="002C0B47"/>
    <w:rsid w:val="002C77E8"/>
    <w:rsid w:val="00300BFF"/>
    <w:rsid w:val="003167BA"/>
    <w:rsid w:val="00326A89"/>
    <w:rsid w:val="00327929"/>
    <w:rsid w:val="003310EE"/>
    <w:rsid w:val="00340E56"/>
    <w:rsid w:val="003449D3"/>
    <w:rsid w:val="003567A6"/>
    <w:rsid w:val="0037559A"/>
    <w:rsid w:val="00386555"/>
    <w:rsid w:val="00392A7D"/>
    <w:rsid w:val="003935CA"/>
    <w:rsid w:val="003A6D7F"/>
    <w:rsid w:val="003F1493"/>
    <w:rsid w:val="00417253"/>
    <w:rsid w:val="004221AC"/>
    <w:rsid w:val="004264CD"/>
    <w:rsid w:val="00434555"/>
    <w:rsid w:val="004470D6"/>
    <w:rsid w:val="004475FD"/>
    <w:rsid w:val="004553DC"/>
    <w:rsid w:val="00462CCD"/>
    <w:rsid w:val="0047425A"/>
    <w:rsid w:val="00480C31"/>
    <w:rsid w:val="00482095"/>
    <w:rsid w:val="004823C1"/>
    <w:rsid w:val="00482CDB"/>
    <w:rsid w:val="00485290"/>
    <w:rsid w:val="004870DB"/>
    <w:rsid w:val="00497640"/>
    <w:rsid w:val="004A0CF4"/>
    <w:rsid w:val="004A1EB4"/>
    <w:rsid w:val="004A4D1A"/>
    <w:rsid w:val="004C2C56"/>
    <w:rsid w:val="004D56DD"/>
    <w:rsid w:val="004F22AB"/>
    <w:rsid w:val="005172FF"/>
    <w:rsid w:val="00527FF9"/>
    <w:rsid w:val="00535256"/>
    <w:rsid w:val="0055714B"/>
    <w:rsid w:val="00560532"/>
    <w:rsid w:val="00563EB0"/>
    <w:rsid w:val="00583536"/>
    <w:rsid w:val="0058BABA"/>
    <w:rsid w:val="005957EE"/>
    <w:rsid w:val="005971FB"/>
    <w:rsid w:val="005A4580"/>
    <w:rsid w:val="005C797B"/>
    <w:rsid w:val="005D4B3F"/>
    <w:rsid w:val="005F0A9E"/>
    <w:rsid w:val="005F38C7"/>
    <w:rsid w:val="00647190"/>
    <w:rsid w:val="00651395"/>
    <w:rsid w:val="0065655C"/>
    <w:rsid w:val="0069682D"/>
    <w:rsid w:val="00697F1A"/>
    <w:rsid w:val="006B3257"/>
    <w:rsid w:val="006C1F3D"/>
    <w:rsid w:val="006C4119"/>
    <w:rsid w:val="006C6408"/>
    <w:rsid w:val="006D65D9"/>
    <w:rsid w:val="006E1253"/>
    <w:rsid w:val="006E2E69"/>
    <w:rsid w:val="006E4E0B"/>
    <w:rsid w:val="006F2655"/>
    <w:rsid w:val="006F6606"/>
    <w:rsid w:val="007105B3"/>
    <w:rsid w:val="007222CB"/>
    <w:rsid w:val="00731AB9"/>
    <w:rsid w:val="00734E31"/>
    <w:rsid w:val="00735990"/>
    <w:rsid w:val="00745DDF"/>
    <w:rsid w:val="0075217D"/>
    <w:rsid w:val="00756EBB"/>
    <w:rsid w:val="007B1043"/>
    <w:rsid w:val="007D65B1"/>
    <w:rsid w:val="007E1608"/>
    <w:rsid w:val="007E312D"/>
    <w:rsid w:val="007F1025"/>
    <w:rsid w:val="00814522"/>
    <w:rsid w:val="00815673"/>
    <w:rsid w:val="00821214"/>
    <w:rsid w:val="0084780E"/>
    <w:rsid w:val="00872730"/>
    <w:rsid w:val="00873D4A"/>
    <w:rsid w:val="00877C31"/>
    <w:rsid w:val="00881F04"/>
    <w:rsid w:val="00890073"/>
    <w:rsid w:val="00892FF3"/>
    <w:rsid w:val="008A629D"/>
    <w:rsid w:val="008C66D7"/>
    <w:rsid w:val="008D3843"/>
    <w:rsid w:val="008D504C"/>
    <w:rsid w:val="008D5EEE"/>
    <w:rsid w:val="008E2064"/>
    <w:rsid w:val="008F2809"/>
    <w:rsid w:val="008F4A96"/>
    <w:rsid w:val="009363D7"/>
    <w:rsid w:val="00950CCD"/>
    <w:rsid w:val="009921A8"/>
    <w:rsid w:val="009D3E7E"/>
    <w:rsid w:val="009E0AD3"/>
    <w:rsid w:val="009E1878"/>
    <w:rsid w:val="00A10D0D"/>
    <w:rsid w:val="00A11CE9"/>
    <w:rsid w:val="00A33C1D"/>
    <w:rsid w:val="00A35784"/>
    <w:rsid w:val="00A55ED9"/>
    <w:rsid w:val="00A67055"/>
    <w:rsid w:val="00A927F3"/>
    <w:rsid w:val="00AC5FB9"/>
    <w:rsid w:val="00AF60AA"/>
    <w:rsid w:val="00B040CA"/>
    <w:rsid w:val="00B066BC"/>
    <w:rsid w:val="00B14484"/>
    <w:rsid w:val="00B20AED"/>
    <w:rsid w:val="00B65AA0"/>
    <w:rsid w:val="00B8082C"/>
    <w:rsid w:val="00B866AF"/>
    <w:rsid w:val="00BD5F08"/>
    <w:rsid w:val="00BE57F2"/>
    <w:rsid w:val="00C00363"/>
    <w:rsid w:val="00C2222E"/>
    <w:rsid w:val="00C36C58"/>
    <w:rsid w:val="00C46CBD"/>
    <w:rsid w:val="00C6599B"/>
    <w:rsid w:val="00C67C43"/>
    <w:rsid w:val="00C90306"/>
    <w:rsid w:val="00C92BD5"/>
    <w:rsid w:val="00CA204C"/>
    <w:rsid w:val="00CA537A"/>
    <w:rsid w:val="00CB6D12"/>
    <w:rsid w:val="00CD03AB"/>
    <w:rsid w:val="00CE0AC0"/>
    <w:rsid w:val="00D05DDE"/>
    <w:rsid w:val="00D17F26"/>
    <w:rsid w:val="00D4395A"/>
    <w:rsid w:val="00D55503"/>
    <w:rsid w:val="00D56232"/>
    <w:rsid w:val="00D6281D"/>
    <w:rsid w:val="00D72AB8"/>
    <w:rsid w:val="00D751D6"/>
    <w:rsid w:val="00D86415"/>
    <w:rsid w:val="00D87916"/>
    <w:rsid w:val="00DB3CF2"/>
    <w:rsid w:val="00DC3B44"/>
    <w:rsid w:val="00DE3918"/>
    <w:rsid w:val="00E01327"/>
    <w:rsid w:val="00E16654"/>
    <w:rsid w:val="00E23D1A"/>
    <w:rsid w:val="00E27551"/>
    <w:rsid w:val="00E3219C"/>
    <w:rsid w:val="00E5607B"/>
    <w:rsid w:val="00E6659D"/>
    <w:rsid w:val="00E7610A"/>
    <w:rsid w:val="00E93D59"/>
    <w:rsid w:val="00E97A1E"/>
    <w:rsid w:val="00EA2F9A"/>
    <w:rsid w:val="00EB23CC"/>
    <w:rsid w:val="00EC0ED8"/>
    <w:rsid w:val="00EC291E"/>
    <w:rsid w:val="00EC32AC"/>
    <w:rsid w:val="00EC39AB"/>
    <w:rsid w:val="00EC50A5"/>
    <w:rsid w:val="00EC6CD5"/>
    <w:rsid w:val="00ED2796"/>
    <w:rsid w:val="00EE32F1"/>
    <w:rsid w:val="00EE6182"/>
    <w:rsid w:val="00F040BC"/>
    <w:rsid w:val="00F10A02"/>
    <w:rsid w:val="00F13199"/>
    <w:rsid w:val="00F22B69"/>
    <w:rsid w:val="00F2301B"/>
    <w:rsid w:val="00F37513"/>
    <w:rsid w:val="00F513D2"/>
    <w:rsid w:val="00F55227"/>
    <w:rsid w:val="00F646E7"/>
    <w:rsid w:val="00F718BE"/>
    <w:rsid w:val="00F855FC"/>
    <w:rsid w:val="00F863BC"/>
    <w:rsid w:val="00F95381"/>
    <w:rsid w:val="00FA211F"/>
    <w:rsid w:val="00FA2421"/>
    <w:rsid w:val="00FB566B"/>
    <w:rsid w:val="00FC7FC3"/>
    <w:rsid w:val="00FD2671"/>
    <w:rsid w:val="00FD4D40"/>
    <w:rsid w:val="00FE711A"/>
    <w:rsid w:val="00FF72AF"/>
    <w:rsid w:val="0110C715"/>
    <w:rsid w:val="01B99A2B"/>
    <w:rsid w:val="02C0128B"/>
    <w:rsid w:val="0357BA66"/>
    <w:rsid w:val="0494B83F"/>
    <w:rsid w:val="0696F92B"/>
    <w:rsid w:val="06C0537A"/>
    <w:rsid w:val="08120929"/>
    <w:rsid w:val="0C9244B6"/>
    <w:rsid w:val="0CE21ADF"/>
    <w:rsid w:val="0CE47948"/>
    <w:rsid w:val="0CF89C86"/>
    <w:rsid w:val="100A6BDC"/>
    <w:rsid w:val="10324942"/>
    <w:rsid w:val="10918B76"/>
    <w:rsid w:val="15F98D4A"/>
    <w:rsid w:val="15FD0630"/>
    <w:rsid w:val="163CC0A4"/>
    <w:rsid w:val="167651BA"/>
    <w:rsid w:val="17F1276C"/>
    <w:rsid w:val="1EA8F50C"/>
    <w:rsid w:val="2006009A"/>
    <w:rsid w:val="2084C6E1"/>
    <w:rsid w:val="20B8D6DB"/>
    <w:rsid w:val="20E73342"/>
    <w:rsid w:val="215F6BD1"/>
    <w:rsid w:val="24B69FEE"/>
    <w:rsid w:val="252F61DF"/>
    <w:rsid w:val="27042473"/>
    <w:rsid w:val="27BEC58A"/>
    <w:rsid w:val="27D29602"/>
    <w:rsid w:val="2BD63DAD"/>
    <w:rsid w:val="2ED0D555"/>
    <w:rsid w:val="2F0AEAF9"/>
    <w:rsid w:val="2F6400F9"/>
    <w:rsid w:val="321B4FDB"/>
    <w:rsid w:val="347A48F9"/>
    <w:rsid w:val="34BB39A7"/>
    <w:rsid w:val="34DA0026"/>
    <w:rsid w:val="3550C909"/>
    <w:rsid w:val="3601A94E"/>
    <w:rsid w:val="366534F4"/>
    <w:rsid w:val="387DC581"/>
    <w:rsid w:val="38A54F0C"/>
    <w:rsid w:val="3A604519"/>
    <w:rsid w:val="3B4ACC0A"/>
    <w:rsid w:val="3C70BC04"/>
    <w:rsid w:val="3EFF64EA"/>
    <w:rsid w:val="402BF410"/>
    <w:rsid w:val="462A60E6"/>
    <w:rsid w:val="462AD6AB"/>
    <w:rsid w:val="49F68D56"/>
    <w:rsid w:val="4B48472E"/>
    <w:rsid w:val="4C4F4ABE"/>
    <w:rsid w:val="4D0252EE"/>
    <w:rsid w:val="505083FB"/>
    <w:rsid w:val="5123DEED"/>
    <w:rsid w:val="52A95AC7"/>
    <w:rsid w:val="52C77A34"/>
    <w:rsid w:val="53F2D21E"/>
    <w:rsid w:val="568A6B19"/>
    <w:rsid w:val="581A6CEC"/>
    <w:rsid w:val="5A1C383E"/>
    <w:rsid w:val="5BBCC5DD"/>
    <w:rsid w:val="5C749D3D"/>
    <w:rsid w:val="5CA5B411"/>
    <w:rsid w:val="5DA6BDA6"/>
    <w:rsid w:val="5DDAD54A"/>
    <w:rsid w:val="5F282506"/>
    <w:rsid w:val="6058488C"/>
    <w:rsid w:val="60A82846"/>
    <w:rsid w:val="619F07BB"/>
    <w:rsid w:val="61B9FE2F"/>
    <w:rsid w:val="61C735A5"/>
    <w:rsid w:val="62185424"/>
    <w:rsid w:val="64EFB554"/>
    <w:rsid w:val="6683B30D"/>
    <w:rsid w:val="695A2DC2"/>
    <w:rsid w:val="6A2A566A"/>
    <w:rsid w:val="6E3D4D8C"/>
    <w:rsid w:val="6E654E5E"/>
    <w:rsid w:val="7019356F"/>
    <w:rsid w:val="7228A7C7"/>
    <w:rsid w:val="736D94B5"/>
    <w:rsid w:val="75D52D2E"/>
    <w:rsid w:val="7789A4D7"/>
    <w:rsid w:val="78F5EB73"/>
    <w:rsid w:val="792A7390"/>
    <w:rsid w:val="7C04F749"/>
    <w:rsid w:val="7D4C6884"/>
    <w:rsid w:val="7ED5C29B"/>
    <w:rsid w:val="7F563276"/>
    <w:rsid w:val="7F6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6F8B"/>
  <w15:chartTrackingRefBased/>
  <w15:docId w15:val="{77F318DC-BDCB-42E6-B464-6C74C3DC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22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C0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ED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69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8675575-6836-4A48-9A21-A28D0A2B7CB9}">
    <t:Anchor>
      <t:Comment id="669830373"/>
    </t:Anchor>
    <t:History>
      <t:Event id="{DC5291F3-5047-40FA-8F1F-3230929AD782}" time="2025-08-04T20:37:16.959Z">
        <t:Attribution userId="S::Nicole.M.Schmitt@mass.gov::072231d6-91fc-4e23-ae9f-b830863bfb07" userProvider="AD" userName="Schmitt, Nicole M (DPH)"/>
        <t:Anchor>
          <t:Comment id="669830373"/>
        </t:Anchor>
        <t:Create/>
      </t:Event>
      <t:Event id="{AD39E901-BDF0-4313-84D3-DDA50C152667}" time="2025-08-04T20:37:16.959Z">
        <t:Attribution userId="S::Nicole.M.Schmitt@mass.gov::072231d6-91fc-4e23-ae9f-b830863bfb07" userProvider="AD" userName="Schmitt, Nicole M (DPH)"/>
        <t:Anchor>
          <t:Comment id="669830373"/>
        </t:Anchor>
        <t:Assign userId="S::jennifer.f.parks@mass.gov::95209343-c435-4a52-b120-746bf719e936" userProvider="AD" userName="Parks, Jen (DPH)"/>
      </t:Event>
      <t:Event id="{E709EE58-C24A-4924-AF12-FEEE219AEC51}" time="2025-08-04T20:37:16.959Z">
        <t:Attribution userId="S::Nicole.M.Schmitt@mass.gov::072231d6-91fc-4e23-ae9f-b830863bfb07" userProvider="AD" userName="Schmitt, Nicole M (DPH)"/>
        <t:Anchor>
          <t:Comment id="669830373"/>
        </t:Anchor>
        <t:SetTitle title="@Parks, Jen (DPH) , can you review and finalize?"/>
      </t:Event>
      <t:Event id="{C041E96C-0E57-40F3-A90C-B293675306AE}" time="2025-09-08T15:19:05.432Z">
        <t:Attribution userId="S::Therese.M.Claxton@mass.gov::b67011e6-f1de-4a52-b081-66f3d8476852" userProvider="AD" userName="Claxton, Therese M (DP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15" ma:contentTypeDescription="Create a new document." ma:contentTypeScope="" ma:versionID="e4754d48903cd1a816c430a1f61839fc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da1742d29cdbf3ae1a6f06e960126546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ad44d-a276-4f4e-875e-43c55a2a7d4b}" ma:internalName="TaxCatchAll" ma:showField="CatchAllData" ma:web="bfbac546-a2fc-4229-9ece-d0acbd3b4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64acd-37b4-4213-adcf-69e7bb6f99b3">
      <Terms xmlns="http://schemas.microsoft.com/office/infopath/2007/PartnerControls"/>
    </lcf76f155ced4ddcb4097134ff3c332f>
    <TaxCatchAll xmlns="bfbac546-a2fc-4229-9ece-d0acbd3b42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0E6E2-AB94-4E52-9A85-D0781C3A6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E87CD-9F84-4704-BDC0-E6A3DADDFD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1E9012-3B47-4F3E-8E90-595EB6D5BA08}">
  <ds:schemaRefs>
    <ds:schemaRef ds:uri="http://schemas.microsoft.com/office/2006/metadata/properties"/>
    <ds:schemaRef ds:uri="http://schemas.microsoft.com/office/infopath/2007/PartnerControls"/>
    <ds:schemaRef ds:uri="02a64acd-37b4-4213-adcf-69e7bb6f99b3"/>
    <ds:schemaRef ds:uri="bfbac546-a2fc-4229-9ece-d0acbd3b42bf"/>
  </ds:schemaRefs>
</ds:datastoreItem>
</file>

<file path=customXml/itemProps4.xml><?xml version="1.0" encoding="utf-8"?>
<ds:datastoreItem xmlns:ds="http://schemas.openxmlformats.org/officeDocument/2006/customXml" ds:itemID="{F9195B0C-DC41-4FD0-9EA2-4F48C1683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6995</Characters>
  <Application>Microsoft Office Word</Application>
  <DocSecurity>0</DocSecurity>
  <Lines>58</Lines>
  <Paragraphs>16</Paragraphs>
  <ScaleCrop>false</ScaleCrop>
  <Company>Commonwealth of Massachusetts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Nicole M (DPH)</dc:creator>
  <cp:keywords/>
  <dc:description/>
  <cp:lastModifiedBy>Harrison, Deborah (EHS)</cp:lastModifiedBy>
  <cp:revision>2</cp:revision>
  <dcterms:created xsi:type="dcterms:W3CDTF">2025-10-02T18:22:00Z</dcterms:created>
  <dcterms:modified xsi:type="dcterms:W3CDTF">2025-10-02T18:22:00Z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0x0101000551E79CFCC21E4BB8F8B3EBDDCB45F6</vt:lpwstr>
  </property>
  <property fmtid="{D5CDD505-2E9C-101B-9397-08002B2CF9AE}" pid="3" name="MediaServiceImageTags">
    <vt:lpwstr/>
  </property>
</Properties>
</file>