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B510" w14:textId="025CF736" w:rsidR="00365FEB" w:rsidRPr="00496A0E" w:rsidRDefault="00365FEB" w:rsidP="00365FEB">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after="6" w:line="264" w:lineRule="auto"/>
        <w:ind w:left="10" w:right="2" w:hanging="10"/>
        <w:jc w:val="center"/>
        <w:rPr>
          <w:rFonts w:ascii="Times New Roman" w:hAnsi="Times New Roman" w:cs="Times New Roman"/>
          <w:b/>
          <w:smallCaps/>
          <w:color w:val="auto"/>
          <w:kern w:val="32"/>
        </w:rPr>
      </w:pPr>
      <w:bookmarkStart w:id="0" w:name="_Toc148882940"/>
      <w:r w:rsidRPr="00496A0E">
        <w:rPr>
          <w:rFonts w:ascii="Times New Roman" w:hAnsi="Times New Roman" w:cs="Times New Roman"/>
          <w:b/>
          <w:smallCaps/>
          <w:color w:val="auto"/>
          <w:kern w:val="32"/>
        </w:rPr>
        <w:t>Capital Planning</w:t>
      </w:r>
      <w:bookmarkEnd w:id="0"/>
      <w:r>
        <w:rPr>
          <w:rFonts w:ascii="Times New Roman" w:hAnsi="Times New Roman" w:cs="Times New Roman"/>
          <w:b/>
          <w:smallCaps/>
          <w:color w:val="auto"/>
          <w:kern w:val="32"/>
        </w:rPr>
        <w:t xml:space="preserve"> Sample Policy</w:t>
      </w:r>
    </w:p>
    <w:p w14:paraId="5753EAB2" w14:textId="77777777" w:rsidR="00365FEB" w:rsidRPr="00496A0E" w:rsidRDefault="00365FEB" w:rsidP="00365FEB">
      <w:pPr>
        <w:spacing w:after="0"/>
        <w:rPr>
          <w:rFonts w:cstheme="minorHAnsi"/>
          <w:b/>
          <w:sz w:val="23"/>
          <w:szCs w:val="23"/>
        </w:rPr>
      </w:pPr>
    </w:p>
    <w:p w14:paraId="495F9E3B" w14:textId="77777777" w:rsidR="00365FEB" w:rsidRPr="00496A0E" w:rsidRDefault="00365FEB" w:rsidP="00365FEB">
      <w:pPr>
        <w:pBdr>
          <w:bottom w:val="single" w:sz="4" w:space="1" w:color="auto"/>
        </w:pBdr>
        <w:spacing w:after="0"/>
        <w:rPr>
          <w:rFonts w:cstheme="minorHAnsi"/>
          <w:b/>
          <w:sz w:val="23"/>
          <w:szCs w:val="23"/>
        </w:rPr>
      </w:pPr>
      <w:r w:rsidRPr="00496A0E">
        <w:rPr>
          <w:rFonts w:cstheme="minorHAnsi"/>
          <w:b/>
          <w:sz w:val="23"/>
          <w:szCs w:val="23"/>
        </w:rPr>
        <w:t>PURPOSE</w:t>
      </w:r>
    </w:p>
    <w:p w14:paraId="74462907" w14:textId="77777777" w:rsidR="00365FEB" w:rsidRPr="00496A0E" w:rsidRDefault="00365FEB" w:rsidP="00365FEB">
      <w:pPr>
        <w:autoSpaceDE w:val="0"/>
        <w:autoSpaceDN w:val="0"/>
        <w:adjustRightInd w:val="0"/>
        <w:spacing w:after="0" w:line="240" w:lineRule="auto"/>
        <w:jc w:val="both"/>
        <w:rPr>
          <w:rFonts w:eastAsia="Times New Roman" w:cstheme="minorHAnsi"/>
          <w:color w:val="000000"/>
          <w:sz w:val="23"/>
          <w:szCs w:val="23"/>
        </w:rPr>
      </w:pPr>
      <w:r w:rsidRPr="00496A0E">
        <w:rPr>
          <w:rFonts w:cstheme="minorHAnsi"/>
          <w:sz w:val="23"/>
          <w:szCs w:val="23"/>
        </w:rPr>
        <w:t>To effectively maintain the Town’s infrastructure and protect the value of its capital assets, this policy outlines guidance for planning, reviewing, and coordinating capital improvements. Adherence to this policy will help the Town meet its capital needs despite limited resources.</w:t>
      </w:r>
    </w:p>
    <w:p w14:paraId="42A0EB74" w14:textId="77777777" w:rsidR="00365FEB" w:rsidRPr="00496A0E" w:rsidRDefault="00365FEB" w:rsidP="00365FEB">
      <w:pPr>
        <w:shd w:val="clear" w:color="auto" w:fill="FFFFFF"/>
        <w:spacing w:after="0"/>
        <w:rPr>
          <w:rFonts w:eastAsia="Times New Roman" w:cstheme="minorHAnsi"/>
          <w:color w:val="000000"/>
          <w:sz w:val="23"/>
          <w:szCs w:val="23"/>
        </w:rPr>
      </w:pPr>
    </w:p>
    <w:p w14:paraId="327588FF" w14:textId="77777777" w:rsidR="00365FEB" w:rsidRPr="00496A0E" w:rsidRDefault="00365FEB" w:rsidP="00365FEB">
      <w:pPr>
        <w:spacing w:after="0"/>
        <w:rPr>
          <w:rFonts w:cstheme="minorHAnsi"/>
          <w:b/>
          <w:sz w:val="23"/>
          <w:szCs w:val="23"/>
        </w:rPr>
      </w:pPr>
      <w:r w:rsidRPr="00496A0E">
        <w:rPr>
          <w:rFonts w:cstheme="minorHAnsi"/>
          <w:b/>
          <w:sz w:val="23"/>
          <w:szCs w:val="23"/>
        </w:rPr>
        <w:t>APPLICABILITY AND SCOPE</w:t>
      </w:r>
    </w:p>
    <w:tbl>
      <w:tblPr>
        <w:tblStyle w:val="TableGrid"/>
        <w:tblW w:w="9540" w:type="dxa"/>
        <w:tblInd w:w="-95" w:type="dxa"/>
        <w:tblLook w:val="04A0" w:firstRow="1" w:lastRow="0" w:firstColumn="1" w:lastColumn="0" w:noHBand="0" w:noVBand="1"/>
      </w:tblPr>
      <w:tblGrid>
        <w:gridCol w:w="1373"/>
        <w:gridCol w:w="8167"/>
      </w:tblGrid>
      <w:tr w:rsidR="00365FEB" w:rsidRPr="00496A0E" w14:paraId="4C2DF5B0" w14:textId="77777777" w:rsidTr="00C51225">
        <w:trPr>
          <w:trHeight w:val="1430"/>
        </w:trPr>
        <w:tc>
          <w:tcPr>
            <w:tcW w:w="1373" w:type="dxa"/>
          </w:tcPr>
          <w:p w14:paraId="62157FE4" w14:textId="77777777" w:rsidR="00365FEB" w:rsidRPr="00496A0E" w:rsidRDefault="00365FEB" w:rsidP="00C51225">
            <w:pPr>
              <w:spacing w:after="0"/>
              <w:jc w:val="both"/>
              <w:rPr>
                <w:rFonts w:cstheme="minorHAnsi"/>
                <w:color w:val="000000"/>
                <w:sz w:val="22"/>
              </w:rPr>
            </w:pPr>
            <w:r w:rsidRPr="00496A0E">
              <w:rPr>
                <w:rFonts w:cstheme="minorHAnsi"/>
                <w:color w:val="000000"/>
                <w:sz w:val="22"/>
              </w:rPr>
              <w:t>Applies to:</w:t>
            </w:r>
          </w:p>
        </w:tc>
        <w:tc>
          <w:tcPr>
            <w:tcW w:w="8167" w:type="dxa"/>
          </w:tcPr>
          <w:p w14:paraId="6DD84530" w14:textId="77777777" w:rsidR="00365FEB" w:rsidRPr="00496A0E" w:rsidRDefault="00365FEB" w:rsidP="00365FEB">
            <w:pPr>
              <w:pStyle w:val="ListParagraph"/>
              <w:numPr>
                <w:ilvl w:val="0"/>
                <w:numId w:val="5"/>
              </w:numPr>
              <w:autoSpaceDE w:val="0"/>
              <w:autoSpaceDN w:val="0"/>
              <w:adjustRightInd w:val="0"/>
              <w:spacing w:after="0" w:line="240" w:lineRule="auto"/>
              <w:jc w:val="both"/>
              <w:rPr>
                <w:rFonts w:cstheme="minorHAnsi"/>
                <w:sz w:val="22"/>
              </w:rPr>
            </w:pPr>
            <w:r w:rsidRPr="00496A0E">
              <w:rPr>
                <w:rFonts w:cstheme="minorHAnsi"/>
                <w:sz w:val="22"/>
              </w:rPr>
              <w:t>Select Board, Finance Committee, Town Administrator, and Finance Director budget decision-making roles</w:t>
            </w:r>
          </w:p>
          <w:p w14:paraId="1CE329D7" w14:textId="77777777" w:rsidR="00365FEB" w:rsidRPr="00496A0E" w:rsidRDefault="00365FEB" w:rsidP="00365FEB">
            <w:pPr>
              <w:pStyle w:val="ListParagraph"/>
              <w:numPr>
                <w:ilvl w:val="0"/>
                <w:numId w:val="5"/>
              </w:numPr>
              <w:autoSpaceDE w:val="0"/>
              <w:autoSpaceDN w:val="0"/>
              <w:adjustRightInd w:val="0"/>
              <w:spacing w:after="0" w:line="240" w:lineRule="auto"/>
              <w:jc w:val="both"/>
              <w:rPr>
                <w:rFonts w:cstheme="minorHAnsi"/>
                <w:sz w:val="22"/>
              </w:rPr>
            </w:pPr>
            <w:r w:rsidRPr="00496A0E">
              <w:rPr>
                <w:rFonts w:cstheme="minorHAnsi"/>
                <w:sz w:val="22"/>
              </w:rPr>
              <w:t>Town Administrator, Finance Director, and Town Accountant job duties</w:t>
            </w:r>
          </w:p>
          <w:p w14:paraId="51C8EA0E" w14:textId="77777777" w:rsidR="00365FEB" w:rsidRPr="00496A0E" w:rsidRDefault="00365FEB" w:rsidP="00365FEB">
            <w:pPr>
              <w:pStyle w:val="ListParagraph"/>
              <w:numPr>
                <w:ilvl w:val="0"/>
                <w:numId w:val="5"/>
              </w:numPr>
              <w:autoSpaceDE w:val="0"/>
              <w:autoSpaceDN w:val="0"/>
              <w:adjustRightInd w:val="0"/>
              <w:spacing w:after="0" w:line="240" w:lineRule="auto"/>
              <w:jc w:val="both"/>
              <w:rPr>
                <w:rFonts w:cstheme="minorHAnsi"/>
                <w:sz w:val="22"/>
              </w:rPr>
            </w:pPr>
            <w:r w:rsidRPr="00496A0E">
              <w:rPr>
                <w:rFonts w:cstheme="minorHAnsi"/>
                <w:sz w:val="22"/>
              </w:rPr>
              <w:t>Director of Facilities &amp; Capital Planning and Permanent Building Committee</w:t>
            </w:r>
          </w:p>
          <w:p w14:paraId="23C809D5" w14:textId="77777777" w:rsidR="00365FEB" w:rsidRPr="00496A0E" w:rsidRDefault="00365FEB" w:rsidP="00365FEB">
            <w:pPr>
              <w:pStyle w:val="ListParagraph"/>
              <w:numPr>
                <w:ilvl w:val="0"/>
                <w:numId w:val="5"/>
              </w:numPr>
              <w:autoSpaceDE w:val="0"/>
              <w:autoSpaceDN w:val="0"/>
              <w:adjustRightInd w:val="0"/>
              <w:spacing w:after="0" w:line="240" w:lineRule="auto"/>
              <w:jc w:val="both"/>
              <w:rPr>
                <w:rFonts w:cstheme="minorHAnsi"/>
                <w:sz w:val="22"/>
              </w:rPr>
            </w:pPr>
            <w:r w:rsidRPr="00496A0E">
              <w:rPr>
                <w:rFonts w:cstheme="minorHAnsi"/>
                <w:sz w:val="22"/>
              </w:rPr>
              <w:t>All department heads in planning for and requesting capital projects</w:t>
            </w:r>
          </w:p>
        </w:tc>
      </w:tr>
      <w:tr w:rsidR="00365FEB" w:rsidRPr="00496A0E" w14:paraId="62E0AB4F" w14:textId="77777777" w:rsidTr="00C51225">
        <w:trPr>
          <w:trHeight w:val="1160"/>
        </w:trPr>
        <w:tc>
          <w:tcPr>
            <w:tcW w:w="1373" w:type="dxa"/>
          </w:tcPr>
          <w:p w14:paraId="1A373B74" w14:textId="77777777" w:rsidR="00365FEB" w:rsidRPr="00496A0E" w:rsidRDefault="00365FEB" w:rsidP="00C51225">
            <w:pPr>
              <w:spacing w:after="0"/>
              <w:jc w:val="both"/>
              <w:rPr>
                <w:rFonts w:cstheme="minorHAnsi"/>
                <w:color w:val="000000"/>
                <w:sz w:val="22"/>
              </w:rPr>
            </w:pPr>
            <w:r w:rsidRPr="00496A0E">
              <w:rPr>
                <w:rFonts w:cstheme="minorHAnsi"/>
                <w:color w:val="000000"/>
                <w:sz w:val="22"/>
              </w:rPr>
              <w:t>Scope:</w:t>
            </w:r>
          </w:p>
        </w:tc>
        <w:tc>
          <w:tcPr>
            <w:tcW w:w="8167" w:type="dxa"/>
          </w:tcPr>
          <w:p w14:paraId="53F094CD" w14:textId="77777777" w:rsidR="00365FEB" w:rsidRPr="00496A0E" w:rsidRDefault="00365FEB" w:rsidP="00365FEB">
            <w:pPr>
              <w:pStyle w:val="ListParagraph"/>
              <w:numPr>
                <w:ilvl w:val="0"/>
                <w:numId w:val="6"/>
              </w:numPr>
              <w:spacing w:after="0" w:line="240" w:lineRule="auto"/>
              <w:jc w:val="both"/>
              <w:rPr>
                <w:rFonts w:cstheme="minorHAnsi"/>
                <w:color w:val="000000"/>
                <w:sz w:val="22"/>
              </w:rPr>
            </w:pPr>
            <w:r w:rsidRPr="00496A0E">
              <w:rPr>
                <w:rFonts w:cstheme="minorHAnsi"/>
                <w:sz w:val="22"/>
              </w:rPr>
              <w:t>All current and proposed capital projects for assets owned by the Town</w:t>
            </w:r>
          </w:p>
          <w:p w14:paraId="4F895723" w14:textId="77777777" w:rsidR="00365FEB" w:rsidRPr="00496A0E" w:rsidRDefault="00365FEB" w:rsidP="00365FEB">
            <w:pPr>
              <w:pStyle w:val="ListParagraph"/>
              <w:numPr>
                <w:ilvl w:val="0"/>
                <w:numId w:val="6"/>
              </w:numPr>
              <w:spacing w:after="0" w:line="240" w:lineRule="auto"/>
              <w:jc w:val="both"/>
              <w:rPr>
                <w:rFonts w:cstheme="minorHAnsi"/>
                <w:color w:val="000000"/>
                <w:sz w:val="22"/>
              </w:rPr>
            </w:pPr>
            <w:r w:rsidRPr="00496A0E">
              <w:rPr>
                <w:rFonts w:cstheme="minorHAnsi"/>
                <w:color w:val="000000"/>
                <w:sz w:val="22"/>
              </w:rPr>
              <w:t>Included are projects for which the Town may seek Community Preservation Act (CPA) financing. However, this policy does not govern the procedures and decision making of the CPA Committee, which has sole budget-making authority for CPA funds.</w:t>
            </w:r>
          </w:p>
        </w:tc>
      </w:tr>
    </w:tbl>
    <w:p w14:paraId="6018EE7B" w14:textId="77777777" w:rsidR="00365FEB" w:rsidRPr="00496A0E" w:rsidRDefault="00365FEB" w:rsidP="00365FEB">
      <w:pPr>
        <w:autoSpaceDE w:val="0"/>
        <w:autoSpaceDN w:val="0"/>
        <w:adjustRightInd w:val="0"/>
        <w:spacing w:after="0"/>
        <w:rPr>
          <w:rFonts w:cstheme="minorHAnsi"/>
          <w:b/>
          <w:bCs/>
          <w:sz w:val="23"/>
          <w:szCs w:val="23"/>
        </w:rPr>
      </w:pPr>
    </w:p>
    <w:p w14:paraId="3781DD65" w14:textId="77777777" w:rsidR="00365FEB" w:rsidRPr="00496A0E" w:rsidRDefault="00365FEB" w:rsidP="00365FEB">
      <w:pPr>
        <w:pBdr>
          <w:bottom w:val="single" w:sz="4" w:space="1" w:color="auto"/>
        </w:pBdr>
        <w:spacing w:after="0"/>
        <w:rPr>
          <w:rFonts w:cstheme="minorHAnsi"/>
          <w:b/>
          <w:sz w:val="23"/>
          <w:szCs w:val="23"/>
        </w:rPr>
      </w:pPr>
      <w:r w:rsidRPr="00496A0E">
        <w:rPr>
          <w:rFonts w:cstheme="minorHAnsi"/>
          <w:b/>
          <w:sz w:val="23"/>
          <w:szCs w:val="23"/>
        </w:rPr>
        <w:t>POLICY</w:t>
      </w:r>
    </w:p>
    <w:p w14:paraId="0C173713" w14:textId="77777777" w:rsidR="00365FEB" w:rsidRPr="00496A0E" w:rsidRDefault="00365FEB" w:rsidP="00365FEB">
      <w:pPr>
        <w:autoSpaceDE w:val="0"/>
        <w:autoSpaceDN w:val="0"/>
        <w:adjustRightInd w:val="0"/>
        <w:spacing w:after="0" w:line="240" w:lineRule="auto"/>
        <w:jc w:val="both"/>
        <w:rPr>
          <w:rFonts w:cstheme="minorHAnsi"/>
          <w:sz w:val="23"/>
          <w:szCs w:val="23"/>
        </w:rPr>
      </w:pPr>
      <w:r w:rsidRPr="00496A0E">
        <w:rPr>
          <w:rFonts w:cstheme="minorHAnsi"/>
          <w:sz w:val="23"/>
          <w:szCs w:val="23"/>
        </w:rPr>
        <w:t xml:space="preserve">The Town will maintain its physical assets by providing funding in the operating budget to protect its capital investments and minimize future maintenance and replacement costs. To provide and preserve the infrastructure needed for achieving the highest levels of public services and quality of life possible within available financial resources, the Town will maintain an annually updated, five-year plan for capital improvements. The Town will emphasize preventive maintenance as a cost-effective approach to capital reinvestment and replace exhausted goods, as necessary. </w:t>
      </w:r>
    </w:p>
    <w:p w14:paraId="71A87D09" w14:textId="77777777" w:rsidR="00365FEB" w:rsidRPr="00496A0E" w:rsidRDefault="00365FEB" w:rsidP="00365FEB">
      <w:pPr>
        <w:autoSpaceDE w:val="0"/>
        <w:autoSpaceDN w:val="0"/>
        <w:adjustRightInd w:val="0"/>
        <w:spacing w:after="0"/>
        <w:jc w:val="both"/>
        <w:rPr>
          <w:rFonts w:cstheme="minorHAnsi"/>
          <w:bCs/>
          <w:sz w:val="23"/>
          <w:szCs w:val="23"/>
        </w:rPr>
      </w:pPr>
    </w:p>
    <w:p w14:paraId="67D1B7C1" w14:textId="77777777" w:rsidR="00365FEB" w:rsidRPr="00496A0E" w:rsidRDefault="00365FEB" w:rsidP="00365FEB">
      <w:pPr>
        <w:autoSpaceDE w:val="0"/>
        <w:autoSpaceDN w:val="0"/>
        <w:adjustRightInd w:val="0"/>
        <w:spacing w:after="0" w:line="240" w:lineRule="auto"/>
        <w:jc w:val="both"/>
        <w:rPr>
          <w:rFonts w:cstheme="minorHAnsi"/>
          <w:sz w:val="23"/>
          <w:szCs w:val="23"/>
        </w:rPr>
      </w:pPr>
      <w:r w:rsidRPr="00496A0E">
        <w:rPr>
          <w:rFonts w:cstheme="minorHAnsi"/>
          <w:sz w:val="23"/>
          <w:szCs w:val="23"/>
        </w:rPr>
        <w:t xml:space="preserve">The Town Administrator is charged with overseeing a comprehensive capital improvement program, which involves maintaining a capital asset inventory, prioritizing projects, analyzing funding, and creating a long-term financial plan achievable within the Town’s budget limitations. </w:t>
      </w:r>
    </w:p>
    <w:p w14:paraId="7383601F" w14:textId="77777777" w:rsidR="00365FEB" w:rsidRPr="00496A0E" w:rsidRDefault="00365FEB" w:rsidP="00365FEB">
      <w:pPr>
        <w:spacing w:after="0"/>
        <w:rPr>
          <w:rFonts w:cstheme="minorHAnsi"/>
          <w:bCs/>
          <w:sz w:val="23"/>
          <w:szCs w:val="23"/>
        </w:rPr>
      </w:pPr>
    </w:p>
    <w:p w14:paraId="120B6C84" w14:textId="77777777" w:rsidR="00365FEB" w:rsidRPr="00496A0E" w:rsidRDefault="00365FEB" w:rsidP="00365FEB">
      <w:pPr>
        <w:spacing w:after="0"/>
        <w:rPr>
          <w:rFonts w:cstheme="minorHAnsi"/>
          <w:b/>
          <w:sz w:val="23"/>
          <w:szCs w:val="23"/>
        </w:rPr>
      </w:pPr>
      <w:r w:rsidRPr="00496A0E">
        <w:rPr>
          <w:rFonts w:cstheme="minorHAnsi"/>
          <w:b/>
          <w:sz w:val="23"/>
          <w:szCs w:val="23"/>
        </w:rPr>
        <w:t>POLICY SUMMARY</w:t>
      </w:r>
    </w:p>
    <w:tbl>
      <w:tblPr>
        <w:tblStyle w:val="TableGrid"/>
        <w:tblW w:w="0" w:type="auto"/>
        <w:tblInd w:w="0" w:type="dxa"/>
        <w:tblLook w:val="04A0" w:firstRow="1" w:lastRow="0" w:firstColumn="1" w:lastColumn="0" w:noHBand="0" w:noVBand="1"/>
      </w:tblPr>
      <w:tblGrid>
        <w:gridCol w:w="2514"/>
        <w:gridCol w:w="6836"/>
      </w:tblGrid>
      <w:tr w:rsidR="00365FEB" w:rsidRPr="003928C0" w14:paraId="58094F2F" w14:textId="77777777" w:rsidTr="00C51225">
        <w:tc>
          <w:tcPr>
            <w:tcW w:w="2515" w:type="dxa"/>
            <w:shd w:val="clear" w:color="auto" w:fill="D9E2F3" w:themeFill="accent1" w:themeFillTint="33"/>
            <w:vAlign w:val="center"/>
          </w:tcPr>
          <w:p w14:paraId="5B4EC31E" w14:textId="77777777" w:rsidR="00365FEB" w:rsidRPr="00F813F9" w:rsidRDefault="00365FEB" w:rsidP="00C51225">
            <w:pPr>
              <w:overflowPunct w:val="0"/>
              <w:autoSpaceDE w:val="0"/>
              <w:autoSpaceDN w:val="0"/>
              <w:spacing w:before="60" w:after="60"/>
              <w:jc w:val="center"/>
              <w:textAlignment w:val="baseline"/>
              <w:rPr>
                <w:b/>
                <w:lang w:eastAsia="ja-JP"/>
              </w:rPr>
            </w:pPr>
            <w:r w:rsidRPr="00F813F9">
              <w:rPr>
                <w:b/>
                <w:lang w:eastAsia="ja-JP"/>
              </w:rPr>
              <w:t>Capital Process Component</w:t>
            </w:r>
          </w:p>
        </w:tc>
        <w:tc>
          <w:tcPr>
            <w:tcW w:w="6840" w:type="dxa"/>
            <w:shd w:val="clear" w:color="auto" w:fill="D9E2F3" w:themeFill="accent1" w:themeFillTint="33"/>
            <w:vAlign w:val="center"/>
          </w:tcPr>
          <w:p w14:paraId="77A03474" w14:textId="77777777" w:rsidR="00365FEB" w:rsidRPr="00F813F9" w:rsidRDefault="00365FEB" w:rsidP="00C51225">
            <w:pPr>
              <w:overflowPunct w:val="0"/>
              <w:autoSpaceDE w:val="0"/>
              <w:autoSpaceDN w:val="0"/>
              <w:spacing w:before="60" w:after="60"/>
              <w:jc w:val="center"/>
              <w:textAlignment w:val="baseline"/>
              <w:rPr>
                <w:b/>
                <w:lang w:eastAsia="ja-JP"/>
              </w:rPr>
            </w:pPr>
            <w:r w:rsidRPr="00F813F9">
              <w:rPr>
                <w:b/>
                <w:lang w:eastAsia="ja-JP"/>
              </w:rPr>
              <w:t>Policy Guidance</w:t>
            </w:r>
          </w:p>
        </w:tc>
      </w:tr>
      <w:tr w:rsidR="00365FEB" w:rsidRPr="003928C0" w14:paraId="03A3BA4A" w14:textId="77777777" w:rsidTr="00C51225">
        <w:trPr>
          <w:trHeight w:val="620"/>
        </w:trPr>
        <w:tc>
          <w:tcPr>
            <w:tcW w:w="2515" w:type="dxa"/>
          </w:tcPr>
          <w:p w14:paraId="782FA074" w14:textId="77777777" w:rsidR="00365FEB" w:rsidRPr="003928C0" w:rsidRDefault="00365FEB" w:rsidP="00C51225">
            <w:pPr>
              <w:spacing w:after="0"/>
              <w:rPr>
                <w:rFonts w:cs="Calibri"/>
                <w:sz w:val="22"/>
              </w:rPr>
            </w:pPr>
            <w:r>
              <w:rPr>
                <w:rFonts w:cs="Calibri"/>
                <w:sz w:val="22"/>
              </w:rPr>
              <w:t>Capital Project definition</w:t>
            </w:r>
          </w:p>
        </w:tc>
        <w:tc>
          <w:tcPr>
            <w:tcW w:w="6840" w:type="dxa"/>
          </w:tcPr>
          <w:p w14:paraId="562B6EEF" w14:textId="77777777" w:rsidR="00365FEB" w:rsidRDefault="00365FEB" w:rsidP="00365FEB">
            <w:pPr>
              <w:pStyle w:val="ListParagraph"/>
              <w:numPr>
                <w:ilvl w:val="0"/>
                <w:numId w:val="7"/>
              </w:numPr>
              <w:spacing w:after="0" w:line="240" w:lineRule="auto"/>
              <w:rPr>
                <w:rFonts w:cs="Calibri"/>
                <w:sz w:val="22"/>
              </w:rPr>
            </w:pPr>
            <w:r>
              <w:rPr>
                <w:rFonts w:cs="Calibri"/>
                <w:sz w:val="22"/>
              </w:rPr>
              <w:t xml:space="preserve">Costs $25,000 or more, </w:t>
            </w:r>
            <w:r w:rsidRPr="00A45A63">
              <w:rPr>
                <w:rFonts w:cs="Calibri"/>
                <w:sz w:val="22"/>
                <w:u w:val="single"/>
              </w:rPr>
              <w:t>and</w:t>
            </w:r>
          </w:p>
          <w:p w14:paraId="5B4BBD22" w14:textId="77777777" w:rsidR="00365FEB" w:rsidRPr="00A45A63" w:rsidRDefault="00365FEB" w:rsidP="00365FEB">
            <w:pPr>
              <w:pStyle w:val="ListParagraph"/>
              <w:numPr>
                <w:ilvl w:val="0"/>
                <w:numId w:val="7"/>
              </w:numPr>
              <w:spacing w:after="0" w:line="240" w:lineRule="auto"/>
              <w:rPr>
                <w:rFonts w:cs="Calibri"/>
                <w:sz w:val="22"/>
              </w:rPr>
            </w:pPr>
            <w:r>
              <w:rPr>
                <w:rFonts w:cs="Calibri"/>
                <w:sz w:val="22"/>
              </w:rPr>
              <w:t xml:space="preserve">Has (or extends) useful life of </w:t>
            </w:r>
            <w:r w:rsidRPr="00026E83">
              <w:rPr>
                <w:rFonts w:cs="Calibri"/>
                <w:sz w:val="22"/>
              </w:rPr>
              <w:t>five (5) years</w:t>
            </w:r>
          </w:p>
        </w:tc>
      </w:tr>
      <w:tr w:rsidR="00365FEB" w:rsidRPr="003928C0" w14:paraId="41B3DAE9" w14:textId="77777777" w:rsidTr="00C51225">
        <w:trPr>
          <w:trHeight w:val="557"/>
        </w:trPr>
        <w:tc>
          <w:tcPr>
            <w:tcW w:w="2515" w:type="dxa"/>
          </w:tcPr>
          <w:p w14:paraId="3B2E62CE" w14:textId="77777777" w:rsidR="00365FEB" w:rsidRDefault="00365FEB" w:rsidP="0000487C">
            <w:pPr>
              <w:spacing w:after="0"/>
              <w:rPr>
                <w:rFonts w:cs="Calibri"/>
                <w:sz w:val="22"/>
              </w:rPr>
            </w:pPr>
            <w:r>
              <w:rPr>
                <w:rFonts w:cs="Calibri"/>
                <w:sz w:val="22"/>
              </w:rPr>
              <w:t>Annual Capital Budget</w:t>
            </w:r>
          </w:p>
        </w:tc>
        <w:tc>
          <w:tcPr>
            <w:tcW w:w="6840" w:type="dxa"/>
          </w:tcPr>
          <w:p w14:paraId="7D913BF8" w14:textId="77777777" w:rsidR="00365FEB" w:rsidRDefault="00365FEB" w:rsidP="00365FEB">
            <w:pPr>
              <w:pStyle w:val="ListParagraph"/>
              <w:numPr>
                <w:ilvl w:val="0"/>
                <w:numId w:val="8"/>
              </w:numPr>
              <w:spacing w:after="0" w:line="240" w:lineRule="auto"/>
              <w:rPr>
                <w:rFonts w:cs="Calibri"/>
                <w:sz w:val="22"/>
              </w:rPr>
            </w:pPr>
            <w:r>
              <w:rPr>
                <w:rFonts w:cs="Calibri"/>
                <w:sz w:val="22"/>
              </w:rPr>
              <w:t xml:space="preserve">Developed by </w:t>
            </w:r>
            <w:r w:rsidRPr="009A3D30">
              <w:rPr>
                <w:rFonts w:cstheme="minorHAnsi"/>
                <w:sz w:val="22"/>
              </w:rPr>
              <w:t>Director of Facilities &amp; Capital Planning</w:t>
            </w:r>
            <w:r>
              <w:rPr>
                <w:rFonts w:cstheme="minorHAnsi"/>
                <w:sz w:val="22"/>
              </w:rPr>
              <w:t xml:space="preserve"> </w:t>
            </w:r>
            <w:r>
              <w:rPr>
                <w:rFonts w:cs="Calibri"/>
                <w:sz w:val="22"/>
              </w:rPr>
              <w:t>based on departmental submissions</w:t>
            </w:r>
          </w:p>
          <w:p w14:paraId="47B68FB5" w14:textId="77777777" w:rsidR="00365FEB" w:rsidRDefault="00365FEB" w:rsidP="00365FEB">
            <w:pPr>
              <w:pStyle w:val="ListParagraph"/>
              <w:numPr>
                <w:ilvl w:val="0"/>
                <w:numId w:val="8"/>
              </w:numPr>
              <w:spacing w:after="0" w:line="240" w:lineRule="auto"/>
              <w:rPr>
                <w:rFonts w:cs="Calibri"/>
                <w:sz w:val="22"/>
              </w:rPr>
            </w:pPr>
            <w:r>
              <w:rPr>
                <w:rFonts w:cs="Calibri"/>
                <w:sz w:val="22"/>
              </w:rPr>
              <w:t>Finalized by Town Administrator for proposal to Select Board</w:t>
            </w:r>
          </w:p>
        </w:tc>
      </w:tr>
      <w:tr w:rsidR="00365FEB" w:rsidRPr="003928C0" w14:paraId="5A777EA3" w14:textId="77777777" w:rsidTr="00C51225">
        <w:trPr>
          <w:trHeight w:val="620"/>
        </w:trPr>
        <w:tc>
          <w:tcPr>
            <w:tcW w:w="2515" w:type="dxa"/>
          </w:tcPr>
          <w:p w14:paraId="2BE1F36A" w14:textId="77777777" w:rsidR="00365FEB" w:rsidRPr="003928C0" w:rsidRDefault="00365FEB" w:rsidP="00C51225">
            <w:pPr>
              <w:spacing w:after="0"/>
              <w:rPr>
                <w:rFonts w:cs="Calibri"/>
                <w:sz w:val="22"/>
              </w:rPr>
            </w:pPr>
            <w:r>
              <w:rPr>
                <w:rFonts w:cs="Calibri"/>
                <w:sz w:val="22"/>
              </w:rPr>
              <w:t>Multiyear Capital Improvement Plan (CIP)</w:t>
            </w:r>
          </w:p>
        </w:tc>
        <w:tc>
          <w:tcPr>
            <w:tcW w:w="6840" w:type="dxa"/>
          </w:tcPr>
          <w:p w14:paraId="1643EA06" w14:textId="77777777" w:rsidR="00365FEB" w:rsidRPr="003928C0" w:rsidRDefault="00365FEB" w:rsidP="00365FEB">
            <w:pPr>
              <w:pStyle w:val="ListParagraph"/>
              <w:numPr>
                <w:ilvl w:val="0"/>
                <w:numId w:val="8"/>
              </w:numPr>
              <w:spacing w:after="0" w:line="240" w:lineRule="auto"/>
              <w:rPr>
                <w:rFonts w:cs="Calibri"/>
                <w:sz w:val="22"/>
              </w:rPr>
            </w:pPr>
            <w:r>
              <w:rPr>
                <w:rFonts w:cs="Calibri"/>
                <w:sz w:val="22"/>
              </w:rPr>
              <w:t>First year is the capital budget proposed for the next fiscal year</w:t>
            </w:r>
          </w:p>
          <w:p w14:paraId="4675AAB7" w14:textId="77777777" w:rsidR="00365FEB" w:rsidRPr="008D4607" w:rsidRDefault="00365FEB" w:rsidP="00365FEB">
            <w:pPr>
              <w:pStyle w:val="ListParagraph"/>
              <w:numPr>
                <w:ilvl w:val="0"/>
                <w:numId w:val="8"/>
              </w:numPr>
              <w:spacing w:after="0" w:line="240" w:lineRule="auto"/>
              <w:rPr>
                <w:rFonts w:cs="Calibri"/>
                <w:sz w:val="22"/>
              </w:rPr>
            </w:pPr>
            <w:r w:rsidRPr="008D4607">
              <w:rPr>
                <w:rFonts w:cs="Calibri"/>
                <w:sz w:val="22"/>
              </w:rPr>
              <w:t>Four subsequent years of capital project projections</w:t>
            </w:r>
          </w:p>
          <w:p w14:paraId="2B2313B6" w14:textId="77777777" w:rsidR="00365FEB" w:rsidRDefault="00365FEB" w:rsidP="00365FEB">
            <w:pPr>
              <w:pStyle w:val="ListParagraph"/>
              <w:numPr>
                <w:ilvl w:val="0"/>
                <w:numId w:val="8"/>
              </w:numPr>
              <w:spacing w:after="0" w:line="240" w:lineRule="auto"/>
              <w:rPr>
                <w:rFonts w:cs="Calibri"/>
                <w:sz w:val="22"/>
              </w:rPr>
            </w:pPr>
            <w:r>
              <w:rPr>
                <w:rFonts w:cs="Calibri"/>
                <w:sz w:val="22"/>
              </w:rPr>
              <w:t xml:space="preserve">Updated and maintained by the </w:t>
            </w:r>
            <w:r w:rsidRPr="009A3D30">
              <w:rPr>
                <w:rFonts w:cstheme="minorHAnsi"/>
                <w:sz w:val="22"/>
              </w:rPr>
              <w:t>Director of Facilities &amp; Capital Planning</w:t>
            </w:r>
          </w:p>
          <w:p w14:paraId="7BB7EFCD" w14:textId="77777777" w:rsidR="00365FEB" w:rsidRPr="00B844C9" w:rsidRDefault="00365FEB" w:rsidP="00365FEB">
            <w:pPr>
              <w:pStyle w:val="ListParagraph"/>
              <w:numPr>
                <w:ilvl w:val="0"/>
                <w:numId w:val="8"/>
              </w:numPr>
              <w:spacing w:after="0" w:line="240" w:lineRule="auto"/>
              <w:rPr>
                <w:rFonts w:cs="Calibri"/>
                <w:sz w:val="22"/>
              </w:rPr>
            </w:pPr>
            <w:r>
              <w:rPr>
                <w:rFonts w:cs="Calibri"/>
                <w:sz w:val="22"/>
              </w:rPr>
              <w:lastRenderedPageBreak/>
              <w:t>Finalized by Town Administrator for acceptance vote by Select Board and recommendation from Finance Committee</w:t>
            </w:r>
          </w:p>
        </w:tc>
      </w:tr>
      <w:tr w:rsidR="00365FEB" w:rsidRPr="003928C0" w14:paraId="1B39DFF0" w14:textId="77777777" w:rsidTr="00C51225">
        <w:trPr>
          <w:trHeight w:val="890"/>
        </w:trPr>
        <w:tc>
          <w:tcPr>
            <w:tcW w:w="2515" w:type="dxa"/>
          </w:tcPr>
          <w:p w14:paraId="35421419" w14:textId="77777777" w:rsidR="00365FEB" w:rsidRPr="003928C0" w:rsidRDefault="00365FEB" w:rsidP="00C51225">
            <w:pPr>
              <w:spacing w:after="0"/>
              <w:rPr>
                <w:rFonts w:cs="Calibri"/>
                <w:sz w:val="22"/>
              </w:rPr>
            </w:pPr>
            <w:r>
              <w:rPr>
                <w:rFonts w:cs="Calibri"/>
                <w:sz w:val="22"/>
              </w:rPr>
              <w:lastRenderedPageBreak/>
              <w:t>Capital Inventory</w:t>
            </w:r>
          </w:p>
        </w:tc>
        <w:tc>
          <w:tcPr>
            <w:tcW w:w="6840" w:type="dxa"/>
          </w:tcPr>
          <w:p w14:paraId="4309D79A" w14:textId="77777777" w:rsidR="00365FEB" w:rsidRPr="0057583C" w:rsidRDefault="00365FEB" w:rsidP="00365FEB">
            <w:pPr>
              <w:pStyle w:val="ListParagraph"/>
              <w:numPr>
                <w:ilvl w:val="0"/>
                <w:numId w:val="9"/>
              </w:numPr>
              <w:spacing w:after="0" w:line="240" w:lineRule="auto"/>
              <w:rPr>
                <w:rFonts w:cs="Calibri"/>
                <w:sz w:val="22"/>
              </w:rPr>
            </w:pPr>
            <w:r w:rsidRPr="0057583C">
              <w:rPr>
                <w:rFonts w:cs="Calibri"/>
                <w:sz w:val="22"/>
              </w:rPr>
              <w:t>Assembled and updated annually</w:t>
            </w:r>
          </w:p>
          <w:p w14:paraId="6BA10496" w14:textId="77777777" w:rsidR="00365FEB" w:rsidRPr="003928C0" w:rsidRDefault="00365FEB" w:rsidP="00365FEB">
            <w:pPr>
              <w:pStyle w:val="ListParagraph"/>
              <w:numPr>
                <w:ilvl w:val="0"/>
                <w:numId w:val="9"/>
              </w:numPr>
              <w:spacing w:after="0" w:line="240" w:lineRule="auto"/>
              <w:rPr>
                <w:rFonts w:cs="Calibri"/>
                <w:sz w:val="22"/>
              </w:rPr>
            </w:pPr>
            <w:r w:rsidRPr="0057583C">
              <w:rPr>
                <w:rFonts w:cs="Calibri"/>
                <w:sz w:val="22"/>
              </w:rPr>
              <w:t xml:space="preserve">Responsibility of the </w:t>
            </w:r>
            <w:r w:rsidRPr="009A3D30">
              <w:rPr>
                <w:rFonts w:cstheme="minorHAnsi"/>
                <w:sz w:val="22"/>
              </w:rPr>
              <w:t>Director of Facilities &amp; Capital Planning</w:t>
            </w:r>
            <w:r>
              <w:rPr>
                <w:rFonts w:cstheme="minorHAnsi"/>
                <w:sz w:val="22"/>
              </w:rPr>
              <w:t xml:space="preserve">, </w:t>
            </w:r>
            <w:r>
              <w:rPr>
                <w:rFonts w:cs="Calibri"/>
                <w:sz w:val="22"/>
              </w:rPr>
              <w:t>Finance Director, and Town Accountant</w:t>
            </w:r>
          </w:p>
        </w:tc>
      </w:tr>
      <w:tr w:rsidR="00365FEB" w:rsidRPr="003928C0" w14:paraId="15EBF059" w14:textId="77777777" w:rsidTr="00C51225">
        <w:trPr>
          <w:trHeight w:val="2960"/>
        </w:trPr>
        <w:tc>
          <w:tcPr>
            <w:tcW w:w="2515" w:type="dxa"/>
          </w:tcPr>
          <w:p w14:paraId="1650ADF7" w14:textId="77777777" w:rsidR="00365FEB" w:rsidRDefault="00365FEB" w:rsidP="00C51225">
            <w:pPr>
              <w:spacing w:after="0"/>
              <w:rPr>
                <w:rFonts w:cs="Calibri"/>
                <w:sz w:val="22"/>
              </w:rPr>
            </w:pPr>
            <w:r>
              <w:rPr>
                <w:rFonts w:cs="Calibri"/>
                <w:sz w:val="22"/>
              </w:rPr>
              <w:t>Prioritization criteria</w:t>
            </w:r>
          </w:p>
        </w:tc>
        <w:tc>
          <w:tcPr>
            <w:tcW w:w="6840" w:type="dxa"/>
          </w:tcPr>
          <w:p w14:paraId="302EA3EA" w14:textId="77777777" w:rsidR="00365FEB" w:rsidRDefault="00365FEB" w:rsidP="00C51225">
            <w:pPr>
              <w:autoSpaceDE w:val="0"/>
              <w:autoSpaceDN w:val="0"/>
              <w:adjustRightInd w:val="0"/>
              <w:spacing w:after="0"/>
              <w:jc w:val="both"/>
              <w:rPr>
                <w:rFonts w:cs="Times New Roman"/>
                <w:sz w:val="22"/>
              </w:rPr>
            </w:pPr>
            <w:r>
              <w:rPr>
                <w:rFonts w:cs="Times New Roman"/>
                <w:sz w:val="22"/>
              </w:rPr>
              <w:t>In descending order:</w:t>
            </w:r>
          </w:p>
          <w:p w14:paraId="085310EB" w14:textId="77777777" w:rsidR="00365FEB" w:rsidRPr="00320634" w:rsidRDefault="00365FEB" w:rsidP="00365FEB">
            <w:pPr>
              <w:pStyle w:val="ListParagraph"/>
              <w:numPr>
                <w:ilvl w:val="0"/>
                <w:numId w:val="10"/>
              </w:numPr>
              <w:autoSpaceDE w:val="0"/>
              <w:autoSpaceDN w:val="0"/>
              <w:adjustRightInd w:val="0"/>
              <w:spacing w:after="0" w:line="240" w:lineRule="auto"/>
              <w:jc w:val="both"/>
              <w:rPr>
                <w:rFonts w:cs="Times New Roman"/>
                <w:sz w:val="22"/>
              </w:rPr>
            </w:pPr>
            <w:r w:rsidRPr="00320634">
              <w:rPr>
                <w:rFonts w:cs="Times New Roman"/>
                <w:sz w:val="22"/>
              </w:rPr>
              <w:t xml:space="preserve">Eliminates public health </w:t>
            </w:r>
            <w:r>
              <w:rPr>
                <w:rFonts w:cs="Times New Roman"/>
                <w:sz w:val="22"/>
              </w:rPr>
              <w:t>or</w:t>
            </w:r>
            <w:r w:rsidRPr="00320634">
              <w:rPr>
                <w:rFonts w:cs="Times New Roman"/>
                <w:sz w:val="22"/>
              </w:rPr>
              <w:t xml:space="preserve"> safety hazard</w:t>
            </w:r>
          </w:p>
          <w:p w14:paraId="75BCB0BB" w14:textId="77777777" w:rsidR="00365FEB" w:rsidRPr="00320634" w:rsidRDefault="00365FEB" w:rsidP="00365FEB">
            <w:pPr>
              <w:pStyle w:val="ListParagraph"/>
              <w:numPr>
                <w:ilvl w:val="0"/>
                <w:numId w:val="10"/>
              </w:numPr>
              <w:autoSpaceDE w:val="0"/>
              <w:autoSpaceDN w:val="0"/>
              <w:adjustRightInd w:val="0"/>
              <w:spacing w:after="0" w:line="240" w:lineRule="auto"/>
              <w:jc w:val="both"/>
              <w:rPr>
                <w:rFonts w:cs="Times New Roman"/>
                <w:sz w:val="22"/>
              </w:rPr>
            </w:pPr>
            <w:r w:rsidRPr="00320634">
              <w:rPr>
                <w:rFonts w:cs="Times New Roman"/>
                <w:sz w:val="22"/>
              </w:rPr>
              <w:t>Required by state or federal laws or regulations</w:t>
            </w:r>
          </w:p>
          <w:p w14:paraId="62D4D9F6" w14:textId="77777777" w:rsidR="00365FEB" w:rsidRPr="00320634" w:rsidRDefault="00365FEB" w:rsidP="00365FEB">
            <w:pPr>
              <w:pStyle w:val="ListParagraph"/>
              <w:numPr>
                <w:ilvl w:val="0"/>
                <w:numId w:val="10"/>
              </w:numPr>
              <w:autoSpaceDE w:val="0"/>
              <w:autoSpaceDN w:val="0"/>
              <w:adjustRightInd w:val="0"/>
              <w:spacing w:after="0" w:line="240" w:lineRule="auto"/>
              <w:jc w:val="both"/>
              <w:rPr>
                <w:rFonts w:cs="Times New Roman"/>
                <w:sz w:val="22"/>
              </w:rPr>
            </w:pPr>
            <w:r w:rsidRPr="00320634">
              <w:rPr>
                <w:rFonts w:cs="Times New Roman"/>
                <w:sz w:val="22"/>
              </w:rPr>
              <w:t>Supports adopted plans, goals, objectives, and policies</w:t>
            </w:r>
          </w:p>
          <w:p w14:paraId="1ABA9F17" w14:textId="77777777" w:rsidR="00365FEB" w:rsidRPr="00320634" w:rsidRDefault="00365FEB" w:rsidP="00365FEB">
            <w:pPr>
              <w:pStyle w:val="ListParagraph"/>
              <w:numPr>
                <w:ilvl w:val="0"/>
                <w:numId w:val="10"/>
              </w:numPr>
              <w:autoSpaceDE w:val="0"/>
              <w:autoSpaceDN w:val="0"/>
              <w:adjustRightInd w:val="0"/>
              <w:spacing w:after="0" w:line="240" w:lineRule="auto"/>
              <w:jc w:val="both"/>
              <w:rPr>
                <w:rFonts w:cs="Times New Roman"/>
                <w:sz w:val="22"/>
              </w:rPr>
            </w:pPr>
            <w:r w:rsidRPr="00320634">
              <w:rPr>
                <w:rFonts w:cs="Times New Roman"/>
                <w:sz w:val="22"/>
              </w:rPr>
              <w:t>Stabilizes or reduces operating costs</w:t>
            </w:r>
          </w:p>
          <w:p w14:paraId="0475FE57" w14:textId="77777777" w:rsidR="00365FEB" w:rsidRPr="00320634" w:rsidRDefault="00365FEB" w:rsidP="00365FEB">
            <w:pPr>
              <w:pStyle w:val="ListParagraph"/>
              <w:numPr>
                <w:ilvl w:val="0"/>
                <w:numId w:val="10"/>
              </w:numPr>
              <w:autoSpaceDE w:val="0"/>
              <w:autoSpaceDN w:val="0"/>
              <w:adjustRightInd w:val="0"/>
              <w:spacing w:after="0" w:line="240" w:lineRule="auto"/>
              <w:jc w:val="both"/>
              <w:rPr>
                <w:rFonts w:cs="Times New Roman"/>
                <w:sz w:val="22"/>
              </w:rPr>
            </w:pPr>
            <w:r w:rsidRPr="00320634">
              <w:rPr>
                <w:rFonts w:cs="Times New Roman"/>
                <w:sz w:val="22"/>
              </w:rPr>
              <w:t>Makes better use of a facility or replaces a clearly obsolete one</w:t>
            </w:r>
          </w:p>
          <w:p w14:paraId="3DAAFFEF" w14:textId="77777777" w:rsidR="00365FEB" w:rsidRPr="00320634" w:rsidRDefault="00365FEB" w:rsidP="00365FEB">
            <w:pPr>
              <w:pStyle w:val="ListParagraph"/>
              <w:numPr>
                <w:ilvl w:val="0"/>
                <w:numId w:val="10"/>
              </w:numPr>
              <w:autoSpaceDE w:val="0"/>
              <w:autoSpaceDN w:val="0"/>
              <w:adjustRightInd w:val="0"/>
              <w:spacing w:after="0" w:line="240" w:lineRule="auto"/>
              <w:jc w:val="both"/>
              <w:rPr>
                <w:rFonts w:cs="Times New Roman"/>
                <w:sz w:val="22"/>
              </w:rPr>
            </w:pPr>
            <w:r w:rsidRPr="00320634">
              <w:rPr>
                <w:rFonts w:cs="Times New Roman"/>
                <w:sz w:val="22"/>
              </w:rPr>
              <w:t>Maintains or improves productivity or existing standards of service</w:t>
            </w:r>
          </w:p>
          <w:p w14:paraId="642953BB" w14:textId="77777777" w:rsidR="00365FEB" w:rsidRPr="00320634" w:rsidRDefault="00365FEB" w:rsidP="00365FEB">
            <w:pPr>
              <w:pStyle w:val="ListParagraph"/>
              <w:numPr>
                <w:ilvl w:val="0"/>
                <w:numId w:val="10"/>
              </w:numPr>
              <w:autoSpaceDE w:val="0"/>
              <w:autoSpaceDN w:val="0"/>
              <w:adjustRightInd w:val="0"/>
              <w:spacing w:after="0" w:line="240" w:lineRule="auto"/>
              <w:jc w:val="both"/>
              <w:rPr>
                <w:rFonts w:cs="Times New Roman"/>
                <w:sz w:val="22"/>
              </w:rPr>
            </w:pPr>
            <w:r w:rsidRPr="00320634">
              <w:rPr>
                <w:rFonts w:cs="Times New Roman"/>
                <w:sz w:val="22"/>
              </w:rPr>
              <w:t>Uses outside financing sources, such as grants</w:t>
            </w:r>
          </w:p>
          <w:p w14:paraId="207E19F5" w14:textId="77777777" w:rsidR="00365FEB" w:rsidRPr="00320634" w:rsidRDefault="00365FEB" w:rsidP="00365FEB">
            <w:pPr>
              <w:pStyle w:val="ListParagraph"/>
              <w:numPr>
                <w:ilvl w:val="0"/>
                <w:numId w:val="10"/>
              </w:numPr>
              <w:autoSpaceDE w:val="0"/>
              <w:autoSpaceDN w:val="0"/>
              <w:adjustRightInd w:val="0"/>
              <w:spacing w:after="0" w:line="240" w:lineRule="auto"/>
              <w:jc w:val="both"/>
              <w:rPr>
                <w:rFonts w:cs="Times New Roman"/>
                <w:sz w:val="22"/>
              </w:rPr>
            </w:pPr>
            <w:r w:rsidRPr="00320634">
              <w:rPr>
                <w:rFonts w:cs="Times New Roman"/>
                <w:sz w:val="22"/>
              </w:rPr>
              <w:t xml:space="preserve">Directly benefits </w:t>
            </w:r>
            <w:r>
              <w:rPr>
                <w:rFonts w:cs="Times New Roman"/>
                <w:sz w:val="22"/>
              </w:rPr>
              <w:t>Town</w:t>
            </w:r>
            <w:r w:rsidRPr="00320634">
              <w:rPr>
                <w:rFonts w:cs="Times New Roman"/>
                <w:sz w:val="22"/>
              </w:rPr>
              <w:t>'s economic base by increasing property values</w:t>
            </w:r>
          </w:p>
          <w:p w14:paraId="20B68A7F" w14:textId="77777777" w:rsidR="00365FEB" w:rsidRPr="00DA6AA7" w:rsidRDefault="00365FEB" w:rsidP="00365FEB">
            <w:pPr>
              <w:pStyle w:val="ListParagraph"/>
              <w:numPr>
                <w:ilvl w:val="0"/>
                <w:numId w:val="10"/>
              </w:numPr>
              <w:autoSpaceDE w:val="0"/>
              <w:autoSpaceDN w:val="0"/>
              <w:adjustRightInd w:val="0"/>
              <w:spacing w:after="0" w:line="240" w:lineRule="auto"/>
              <w:jc w:val="both"/>
              <w:rPr>
                <w:rFonts w:cs="Times New Roman"/>
                <w:sz w:val="22"/>
              </w:rPr>
            </w:pPr>
            <w:r w:rsidRPr="00320634">
              <w:rPr>
                <w:rFonts w:cs="Times New Roman"/>
                <w:sz w:val="22"/>
              </w:rPr>
              <w:t>Provides new programs having social, cultural, historic, economic, or aesthetic value</w:t>
            </w:r>
          </w:p>
        </w:tc>
      </w:tr>
    </w:tbl>
    <w:p w14:paraId="17704161" w14:textId="77777777" w:rsidR="00365FEB" w:rsidRDefault="00365FEB" w:rsidP="00365FEB">
      <w:pPr>
        <w:spacing w:after="0"/>
      </w:pPr>
    </w:p>
    <w:tbl>
      <w:tblPr>
        <w:tblStyle w:val="TableGrid"/>
        <w:tblW w:w="0" w:type="auto"/>
        <w:tblInd w:w="0" w:type="dxa"/>
        <w:tblLook w:val="04A0" w:firstRow="1" w:lastRow="0" w:firstColumn="1" w:lastColumn="0" w:noHBand="0" w:noVBand="1"/>
      </w:tblPr>
      <w:tblGrid>
        <w:gridCol w:w="2514"/>
        <w:gridCol w:w="6836"/>
      </w:tblGrid>
      <w:tr w:rsidR="00365FEB" w:rsidRPr="003928C0" w14:paraId="1F40B920" w14:textId="77777777" w:rsidTr="00C51225">
        <w:trPr>
          <w:trHeight w:val="350"/>
        </w:trPr>
        <w:tc>
          <w:tcPr>
            <w:tcW w:w="2515" w:type="dxa"/>
            <w:shd w:val="clear" w:color="auto" w:fill="D9E2F3" w:themeFill="accent1" w:themeFillTint="33"/>
            <w:vAlign w:val="center"/>
          </w:tcPr>
          <w:p w14:paraId="4888DECF" w14:textId="77777777" w:rsidR="00365FEB" w:rsidRPr="00F813F9" w:rsidRDefault="00365FEB" w:rsidP="00C51225">
            <w:pPr>
              <w:overflowPunct w:val="0"/>
              <w:autoSpaceDE w:val="0"/>
              <w:autoSpaceDN w:val="0"/>
              <w:spacing w:before="60" w:after="60"/>
              <w:jc w:val="center"/>
              <w:textAlignment w:val="baseline"/>
              <w:rPr>
                <w:b/>
                <w:lang w:eastAsia="ja-JP"/>
              </w:rPr>
            </w:pPr>
            <w:r w:rsidRPr="00F813F9">
              <w:rPr>
                <w:b/>
                <w:lang w:eastAsia="ja-JP"/>
              </w:rPr>
              <w:t>Capital Financing</w:t>
            </w:r>
          </w:p>
        </w:tc>
        <w:tc>
          <w:tcPr>
            <w:tcW w:w="6840" w:type="dxa"/>
            <w:shd w:val="clear" w:color="auto" w:fill="D9E2F3" w:themeFill="accent1" w:themeFillTint="33"/>
            <w:vAlign w:val="center"/>
          </w:tcPr>
          <w:p w14:paraId="45D88A5C" w14:textId="77777777" w:rsidR="00365FEB" w:rsidRPr="00F813F9" w:rsidRDefault="00365FEB" w:rsidP="00C51225">
            <w:pPr>
              <w:overflowPunct w:val="0"/>
              <w:autoSpaceDE w:val="0"/>
              <w:autoSpaceDN w:val="0"/>
              <w:spacing w:before="60" w:after="60"/>
              <w:jc w:val="center"/>
              <w:textAlignment w:val="baseline"/>
              <w:rPr>
                <w:b/>
                <w:lang w:eastAsia="ja-JP"/>
              </w:rPr>
            </w:pPr>
            <w:r w:rsidRPr="00F813F9">
              <w:rPr>
                <w:b/>
                <w:lang w:eastAsia="ja-JP"/>
              </w:rPr>
              <w:t>Policy Guidance</w:t>
            </w:r>
          </w:p>
        </w:tc>
      </w:tr>
      <w:tr w:rsidR="00365FEB" w:rsidRPr="003928C0" w14:paraId="23037131" w14:textId="77777777" w:rsidTr="00C51225">
        <w:trPr>
          <w:trHeight w:val="872"/>
        </w:trPr>
        <w:tc>
          <w:tcPr>
            <w:tcW w:w="2515" w:type="dxa"/>
          </w:tcPr>
          <w:p w14:paraId="110AC1F7" w14:textId="77777777" w:rsidR="00365FEB" w:rsidRPr="003928C0" w:rsidRDefault="00365FEB" w:rsidP="00C51225">
            <w:pPr>
              <w:spacing w:after="0"/>
              <w:jc w:val="both"/>
              <w:rPr>
                <w:rFonts w:cs="Calibri"/>
                <w:sz w:val="22"/>
              </w:rPr>
            </w:pPr>
            <w:r>
              <w:rPr>
                <w:rFonts w:cs="Calibri"/>
                <w:sz w:val="22"/>
              </w:rPr>
              <w:t>Funding targets</w:t>
            </w:r>
          </w:p>
        </w:tc>
        <w:tc>
          <w:tcPr>
            <w:tcW w:w="6840" w:type="dxa"/>
          </w:tcPr>
          <w:p w14:paraId="64BFE331" w14:textId="77777777" w:rsidR="00365FEB" w:rsidRPr="00350D4B" w:rsidRDefault="00365FEB" w:rsidP="00365FEB">
            <w:pPr>
              <w:pStyle w:val="ListParagraph"/>
              <w:numPr>
                <w:ilvl w:val="0"/>
                <w:numId w:val="9"/>
              </w:numPr>
              <w:spacing w:after="0" w:line="240" w:lineRule="auto"/>
              <w:rPr>
                <w:rFonts w:cs="Calibri"/>
                <w:sz w:val="22"/>
              </w:rPr>
            </w:pPr>
            <w:r w:rsidRPr="0057583C">
              <w:rPr>
                <w:rFonts w:cs="Calibri"/>
                <w:sz w:val="22"/>
              </w:rPr>
              <w:t>Overall capital spending</w:t>
            </w:r>
            <w:r w:rsidRPr="00350D4B">
              <w:rPr>
                <w:rFonts w:cs="Calibri"/>
                <w:sz w:val="22"/>
              </w:rPr>
              <w:t xml:space="preserve">: 4-7% of the general fund budget </w:t>
            </w:r>
          </w:p>
          <w:p w14:paraId="307BAD10" w14:textId="77777777" w:rsidR="00365FEB" w:rsidRPr="00350D4B" w:rsidRDefault="00365FEB" w:rsidP="00365FEB">
            <w:pPr>
              <w:pStyle w:val="ListParagraph"/>
              <w:numPr>
                <w:ilvl w:val="1"/>
                <w:numId w:val="9"/>
              </w:numPr>
              <w:spacing w:after="0" w:line="240" w:lineRule="auto"/>
              <w:ind w:left="796" w:hanging="270"/>
              <w:rPr>
                <w:rFonts w:cs="Calibri"/>
                <w:sz w:val="22"/>
              </w:rPr>
            </w:pPr>
            <w:r w:rsidRPr="00350D4B">
              <w:rPr>
                <w:rFonts w:cs="Calibri"/>
                <w:sz w:val="22"/>
              </w:rPr>
              <w:t>Non-debt, “cash capital” spending: 2-3% of GF budget</w:t>
            </w:r>
          </w:p>
          <w:p w14:paraId="13AB059F" w14:textId="77777777" w:rsidR="00365FEB" w:rsidRPr="00E17264" w:rsidRDefault="00365FEB" w:rsidP="00365FEB">
            <w:pPr>
              <w:pStyle w:val="ListParagraph"/>
              <w:numPr>
                <w:ilvl w:val="1"/>
                <w:numId w:val="9"/>
              </w:numPr>
              <w:spacing w:after="0" w:line="240" w:lineRule="auto"/>
              <w:ind w:left="796" w:hanging="270"/>
              <w:rPr>
                <w:rFonts w:cs="Calibri"/>
                <w:sz w:val="22"/>
              </w:rPr>
            </w:pPr>
            <w:r w:rsidRPr="00350D4B">
              <w:rPr>
                <w:rFonts w:cs="Calibri"/>
                <w:sz w:val="22"/>
              </w:rPr>
              <w:t>Annual capital debt service: 2-4% of</w:t>
            </w:r>
            <w:r w:rsidRPr="0057583C">
              <w:rPr>
                <w:rFonts w:cs="Calibri"/>
                <w:sz w:val="22"/>
              </w:rPr>
              <w:t xml:space="preserve"> GF budget</w:t>
            </w:r>
          </w:p>
        </w:tc>
      </w:tr>
      <w:tr w:rsidR="00365FEB" w:rsidRPr="003928C0" w14:paraId="0BE80961" w14:textId="77777777" w:rsidTr="00C51225">
        <w:trPr>
          <w:trHeight w:val="629"/>
        </w:trPr>
        <w:tc>
          <w:tcPr>
            <w:tcW w:w="2515" w:type="dxa"/>
          </w:tcPr>
          <w:p w14:paraId="561A22C4" w14:textId="77777777" w:rsidR="00365FEB" w:rsidRPr="003928C0" w:rsidRDefault="00365FEB" w:rsidP="00C51225">
            <w:pPr>
              <w:spacing w:after="0"/>
              <w:jc w:val="both"/>
              <w:rPr>
                <w:rFonts w:cs="Calibri"/>
                <w:sz w:val="22"/>
              </w:rPr>
            </w:pPr>
            <w:r>
              <w:rPr>
                <w:rFonts w:cs="Calibri"/>
                <w:sz w:val="22"/>
              </w:rPr>
              <w:t>Debt usage</w:t>
            </w:r>
          </w:p>
        </w:tc>
        <w:tc>
          <w:tcPr>
            <w:tcW w:w="6840" w:type="dxa"/>
          </w:tcPr>
          <w:p w14:paraId="43B49B5C" w14:textId="77777777" w:rsidR="00365FEB" w:rsidRDefault="00365FEB" w:rsidP="00365FEB">
            <w:pPr>
              <w:pStyle w:val="ListParagraph"/>
              <w:numPr>
                <w:ilvl w:val="0"/>
                <w:numId w:val="9"/>
              </w:numPr>
              <w:spacing w:after="0" w:line="240" w:lineRule="auto"/>
              <w:rPr>
                <w:rFonts w:cs="Calibri"/>
                <w:sz w:val="22"/>
              </w:rPr>
            </w:pPr>
            <w:r>
              <w:rPr>
                <w:rFonts w:cs="Calibri"/>
                <w:sz w:val="22"/>
              </w:rPr>
              <w:t>Short-term debt: Useful life &lt; 10 years</w:t>
            </w:r>
          </w:p>
          <w:p w14:paraId="02B8F051" w14:textId="77777777" w:rsidR="00365FEB" w:rsidRPr="003928C0" w:rsidRDefault="00365FEB" w:rsidP="00365FEB">
            <w:pPr>
              <w:pStyle w:val="ListParagraph"/>
              <w:numPr>
                <w:ilvl w:val="0"/>
                <w:numId w:val="9"/>
              </w:numPr>
              <w:spacing w:after="0" w:line="240" w:lineRule="auto"/>
              <w:rPr>
                <w:rFonts w:cs="Calibri"/>
                <w:sz w:val="22"/>
              </w:rPr>
            </w:pPr>
            <w:r>
              <w:rPr>
                <w:rFonts w:cs="Calibri"/>
                <w:sz w:val="22"/>
              </w:rPr>
              <w:t>Long-term debt: Useful life &gt; 10 years and cost &gt; $100,000</w:t>
            </w:r>
          </w:p>
        </w:tc>
      </w:tr>
      <w:tr w:rsidR="00365FEB" w:rsidRPr="003928C0" w14:paraId="4BC74916" w14:textId="77777777" w:rsidTr="00C51225">
        <w:trPr>
          <w:trHeight w:val="899"/>
        </w:trPr>
        <w:tc>
          <w:tcPr>
            <w:tcW w:w="2515" w:type="dxa"/>
          </w:tcPr>
          <w:p w14:paraId="5FBC7953" w14:textId="77777777" w:rsidR="00365FEB" w:rsidRPr="003928C0" w:rsidRDefault="00365FEB" w:rsidP="00C51225">
            <w:pPr>
              <w:spacing w:after="0"/>
              <w:rPr>
                <w:rFonts w:cs="Calibri"/>
                <w:sz w:val="22"/>
              </w:rPr>
            </w:pPr>
            <w:r>
              <w:rPr>
                <w:rFonts w:cs="Calibri"/>
                <w:sz w:val="22"/>
              </w:rPr>
              <w:t>Cash capital</w:t>
            </w:r>
          </w:p>
        </w:tc>
        <w:tc>
          <w:tcPr>
            <w:tcW w:w="6840" w:type="dxa"/>
          </w:tcPr>
          <w:p w14:paraId="5C8740A1" w14:textId="77777777" w:rsidR="00365FEB" w:rsidRPr="007A5C81" w:rsidRDefault="00365FEB" w:rsidP="00365FEB">
            <w:pPr>
              <w:pStyle w:val="ListParagraph"/>
              <w:numPr>
                <w:ilvl w:val="0"/>
                <w:numId w:val="9"/>
              </w:numPr>
              <w:spacing w:after="0" w:line="240" w:lineRule="auto"/>
              <w:rPr>
                <w:rFonts w:cs="Calibri"/>
                <w:sz w:val="22"/>
              </w:rPr>
            </w:pPr>
            <w:r>
              <w:rPr>
                <w:rFonts w:cs="Calibri"/>
                <w:sz w:val="22"/>
              </w:rPr>
              <w:t xml:space="preserve">Appropriate funding sources: levy, free cash, capital asset and sewer stabilization funds, revolving funds, overlay surplus, certain receipts reserved funds, grants </w:t>
            </w:r>
          </w:p>
        </w:tc>
      </w:tr>
    </w:tbl>
    <w:p w14:paraId="374BC0B6" w14:textId="77777777" w:rsidR="00365FEB" w:rsidRPr="00E95E07" w:rsidRDefault="00365FEB" w:rsidP="00365FEB">
      <w:pPr>
        <w:spacing w:after="0"/>
        <w:jc w:val="both"/>
        <w:rPr>
          <w:rFonts w:cstheme="minorHAnsi"/>
          <w:bCs/>
          <w:sz w:val="23"/>
          <w:szCs w:val="23"/>
        </w:rPr>
      </w:pPr>
    </w:p>
    <w:p w14:paraId="702CD949" w14:textId="77777777" w:rsidR="00365FEB" w:rsidRPr="00E95E07" w:rsidRDefault="00365FEB" w:rsidP="00365FEB">
      <w:pPr>
        <w:numPr>
          <w:ilvl w:val="0"/>
          <w:numId w:val="1"/>
        </w:numPr>
        <w:autoSpaceDE w:val="0"/>
        <w:autoSpaceDN w:val="0"/>
        <w:adjustRightInd w:val="0"/>
        <w:spacing w:after="0" w:line="240" w:lineRule="auto"/>
        <w:jc w:val="both"/>
        <w:rPr>
          <w:rFonts w:cstheme="minorHAnsi"/>
          <w:bCs/>
          <w:sz w:val="23"/>
          <w:szCs w:val="23"/>
          <w:u w:val="single"/>
        </w:rPr>
      </w:pPr>
      <w:r w:rsidRPr="00E95E07">
        <w:rPr>
          <w:rFonts w:cstheme="minorHAnsi"/>
          <w:bCs/>
          <w:sz w:val="23"/>
          <w:szCs w:val="23"/>
          <w:u w:val="single"/>
        </w:rPr>
        <w:t>Definition of a Capital Improvement</w:t>
      </w:r>
    </w:p>
    <w:p w14:paraId="0398B731" w14:textId="77777777" w:rsidR="00365FEB" w:rsidRPr="00E95E07" w:rsidRDefault="00365FEB" w:rsidP="00365FEB">
      <w:pPr>
        <w:autoSpaceDE w:val="0"/>
        <w:autoSpaceDN w:val="0"/>
        <w:adjustRightInd w:val="0"/>
        <w:spacing w:after="0" w:line="240" w:lineRule="auto"/>
        <w:jc w:val="both"/>
        <w:rPr>
          <w:rFonts w:cstheme="minorHAnsi"/>
          <w:sz w:val="23"/>
          <w:szCs w:val="23"/>
        </w:rPr>
      </w:pPr>
    </w:p>
    <w:p w14:paraId="14B8750C" w14:textId="77777777" w:rsidR="00365FEB" w:rsidRPr="00E95E07" w:rsidRDefault="00365FEB" w:rsidP="00365FEB">
      <w:pPr>
        <w:autoSpaceDE w:val="0"/>
        <w:autoSpaceDN w:val="0"/>
        <w:adjustRightInd w:val="0"/>
        <w:spacing w:after="0" w:line="240" w:lineRule="auto"/>
        <w:jc w:val="both"/>
        <w:rPr>
          <w:rFonts w:cstheme="minorHAnsi"/>
          <w:color w:val="000000"/>
          <w:sz w:val="23"/>
          <w:szCs w:val="23"/>
        </w:rPr>
      </w:pPr>
      <w:r w:rsidRPr="00E95E07">
        <w:rPr>
          <w:rFonts w:cstheme="minorHAnsi"/>
          <w:sz w:val="23"/>
          <w:szCs w:val="23"/>
        </w:rPr>
        <w:t xml:space="preserve">A capital improvement is a tangible asset or project estimated to cost over $25,000 and to have or to extend five or more years of useful life. These include: </w:t>
      </w:r>
    </w:p>
    <w:p w14:paraId="036F0137" w14:textId="77777777" w:rsidR="00365FEB" w:rsidRPr="00E95E07" w:rsidRDefault="00365FEB" w:rsidP="00365FEB">
      <w:pPr>
        <w:autoSpaceDE w:val="0"/>
        <w:autoSpaceDN w:val="0"/>
        <w:adjustRightInd w:val="0"/>
        <w:spacing w:after="0" w:line="240" w:lineRule="auto"/>
        <w:jc w:val="both"/>
        <w:rPr>
          <w:rFonts w:cstheme="minorHAnsi"/>
          <w:bCs/>
          <w:color w:val="000000"/>
          <w:sz w:val="23"/>
          <w:szCs w:val="23"/>
        </w:rPr>
      </w:pPr>
    </w:p>
    <w:p w14:paraId="548E42C4" w14:textId="77777777" w:rsidR="00365FEB" w:rsidRPr="00E95E07" w:rsidRDefault="00365FEB" w:rsidP="00365FEB">
      <w:pPr>
        <w:numPr>
          <w:ilvl w:val="0"/>
          <w:numId w:val="3"/>
        </w:numPr>
        <w:spacing w:after="0" w:line="240" w:lineRule="auto"/>
        <w:jc w:val="both"/>
        <w:rPr>
          <w:rFonts w:cstheme="minorHAnsi"/>
          <w:bCs/>
          <w:sz w:val="23"/>
          <w:szCs w:val="23"/>
        </w:rPr>
      </w:pPr>
      <w:r w:rsidRPr="00E95E07">
        <w:rPr>
          <w:rFonts w:cstheme="minorHAnsi"/>
          <w:sz w:val="23"/>
          <w:szCs w:val="23"/>
        </w:rPr>
        <w:t>Real property acquisitions, construction, and long-life capital equipment</w:t>
      </w:r>
    </w:p>
    <w:p w14:paraId="70A44459" w14:textId="77777777" w:rsidR="00365FEB" w:rsidRPr="00E95E07" w:rsidRDefault="00365FEB" w:rsidP="00365FEB">
      <w:pPr>
        <w:numPr>
          <w:ilvl w:val="0"/>
          <w:numId w:val="3"/>
        </w:numPr>
        <w:spacing w:after="0" w:line="240" w:lineRule="auto"/>
        <w:jc w:val="both"/>
        <w:rPr>
          <w:rFonts w:cstheme="minorHAnsi"/>
          <w:bCs/>
          <w:sz w:val="23"/>
          <w:szCs w:val="23"/>
        </w:rPr>
      </w:pPr>
      <w:r w:rsidRPr="00E95E07">
        <w:rPr>
          <w:rFonts w:cstheme="minorHAnsi"/>
          <w:sz w:val="23"/>
          <w:szCs w:val="23"/>
        </w:rPr>
        <w:t>Improvements to physical infrastructure, including streets, sidewalks, stormwater drains, and wastewater treatment systems</w:t>
      </w:r>
    </w:p>
    <w:p w14:paraId="68DF00CB" w14:textId="77777777" w:rsidR="00365FEB" w:rsidRPr="00E95E07" w:rsidRDefault="00365FEB" w:rsidP="00365FEB">
      <w:pPr>
        <w:numPr>
          <w:ilvl w:val="0"/>
          <w:numId w:val="3"/>
        </w:numPr>
        <w:spacing w:after="0" w:line="240" w:lineRule="auto"/>
        <w:jc w:val="both"/>
        <w:rPr>
          <w:rFonts w:cstheme="minorHAnsi"/>
          <w:bCs/>
          <w:sz w:val="23"/>
          <w:szCs w:val="23"/>
        </w:rPr>
      </w:pPr>
      <w:r w:rsidRPr="00E95E07">
        <w:rPr>
          <w:rFonts w:cstheme="minorHAnsi"/>
          <w:sz w:val="23"/>
          <w:szCs w:val="23"/>
        </w:rPr>
        <w:t>Renovations of existing capital items that extend their useful lifespans, as distinguished from normal operating expenditures</w:t>
      </w:r>
    </w:p>
    <w:p w14:paraId="4E2E4C54" w14:textId="77777777" w:rsidR="00365FEB" w:rsidRPr="00E95E07" w:rsidRDefault="00365FEB" w:rsidP="00365FEB">
      <w:pPr>
        <w:numPr>
          <w:ilvl w:val="0"/>
          <w:numId w:val="3"/>
        </w:numPr>
        <w:autoSpaceDE w:val="0"/>
        <w:autoSpaceDN w:val="0"/>
        <w:adjustRightInd w:val="0"/>
        <w:spacing w:after="0" w:line="240" w:lineRule="auto"/>
        <w:jc w:val="both"/>
        <w:rPr>
          <w:rFonts w:cstheme="minorHAnsi"/>
          <w:bCs/>
          <w:sz w:val="23"/>
          <w:szCs w:val="23"/>
        </w:rPr>
      </w:pPr>
      <w:r w:rsidRPr="00E95E07">
        <w:rPr>
          <w:rFonts w:cstheme="minorHAnsi"/>
          <w:sz w:val="23"/>
          <w:szCs w:val="23"/>
        </w:rPr>
        <w:t>Planning, feasibility studies, and designs for potential capital projects</w:t>
      </w:r>
    </w:p>
    <w:p w14:paraId="61331186" w14:textId="77777777" w:rsidR="00365FEB" w:rsidRPr="00E95E07" w:rsidRDefault="00365FEB" w:rsidP="00365FEB">
      <w:pPr>
        <w:numPr>
          <w:ilvl w:val="0"/>
          <w:numId w:val="3"/>
        </w:numPr>
        <w:spacing w:after="0" w:line="240" w:lineRule="auto"/>
        <w:jc w:val="both"/>
        <w:rPr>
          <w:rFonts w:cstheme="minorHAnsi"/>
          <w:bCs/>
          <w:sz w:val="23"/>
          <w:szCs w:val="23"/>
        </w:rPr>
      </w:pPr>
      <w:r w:rsidRPr="00E95E07">
        <w:rPr>
          <w:rFonts w:cstheme="minorHAnsi"/>
          <w:sz w:val="23"/>
          <w:szCs w:val="23"/>
        </w:rPr>
        <w:t>Items obtained under long-term capital leases</w:t>
      </w:r>
    </w:p>
    <w:p w14:paraId="7F3427CE" w14:textId="77777777" w:rsidR="00365FEB" w:rsidRPr="00E95E07" w:rsidRDefault="00365FEB" w:rsidP="00365FEB">
      <w:pPr>
        <w:numPr>
          <w:ilvl w:val="0"/>
          <w:numId w:val="3"/>
        </w:numPr>
        <w:spacing w:after="0" w:line="240" w:lineRule="auto"/>
        <w:jc w:val="both"/>
        <w:rPr>
          <w:rFonts w:cstheme="minorHAnsi"/>
          <w:bCs/>
          <w:sz w:val="23"/>
          <w:szCs w:val="23"/>
        </w:rPr>
      </w:pPr>
      <w:r w:rsidRPr="00E95E07">
        <w:rPr>
          <w:rFonts w:cstheme="minorHAnsi"/>
          <w:sz w:val="23"/>
          <w:szCs w:val="23"/>
        </w:rPr>
        <w:t>Bulk purchases of similar items, like software, furniture, or radios with an expected useful life of three or more years that, when aggregated, have total costs exceeding $25,000</w:t>
      </w:r>
    </w:p>
    <w:p w14:paraId="0EE7F9C8" w14:textId="7473C7D2" w:rsidR="00365FEB" w:rsidRDefault="00365FEB">
      <w:pPr>
        <w:spacing w:after="0" w:line="240" w:lineRule="auto"/>
        <w:ind w:left="360" w:hanging="360"/>
        <w:jc w:val="both"/>
        <w:rPr>
          <w:rFonts w:cstheme="minorHAnsi"/>
          <w:bCs/>
          <w:sz w:val="23"/>
          <w:szCs w:val="23"/>
        </w:rPr>
      </w:pPr>
      <w:r>
        <w:rPr>
          <w:rFonts w:cstheme="minorHAnsi"/>
          <w:bCs/>
          <w:sz w:val="23"/>
          <w:szCs w:val="23"/>
        </w:rPr>
        <w:br w:type="page"/>
      </w:r>
    </w:p>
    <w:p w14:paraId="74662F84" w14:textId="77777777" w:rsidR="00365FEB" w:rsidRPr="00E95E07" w:rsidRDefault="00365FEB" w:rsidP="00365FEB">
      <w:pPr>
        <w:numPr>
          <w:ilvl w:val="0"/>
          <w:numId w:val="1"/>
        </w:numPr>
        <w:autoSpaceDE w:val="0"/>
        <w:autoSpaceDN w:val="0"/>
        <w:adjustRightInd w:val="0"/>
        <w:spacing w:after="0" w:line="240" w:lineRule="auto"/>
        <w:jc w:val="both"/>
        <w:rPr>
          <w:rFonts w:cstheme="minorHAnsi"/>
          <w:bCs/>
          <w:sz w:val="23"/>
          <w:szCs w:val="23"/>
          <w:u w:val="single"/>
        </w:rPr>
      </w:pPr>
      <w:r w:rsidRPr="00E95E07">
        <w:rPr>
          <w:rFonts w:cstheme="minorHAnsi"/>
          <w:bCs/>
          <w:sz w:val="23"/>
          <w:szCs w:val="23"/>
          <w:u w:val="single"/>
        </w:rPr>
        <w:lastRenderedPageBreak/>
        <w:t>Capital Asset Inventory</w:t>
      </w:r>
    </w:p>
    <w:p w14:paraId="0F39CE32" w14:textId="77777777" w:rsidR="00365FEB" w:rsidRPr="00E95E07" w:rsidRDefault="00365FEB" w:rsidP="00365FEB">
      <w:pPr>
        <w:autoSpaceDE w:val="0"/>
        <w:autoSpaceDN w:val="0"/>
        <w:adjustRightInd w:val="0"/>
        <w:spacing w:after="0"/>
        <w:jc w:val="both"/>
        <w:rPr>
          <w:rFonts w:cstheme="minorHAnsi"/>
          <w:bCs/>
          <w:sz w:val="23"/>
          <w:szCs w:val="23"/>
          <w:u w:val="single"/>
        </w:rPr>
      </w:pPr>
    </w:p>
    <w:p w14:paraId="37A815BA" w14:textId="77777777" w:rsidR="00365FEB" w:rsidRDefault="00365FEB" w:rsidP="00365FEB">
      <w:pPr>
        <w:autoSpaceDE w:val="0"/>
        <w:autoSpaceDN w:val="0"/>
        <w:adjustRightInd w:val="0"/>
        <w:spacing w:after="0" w:line="240" w:lineRule="auto"/>
        <w:jc w:val="both"/>
        <w:rPr>
          <w:rFonts w:cstheme="minorHAnsi"/>
          <w:sz w:val="23"/>
          <w:szCs w:val="23"/>
        </w:rPr>
      </w:pPr>
      <w:r w:rsidRPr="00E95E07">
        <w:rPr>
          <w:rFonts w:cstheme="minorHAnsi"/>
          <w:sz w:val="23"/>
          <w:szCs w:val="23"/>
        </w:rPr>
        <w:t>To support a systematic acquisition and replacement schedule, the Town Accountant, assisted by the Director of Facilities &amp; Capital Planning and Finance Director will annually update and maintain a detailed inventory of all capital assets, which shall include dates built, acquired or last improved, original costs, current conditions, expected and remaining useful lifespans, depreciated values, extent of use, and any scheduled replacement or expansion dates.</w:t>
      </w:r>
    </w:p>
    <w:p w14:paraId="1AA467ED" w14:textId="77777777" w:rsidR="00365FEB" w:rsidRPr="00E95E07" w:rsidRDefault="00365FEB" w:rsidP="00365FEB">
      <w:pPr>
        <w:autoSpaceDE w:val="0"/>
        <w:autoSpaceDN w:val="0"/>
        <w:adjustRightInd w:val="0"/>
        <w:spacing w:after="0"/>
        <w:jc w:val="both"/>
        <w:rPr>
          <w:rFonts w:cstheme="minorHAnsi"/>
          <w:bCs/>
          <w:sz w:val="23"/>
          <w:szCs w:val="23"/>
          <w:u w:val="single"/>
        </w:rPr>
      </w:pPr>
    </w:p>
    <w:p w14:paraId="3033B0F6" w14:textId="77777777" w:rsidR="00365FEB" w:rsidRPr="00E95E07" w:rsidRDefault="00365FEB" w:rsidP="00365FEB">
      <w:pPr>
        <w:numPr>
          <w:ilvl w:val="0"/>
          <w:numId w:val="1"/>
        </w:numPr>
        <w:autoSpaceDE w:val="0"/>
        <w:autoSpaceDN w:val="0"/>
        <w:adjustRightInd w:val="0"/>
        <w:spacing w:after="0" w:line="240" w:lineRule="auto"/>
        <w:jc w:val="both"/>
        <w:rPr>
          <w:rFonts w:cstheme="minorHAnsi"/>
          <w:bCs/>
          <w:sz w:val="23"/>
          <w:szCs w:val="23"/>
          <w:u w:val="single"/>
        </w:rPr>
      </w:pPr>
      <w:r w:rsidRPr="00E95E07">
        <w:rPr>
          <w:rFonts w:cstheme="minorHAnsi"/>
          <w:bCs/>
          <w:sz w:val="23"/>
          <w:szCs w:val="23"/>
          <w:u w:val="single"/>
        </w:rPr>
        <w:t>Evaluation of Capital Projects</w:t>
      </w:r>
    </w:p>
    <w:p w14:paraId="4A189A3E" w14:textId="77777777" w:rsidR="00365FEB" w:rsidRPr="00E95E07" w:rsidRDefault="00365FEB" w:rsidP="00365FEB">
      <w:pPr>
        <w:autoSpaceDE w:val="0"/>
        <w:autoSpaceDN w:val="0"/>
        <w:adjustRightInd w:val="0"/>
        <w:spacing w:after="0"/>
        <w:jc w:val="both"/>
        <w:rPr>
          <w:rFonts w:cstheme="minorHAnsi"/>
          <w:sz w:val="23"/>
          <w:szCs w:val="23"/>
        </w:rPr>
      </w:pPr>
    </w:p>
    <w:p w14:paraId="2CE2244D" w14:textId="77777777" w:rsidR="00365FEB" w:rsidRPr="00E95E07" w:rsidRDefault="00365FEB" w:rsidP="00365FEB">
      <w:pPr>
        <w:autoSpaceDE w:val="0"/>
        <w:autoSpaceDN w:val="0"/>
        <w:adjustRightInd w:val="0"/>
        <w:spacing w:after="0" w:line="240" w:lineRule="auto"/>
        <w:jc w:val="both"/>
        <w:rPr>
          <w:rFonts w:cstheme="minorHAnsi"/>
          <w:sz w:val="23"/>
          <w:szCs w:val="23"/>
        </w:rPr>
      </w:pPr>
      <w:r w:rsidRPr="00E95E07">
        <w:rPr>
          <w:rFonts w:cstheme="minorHAnsi"/>
          <w:sz w:val="23"/>
          <w:szCs w:val="23"/>
        </w:rPr>
        <w:t xml:space="preserve">The Director of Facilities &amp; Capital Planning, under the direction of the Town Administrator and will review capital project requests submitted by department heads as part of the annual budget process. At the end of its work, the Town Administrator will present the analysis, recommendations, and proposed funding sources to the Select Board and Finance Committee at separate meetings prior to the annual town meeting. The Town Administrator will provide a copy of the recommendations to the Finance Committee for incorporation in the report published each year in advance of town meeting. </w:t>
      </w:r>
    </w:p>
    <w:p w14:paraId="7A976766" w14:textId="77777777" w:rsidR="00365FEB" w:rsidRPr="00E95E07" w:rsidRDefault="00365FEB" w:rsidP="00365FEB">
      <w:pPr>
        <w:autoSpaceDE w:val="0"/>
        <w:autoSpaceDN w:val="0"/>
        <w:adjustRightInd w:val="0"/>
        <w:spacing w:after="0" w:line="240" w:lineRule="auto"/>
        <w:jc w:val="both"/>
        <w:rPr>
          <w:rFonts w:cstheme="minorHAnsi"/>
          <w:sz w:val="23"/>
          <w:szCs w:val="23"/>
        </w:rPr>
      </w:pPr>
    </w:p>
    <w:p w14:paraId="1D66B48F" w14:textId="77777777" w:rsidR="00365FEB" w:rsidRPr="00E95E07" w:rsidRDefault="00365FEB" w:rsidP="00365FEB">
      <w:pPr>
        <w:autoSpaceDE w:val="0"/>
        <w:autoSpaceDN w:val="0"/>
        <w:adjustRightInd w:val="0"/>
        <w:spacing w:after="0" w:line="240" w:lineRule="auto"/>
        <w:jc w:val="both"/>
        <w:rPr>
          <w:rFonts w:cstheme="minorHAnsi"/>
          <w:sz w:val="23"/>
          <w:szCs w:val="23"/>
        </w:rPr>
      </w:pPr>
      <w:r w:rsidRPr="00E95E07">
        <w:rPr>
          <w:rFonts w:cstheme="minorHAnsi"/>
          <w:sz w:val="23"/>
          <w:szCs w:val="23"/>
        </w:rPr>
        <w:t>When evaluating and deciding on project proposals, the Director of Facilities &amp; Capital Planning and Town Administrator will prioritize them using the criteria below:</w:t>
      </w:r>
    </w:p>
    <w:p w14:paraId="08299936" w14:textId="77777777" w:rsidR="00365FEB" w:rsidRPr="00E95E07" w:rsidRDefault="00365FEB" w:rsidP="00365FEB">
      <w:pPr>
        <w:autoSpaceDE w:val="0"/>
        <w:autoSpaceDN w:val="0"/>
        <w:adjustRightInd w:val="0"/>
        <w:spacing w:after="0" w:line="240" w:lineRule="auto"/>
        <w:jc w:val="both"/>
        <w:rPr>
          <w:rFonts w:cstheme="minorHAnsi"/>
          <w:sz w:val="23"/>
          <w:szCs w:val="23"/>
        </w:rPr>
      </w:pPr>
    </w:p>
    <w:p w14:paraId="3EE75621" w14:textId="77777777" w:rsidR="00365FEB" w:rsidRPr="00E95E07" w:rsidRDefault="00365FEB" w:rsidP="00365FEB">
      <w:pPr>
        <w:numPr>
          <w:ilvl w:val="0"/>
          <w:numId w:val="4"/>
        </w:numPr>
        <w:autoSpaceDE w:val="0"/>
        <w:autoSpaceDN w:val="0"/>
        <w:adjustRightInd w:val="0"/>
        <w:spacing w:after="0" w:line="240" w:lineRule="auto"/>
        <w:jc w:val="both"/>
        <w:rPr>
          <w:rFonts w:cstheme="minorHAnsi"/>
          <w:sz w:val="23"/>
          <w:szCs w:val="23"/>
        </w:rPr>
      </w:pPr>
      <w:r w:rsidRPr="00E95E07">
        <w:rPr>
          <w:rFonts w:cstheme="minorHAnsi"/>
          <w:sz w:val="23"/>
          <w:szCs w:val="23"/>
        </w:rPr>
        <w:t xml:space="preserve">Eliminates a hazard to public health and safety </w:t>
      </w:r>
    </w:p>
    <w:p w14:paraId="4BDFFB97" w14:textId="77777777" w:rsidR="00365FEB" w:rsidRPr="00E95E07" w:rsidRDefault="00365FEB" w:rsidP="00365FEB">
      <w:pPr>
        <w:numPr>
          <w:ilvl w:val="0"/>
          <w:numId w:val="4"/>
        </w:numPr>
        <w:autoSpaceDE w:val="0"/>
        <w:autoSpaceDN w:val="0"/>
        <w:adjustRightInd w:val="0"/>
        <w:spacing w:after="0" w:line="240" w:lineRule="auto"/>
        <w:jc w:val="both"/>
        <w:rPr>
          <w:rFonts w:cstheme="minorHAnsi"/>
          <w:sz w:val="23"/>
          <w:szCs w:val="23"/>
        </w:rPr>
      </w:pPr>
      <w:r w:rsidRPr="00E95E07">
        <w:rPr>
          <w:rFonts w:cstheme="minorHAnsi"/>
          <w:sz w:val="23"/>
          <w:szCs w:val="23"/>
        </w:rPr>
        <w:t xml:space="preserve">Required by state or federal laws or regulations </w:t>
      </w:r>
    </w:p>
    <w:p w14:paraId="6AC3B442" w14:textId="77777777" w:rsidR="00365FEB" w:rsidRPr="00E95E07" w:rsidRDefault="00365FEB" w:rsidP="00365FEB">
      <w:pPr>
        <w:numPr>
          <w:ilvl w:val="0"/>
          <w:numId w:val="4"/>
        </w:numPr>
        <w:autoSpaceDE w:val="0"/>
        <w:autoSpaceDN w:val="0"/>
        <w:adjustRightInd w:val="0"/>
        <w:spacing w:after="0" w:line="240" w:lineRule="auto"/>
        <w:jc w:val="both"/>
        <w:rPr>
          <w:rFonts w:cstheme="minorHAnsi"/>
          <w:sz w:val="23"/>
          <w:szCs w:val="23"/>
        </w:rPr>
      </w:pPr>
      <w:r w:rsidRPr="00E95E07">
        <w:rPr>
          <w:rFonts w:cstheme="minorHAnsi"/>
          <w:sz w:val="23"/>
          <w:szCs w:val="23"/>
        </w:rPr>
        <w:t xml:space="preserve">Supports adopted plans, goals, objectives, and policies </w:t>
      </w:r>
    </w:p>
    <w:p w14:paraId="70E73119" w14:textId="77777777" w:rsidR="00365FEB" w:rsidRPr="00E95E07" w:rsidRDefault="00365FEB" w:rsidP="00365FEB">
      <w:pPr>
        <w:numPr>
          <w:ilvl w:val="0"/>
          <w:numId w:val="4"/>
        </w:numPr>
        <w:autoSpaceDE w:val="0"/>
        <w:autoSpaceDN w:val="0"/>
        <w:adjustRightInd w:val="0"/>
        <w:spacing w:after="0" w:line="240" w:lineRule="auto"/>
        <w:jc w:val="both"/>
        <w:rPr>
          <w:rFonts w:cstheme="minorHAnsi"/>
          <w:sz w:val="23"/>
          <w:szCs w:val="23"/>
        </w:rPr>
      </w:pPr>
      <w:r w:rsidRPr="00E95E07">
        <w:rPr>
          <w:rFonts w:cstheme="minorHAnsi"/>
          <w:sz w:val="23"/>
          <w:szCs w:val="23"/>
        </w:rPr>
        <w:t xml:space="preserve">Stabilizes or reduces operating costs </w:t>
      </w:r>
    </w:p>
    <w:p w14:paraId="70538636" w14:textId="77777777" w:rsidR="00365FEB" w:rsidRPr="00E95E07" w:rsidRDefault="00365FEB" w:rsidP="00365FEB">
      <w:pPr>
        <w:numPr>
          <w:ilvl w:val="0"/>
          <w:numId w:val="4"/>
        </w:numPr>
        <w:autoSpaceDE w:val="0"/>
        <w:autoSpaceDN w:val="0"/>
        <w:adjustRightInd w:val="0"/>
        <w:spacing w:after="0" w:line="240" w:lineRule="auto"/>
        <w:jc w:val="both"/>
        <w:rPr>
          <w:rFonts w:cstheme="minorHAnsi"/>
          <w:sz w:val="23"/>
          <w:szCs w:val="23"/>
        </w:rPr>
      </w:pPr>
      <w:r w:rsidRPr="00E95E07">
        <w:rPr>
          <w:rFonts w:cstheme="minorHAnsi"/>
          <w:sz w:val="23"/>
          <w:szCs w:val="23"/>
        </w:rPr>
        <w:t xml:space="preserve">Makes better use of a facility or replaces a clearly obsolete one </w:t>
      </w:r>
    </w:p>
    <w:p w14:paraId="4F50C8D1" w14:textId="77777777" w:rsidR="00365FEB" w:rsidRPr="00E95E07" w:rsidRDefault="00365FEB" w:rsidP="00365FEB">
      <w:pPr>
        <w:numPr>
          <w:ilvl w:val="0"/>
          <w:numId w:val="4"/>
        </w:numPr>
        <w:autoSpaceDE w:val="0"/>
        <w:autoSpaceDN w:val="0"/>
        <w:adjustRightInd w:val="0"/>
        <w:spacing w:after="0" w:line="240" w:lineRule="auto"/>
        <w:jc w:val="both"/>
        <w:rPr>
          <w:rFonts w:cstheme="minorHAnsi"/>
          <w:sz w:val="23"/>
          <w:szCs w:val="23"/>
        </w:rPr>
      </w:pPr>
      <w:r w:rsidRPr="00E95E07">
        <w:rPr>
          <w:rFonts w:cstheme="minorHAnsi"/>
          <w:sz w:val="23"/>
          <w:szCs w:val="23"/>
        </w:rPr>
        <w:t xml:space="preserve">Maintains or improves productivity or existing standards of service </w:t>
      </w:r>
    </w:p>
    <w:p w14:paraId="6934D5DC" w14:textId="77777777" w:rsidR="00365FEB" w:rsidRPr="00E95E07" w:rsidRDefault="00365FEB" w:rsidP="00365FEB">
      <w:pPr>
        <w:numPr>
          <w:ilvl w:val="0"/>
          <w:numId w:val="4"/>
        </w:numPr>
        <w:autoSpaceDE w:val="0"/>
        <w:autoSpaceDN w:val="0"/>
        <w:adjustRightInd w:val="0"/>
        <w:spacing w:after="0" w:line="240" w:lineRule="auto"/>
        <w:jc w:val="both"/>
        <w:rPr>
          <w:rFonts w:cstheme="minorHAnsi"/>
          <w:sz w:val="23"/>
          <w:szCs w:val="23"/>
        </w:rPr>
      </w:pPr>
      <w:r w:rsidRPr="00E95E07">
        <w:rPr>
          <w:rFonts w:cstheme="minorHAnsi"/>
          <w:sz w:val="23"/>
          <w:szCs w:val="23"/>
        </w:rPr>
        <w:t xml:space="preserve">Uses outside financing sources, such as grants </w:t>
      </w:r>
    </w:p>
    <w:p w14:paraId="2AFD5441" w14:textId="77777777" w:rsidR="00365FEB" w:rsidRPr="00E95E07" w:rsidRDefault="00365FEB" w:rsidP="00365FEB">
      <w:pPr>
        <w:numPr>
          <w:ilvl w:val="0"/>
          <w:numId w:val="4"/>
        </w:numPr>
        <w:autoSpaceDE w:val="0"/>
        <w:autoSpaceDN w:val="0"/>
        <w:adjustRightInd w:val="0"/>
        <w:spacing w:after="0" w:line="240" w:lineRule="auto"/>
        <w:jc w:val="both"/>
        <w:rPr>
          <w:rFonts w:cstheme="minorHAnsi"/>
          <w:sz w:val="23"/>
          <w:szCs w:val="23"/>
        </w:rPr>
      </w:pPr>
      <w:r w:rsidRPr="00E95E07">
        <w:rPr>
          <w:rFonts w:cstheme="minorHAnsi"/>
          <w:sz w:val="23"/>
          <w:szCs w:val="23"/>
        </w:rPr>
        <w:t xml:space="preserve">Directly benefits the Town's economic base by increasing property values </w:t>
      </w:r>
    </w:p>
    <w:p w14:paraId="53961AB4" w14:textId="77777777" w:rsidR="00365FEB" w:rsidRPr="00E95E07" w:rsidRDefault="00365FEB" w:rsidP="00365FEB">
      <w:pPr>
        <w:numPr>
          <w:ilvl w:val="0"/>
          <w:numId w:val="4"/>
        </w:numPr>
        <w:autoSpaceDE w:val="0"/>
        <w:autoSpaceDN w:val="0"/>
        <w:adjustRightInd w:val="0"/>
        <w:spacing w:after="0" w:line="240" w:lineRule="auto"/>
        <w:jc w:val="both"/>
        <w:rPr>
          <w:rFonts w:cstheme="minorHAnsi"/>
          <w:sz w:val="23"/>
          <w:szCs w:val="23"/>
        </w:rPr>
      </w:pPr>
      <w:r w:rsidRPr="00E95E07">
        <w:rPr>
          <w:rFonts w:cstheme="minorHAnsi"/>
          <w:sz w:val="23"/>
          <w:szCs w:val="23"/>
        </w:rPr>
        <w:t xml:space="preserve">Provides new programs having social, cultural, historic, economic, or aesthetic value </w:t>
      </w:r>
    </w:p>
    <w:p w14:paraId="408B441B" w14:textId="77777777" w:rsidR="00365FEB" w:rsidRPr="00E95E07" w:rsidRDefault="00365FEB" w:rsidP="00365FEB">
      <w:pPr>
        <w:autoSpaceDE w:val="0"/>
        <w:autoSpaceDN w:val="0"/>
        <w:adjustRightInd w:val="0"/>
        <w:spacing w:after="0"/>
        <w:jc w:val="both"/>
        <w:rPr>
          <w:rFonts w:cstheme="minorHAnsi"/>
          <w:bCs/>
          <w:sz w:val="23"/>
          <w:szCs w:val="23"/>
          <w:u w:val="single"/>
        </w:rPr>
      </w:pPr>
    </w:p>
    <w:p w14:paraId="39C09C0C" w14:textId="77777777" w:rsidR="00365FEB" w:rsidRPr="00E95E07" w:rsidRDefault="00365FEB" w:rsidP="00365FEB">
      <w:pPr>
        <w:numPr>
          <w:ilvl w:val="0"/>
          <w:numId w:val="1"/>
        </w:numPr>
        <w:autoSpaceDE w:val="0"/>
        <w:autoSpaceDN w:val="0"/>
        <w:adjustRightInd w:val="0"/>
        <w:spacing w:after="0" w:line="240" w:lineRule="auto"/>
        <w:jc w:val="both"/>
        <w:rPr>
          <w:rFonts w:cstheme="minorHAnsi"/>
          <w:bCs/>
          <w:sz w:val="23"/>
          <w:szCs w:val="23"/>
          <w:u w:val="single"/>
        </w:rPr>
      </w:pPr>
      <w:r w:rsidRPr="00E95E07">
        <w:rPr>
          <w:rFonts w:cstheme="minorHAnsi"/>
          <w:bCs/>
          <w:sz w:val="23"/>
          <w:szCs w:val="23"/>
          <w:u w:val="single"/>
        </w:rPr>
        <w:t>Multiyear Capital Improvement Plan</w:t>
      </w:r>
    </w:p>
    <w:p w14:paraId="2D2F42D7" w14:textId="77777777" w:rsidR="00365FEB" w:rsidRPr="00E95E07" w:rsidRDefault="00365FEB" w:rsidP="00365FEB">
      <w:pPr>
        <w:autoSpaceDE w:val="0"/>
        <w:autoSpaceDN w:val="0"/>
        <w:adjustRightInd w:val="0"/>
        <w:spacing w:after="0"/>
        <w:jc w:val="both"/>
        <w:rPr>
          <w:rFonts w:cstheme="minorHAnsi"/>
          <w:bCs/>
          <w:sz w:val="23"/>
          <w:szCs w:val="23"/>
          <w:u w:val="single"/>
        </w:rPr>
      </w:pPr>
    </w:p>
    <w:p w14:paraId="0923FAB7" w14:textId="77777777" w:rsidR="00365FEB" w:rsidRPr="00E95E07" w:rsidRDefault="00365FEB" w:rsidP="00365FEB">
      <w:pPr>
        <w:spacing w:after="0" w:line="240" w:lineRule="auto"/>
        <w:jc w:val="both"/>
        <w:rPr>
          <w:rFonts w:cstheme="minorHAnsi"/>
          <w:sz w:val="23"/>
          <w:szCs w:val="23"/>
        </w:rPr>
      </w:pPr>
      <w:r w:rsidRPr="00E95E07">
        <w:rPr>
          <w:rFonts w:cstheme="minorHAnsi"/>
          <w:sz w:val="23"/>
          <w:szCs w:val="23"/>
        </w:rPr>
        <w:t>The Town Administrator will annually update and propose to the Finance Committee and Select Board a five-year capital improvement plan (CIP), including the upcoming fiscal year’s capital budget and a four-year projection of needs and expenditures that details their estimated costs, descriptions, and anticipated funding sources.</w:t>
      </w:r>
    </w:p>
    <w:p w14:paraId="4455F255" w14:textId="77777777" w:rsidR="00365FEB" w:rsidRPr="00E95E07" w:rsidRDefault="00365FEB" w:rsidP="00365FEB">
      <w:pPr>
        <w:spacing w:after="0"/>
        <w:jc w:val="both"/>
        <w:rPr>
          <w:rFonts w:cstheme="minorHAnsi"/>
          <w:sz w:val="23"/>
          <w:szCs w:val="23"/>
        </w:rPr>
      </w:pPr>
    </w:p>
    <w:p w14:paraId="303E7508" w14:textId="77777777" w:rsidR="00365FEB" w:rsidRPr="00E95E07" w:rsidRDefault="00365FEB" w:rsidP="00365FEB">
      <w:pPr>
        <w:widowControl w:val="0"/>
        <w:numPr>
          <w:ilvl w:val="0"/>
          <w:numId w:val="1"/>
        </w:numPr>
        <w:autoSpaceDE w:val="0"/>
        <w:autoSpaceDN w:val="0"/>
        <w:adjustRightInd w:val="0"/>
        <w:spacing w:after="0" w:line="240" w:lineRule="auto"/>
        <w:jc w:val="both"/>
        <w:rPr>
          <w:rFonts w:cstheme="minorHAnsi"/>
          <w:bCs/>
          <w:sz w:val="23"/>
          <w:szCs w:val="23"/>
          <w:u w:val="single"/>
        </w:rPr>
      </w:pPr>
      <w:r w:rsidRPr="00E95E07">
        <w:rPr>
          <w:rFonts w:cstheme="minorHAnsi"/>
          <w:bCs/>
          <w:sz w:val="23"/>
          <w:szCs w:val="23"/>
          <w:u w:val="single"/>
        </w:rPr>
        <w:t>Capital Financing</w:t>
      </w:r>
    </w:p>
    <w:p w14:paraId="671C78B0" w14:textId="77777777" w:rsidR="00365FEB" w:rsidRPr="00E95E07" w:rsidRDefault="00365FEB" w:rsidP="00365FEB">
      <w:pPr>
        <w:spacing w:after="0" w:line="240" w:lineRule="auto"/>
        <w:jc w:val="both"/>
        <w:rPr>
          <w:rFonts w:cstheme="minorHAnsi"/>
          <w:sz w:val="23"/>
          <w:szCs w:val="23"/>
        </w:rPr>
      </w:pPr>
    </w:p>
    <w:p w14:paraId="4A4EEE66" w14:textId="77777777" w:rsidR="00365FEB" w:rsidRPr="00E95E07" w:rsidRDefault="00365FEB" w:rsidP="00365FEB">
      <w:pPr>
        <w:spacing w:after="0" w:line="240" w:lineRule="auto"/>
        <w:jc w:val="both"/>
        <w:rPr>
          <w:rFonts w:cstheme="minorHAnsi"/>
          <w:sz w:val="23"/>
          <w:szCs w:val="23"/>
        </w:rPr>
      </w:pPr>
      <w:r w:rsidRPr="00E95E07">
        <w:rPr>
          <w:rFonts w:cstheme="minorHAnsi"/>
          <w:sz w:val="23"/>
          <w:szCs w:val="23"/>
        </w:rPr>
        <w:t>Annually, the Town will strive to appropriate two to three percent of the annual general fund budget, net of debt, to capital investment allocations, through funding derived from a combination of property taxes, free cash, and capital stabilization funds. This cash capital funding target is a complement to the debt service maintenance goal defined in the Debt Management policy.</w:t>
      </w:r>
    </w:p>
    <w:p w14:paraId="511C9F90" w14:textId="77777777" w:rsidR="00365FEB" w:rsidRPr="00E95E07" w:rsidRDefault="00365FEB" w:rsidP="00365FEB">
      <w:pPr>
        <w:spacing w:after="0" w:line="240" w:lineRule="auto"/>
        <w:jc w:val="both"/>
        <w:rPr>
          <w:rFonts w:cstheme="minorHAnsi"/>
          <w:sz w:val="23"/>
          <w:szCs w:val="23"/>
        </w:rPr>
      </w:pPr>
    </w:p>
    <w:p w14:paraId="52222F5A" w14:textId="77777777" w:rsidR="00365FEB" w:rsidRPr="00E95E07" w:rsidRDefault="00365FEB" w:rsidP="00365FEB">
      <w:pPr>
        <w:spacing w:after="0" w:line="240" w:lineRule="auto"/>
        <w:jc w:val="both"/>
        <w:rPr>
          <w:rFonts w:cstheme="minorHAnsi"/>
          <w:sz w:val="23"/>
          <w:szCs w:val="23"/>
        </w:rPr>
      </w:pPr>
      <w:r w:rsidRPr="00E95E07">
        <w:rPr>
          <w:rFonts w:cstheme="minorHAnsi"/>
          <w:sz w:val="23"/>
          <w:szCs w:val="23"/>
        </w:rPr>
        <w:lastRenderedPageBreak/>
        <w:t>The CIP shall be prepared and financed in accordance with the following principles:</w:t>
      </w:r>
    </w:p>
    <w:p w14:paraId="047F79F3" w14:textId="77777777" w:rsidR="00365FEB" w:rsidRPr="00E95E07" w:rsidRDefault="00365FEB" w:rsidP="00365FEB">
      <w:pPr>
        <w:autoSpaceDE w:val="0"/>
        <w:autoSpaceDN w:val="0"/>
        <w:adjustRightInd w:val="0"/>
        <w:spacing w:after="0" w:line="240" w:lineRule="auto"/>
        <w:jc w:val="both"/>
        <w:rPr>
          <w:rFonts w:cstheme="minorHAnsi"/>
          <w:sz w:val="23"/>
          <w:szCs w:val="23"/>
        </w:rPr>
      </w:pPr>
    </w:p>
    <w:p w14:paraId="2976021F" w14:textId="77777777" w:rsidR="00365FEB" w:rsidRPr="00E95E07" w:rsidRDefault="00365FEB" w:rsidP="00365FEB">
      <w:pPr>
        <w:numPr>
          <w:ilvl w:val="0"/>
          <w:numId w:val="2"/>
        </w:numPr>
        <w:autoSpaceDE w:val="0"/>
        <w:autoSpaceDN w:val="0"/>
        <w:adjustRightInd w:val="0"/>
        <w:spacing w:after="0" w:line="240" w:lineRule="auto"/>
        <w:jc w:val="both"/>
        <w:rPr>
          <w:rFonts w:cstheme="minorHAnsi"/>
          <w:sz w:val="23"/>
          <w:szCs w:val="23"/>
        </w:rPr>
      </w:pPr>
      <w:r w:rsidRPr="00E95E07">
        <w:rPr>
          <w:rFonts w:cstheme="minorHAnsi"/>
          <w:sz w:val="23"/>
          <w:szCs w:val="23"/>
        </w:rPr>
        <w:t>Available funds (e.g., free cash, capital stabilization funds, retained earnings, and community preservation funds) will provide funding sources for capital projects as much as practical.</w:t>
      </w:r>
    </w:p>
    <w:p w14:paraId="2F3C247F" w14:textId="77777777" w:rsidR="00365FEB" w:rsidRPr="00E95E07" w:rsidRDefault="00365FEB" w:rsidP="00365FEB">
      <w:pPr>
        <w:numPr>
          <w:ilvl w:val="0"/>
          <w:numId w:val="2"/>
        </w:numPr>
        <w:autoSpaceDE w:val="0"/>
        <w:autoSpaceDN w:val="0"/>
        <w:adjustRightInd w:val="0"/>
        <w:spacing w:after="0" w:line="240" w:lineRule="auto"/>
        <w:jc w:val="both"/>
        <w:rPr>
          <w:rFonts w:cstheme="minorHAnsi"/>
          <w:sz w:val="23"/>
          <w:szCs w:val="23"/>
        </w:rPr>
      </w:pPr>
      <w:r w:rsidRPr="00E95E07">
        <w:rPr>
          <w:rFonts w:cstheme="minorHAnsi"/>
          <w:sz w:val="23"/>
          <w:szCs w:val="23"/>
        </w:rPr>
        <w:t xml:space="preserve">Special revenue sources (e.g., grants, revolving funds) shall be evaluated as funding options whenever practical. </w:t>
      </w:r>
    </w:p>
    <w:p w14:paraId="3150EFAF" w14:textId="77777777" w:rsidR="00365FEB" w:rsidRPr="00E95E07" w:rsidRDefault="00365FEB" w:rsidP="00365FEB">
      <w:pPr>
        <w:numPr>
          <w:ilvl w:val="0"/>
          <w:numId w:val="2"/>
        </w:numPr>
        <w:autoSpaceDE w:val="0"/>
        <w:autoSpaceDN w:val="0"/>
        <w:adjustRightInd w:val="0"/>
        <w:spacing w:after="0" w:line="240" w:lineRule="auto"/>
        <w:jc w:val="both"/>
        <w:rPr>
          <w:rFonts w:cstheme="minorHAnsi"/>
          <w:sz w:val="23"/>
          <w:szCs w:val="23"/>
        </w:rPr>
      </w:pPr>
      <w:r w:rsidRPr="00E95E07">
        <w:rPr>
          <w:rFonts w:cstheme="minorHAnsi"/>
          <w:sz w:val="23"/>
          <w:szCs w:val="23"/>
        </w:rPr>
        <w:t>The Finance Director will proactively work with the CPA Committee on strategies to finance projects that may be eligible for funding under the CPA statute.</w:t>
      </w:r>
    </w:p>
    <w:p w14:paraId="0907D45C" w14:textId="77777777" w:rsidR="00365FEB" w:rsidRPr="00E95E07" w:rsidRDefault="00365FEB" w:rsidP="00365FEB">
      <w:pPr>
        <w:numPr>
          <w:ilvl w:val="0"/>
          <w:numId w:val="2"/>
        </w:numPr>
        <w:autoSpaceDE w:val="0"/>
        <w:autoSpaceDN w:val="0"/>
        <w:adjustRightInd w:val="0"/>
        <w:spacing w:after="0" w:line="240" w:lineRule="auto"/>
        <w:jc w:val="both"/>
        <w:rPr>
          <w:rFonts w:cstheme="minorHAnsi"/>
          <w:sz w:val="23"/>
          <w:szCs w:val="23"/>
        </w:rPr>
      </w:pPr>
      <w:r w:rsidRPr="00E95E07">
        <w:rPr>
          <w:rFonts w:cstheme="minorHAnsi"/>
          <w:sz w:val="23"/>
          <w:szCs w:val="23"/>
        </w:rPr>
        <w:t>Before any long-term, bonded capital project is recommended, the project’s annual operating costs and debt service costs shall be identified.</w:t>
      </w:r>
    </w:p>
    <w:p w14:paraId="0C6A815A" w14:textId="77777777" w:rsidR="00365FEB" w:rsidRPr="00E95E07" w:rsidRDefault="00365FEB" w:rsidP="00365FEB">
      <w:pPr>
        <w:numPr>
          <w:ilvl w:val="0"/>
          <w:numId w:val="2"/>
        </w:numPr>
        <w:autoSpaceDE w:val="0"/>
        <w:autoSpaceDN w:val="0"/>
        <w:adjustRightInd w:val="0"/>
        <w:spacing w:after="0" w:line="240" w:lineRule="auto"/>
        <w:jc w:val="both"/>
        <w:rPr>
          <w:rFonts w:cstheme="minorHAnsi"/>
          <w:sz w:val="23"/>
          <w:szCs w:val="23"/>
        </w:rPr>
      </w:pPr>
      <w:r w:rsidRPr="00E95E07">
        <w:rPr>
          <w:rFonts w:cstheme="minorHAnsi"/>
          <w:sz w:val="23"/>
          <w:szCs w:val="23"/>
        </w:rPr>
        <w:t>Short-term debt may be used to finance purchases with useful lifespans of less than 10 years.</w:t>
      </w:r>
    </w:p>
    <w:p w14:paraId="6CF10873" w14:textId="77777777" w:rsidR="00365FEB" w:rsidRPr="00E95E07" w:rsidRDefault="00365FEB" w:rsidP="00365FEB">
      <w:pPr>
        <w:numPr>
          <w:ilvl w:val="0"/>
          <w:numId w:val="2"/>
        </w:numPr>
        <w:autoSpaceDE w:val="0"/>
        <w:autoSpaceDN w:val="0"/>
        <w:adjustRightInd w:val="0"/>
        <w:spacing w:after="0" w:line="240" w:lineRule="auto"/>
        <w:jc w:val="both"/>
        <w:rPr>
          <w:rFonts w:cstheme="minorHAnsi"/>
          <w:sz w:val="23"/>
          <w:szCs w:val="23"/>
        </w:rPr>
      </w:pPr>
      <w:r w:rsidRPr="00E95E07">
        <w:rPr>
          <w:rFonts w:cstheme="minorHAnsi"/>
          <w:sz w:val="23"/>
          <w:szCs w:val="23"/>
        </w:rPr>
        <w:t>Capital or debt exclusions will be considered to accomplish major capital projects, such as new construction or major renovations to existing facilities.</w:t>
      </w:r>
    </w:p>
    <w:p w14:paraId="75DE0ACD" w14:textId="77777777" w:rsidR="00365FEB" w:rsidRPr="00E95E07" w:rsidRDefault="00365FEB" w:rsidP="00365FEB">
      <w:pPr>
        <w:numPr>
          <w:ilvl w:val="0"/>
          <w:numId w:val="2"/>
        </w:numPr>
        <w:autoSpaceDE w:val="0"/>
        <w:autoSpaceDN w:val="0"/>
        <w:adjustRightInd w:val="0"/>
        <w:spacing w:after="0" w:line="240" w:lineRule="auto"/>
        <w:jc w:val="both"/>
        <w:rPr>
          <w:rFonts w:cstheme="minorHAnsi"/>
          <w:sz w:val="23"/>
          <w:szCs w:val="23"/>
        </w:rPr>
      </w:pPr>
      <w:r w:rsidRPr="00E95E07">
        <w:rPr>
          <w:rFonts w:cstheme="minorHAnsi"/>
          <w:sz w:val="23"/>
          <w:szCs w:val="23"/>
        </w:rPr>
        <w:t>Infrastructure or facility maintenance budgets built into the general operating budget will not be reduced to fund other departmental expenses.</w:t>
      </w:r>
    </w:p>
    <w:p w14:paraId="62515162" w14:textId="77777777" w:rsidR="00365FEB" w:rsidRPr="00E95E07" w:rsidRDefault="00365FEB" w:rsidP="00365FEB">
      <w:pPr>
        <w:numPr>
          <w:ilvl w:val="0"/>
          <w:numId w:val="2"/>
        </w:numPr>
        <w:autoSpaceDE w:val="0"/>
        <w:autoSpaceDN w:val="0"/>
        <w:adjustRightInd w:val="0"/>
        <w:spacing w:after="0" w:line="240" w:lineRule="auto"/>
        <w:jc w:val="both"/>
        <w:rPr>
          <w:rFonts w:cstheme="minorHAnsi"/>
          <w:sz w:val="23"/>
          <w:szCs w:val="23"/>
        </w:rPr>
      </w:pPr>
      <w:r w:rsidRPr="00E95E07">
        <w:rPr>
          <w:rFonts w:cstheme="minorHAnsi"/>
          <w:sz w:val="23"/>
          <w:szCs w:val="23"/>
        </w:rPr>
        <w:t>To the extent feasible, all capital projects associated with the water, sewer, and trash enterprise funds will be financed from user fees or retained earnings.</w:t>
      </w:r>
    </w:p>
    <w:p w14:paraId="64AC00A1" w14:textId="4082D6F5" w:rsidR="00365FEB" w:rsidRPr="00E95E07" w:rsidRDefault="00365FEB" w:rsidP="00365FEB">
      <w:pPr>
        <w:numPr>
          <w:ilvl w:val="0"/>
          <w:numId w:val="2"/>
        </w:numPr>
        <w:autoSpaceDE w:val="0"/>
        <w:autoSpaceDN w:val="0"/>
        <w:adjustRightInd w:val="0"/>
        <w:spacing w:after="0" w:line="240" w:lineRule="auto"/>
        <w:jc w:val="both"/>
        <w:rPr>
          <w:rFonts w:cstheme="minorHAnsi"/>
          <w:sz w:val="23"/>
          <w:szCs w:val="23"/>
        </w:rPr>
      </w:pPr>
      <w:r w:rsidRPr="00E95E07">
        <w:rPr>
          <w:rFonts w:cstheme="minorHAnsi"/>
          <w:sz w:val="23"/>
          <w:szCs w:val="23"/>
        </w:rPr>
        <w:t xml:space="preserve">In accordance with </w:t>
      </w:r>
      <w:r>
        <w:rPr>
          <w:rFonts w:cstheme="minorHAnsi"/>
          <w:sz w:val="23"/>
          <w:szCs w:val="23"/>
        </w:rPr>
        <w:t xml:space="preserve">the </w:t>
      </w:r>
      <w:r w:rsidRPr="00365FEB">
        <w:rPr>
          <w:rFonts w:cstheme="minorHAnsi"/>
          <w:sz w:val="23"/>
          <w:szCs w:val="23"/>
        </w:rPr>
        <w:t>Debt Management</w:t>
      </w:r>
      <w:r w:rsidRPr="00E95E07">
        <w:rPr>
          <w:rFonts w:cstheme="minorHAnsi"/>
          <w:sz w:val="23"/>
          <w:szCs w:val="23"/>
        </w:rPr>
        <w:t xml:space="preserve"> policy, the Town will restrict long-term debt funding to projects with lifespans greater than 10 years and costs exceeding $100,000. </w:t>
      </w:r>
    </w:p>
    <w:p w14:paraId="35A10D23" w14:textId="77777777" w:rsidR="00365FEB" w:rsidRPr="00E95E07" w:rsidRDefault="00365FEB" w:rsidP="00365FEB">
      <w:pPr>
        <w:autoSpaceDE w:val="0"/>
        <w:autoSpaceDN w:val="0"/>
        <w:adjustRightInd w:val="0"/>
        <w:spacing w:after="0" w:line="240" w:lineRule="auto"/>
        <w:jc w:val="both"/>
        <w:rPr>
          <w:rFonts w:cstheme="minorHAnsi"/>
          <w:b/>
          <w:sz w:val="23"/>
          <w:szCs w:val="23"/>
        </w:rPr>
      </w:pPr>
    </w:p>
    <w:p w14:paraId="7E81B9B9" w14:textId="77777777" w:rsidR="00365FEB" w:rsidRPr="00E95E07" w:rsidRDefault="00365FEB" w:rsidP="00365FEB">
      <w:pPr>
        <w:pBdr>
          <w:bottom w:val="single" w:sz="4" w:space="1" w:color="auto"/>
        </w:pBdr>
        <w:spacing w:after="0" w:line="240" w:lineRule="auto"/>
        <w:jc w:val="both"/>
        <w:rPr>
          <w:rFonts w:cstheme="minorHAnsi"/>
          <w:b/>
          <w:sz w:val="23"/>
          <w:szCs w:val="23"/>
        </w:rPr>
      </w:pPr>
      <w:r w:rsidRPr="00E95E07">
        <w:rPr>
          <w:rFonts w:cstheme="minorHAnsi"/>
          <w:b/>
          <w:sz w:val="23"/>
          <w:szCs w:val="23"/>
        </w:rPr>
        <w:t>REFERENCES</w:t>
      </w:r>
    </w:p>
    <w:p w14:paraId="51BEEF62" w14:textId="77777777" w:rsidR="00365FEB" w:rsidRPr="00E95E07" w:rsidRDefault="00365FEB" w:rsidP="00365FEB">
      <w:pPr>
        <w:autoSpaceDE w:val="0"/>
        <w:autoSpaceDN w:val="0"/>
        <w:adjustRightInd w:val="0"/>
        <w:spacing w:after="0" w:line="240" w:lineRule="auto"/>
        <w:jc w:val="both"/>
        <w:rPr>
          <w:rFonts w:cstheme="minorHAnsi"/>
          <w:sz w:val="23"/>
          <w:szCs w:val="23"/>
        </w:rPr>
        <w:sectPr w:rsidR="00365FEB" w:rsidRPr="00E95E07" w:rsidSect="00365FEB">
          <w:pgSz w:w="12240" w:h="15840"/>
          <w:pgMar w:top="1440" w:right="1440" w:bottom="1440" w:left="1440" w:header="720" w:footer="348" w:gutter="0"/>
          <w:cols w:space="720"/>
          <w:docGrid w:linePitch="360"/>
        </w:sectPr>
      </w:pPr>
    </w:p>
    <w:p w14:paraId="24F26223" w14:textId="4390104F" w:rsidR="00365FEB" w:rsidRPr="00E95E07" w:rsidRDefault="00365FEB" w:rsidP="00365FEB">
      <w:pPr>
        <w:autoSpaceDE w:val="0"/>
        <w:autoSpaceDN w:val="0"/>
        <w:adjustRightInd w:val="0"/>
        <w:spacing w:after="0" w:line="240" w:lineRule="auto"/>
        <w:jc w:val="both"/>
        <w:rPr>
          <w:rStyle w:val="Hyperlink"/>
          <w:rFonts w:eastAsia="Times New Roman" w:cstheme="minorHAnsi"/>
          <w:sz w:val="23"/>
          <w:szCs w:val="23"/>
        </w:rPr>
      </w:pPr>
      <w:hyperlink r:id="rId5" w:history="1">
        <w:r w:rsidRPr="00E95E07">
          <w:rPr>
            <w:rStyle w:val="Hyperlink"/>
            <w:rFonts w:eastAsia="Times New Roman" w:cstheme="minorHAnsi"/>
            <w:sz w:val="23"/>
            <w:szCs w:val="23"/>
          </w:rPr>
          <w:t>M.G.L. c. 44, § 53J</w:t>
        </w:r>
      </w:hyperlink>
    </w:p>
    <w:p w14:paraId="01ABA2E6" w14:textId="77777777" w:rsidR="00365FEB" w:rsidRPr="00E95E07" w:rsidRDefault="00365FEB" w:rsidP="00365FEB">
      <w:pPr>
        <w:autoSpaceDE w:val="0"/>
        <w:autoSpaceDN w:val="0"/>
        <w:adjustRightInd w:val="0"/>
        <w:spacing w:after="0" w:line="240" w:lineRule="auto"/>
        <w:jc w:val="both"/>
        <w:rPr>
          <w:rFonts w:cstheme="minorHAnsi"/>
          <w:sz w:val="23"/>
          <w:szCs w:val="23"/>
        </w:rPr>
      </w:pPr>
      <w:hyperlink r:id="rId6" w:history="1">
        <w:r w:rsidRPr="00E95E07">
          <w:rPr>
            <w:rStyle w:val="Hyperlink"/>
            <w:rFonts w:eastAsia="Times New Roman" w:cstheme="minorHAnsi"/>
            <w:sz w:val="23"/>
            <w:szCs w:val="23"/>
          </w:rPr>
          <w:t>M.G.L. c. 80, § 13</w:t>
        </w:r>
      </w:hyperlink>
    </w:p>
    <w:p w14:paraId="4C296307" w14:textId="77777777" w:rsidR="00365FEB" w:rsidRDefault="00365FEB" w:rsidP="00365FEB">
      <w:pPr>
        <w:spacing w:after="0" w:line="240" w:lineRule="auto"/>
        <w:jc w:val="both"/>
        <w:rPr>
          <w:rFonts w:cstheme="minorHAnsi"/>
          <w:sz w:val="23"/>
          <w:szCs w:val="23"/>
        </w:rPr>
      </w:pPr>
    </w:p>
    <w:p w14:paraId="23C34500" w14:textId="2A117149" w:rsidR="00365FEB" w:rsidRPr="00E95E07" w:rsidRDefault="00365FEB" w:rsidP="00365FEB">
      <w:pPr>
        <w:spacing w:after="0" w:line="240" w:lineRule="auto"/>
        <w:jc w:val="both"/>
        <w:rPr>
          <w:rFonts w:cstheme="minorHAnsi"/>
          <w:sz w:val="23"/>
          <w:szCs w:val="23"/>
        </w:rPr>
      </w:pPr>
      <w:r>
        <w:rPr>
          <w:rFonts w:cstheme="minorHAnsi"/>
          <w:sz w:val="23"/>
          <w:szCs w:val="23"/>
        </w:rPr>
        <w:t>Po</w:t>
      </w:r>
      <w:r w:rsidRPr="00E95E07">
        <w:rPr>
          <w:rFonts w:cstheme="minorHAnsi"/>
          <w:sz w:val="23"/>
          <w:szCs w:val="23"/>
        </w:rPr>
        <w:t>licies on Debt Management, Forecasting, and Financial Reserves</w:t>
      </w:r>
    </w:p>
    <w:p w14:paraId="153ADACF" w14:textId="77777777" w:rsidR="00365FEB" w:rsidRPr="00E95E07" w:rsidRDefault="00365FEB" w:rsidP="00365FEB">
      <w:pPr>
        <w:spacing w:after="0" w:line="240" w:lineRule="auto"/>
        <w:jc w:val="both"/>
        <w:rPr>
          <w:rFonts w:cstheme="minorHAnsi"/>
          <w:sz w:val="23"/>
          <w:szCs w:val="23"/>
        </w:rPr>
      </w:pPr>
    </w:p>
    <w:p w14:paraId="0DD68043" w14:textId="47C3F4B8" w:rsidR="00365FEB" w:rsidRPr="00E95E07" w:rsidRDefault="00365FEB" w:rsidP="00365FEB">
      <w:pPr>
        <w:spacing w:after="0" w:line="240" w:lineRule="auto"/>
        <w:jc w:val="both"/>
        <w:rPr>
          <w:rFonts w:cstheme="minorHAnsi"/>
          <w:sz w:val="23"/>
          <w:szCs w:val="23"/>
        </w:rPr>
      </w:pPr>
      <w:r w:rsidRPr="00E95E07">
        <w:rPr>
          <w:rFonts w:cstheme="minorHAnsi"/>
          <w:sz w:val="23"/>
          <w:szCs w:val="23"/>
        </w:rPr>
        <w:t xml:space="preserve">Division of Local Services (DLS) Best Practice: </w:t>
      </w:r>
      <w:hyperlink r:id="rId7" w:history="1">
        <w:r w:rsidRPr="00365FEB">
          <w:rPr>
            <w:rStyle w:val="Hyperlink"/>
            <w:rFonts w:cstheme="minorHAnsi"/>
            <w:i/>
            <w:iCs/>
            <w:sz w:val="23"/>
            <w:szCs w:val="23"/>
          </w:rPr>
          <w:t>Presenting</w:t>
        </w:r>
        <w:r w:rsidRPr="00365FEB">
          <w:rPr>
            <w:rStyle w:val="Hyperlink"/>
            <w:rFonts w:cstheme="minorHAnsi"/>
            <w:i/>
            <w:iCs/>
            <w:sz w:val="23"/>
            <w:szCs w:val="23"/>
          </w:rPr>
          <w:t xml:space="preserve"> </w:t>
        </w:r>
        <w:r w:rsidRPr="00365FEB">
          <w:rPr>
            <w:rStyle w:val="Hyperlink"/>
            <w:rFonts w:cstheme="minorHAnsi"/>
            <w:i/>
            <w:iCs/>
            <w:sz w:val="23"/>
            <w:szCs w:val="23"/>
          </w:rPr>
          <w:t>and Funding Major Capital Projects</w:t>
        </w:r>
      </w:hyperlink>
      <w:r w:rsidRPr="00E95E07">
        <w:rPr>
          <w:rFonts w:cstheme="minorHAnsi"/>
          <w:sz w:val="23"/>
          <w:szCs w:val="23"/>
        </w:rPr>
        <w:t xml:space="preserve"> </w:t>
      </w:r>
    </w:p>
    <w:p w14:paraId="79035411" w14:textId="77777777" w:rsidR="00365FEB" w:rsidRPr="00E95E07" w:rsidRDefault="00365FEB" w:rsidP="00365FEB">
      <w:pPr>
        <w:spacing w:after="0" w:line="240" w:lineRule="auto"/>
        <w:jc w:val="both"/>
        <w:rPr>
          <w:rFonts w:cstheme="minorHAnsi"/>
          <w:sz w:val="23"/>
          <w:szCs w:val="23"/>
        </w:rPr>
      </w:pPr>
    </w:p>
    <w:p w14:paraId="0FBD0631" w14:textId="77777777" w:rsidR="00365FEB" w:rsidRPr="00E95E07" w:rsidRDefault="00365FEB" w:rsidP="00365FEB">
      <w:pPr>
        <w:autoSpaceDE w:val="0"/>
        <w:autoSpaceDN w:val="0"/>
        <w:adjustRightInd w:val="0"/>
        <w:spacing w:after="0" w:line="240" w:lineRule="auto"/>
        <w:jc w:val="both"/>
        <w:rPr>
          <w:rFonts w:cstheme="minorHAnsi"/>
          <w:spacing w:val="-2"/>
          <w:sz w:val="23"/>
          <w:szCs w:val="23"/>
        </w:rPr>
      </w:pPr>
      <w:r w:rsidRPr="00E95E07">
        <w:rPr>
          <w:rFonts w:cstheme="minorHAnsi"/>
          <w:sz w:val="23"/>
          <w:szCs w:val="23"/>
        </w:rPr>
        <w:t xml:space="preserve">DLS Financial Management Guidance: </w:t>
      </w:r>
      <w:hyperlink r:id="rId8" w:history="1">
        <w:r w:rsidRPr="00E95E07">
          <w:rPr>
            <w:rStyle w:val="Hyperlink"/>
            <w:rFonts w:cstheme="minorHAnsi"/>
            <w:i/>
            <w:iCs/>
            <w:sz w:val="23"/>
            <w:szCs w:val="23"/>
          </w:rPr>
          <w:t>Capital Improvement Planning Manual</w:t>
        </w:r>
      </w:hyperlink>
      <w:r w:rsidRPr="00E95E07">
        <w:rPr>
          <w:rFonts w:cstheme="minorHAnsi"/>
          <w:i/>
          <w:iCs/>
          <w:color w:val="0000FF"/>
          <w:sz w:val="23"/>
          <w:szCs w:val="23"/>
        </w:rPr>
        <w:t xml:space="preserve">, </w:t>
      </w:r>
      <w:hyperlink r:id="rId9" w:history="1">
        <w:r w:rsidRPr="00E95E07">
          <w:rPr>
            <w:rStyle w:val="Hyperlink"/>
            <w:rFonts w:cstheme="minorHAnsi"/>
            <w:i/>
            <w:iCs/>
            <w:sz w:val="23"/>
            <w:szCs w:val="23"/>
          </w:rPr>
          <w:t>Capital Improvement Planning Guide</w:t>
        </w:r>
      </w:hyperlink>
      <w:r w:rsidRPr="00E95E07">
        <w:rPr>
          <w:rFonts w:cstheme="minorHAnsi"/>
          <w:sz w:val="23"/>
          <w:szCs w:val="23"/>
        </w:rPr>
        <w:t xml:space="preserve">, and </w:t>
      </w:r>
      <w:hyperlink r:id="rId10" w:history="1">
        <w:r w:rsidRPr="00E95E07">
          <w:rPr>
            <w:rStyle w:val="Hyperlink"/>
            <w:rFonts w:cstheme="minorHAnsi"/>
            <w:sz w:val="23"/>
            <w:szCs w:val="23"/>
          </w:rPr>
          <w:t>Betterments &amp; Special Assessments – Assessment and Collection Procedures</w:t>
        </w:r>
      </w:hyperlink>
    </w:p>
    <w:p w14:paraId="61A33C92" w14:textId="77777777" w:rsidR="00365FEB" w:rsidRPr="00E95E07" w:rsidRDefault="00365FEB" w:rsidP="00365FEB">
      <w:pPr>
        <w:autoSpaceDE w:val="0"/>
        <w:autoSpaceDN w:val="0"/>
        <w:adjustRightInd w:val="0"/>
        <w:spacing w:after="0" w:line="240" w:lineRule="auto"/>
        <w:jc w:val="both"/>
        <w:rPr>
          <w:rFonts w:cstheme="minorHAnsi"/>
          <w:spacing w:val="-2"/>
          <w:sz w:val="23"/>
          <w:szCs w:val="23"/>
        </w:rPr>
      </w:pPr>
    </w:p>
    <w:p w14:paraId="4E57A4C6" w14:textId="77777777" w:rsidR="00365FEB" w:rsidRPr="00E95E07" w:rsidRDefault="00365FEB" w:rsidP="00365FEB">
      <w:pPr>
        <w:pBdr>
          <w:bottom w:val="single" w:sz="4" w:space="1" w:color="auto"/>
        </w:pBdr>
        <w:spacing w:after="0" w:line="240" w:lineRule="auto"/>
        <w:jc w:val="both"/>
        <w:rPr>
          <w:rFonts w:cstheme="minorHAnsi"/>
          <w:b/>
          <w:sz w:val="23"/>
          <w:szCs w:val="23"/>
        </w:rPr>
      </w:pPr>
      <w:r w:rsidRPr="00E95E07">
        <w:rPr>
          <w:rFonts w:cstheme="minorHAnsi"/>
          <w:b/>
          <w:sz w:val="23"/>
          <w:szCs w:val="23"/>
        </w:rPr>
        <w:t>EFFECTIVE DATE</w:t>
      </w:r>
    </w:p>
    <w:p w14:paraId="135923D0" w14:textId="77777777" w:rsidR="00365FEB" w:rsidRPr="00E95E07" w:rsidRDefault="00365FEB" w:rsidP="00365FEB">
      <w:pPr>
        <w:spacing w:after="0" w:line="240" w:lineRule="auto"/>
        <w:jc w:val="both"/>
        <w:rPr>
          <w:rFonts w:cstheme="minorHAnsi"/>
          <w:sz w:val="23"/>
          <w:szCs w:val="23"/>
        </w:rPr>
      </w:pPr>
      <w:r w:rsidRPr="00E95E07">
        <w:rPr>
          <w:rFonts w:cstheme="minorHAnsi"/>
          <w:sz w:val="23"/>
          <w:szCs w:val="23"/>
        </w:rPr>
        <w:t>This policy was adopted on [date].</w:t>
      </w:r>
    </w:p>
    <w:p w14:paraId="066B60B4" w14:textId="77777777" w:rsidR="00FF2E0E" w:rsidRDefault="00FF2E0E"/>
    <w:sectPr w:rsidR="00FF2E0E" w:rsidSect="00365FE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64BD"/>
    <w:multiLevelType w:val="hybridMultilevel"/>
    <w:tmpl w:val="F2B810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7E031C"/>
    <w:multiLevelType w:val="hybridMultilevel"/>
    <w:tmpl w:val="DDB2A75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FA554D"/>
    <w:multiLevelType w:val="hybridMultilevel"/>
    <w:tmpl w:val="A4F4D2D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E05CFA"/>
    <w:multiLevelType w:val="hybridMultilevel"/>
    <w:tmpl w:val="7FA207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16B94"/>
    <w:multiLevelType w:val="hybridMultilevel"/>
    <w:tmpl w:val="D8ACCB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2456E"/>
    <w:multiLevelType w:val="hybridMultilevel"/>
    <w:tmpl w:val="B4E2D2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664759"/>
    <w:multiLevelType w:val="hybridMultilevel"/>
    <w:tmpl w:val="667CFAD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233699"/>
    <w:multiLevelType w:val="hybridMultilevel"/>
    <w:tmpl w:val="67BC24C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C3C4D36"/>
    <w:multiLevelType w:val="hybridMultilevel"/>
    <w:tmpl w:val="98580CA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D7E1C3A"/>
    <w:multiLevelType w:val="hybridMultilevel"/>
    <w:tmpl w:val="2F5640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7088221">
    <w:abstractNumId w:val="2"/>
  </w:num>
  <w:num w:numId="2" w16cid:durableId="1354769458">
    <w:abstractNumId w:val="4"/>
  </w:num>
  <w:num w:numId="3" w16cid:durableId="1084958951">
    <w:abstractNumId w:val="3"/>
  </w:num>
  <w:num w:numId="4" w16cid:durableId="1475221808">
    <w:abstractNumId w:val="5"/>
  </w:num>
  <w:num w:numId="5" w16cid:durableId="75324316">
    <w:abstractNumId w:val="1"/>
  </w:num>
  <w:num w:numId="6" w16cid:durableId="774054888">
    <w:abstractNumId w:val="0"/>
  </w:num>
  <w:num w:numId="7" w16cid:durableId="749930197">
    <w:abstractNumId w:val="6"/>
  </w:num>
  <w:num w:numId="8" w16cid:durableId="1375082878">
    <w:abstractNumId w:val="8"/>
  </w:num>
  <w:num w:numId="9" w16cid:durableId="939601308">
    <w:abstractNumId w:val="7"/>
  </w:num>
  <w:num w:numId="10" w16cid:durableId="19529330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EB"/>
    <w:rsid w:val="0000487C"/>
    <w:rsid w:val="00297E88"/>
    <w:rsid w:val="00365FEB"/>
    <w:rsid w:val="00B91591"/>
    <w:rsid w:val="00FF2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51AC"/>
  <w15:chartTrackingRefBased/>
  <w15:docId w15:val="{061C03E6-BEF4-4065-88C2-E7FAA633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36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FEB"/>
    <w:pPr>
      <w:spacing w:after="120" w:line="264" w:lineRule="auto"/>
      <w:ind w:left="0" w:firstLine="0"/>
      <w:jc w:val="left"/>
    </w:pPr>
    <w:rPr>
      <w:rFonts w:eastAsiaTheme="minorEastAsia"/>
      <w:sz w:val="21"/>
      <w:szCs w:val="21"/>
    </w:rPr>
  </w:style>
  <w:style w:type="paragraph" w:styleId="Heading2">
    <w:name w:val="heading 2"/>
    <w:basedOn w:val="Normal"/>
    <w:next w:val="Normal"/>
    <w:link w:val="Heading2Char"/>
    <w:uiPriority w:val="1"/>
    <w:unhideWhenUsed/>
    <w:qFormat/>
    <w:rsid w:val="00365FEB"/>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65FEB"/>
    <w:rPr>
      <w:rFonts w:asciiTheme="majorHAnsi" w:eastAsiaTheme="majorEastAsia" w:hAnsiTheme="majorHAnsi" w:cstheme="majorBidi"/>
      <w:color w:val="2F5496" w:themeColor="accent1" w:themeShade="BF"/>
      <w:sz w:val="28"/>
      <w:szCs w:val="28"/>
    </w:rPr>
  </w:style>
  <w:style w:type="paragraph" w:styleId="ListParagraph">
    <w:name w:val="List Paragraph"/>
    <w:basedOn w:val="Normal"/>
    <w:link w:val="ListParagraphChar"/>
    <w:uiPriority w:val="34"/>
    <w:qFormat/>
    <w:rsid w:val="00365FEB"/>
    <w:pPr>
      <w:ind w:left="720"/>
      <w:contextualSpacing/>
    </w:pPr>
  </w:style>
  <w:style w:type="character" w:styleId="Hyperlink">
    <w:name w:val="Hyperlink"/>
    <w:basedOn w:val="DefaultParagraphFont"/>
    <w:uiPriority w:val="99"/>
    <w:unhideWhenUsed/>
    <w:rsid w:val="00365FEB"/>
    <w:rPr>
      <w:color w:val="0563C1" w:themeColor="hyperlink"/>
      <w:u w:val="single"/>
    </w:rPr>
  </w:style>
  <w:style w:type="table" w:styleId="TableGrid">
    <w:name w:val="Table Grid"/>
    <w:basedOn w:val="TableNormal"/>
    <w:uiPriority w:val="39"/>
    <w:rsid w:val="00365FEB"/>
    <w:pPr>
      <w:spacing w:after="120"/>
      <w:ind w:left="720"/>
      <w:jc w:val="left"/>
    </w:pPr>
    <w:rPr>
      <w:rFonts w:eastAsia="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65FEB"/>
    <w:rPr>
      <w:rFonts w:eastAsiaTheme="minorEastAsia"/>
      <w:sz w:val="21"/>
      <w:szCs w:val="21"/>
    </w:rPr>
  </w:style>
  <w:style w:type="character" w:styleId="UnresolvedMention">
    <w:name w:val="Unresolved Mention"/>
    <w:basedOn w:val="DefaultParagraphFont"/>
    <w:uiPriority w:val="99"/>
    <w:semiHidden/>
    <w:unhideWhenUsed/>
    <w:rsid w:val="00365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09/08/Capital%20Planning%20Manual%20Forms%20and%20Instructions_0.pdf" TargetMode="External"/><Relationship Id="rId3" Type="http://schemas.openxmlformats.org/officeDocument/2006/relationships/settings" Target="settings.xml"/><Relationship Id="rId7" Type="http://schemas.openxmlformats.org/officeDocument/2006/relationships/hyperlink" Target="https://www.mass.gov/doc/presenting-and-funding-major-capital-projects/downlo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legislature.gov/Laws/GeneralLaws/PartI/TitleXIII/Chapter80/Section13" TargetMode="External"/><Relationship Id="rId11" Type="http://schemas.openxmlformats.org/officeDocument/2006/relationships/fontTable" Target="fontTable.xml"/><Relationship Id="rId5" Type="http://schemas.openxmlformats.org/officeDocument/2006/relationships/hyperlink" Target="https://malegislature.gov/Laws/GeneralLaws/PartI/TitleVII/Chapter44/Section53j" TargetMode="External"/><Relationship Id="rId10" Type="http://schemas.openxmlformats.org/officeDocument/2006/relationships/hyperlink" Target="https://www.mass.gov/doc/betterments-and-special-assessments-assessment-and-collection-procedures/download" TargetMode="External"/><Relationship Id="rId4" Type="http://schemas.openxmlformats.org/officeDocument/2006/relationships/webSettings" Target="webSettings.xml"/><Relationship Id="rId9" Type="http://schemas.openxmlformats.org/officeDocument/2006/relationships/hyperlink" Target="https://www.mass.gov/doc/captital-improvement-planning-guide/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Bohinc, Marcia (DOR)</dc:creator>
  <cp:keywords/>
  <dc:description/>
  <cp:lastModifiedBy>Bohinc, Marcia (DOR)</cp:lastModifiedBy>
  <cp:revision>1</cp:revision>
  <dcterms:created xsi:type="dcterms:W3CDTF">2023-10-25T17:54:00Z</dcterms:created>
  <dcterms:modified xsi:type="dcterms:W3CDTF">2023-10-25T18:24:00Z</dcterms:modified>
</cp:coreProperties>
</file>