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1B3CCF"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B42481" w:rsidRDefault="004932CE" w:rsidP="0095748A">
                            <w:pPr>
                              <w:jc w:val="center"/>
                              <w:rPr>
                                <w:b/>
                                <w:bCs/>
                                <w:sz w:val="28"/>
                              </w:rPr>
                            </w:pPr>
                            <w:r>
                              <w:rPr>
                                <w:b/>
                                <w:bCs/>
                                <w:sz w:val="28"/>
                              </w:rPr>
                              <w:t>Sandisfield</w:t>
                            </w:r>
                            <w:r w:rsidR="00B42481">
                              <w:rPr>
                                <w:b/>
                                <w:bCs/>
                                <w:sz w:val="28"/>
                              </w:rPr>
                              <w:t xml:space="preserve"> </w:t>
                            </w:r>
                            <w:r w:rsidR="004D394D">
                              <w:rPr>
                                <w:b/>
                                <w:bCs/>
                                <w:sz w:val="28"/>
                              </w:rPr>
                              <w:t>Town Offices</w:t>
                            </w:r>
                          </w:p>
                          <w:p w:rsidR="00F06DAA" w:rsidRDefault="00F06DAA" w:rsidP="00DB51C0">
                            <w:pPr>
                              <w:jc w:val="center"/>
                              <w:rPr>
                                <w:b/>
                                <w:bCs/>
                                <w:sz w:val="28"/>
                              </w:rPr>
                            </w:pPr>
                            <w:r>
                              <w:rPr>
                                <w:b/>
                                <w:bCs/>
                                <w:sz w:val="28"/>
                              </w:rPr>
                              <w:t>66 Sandisfield Road</w:t>
                            </w:r>
                          </w:p>
                          <w:p w:rsidR="00B42481" w:rsidRDefault="00F06DAA" w:rsidP="00DB51C0">
                            <w:pPr>
                              <w:jc w:val="center"/>
                              <w:rPr>
                                <w:i/>
                                <w:szCs w:val="24"/>
                              </w:rPr>
                            </w:pPr>
                            <w:r w:rsidRPr="00F06DAA">
                              <w:rPr>
                                <w:b/>
                                <w:bCs/>
                                <w:sz w:val="28"/>
                              </w:rPr>
                              <w:t>Sandisfield, MA</w:t>
                            </w:r>
                          </w:p>
                          <w:p w:rsidR="00891A2F" w:rsidRDefault="00891A2F" w:rsidP="00DB51C0">
                            <w:pPr>
                              <w:jc w:val="center"/>
                              <w:rPr>
                                <w:i/>
                                <w:szCs w:val="24"/>
                              </w:rPr>
                            </w:pPr>
                          </w:p>
                          <w:p w:rsidR="00BD56ED" w:rsidRDefault="00BD56ED" w:rsidP="00DB51C0">
                            <w:pPr>
                              <w:jc w:val="center"/>
                              <w:rPr>
                                <w:i/>
                                <w:szCs w:val="24"/>
                              </w:rPr>
                            </w:pPr>
                          </w:p>
                          <w:p w:rsidR="00BD56ED" w:rsidRPr="00861072" w:rsidRDefault="00BD56ED" w:rsidP="00DB51C0">
                            <w:pPr>
                              <w:jc w:val="center"/>
                              <w:rPr>
                                <w:i/>
                                <w:szCs w:val="24"/>
                              </w:rPr>
                            </w:pPr>
                          </w:p>
                          <w:p w:rsidR="0009667C" w:rsidRDefault="001B3CCF" w:rsidP="00DB51C0">
                            <w:pPr>
                              <w:jc w:val="center"/>
                            </w:pPr>
                            <w:r>
                              <w:rPr>
                                <w:noProof/>
                              </w:rPr>
                              <w:drawing>
                                <wp:inline distT="0" distB="0" distL="0" distR="0">
                                  <wp:extent cx="2468880" cy="3291840"/>
                                  <wp:effectExtent l="0" t="0" r="7620" b="3810"/>
                                  <wp:docPr id="9" name="Picture 9" descr="Front view of Sandisfield Town Offices" title="Front view of Sandisfield Town Off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ont view of Sandisfield Town Offices"/>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B42481" w:rsidRDefault="00B42481" w:rsidP="00DB51C0">
                            <w:pPr>
                              <w:jc w:val="center"/>
                            </w:pPr>
                          </w:p>
                          <w:p w:rsidR="00B42481" w:rsidRDefault="00B42481" w:rsidP="00DB51C0">
                            <w:pPr>
                              <w:jc w:val="center"/>
                            </w:pPr>
                          </w:p>
                          <w:p w:rsidR="00B42481" w:rsidRDefault="00B42481" w:rsidP="00DB51C0">
                            <w:pPr>
                              <w:jc w:val="center"/>
                            </w:pPr>
                          </w:p>
                          <w:p w:rsidR="0060564D" w:rsidRDefault="0060564D" w:rsidP="00DB51C0">
                            <w:pPr>
                              <w:jc w:val="center"/>
                            </w:pPr>
                          </w:p>
                          <w:p w:rsidR="00B42481" w:rsidRDefault="00B42481" w:rsidP="00DB51C0">
                            <w:pPr>
                              <w:jc w:val="center"/>
                            </w:pPr>
                          </w:p>
                          <w:p w:rsidR="00B42481" w:rsidRDefault="00B42481" w:rsidP="00DB51C0">
                            <w:pPr>
                              <w:jc w:val="center"/>
                            </w:pPr>
                          </w:p>
                          <w:p w:rsidR="00B42481" w:rsidRDefault="00B42481"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4932CE" w:rsidP="00DB51C0">
                            <w:pPr>
                              <w:jc w:val="center"/>
                            </w:pPr>
                            <w:r>
                              <w:t>January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B42481" w:rsidRDefault="004932CE" w:rsidP="0095748A">
                      <w:pPr>
                        <w:jc w:val="center"/>
                        <w:rPr>
                          <w:b/>
                          <w:bCs/>
                          <w:sz w:val="28"/>
                        </w:rPr>
                      </w:pPr>
                      <w:r>
                        <w:rPr>
                          <w:b/>
                          <w:bCs/>
                          <w:sz w:val="28"/>
                        </w:rPr>
                        <w:t>Sandisfield</w:t>
                      </w:r>
                      <w:r w:rsidR="00B42481">
                        <w:rPr>
                          <w:b/>
                          <w:bCs/>
                          <w:sz w:val="28"/>
                        </w:rPr>
                        <w:t xml:space="preserve"> </w:t>
                      </w:r>
                      <w:r w:rsidR="004D394D">
                        <w:rPr>
                          <w:b/>
                          <w:bCs/>
                          <w:sz w:val="28"/>
                        </w:rPr>
                        <w:t>Town Offices</w:t>
                      </w:r>
                    </w:p>
                    <w:p w:rsidR="00F06DAA" w:rsidRDefault="00F06DAA" w:rsidP="00DB51C0">
                      <w:pPr>
                        <w:jc w:val="center"/>
                        <w:rPr>
                          <w:b/>
                          <w:bCs/>
                          <w:sz w:val="28"/>
                        </w:rPr>
                      </w:pPr>
                      <w:r>
                        <w:rPr>
                          <w:b/>
                          <w:bCs/>
                          <w:sz w:val="28"/>
                        </w:rPr>
                        <w:t>66 Sandisfield Road</w:t>
                      </w:r>
                    </w:p>
                    <w:p w:rsidR="00B42481" w:rsidRDefault="00F06DAA" w:rsidP="00DB51C0">
                      <w:pPr>
                        <w:jc w:val="center"/>
                        <w:rPr>
                          <w:i/>
                          <w:szCs w:val="24"/>
                        </w:rPr>
                      </w:pPr>
                      <w:r w:rsidRPr="00F06DAA">
                        <w:rPr>
                          <w:b/>
                          <w:bCs/>
                          <w:sz w:val="28"/>
                        </w:rPr>
                        <w:t>Sandisfield, MA</w:t>
                      </w:r>
                    </w:p>
                    <w:p w:rsidR="00891A2F" w:rsidRDefault="00891A2F" w:rsidP="00DB51C0">
                      <w:pPr>
                        <w:jc w:val="center"/>
                        <w:rPr>
                          <w:i/>
                          <w:szCs w:val="24"/>
                        </w:rPr>
                      </w:pPr>
                    </w:p>
                    <w:p w:rsidR="00BD56ED" w:rsidRDefault="00BD56ED" w:rsidP="00DB51C0">
                      <w:pPr>
                        <w:jc w:val="center"/>
                        <w:rPr>
                          <w:i/>
                          <w:szCs w:val="24"/>
                        </w:rPr>
                      </w:pPr>
                    </w:p>
                    <w:p w:rsidR="00BD56ED" w:rsidRPr="00861072" w:rsidRDefault="00BD56ED" w:rsidP="00DB51C0">
                      <w:pPr>
                        <w:jc w:val="center"/>
                        <w:rPr>
                          <w:i/>
                          <w:szCs w:val="24"/>
                        </w:rPr>
                      </w:pPr>
                    </w:p>
                    <w:p w:rsidR="0009667C" w:rsidRDefault="001B3CCF" w:rsidP="00DB51C0">
                      <w:pPr>
                        <w:jc w:val="center"/>
                      </w:pPr>
                      <w:r>
                        <w:rPr>
                          <w:noProof/>
                        </w:rPr>
                        <w:drawing>
                          <wp:inline distT="0" distB="0" distL="0" distR="0">
                            <wp:extent cx="2468880" cy="3291840"/>
                            <wp:effectExtent l="0" t="0" r="7620" b="3810"/>
                            <wp:docPr id="9" name="Picture 9" descr="Front view of Sandisfield Town Offices" title="Front view of Sandisfield Town Off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ont view of Sandisfield Town Offices"/>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B42481" w:rsidRDefault="00B42481" w:rsidP="00DB51C0">
                      <w:pPr>
                        <w:jc w:val="center"/>
                      </w:pPr>
                    </w:p>
                    <w:p w:rsidR="00B42481" w:rsidRDefault="00B42481" w:rsidP="00DB51C0">
                      <w:pPr>
                        <w:jc w:val="center"/>
                      </w:pPr>
                    </w:p>
                    <w:p w:rsidR="00B42481" w:rsidRDefault="00B42481" w:rsidP="00DB51C0">
                      <w:pPr>
                        <w:jc w:val="center"/>
                      </w:pPr>
                    </w:p>
                    <w:p w:rsidR="0060564D" w:rsidRDefault="0060564D" w:rsidP="00DB51C0">
                      <w:pPr>
                        <w:jc w:val="center"/>
                      </w:pPr>
                    </w:p>
                    <w:p w:rsidR="00B42481" w:rsidRDefault="00B42481" w:rsidP="00DB51C0">
                      <w:pPr>
                        <w:jc w:val="center"/>
                      </w:pPr>
                    </w:p>
                    <w:p w:rsidR="00B42481" w:rsidRDefault="00B42481" w:rsidP="00DB51C0">
                      <w:pPr>
                        <w:jc w:val="center"/>
                      </w:pPr>
                    </w:p>
                    <w:p w:rsidR="00B42481" w:rsidRDefault="00B42481"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4932CE" w:rsidP="00DB51C0">
                      <w:pPr>
                        <w:jc w:val="center"/>
                      </w:pPr>
                      <w:r>
                        <w:t>January 2018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4932CE" w:rsidP="004932CE">
            <w:pPr>
              <w:tabs>
                <w:tab w:val="left" w:pos="1485"/>
              </w:tabs>
              <w:rPr>
                <w:bCs/>
              </w:rPr>
            </w:pPr>
            <w:r>
              <w:rPr>
                <w:bCs/>
              </w:rPr>
              <w:t xml:space="preserve">Sandisfield </w:t>
            </w:r>
            <w:r w:rsidR="008F430B">
              <w:rPr>
                <w:bCs/>
              </w:rPr>
              <w:t>Town Offices</w:t>
            </w:r>
            <w:r w:rsidR="00CD7A75">
              <w:rPr>
                <w:bCs/>
              </w:rPr>
              <w:t xml:space="preserve"> (</w:t>
            </w:r>
            <w:r>
              <w:rPr>
                <w:bCs/>
              </w:rPr>
              <w:t>S</w:t>
            </w:r>
            <w:r w:rsidR="008F430B">
              <w:rPr>
                <w:bCs/>
              </w:rPr>
              <w:t>TO</w:t>
            </w:r>
            <w:r w:rsidR="00CD7A75">
              <w:rPr>
                <w:bCs/>
              </w:rPr>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F06DAA" w:rsidP="00C3373A">
            <w:pPr>
              <w:tabs>
                <w:tab w:val="left" w:pos="1485"/>
              </w:tabs>
              <w:rPr>
                <w:bCs/>
              </w:rPr>
            </w:pPr>
            <w:r w:rsidRPr="00F06DAA">
              <w:rPr>
                <w:bCs/>
              </w:rPr>
              <w:t>66 Sandisfield R</w:t>
            </w:r>
            <w:r>
              <w:rPr>
                <w:bCs/>
              </w:rPr>
              <w:t>oad</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7A767C" w:rsidP="007A767C">
            <w:pPr>
              <w:tabs>
                <w:tab w:val="left" w:pos="1485"/>
              </w:tabs>
              <w:rPr>
                <w:bCs/>
              </w:rPr>
            </w:pPr>
            <w:r>
              <w:rPr>
                <w:bCs/>
              </w:rPr>
              <w:t>O</w:t>
            </w:r>
            <w:r w:rsidR="00F06DAA">
              <w:rPr>
                <w:bCs/>
              </w:rPr>
              <w:t xml:space="preserve">ccupants reported </w:t>
            </w:r>
            <w:r w:rsidR="004932CE">
              <w:rPr>
                <w:bCs/>
              </w:rPr>
              <w:t>sulfur od</w:t>
            </w:r>
            <w:r w:rsidR="00F06DAA">
              <w:rPr>
                <w:bCs/>
              </w:rPr>
              <w:t>o</w:t>
            </w:r>
            <w:r w:rsidR="004932CE">
              <w:rPr>
                <w:bCs/>
              </w:rPr>
              <w:t>r and metallic taste</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4932CE" w:rsidP="00C3373A">
            <w:pPr>
              <w:tabs>
                <w:tab w:val="left" w:pos="1485"/>
              </w:tabs>
              <w:rPr>
                <w:bCs/>
              </w:rPr>
            </w:pPr>
            <w:r>
              <w:rPr>
                <w:bCs/>
              </w:rPr>
              <w:t>January</w:t>
            </w:r>
            <w:r w:rsidR="00F2423F">
              <w:rPr>
                <w:bCs/>
              </w:rPr>
              <w:t xml:space="preserve"> </w:t>
            </w:r>
            <w:r w:rsidR="00875BE8">
              <w:rPr>
                <w:bCs/>
              </w:rPr>
              <w:t>12</w:t>
            </w:r>
            <w:r w:rsidR="0073731E">
              <w:rPr>
                <w:bCs/>
              </w:rPr>
              <w:t>, 201</w:t>
            </w:r>
            <w:r w:rsidR="00C3373A">
              <w:rPr>
                <w:bCs/>
              </w:rPr>
              <w:t>8</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B42481" w:rsidP="00B42481">
            <w:pPr>
              <w:pStyle w:val="StaffTitleHangingIndent"/>
              <w:rPr>
                <w:bCs/>
              </w:rPr>
            </w:pPr>
            <w:r>
              <w:rPr>
                <w:bCs/>
              </w:rPr>
              <w:t xml:space="preserve">Michael Feeney, Director, </w:t>
            </w:r>
            <w:r w:rsidR="00F90ED3">
              <w:rPr>
                <w:bCs/>
              </w:rPr>
              <w:t>Indoor Air Quality (</w:t>
            </w:r>
            <w:r w:rsidR="0067520C">
              <w:rPr>
                <w:bCs/>
              </w:rPr>
              <w:t>IAQ</w:t>
            </w:r>
            <w:r w:rsidR="00F90ED3">
              <w:rPr>
                <w:bCs/>
              </w:rPr>
              <w:t>)</w:t>
            </w:r>
            <w:r w:rsidR="00966B98">
              <w:rPr>
                <w:bCs/>
              </w:rPr>
              <w:t xml:space="preserve">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B42481" w:rsidP="00F90ED3">
            <w:pPr>
              <w:tabs>
                <w:tab w:val="left" w:pos="1485"/>
              </w:tabs>
              <w:rPr>
                <w:bCs/>
              </w:rPr>
            </w:pPr>
            <w:r>
              <w:rPr>
                <w:bCs/>
              </w:rPr>
              <w:t>Originally constructed as a one-story school</w:t>
            </w:r>
            <w:r w:rsidR="00875BE8">
              <w:rPr>
                <w:bCs/>
              </w:rPr>
              <w:t xml:space="preserve"> with a finished basement</w:t>
            </w:r>
            <w:r>
              <w:rPr>
                <w:bCs/>
              </w:rPr>
              <w:t>.</w:t>
            </w:r>
            <w:r w:rsidR="0062564B">
              <w:rPr>
                <w:bCs/>
              </w:rPr>
              <w:t xml:space="preserve"> </w:t>
            </w:r>
            <w:r w:rsidR="00B55DAB">
              <w:rPr>
                <w:bCs/>
              </w:rPr>
              <w:t>The</w:t>
            </w:r>
            <w:r>
              <w:rPr>
                <w:bCs/>
              </w:rPr>
              <w:t xml:space="preserve"> building </w:t>
            </w:r>
            <w:r w:rsidR="00B55DAB">
              <w:rPr>
                <w:bCs/>
              </w:rPr>
              <w:t xml:space="preserve">currently </w:t>
            </w:r>
            <w:r>
              <w:rPr>
                <w:bCs/>
              </w:rPr>
              <w:t xml:space="preserve">serves </w:t>
            </w:r>
            <w:r w:rsidR="00F06DAA">
              <w:rPr>
                <w:bCs/>
              </w:rPr>
              <w:t xml:space="preserve">both the </w:t>
            </w:r>
            <w:r w:rsidR="00F90ED3">
              <w:rPr>
                <w:bCs/>
              </w:rPr>
              <w:t>STO</w:t>
            </w:r>
            <w:r w:rsidR="00875BE8">
              <w:rPr>
                <w:bCs/>
              </w:rPr>
              <w:t xml:space="preserve"> and </w:t>
            </w:r>
            <w:r w:rsidR="00CD77D0">
              <w:rPr>
                <w:bCs/>
              </w:rPr>
              <w:t>Senior Center</w:t>
            </w:r>
            <w:r w:rsidR="007A767C">
              <w:rPr>
                <w:bCs/>
              </w:rPr>
              <w:t>.</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1C07FF" w:rsidRDefault="0031007B" w:rsidP="00B42481">
            <w:pPr>
              <w:tabs>
                <w:tab w:val="left" w:pos="1485"/>
              </w:tabs>
              <w:rPr>
                <w:bCs/>
              </w:rPr>
            </w:pPr>
            <w:r w:rsidRPr="00736ECE">
              <w:rPr>
                <w:bCs/>
              </w:rPr>
              <w:t>Approximately</w:t>
            </w:r>
            <w:r w:rsidR="00640206" w:rsidRPr="00736ECE">
              <w:rPr>
                <w:bCs/>
              </w:rPr>
              <w:t xml:space="preserve"> </w:t>
            </w:r>
            <w:r w:rsidR="00B42481">
              <w:rPr>
                <w:bCs/>
              </w:rPr>
              <w:t>5</w:t>
            </w:r>
            <w:r w:rsidR="00154071" w:rsidRPr="001C07FF">
              <w:rPr>
                <w:bCs/>
              </w:rPr>
              <w:t xml:space="preserve"> </w:t>
            </w:r>
            <w:r w:rsidR="00640206" w:rsidRPr="001C07FF">
              <w:rPr>
                <w:bCs/>
              </w:rPr>
              <w:t>employees</w:t>
            </w:r>
          </w:p>
        </w:tc>
      </w:tr>
      <w:tr w:rsidR="00183D48" w:rsidRPr="005E458D" w:rsidTr="007154D5">
        <w:trPr>
          <w:jc w:val="center"/>
        </w:trPr>
        <w:tc>
          <w:tcPr>
            <w:tcW w:w="5089" w:type="dxa"/>
            <w:shd w:val="clear" w:color="auto" w:fill="auto"/>
          </w:tcPr>
          <w:p w:rsidR="00183D48" w:rsidRPr="00183D48" w:rsidRDefault="00183D48" w:rsidP="00486557">
            <w:pPr>
              <w:tabs>
                <w:tab w:val="left" w:pos="1485"/>
              </w:tabs>
              <w:rPr>
                <w:rStyle w:val="BackgroundBoldedDescriptors"/>
              </w:rPr>
            </w:pPr>
            <w:r w:rsidRPr="00183D48">
              <w:rPr>
                <w:rStyle w:val="BackgroundBoldedDescriptors"/>
              </w:rPr>
              <w:t>Year of Construction:</w:t>
            </w:r>
          </w:p>
        </w:tc>
        <w:tc>
          <w:tcPr>
            <w:tcW w:w="4008" w:type="dxa"/>
            <w:shd w:val="clear" w:color="auto" w:fill="auto"/>
          </w:tcPr>
          <w:p w:rsidR="00183D48" w:rsidRPr="00183D48" w:rsidRDefault="00875BE8" w:rsidP="00875BE8">
            <w:pPr>
              <w:tabs>
                <w:tab w:val="left" w:pos="1485"/>
              </w:tabs>
              <w:rPr>
                <w:bCs/>
              </w:rPr>
            </w:pPr>
            <w:r>
              <w:rPr>
                <w:bCs/>
              </w:rPr>
              <w:t>194</w:t>
            </w:r>
            <w:r w:rsidR="007423ED">
              <w:rPr>
                <w:bCs/>
              </w:rPr>
              <w:t>9</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B42481" w:rsidP="00B42481">
            <w:pPr>
              <w:tabs>
                <w:tab w:val="left" w:pos="1485"/>
              </w:tabs>
              <w:rPr>
                <w:bCs/>
              </w:rPr>
            </w:pPr>
            <w:r>
              <w:rPr>
                <w:bCs/>
              </w:rPr>
              <w:t>O</w:t>
            </w:r>
            <w:r w:rsidR="0073731E">
              <w:rPr>
                <w:bCs/>
              </w:rPr>
              <w:t>penable</w:t>
            </w:r>
          </w:p>
        </w:tc>
      </w:tr>
    </w:tbl>
    <w:p w:rsidR="00F93352" w:rsidRDefault="00F93352" w:rsidP="00F93352">
      <w:pPr>
        <w:pStyle w:val="Heading1"/>
      </w:pPr>
      <w:r>
        <w:t>M</w:t>
      </w:r>
      <w:r w:rsidR="007154D5">
        <w:t>ethods</w:t>
      </w:r>
    </w:p>
    <w:p w:rsidR="00CD7A75" w:rsidRDefault="00F93352" w:rsidP="00CD7A75">
      <w:pPr>
        <w:pStyle w:val="BodyText10"/>
      </w:pPr>
      <w:r w:rsidRPr="002C2B7C">
        <w:t>Please refer to the IAQ Manual for methods, sampling procedures, and interpretation of results (MDPH, 2015).</w:t>
      </w:r>
    </w:p>
    <w:p w:rsidR="009F6242" w:rsidRDefault="0018765B" w:rsidP="009F6242">
      <w:pPr>
        <w:pStyle w:val="Heading1"/>
      </w:pPr>
      <w:r>
        <w:t>I</w:t>
      </w:r>
      <w:r w:rsidR="009F6242">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73731E">
        <w:t>below</w:t>
      </w:r>
      <w:r w:rsidR="0085418C" w:rsidRPr="00C4264C">
        <w:t xml:space="preserve"> 800 parts per million (ppm) </w:t>
      </w:r>
      <w:r w:rsidR="00C75B43">
        <w:t xml:space="preserve">in </w:t>
      </w:r>
      <w:r w:rsidR="0073731E">
        <w:t xml:space="preserve">all </w:t>
      </w:r>
      <w:r w:rsidR="00C17C5C">
        <w:t xml:space="preserve">occupied </w:t>
      </w:r>
      <w:r w:rsidR="0073731E">
        <w:t xml:space="preserve">areas </w:t>
      </w:r>
      <w:r w:rsidR="007154D5">
        <w:t>assessed</w:t>
      </w:r>
      <w:r w:rsidR="00B25BED">
        <w:t>,</w:t>
      </w:r>
      <w:r w:rsidR="00FF4228">
        <w:t xml:space="preserve"> indicating </w:t>
      </w:r>
      <w:r w:rsidR="003A5A0D">
        <w:t>a</w:t>
      </w:r>
      <w:r w:rsidR="00E23ED1">
        <w:t>dequate fresh air</w:t>
      </w:r>
      <w:r w:rsidR="001F608A">
        <w:t xml:space="preserve"> in </w:t>
      </w:r>
      <w:r w:rsidR="0073731E">
        <w:t>the space</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6A33D1">
        <w:t xml:space="preserve"> or below</w:t>
      </w:r>
      <w:r w:rsidR="00C52B52">
        <w:t xml:space="preserve"> </w:t>
      </w:r>
      <w:r w:rsidR="00991847">
        <w:t xml:space="preserve">the recommended </w:t>
      </w:r>
      <w:r w:rsidRPr="009F6242">
        <w:t>range of 70°F to 78°F</w:t>
      </w:r>
      <w:r>
        <w:t xml:space="preserve"> in </w:t>
      </w:r>
      <w:r w:rsidR="00C17C5C">
        <w:t>occupied</w:t>
      </w:r>
      <w:r w:rsidR="005D2230">
        <w:t xml:space="preserve"> areas </w:t>
      </w:r>
      <w:r w:rsidR="007154D5">
        <w:t>assessed</w:t>
      </w:r>
      <w:r w:rsidR="006A33D1">
        <w:t xml:space="preserve"> and slightly above in the furnace room</w:t>
      </w:r>
      <w:r w:rsidR="005D2230">
        <w:t>.</w:t>
      </w:r>
    </w:p>
    <w:p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C17C5C">
        <w:t xml:space="preserve">near or </w:t>
      </w:r>
      <w:r w:rsidR="008F430B">
        <w:t>within</w:t>
      </w:r>
      <w:r w:rsidR="00967AF4">
        <w:t xml:space="preserve"> </w:t>
      </w:r>
      <w:r w:rsidR="00EA5EF2">
        <w:t xml:space="preserve">the </w:t>
      </w:r>
      <w:r w:rsidR="008261E3">
        <w:t>recommended range of 40</w:t>
      </w:r>
      <w:r w:rsidR="00C75B43">
        <w:t>%</w:t>
      </w:r>
      <w:r w:rsidR="008261E3">
        <w:t xml:space="preserve"> to 60</w:t>
      </w:r>
      <w:r w:rsidR="00991847">
        <w:t xml:space="preserve">% in </w:t>
      </w:r>
      <w:r w:rsidR="006819A3">
        <w:t>all</w:t>
      </w:r>
      <w:r w:rsidR="001843E8">
        <w:t xml:space="preserve"> </w:t>
      </w:r>
      <w:r w:rsidR="00C17C5C">
        <w:t xml:space="preserve">occupied </w:t>
      </w:r>
      <w:r w:rsidR="00143327">
        <w:t xml:space="preserve">areas </w:t>
      </w:r>
      <w:r w:rsidR="007154D5">
        <w:t>assessed</w:t>
      </w:r>
      <w:r w:rsidR="005D2230">
        <w:t>.</w:t>
      </w:r>
    </w:p>
    <w:p w:rsidR="00991847" w:rsidRPr="00ED5D2F" w:rsidRDefault="00991847" w:rsidP="007154D5">
      <w:pPr>
        <w:pStyle w:val="BodyText"/>
        <w:numPr>
          <w:ilvl w:val="0"/>
          <w:numId w:val="18"/>
        </w:numPr>
        <w:rPr>
          <w:b/>
          <w:bCs/>
        </w:rPr>
      </w:pPr>
      <w:r w:rsidRPr="00ED5D2F">
        <w:rPr>
          <w:b/>
          <w:i/>
        </w:rPr>
        <w:t>Carbon monoxide</w:t>
      </w:r>
      <w:r w:rsidRPr="00ED5D2F">
        <w:t xml:space="preserve"> levels were </w:t>
      </w:r>
      <w:r w:rsidRPr="006D4763">
        <w:t>non-detectable in a</w:t>
      </w:r>
      <w:r w:rsidRPr="00ED5D2F">
        <w:t xml:space="preserve">ll </w:t>
      </w:r>
      <w:r w:rsidR="00C17C5C">
        <w:t xml:space="preserve">occupied </w:t>
      </w:r>
      <w:r w:rsidRPr="00ED5D2F">
        <w:t xml:space="preserve">areas </w:t>
      </w:r>
      <w:r w:rsidR="007154D5">
        <w:t>assessed</w:t>
      </w:r>
      <w:r w:rsidR="00C4264C">
        <w:t>.</w:t>
      </w:r>
      <w:r w:rsidR="006A33D1">
        <w:t xml:space="preserve"> Up to 2 ppm was detected in the furnace room.</w:t>
      </w:r>
    </w:p>
    <w:p w:rsidR="00665B76" w:rsidRPr="00733A7C" w:rsidRDefault="00DB51C0" w:rsidP="007154D5">
      <w:pPr>
        <w:pStyle w:val="BodyText"/>
        <w:numPr>
          <w:ilvl w:val="0"/>
          <w:numId w:val="19"/>
        </w:numPr>
        <w:rPr>
          <w:b/>
          <w:bCs/>
        </w:rPr>
      </w:pPr>
      <w:r w:rsidRPr="00401927">
        <w:rPr>
          <w:b/>
          <w:i/>
        </w:rPr>
        <w:lastRenderedPageBreak/>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665B76">
        <w:rPr>
          <w:vertAlign w:val="superscript"/>
        </w:rPr>
        <w:t>3</w:t>
      </w:r>
      <w:r w:rsidR="00991847">
        <w:t xml:space="preserve"> in </w:t>
      </w:r>
      <w:r w:rsidR="00192C3D">
        <w:t xml:space="preserve">all </w:t>
      </w:r>
      <w:r w:rsidR="00C17C5C">
        <w:t xml:space="preserve">occupied </w:t>
      </w:r>
      <w:r w:rsidR="00991847">
        <w:t>area</w:t>
      </w:r>
      <w:r w:rsidR="00192C3D">
        <w:t>s</w:t>
      </w:r>
      <w:proofErr w:type="gramEnd"/>
      <w:r w:rsidR="00991847">
        <w:t xml:space="preserve"> </w:t>
      </w:r>
      <w:r w:rsidR="007154D5">
        <w:t>assessed</w:t>
      </w:r>
      <w:r w:rsidR="00991847">
        <w:t>.</w:t>
      </w:r>
      <w:r w:rsidR="006A33D1">
        <w:t xml:space="preserve"> Levels in the furnace room ranged above that level.</w:t>
      </w:r>
    </w:p>
    <w:p w:rsidR="00F85E13" w:rsidRPr="00676A91" w:rsidRDefault="009F6242" w:rsidP="006E6262">
      <w:pPr>
        <w:pStyle w:val="Heading2"/>
      </w:pPr>
      <w:r w:rsidRPr="00676A91">
        <w:t>Ventilation</w:t>
      </w:r>
    </w:p>
    <w:p w:rsidR="006E6262" w:rsidRPr="005E2E28" w:rsidRDefault="006E6262" w:rsidP="00DB51C0">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Finally, an HVAC system wil</w:t>
      </w:r>
      <w:r w:rsidR="006A33D1">
        <w:t>l dilute and remove normally-</w:t>
      </w:r>
      <w:r w:rsidRPr="005E2E28">
        <w:t>occurring indoor environmental pollutants by not only introducing fresh air, but by filtering the airstream and ejecting stale air to the outdoors via exhaust ventilation.</w:t>
      </w:r>
      <w:r w:rsidR="007D2C35">
        <w:t xml:space="preserve"> </w:t>
      </w:r>
      <w:r w:rsidRPr="005E2E28">
        <w:t>Even if an HVAC system is operating as designed, point sources of respiratory irritation may exist and cause symptoms in sensitive individuals.</w:t>
      </w:r>
      <w:r w:rsidR="007D2C35">
        <w:t xml:space="preserve"> </w:t>
      </w:r>
      <w:r w:rsidRPr="005E2E28">
        <w:t xml:space="preserve">The following analysis examines and identifies components of the HVAC system and likely sources of respiratory irritant/allergen exposure due to water damage, aerosolized </w:t>
      </w:r>
      <w:r w:rsidR="00B87284" w:rsidRPr="005E2E28">
        <w:t>dust,</w:t>
      </w:r>
      <w:r w:rsidRPr="005E2E28">
        <w:t xml:space="preserve"> and/or chemicals found in the indoor environment.</w:t>
      </w:r>
    </w:p>
    <w:p w:rsidR="006819A3" w:rsidRDefault="006819A3" w:rsidP="006819A3">
      <w:pPr>
        <w:pStyle w:val="BodyText"/>
      </w:pPr>
      <w:r w:rsidRPr="00C14637">
        <w:t>The assessment results</w:t>
      </w:r>
      <w:r w:rsidRPr="005E2E28">
        <w:t xml:space="preserve"> indicate that the ventilation system i</w:t>
      </w:r>
      <w:r>
        <w:t>s providing adequate fresh air for the occupancy in the building. Note that many areas had low occupancy, which can reduce the creation of carbon dioxide. To maximize air exchange, the BEH recommends that mechanical ventilation systems operate continuously during periods of occupancy. Without the system operating as designed, normally occurring pollutants cannot be diluted or removed, allowing them to build up and lead to IAQ/comfort complaints.</w:t>
      </w:r>
    </w:p>
    <w:p w:rsidR="00875BE8" w:rsidRDefault="00875BE8" w:rsidP="006819A3">
      <w:pPr>
        <w:pStyle w:val="BodyText"/>
      </w:pPr>
      <w:r>
        <w:t xml:space="preserve">The </w:t>
      </w:r>
      <w:r w:rsidR="008D3E01">
        <w:t>HVAC system</w:t>
      </w:r>
      <w:r>
        <w:t xml:space="preserve"> has no mechanical </w:t>
      </w:r>
      <w:r w:rsidR="008D3E01">
        <w:t>means</w:t>
      </w:r>
      <w:r>
        <w:t xml:space="preserve"> </w:t>
      </w:r>
      <w:r w:rsidR="00131D4D">
        <w:t>to</w:t>
      </w:r>
      <w:r>
        <w:t xml:space="preserve"> provide fresh air.</w:t>
      </w:r>
      <w:r w:rsidR="00131D4D">
        <w:t xml:space="preserve"> </w:t>
      </w:r>
      <w:r>
        <w:t xml:space="preserve">Rooms are equipped with a fan coil unit (FCU) </w:t>
      </w:r>
      <w:r w:rsidR="007423ED">
        <w:t xml:space="preserve">(Picture 1) </w:t>
      </w:r>
      <w:r>
        <w:t>that provides heat only.</w:t>
      </w:r>
      <w:r w:rsidR="00131D4D">
        <w:t xml:space="preserve"> </w:t>
      </w:r>
      <w:r>
        <w:t>It appears that the original ventilation system in the building was removed when the building became town offices.</w:t>
      </w:r>
      <w:r w:rsidR="00131D4D">
        <w:t xml:space="preserve"> </w:t>
      </w:r>
      <w:r>
        <w:t xml:space="preserve">Fresh air intake vents on the outside </w:t>
      </w:r>
      <w:r w:rsidR="00C17C5C">
        <w:t xml:space="preserve">wall </w:t>
      </w:r>
      <w:r w:rsidR="008420B3">
        <w:t xml:space="preserve">of </w:t>
      </w:r>
      <w:r>
        <w:t xml:space="preserve">the </w:t>
      </w:r>
      <w:r w:rsidR="00C17C5C">
        <w:t>building were</w:t>
      </w:r>
      <w:r>
        <w:t xml:space="preserve"> found sealed (</w:t>
      </w:r>
      <w:r w:rsidR="00C17C5C">
        <w:t xml:space="preserve">Picture </w:t>
      </w:r>
      <w:r w:rsidR="007423ED">
        <w:t>2</w:t>
      </w:r>
      <w:r>
        <w:t>).</w:t>
      </w:r>
      <w:r w:rsidR="00131D4D">
        <w:t xml:space="preserve"> </w:t>
      </w:r>
      <w:r>
        <w:t>Exhaust vents were also sealed.</w:t>
      </w:r>
      <w:r w:rsidR="00131D4D">
        <w:t xml:space="preserve"> </w:t>
      </w:r>
      <w:r>
        <w:t>The sole mean to provide fresh air</w:t>
      </w:r>
      <w:r w:rsidR="007423ED">
        <w:t xml:space="preserve"> or to exhaust air</w:t>
      </w:r>
      <w:r>
        <w:t xml:space="preserve"> is by opening windows.</w:t>
      </w:r>
    </w:p>
    <w:p w:rsidR="00875BE8" w:rsidRPr="00875BE8" w:rsidRDefault="00A02948" w:rsidP="007A767C">
      <w:pPr>
        <w:pStyle w:val="Heading2"/>
      </w:pPr>
      <w:r w:rsidRPr="00C17C5C">
        <w:t>Assessment of Odors</w:t>
      </w:r>
      <w:r w:rsidR="00875BE8" w:rsidRPr="00875BE8">
        <w:t xml:space="preserve"> </w:t>
      </w:r>
    </w:p>
    <w:p w:rsidR="00A02948" w:rsidRPr="00C17C5C" w:rsidRDefault="00A02948" w:rsidP="00C17C5C">
      <w:pPr>
        <w:pStyle w:val="Heading1"/>
        <w:spacing w:before="0"/>
        <w:ind w:firstLine="720"/>
        <w:rPr>
          <w:b w:val="0"/>
          <w:sz w:val="24"/>
          <w:szCs w:val="24"/>
        </w:rPr>
      </w:pPr>
      <w:r w:rsidRPr="00C17C5C">
        <w:rPr>
          <w:b w:val="0"/>
          <w:sz w:val="24"/>
          <w:szCs w:val="24"/>
        </w:rPr>
        <w:t xml:space="preserve">STO staff reported symptoms that </w:t>
      </w:r>
      <w:r w:rsidR="00385FC0">
        <w:rPr>
          <w:b w:val="0"/>
          <w:sz w:val="24"/>
          <w:szCs w:val="24"/>
        </w:rPr>
        <w:t>they attribute to</w:t>
      </w:r>
      <w:r w:rsidRPr="00C17C5C">
        <w:rPr>
          <w:b w:val="0"/>
          <w:sz w:val="24"/>
          <w:szCs w:val="24"/>
        </w:rPr>
        <w:t xml:space="preserve"> exposure to a sulfur odor</w:t>
      </w:r>
      <w:r w:rsidR="00385FC0">
        <w:rPr>
          <w:b w:val="0"/>
          <w:sz w:val="24"/>
          <w:szCs w:val="24"/>
        </w:rPr>
        <w:t>; they also reported a metallic taste sensation</w:t>
      </w:r>
      <w:r w:rsidRPr="00C17C5C">
        <w:rPr>
          <w:b w:val="0"/>
          <w:sz w:val="24"/>
          <w:szCs w:val="24"/>
        </w:rPr>
        <w:t>.</w:t>
      </w:r>
      <w:r w:rsidR="00131D4D">
        <w:rPr>
          <w:b w:val="0"/>
          <w:sz w:val="24"/>
          <w:szCs w:val="24"/>
        </w:rPr>
        <w:t xml:space="preserve"> </w:t>
      </w:r>
      <w:r w:rsidRPr="00C17C5C">
        <w:rPr>
          <w:b w:val="0"/>
          <w:sz w:val="24"/>
          <w:szCs w:val="24"/>
        </w:rPr>
        <w:t>The STO has had no renovation activity before or during the ti</w:t>
      </w:r>
      <w:r w:rsidR="00131D4D">
        <w:rPr>
          <w:b w:val="0"/>
          <w:sz w:val="24"/>
          <w:szCs w:val="24"/>
        </w:rPr>
        <w:t>meframe of these reported odors/</w:t>
      </w:r>
      <w:r w:rsidRPr="00C17C5C">
        <w:rPr>
          <w:b w:val="0"/>
          <w:sz w:val="24"/>
          <w:szCs w:val="24"/>
        </w:rPr>
        <w:t>symptoms.</w:t>
      </w:r>
      <w:r w:rsidR="00131D4D">
        <w:rPr>
          <w:b w:val="0"/>
          <w:sz w:val="24"/>
          <w:szCs w:val="24"/>
        </w:rPr>
        <w:t xml:space="preserve"> </w:t>
      </w:r>
      <w:r w:rsidRPr="00C17C5C">
        <w:rPr>
          <w:b w:val="0"/>
          <w:sz w:val="24"/>
          <w:szCs w:val="24"/>
        </w:rPr>
        <w:t xml:space="preserve">IAQ staff assessed the furnace room, </w:t>
      </w:r>
      <w:r w:rsidR="00CD77D0">
        <w:rPr>
          <w:b w:val="0"/>
          <w:sz w:val="24"/>
          <w:szCs w:val="24"/>
        </w:rPr>
        <w:t>Senior Center</w:t>
      </w:r>
      <w:r w:rsidRPr="00C17C5C">
        <w:rPr>
          <w:b w:val="0"/>
          <w:sz w:val="24"/>
          <w:szCs w:val="24"/>
        </w:rPr>
        <w:t xml:space="preserve"> </w:t>
      </w:r>
      <w:r w:rsidR="00131D4D">
        <w:rPr>
          <w:b w:val="0"/>
          <w:sz w:val="24"/>
          <w:szCs w:val="24"/>
        </w:rPr>
        <w:t>and the Treasurer’s O</w:t>
      </w:r>
      <w:r w:rsidRPr="00C17C5C">
        <w:rPr>
          <w:b w:val="0"/>
          <w:sz w:val="24"/>
          <w:szCs w:val="24"/>
        </w:rPr>
        <w:t>ffice in which people reported these odors and symptoms.</w:t>
      </w:r>
      <w:r w:rsidR="00131D4D">
        <w:rPr>
          <w:b w:val="0"/>
          <w:sz w:val="24"/>
          <w:szCs w:val="24"/>
        </w:rPr>
        <w:t xml:space="preserve"> </w:t>
      </w:r>
      <w:r w:rsidRPr="00C17C5C">
        <w:rPr>
          <w:b w:val="0"/>
          <w:sz w:val="24"/>
          <w:szCs w:val="24"/>
        </w:rPr>
        <w:t xml:space="preserve">The following </w:t>
      </w:r>
      <w:r w:rsidRPr="00C17C5C">
        <w:rPr>
          <w:b w:val="0"/>
          <w:sz w:val="24"/>
          <w:szCs w:val="24"/>
        </w:rPr>
        <w:lastRenderedPageBreak/>
        <w:t>conditions were noted</w:t>
      </w:r>
      <w:r w:rsidR="0068267B">
        <w:rPr>
          <w:b w:val="0"/>
          <w:sz w:val="24"/>
          <w:szCs w:val="24"/>
        </w:rPr>
        <w:t xml:space="preserve"> which can provide a pathway for furnace products of combustion to impact the </w:t>
      </w:r>
      <w:r w:rsidR="00131D4D">
        <w:rPr>
          <w:b w:val="0"/>
          <w:sz w:val="24"/>
          <w:szCs w:val="24"/>
        </w:rPr>
        <w:t>Treasurer’s O</w:t>
      </w:r>
      <w:r w:rsidR="0068267B">
        <w:rPr>
          <w:b w:val="0"/>
          <w:sz w:val="24"/>
          <w:szCs w:val="24"/>
        </w:rPr>
        <w:t>ffice</w:t>
      </w:r>
      <w:r w:rsidRPr="00C17C5C">
        <w:rPr>
          <w:b w:val="0"/>
          <w:sz w:val="24"/>
          <w:szCs w:val="24"/>
        </w:rPr>
        <w:t>.</w:t>
      </w:r>
    </w:p>
    <w:p w:rsidR="00A02948" w:rsidRPr="00C17C5C" w:rsidRDefault="00A02948" w:rsidP="00C17C5C">
      <w:pPr>
        <w:numPr>
          <w:ilvl w:val="0"/>
          <w:numId w:val="21"/>
        </w:numPr>
        <w:spacing w:line="360" w:lineRule="auto"/>
        <w:rPr>
          <w:szCs w:val="24"/>
        </w:rPr>
      </w:pPr>
      <w:r w:rsidRPr="00C17C5C">
        <w:rPr>
          <w:szCs w:val="24"/>
        </w:rPr>
        <w:t xml:space="preserve">The </w:t>
      </w:r>
      <w:r w:rsidR="007423ED">
        <w:rPr>
          <w:szCs w:val="24"/>
        </w:rPr>
        <w:t xml:space="preserve">heating </w:t>
      </w:r>
      <w:r w:rsidRPr="00C17C5C">
        <w:rPr>
          <w:szCs w:val="24"/>
        </w:rPr>
        <w:t>pipes supplying the</w:t>
      </w:r>
      <w:r w:rsidR="00131D4D">
        <w:rPr>
          <w:szCs w:val="24"/>
        </w:rPr>
        <w:t xml:space="preserve"> Treasurer’s O</w:t>
      </w:r>
      <w:r w:rsidR="0080335E">
        <w:rPr>
          <w:szCs w:val="24"/>
        </w:rPr>
        <w:t xml:space="preserve">ffice FCU have </w:t>
      </w:r>
      <w:r w:rsidRPr="00C17C5C">
        <w:rPr>
          <w:szCs w:val="24"/>
        </w:rPr>
        <w:t>a space which opens into the floor space bet</w:t>
      </w:r>
      <w:r w:rsidR="00385FC0">
        <w:rPr>
          <w:szCs w:val="24"/>
        </w:rPr>
        <w:t xml:space="preserve">ween the </w:t>
      </w:r>
      <w:r w:rsidR="00CD77D0">
        <w:rPr>
          <w:szCs w:val="24"/>
        </w:rPr>
        <w:t>Senior Center</w:t>
      </w:r>
      <w:r w:rsidR="00385FC0">
        <w:rPr>
          <w:szCs w:val="24"/>
        </w:rPr>
        <w:t xml:space="preserve"> and the T</w:t>
      </w:r>
      <w:r w:rsidRPr="00C17C5C">
        <w:rPr>
          <w:szCs w:val="24"/>
        </w:rPr>
        <w:t>reasure</w:t>
      </w:r>
      <w:r w:rsidR="00385FC0">
        <w:rPr>
          <w:szCs w:val="24"/>
        </w:rPr>
        <w:t>r’s O</w:t>
      </w:r>
      <w:r w:rsidRPr="00C17C5C">
        <w:rPr>
          <w:szCs w:val="24"/>
        </w:rPr>
        <w:t>ffice (</w:t>
      </w:r>
      <w:r w:rsidR="00C17C5C" w:rsidRPr="00C17C5C">
        <w:rPr>
          <w:szCs w:val="24"/>
        </w:rPr>
        <w:t>Picture</w:t>
      </w:r>
      <w:r w:rsidR="00C17C5C">
        <w:rPr>
          <w:szCs w:val="24"/>
        </w:rPr>
        <w:t xml:space="preserve"> 3</w:t>
      </w:r>
      <w:r w:rsidRPr="00C17C5C">
        <w:rPr>
          <w:szCs w:val="24"/>
        </w:rPr>
        <w:t>)</w:t>
      </w:r>
      <w:r w:rsidR="00A96FF9" w:rsidRPr="00C17C5C">
        <w:rPr>
          <w:szCs w:val="24"/>
        </w:rPr>
        <w:t>.</w:t>
      </w:r>
    </w:p>
    <w:p w:rsidR="00A02948" w:rsidRPr="00C17C5C" w:rsidRDefault="00A96FF9" w:rsidP="00C17C5C">
      <w:pPr>
        <w:numPr>
          <w:ilvl w:val="0"/>
          <w:numId w:val="21"/>
        </w:numPr>
        <w:spacing w:line="360" w:lineRule="auto"/>
        <w:rPr>
          <w:szCs w:val="24"/>
        </w:rPr>
      </w:pPr>
      <w:r w:rsidRPr="00C17C5C">
        <w:rPr>
          <w:szCs w:val="24"/>
        </w:rPr>
        <w:t xml:space="preserve">The same </w:t>
      </w:r>
      <w:r w:rsidR="007423ED">
        <w:rPr>
          <w:szCs w:val="24"/>
        </w:rPr>
        <w:t xml:space="preserve">heating </w:t>
      </w:r>
      <w:r w:rsidRPr="00C17C5C">
        <w:rPr>
          <w:szCs w:val="24"/>
        </w:rPr>
        <w:t xml:space="preserve">pipes have </w:t>
      </w:r>
      <w:r w:rsidR="00CD77D0">
        <w:rPr>
          <w:szCs w:val="24"/>
        </w:rPr>
        <w:t>a</w:t>
      </w:r>
      <w:r w:rsidRPr="00C17C5C">
        <w:rPr>
          <w:szCs w:val="24"/>
        </w:rPr>
        <w:t xml:space="preserve"> space that is open </w:t>
      </w:r>
      <w:proofErr w:type="gramStart"/>
      <w:r w:rsidRPr="00C17C5C">
        <w:rPr>
          <w:szCs w:val="24"/>
        </w:rPr>
        <w:t xml:space="preserve">between the </w:t>
      </w:r>
      <w:r w:rsidR="00CD77D0">
        <w:rPr>
          <w:szCs w:val="24"/>
        </w:rPr>
        <w:t>Senior Center</w:t>
      </w:r>
      <w:r w:rsidRPr="00C17C5C">
        <w:rPr>
          <w:szCs w:val="24"/>
        </w:rPr>
        <w:t xml:space="preserve"> above the kitchen cabinets to the furnace room (</w:t>
      </w:r>
      <w:r w:rsidR="00C17C5C" w:rsidRPr="00C17C5C">
        <w:rPr>
          <w:szCs w:val="24"/>
        </w:rPr>
        <w:t>Picture</w:t>
      </w:r>
      <w:r w:rsidR="00C17C5C">
        <w:rPr>
          <w:szCs w:val="24"/>
        </w:rPr>
        <w:t xml:space="preserve"> 4</w:t>
      </w:r>
      <w:r w:rsidRPr="00C17C5C">
        <w:rPr>
          <w:szCs w:val="24"/>
        </w:rPr>
        <w:t>)</w:t>
      </w:r>
      <w:proofErr w:type="gramEnd"/>
      <w:r w:rsidRPr="00C17C5C">
        <w:rPr>
          <w:szCs w:val="24"/>
        </w:rPr>
        <w:t>.</w:t>
      </w:r>
    </w:p>
    <w:p w:rsidR="00A96FF9" w:rsidRPr="00C17C5C" w:rsidRDefault="00A96FF9" w:rsidP="00C17C5C">
      <w:pPr>
        <w:numPr>
          <w:ilvl w:val="0"/>
          <w:numId w:val="21"/>
        </w:numPr>
        <w:spacing w:line="360" w:lineRule="auto"/>
        <w:rPr>
          <w:szCs w:val="24"/>
        </w:rPr>
      </w:pPr>
      <w:r w:rsidRPr="00C17C5C">
        <w:rPr>
          <w:szCs w:val="24"/>
        </w:rPr>
        <w:t>The flue connecting the furnace to the chimney has a hole (</w:t>
      </w:r>
      <w:r w:rsidR="00C17C5C" w:rsidRPr="00C17C5C">
        <w:rPr>
          <w:szCs w:val="24"/>
        </w:rPr>
        <w:t>Picture</w:t>
      </w:r>
      <w:r w:rsidR="00C17C5C">
        <w:rPr>
          <w:szCs w:val="24"/>
        </w:rPr>
        <w:t xml:space="preserve"> 5</w:t>
      </w:r>
      <w:r w:rsidRPr="00C17C5C">
        <w:rPr>
          <w:szCs w:val="24"/>
        </w:rPr>
        <w:t>).</w:t>
      </w:r>
    </w:p>
    <w:p w:rsidR="00A96FF9" w:rsidRPr="00C17C5C" w:rsidRDefault="00A96FF9" w:rsidP="00C17C5C">
      <w:pPr>
        <w:numPr>
          <w:ilvl w:val="0"/>
          <w:numId w:val="21"/>
        </w:numPr>
        <w:spacing w:line="360" w:lineRule="auto"/>
        <w:rPr>
          <w:szCs w:val="24"/>
        </w:rPr>
      </w:pPr>
      <w:r w:rsidRPr="00C17C5C">
        <w:rPr>
          <w:szCs w:val="24"/>
        </w:rPr>
        <w:t>The air intake for the furnace power vent was cl</w:t>
      </w:r>
      <w:r w:rsidR="00774C32">
        <w:rPr>
          <w:szCs w:val="24"/>
        </w:rPr>
        <w:t>ogged with debris</w:t>
      </w:r>
      <w:r w:rsidR="00131D4D">
        <w:rPr>
          <w:szCs w:val="24"/>
        </w:rPr>
        <w:t>,</w:t>
      </w:r>
      <w:r w:rsidR="00774C32">
        <w:rPr>
          <w:szCs w:val="24"/>
        </w:rPr>
        <w:t xml:space="preserve"> including leave</w:t>
      </w:r>
      <w:r w:rsidRPr="00C17C5C">
        <w:rPr>
          <w:szCs w:val="24"/>
        </w:rPr>
        <w:t>s</w:t>
      </w:r>
      <w:r w:rsidR="00131D4D">
        <w:rPr>
          <w:szCs w:val="24"/>
        </w:rPr>
        <w:t>,</w:t>
      </w:r>
      <w:r w:rsidRPr="00C17C5C">
        <w:rPr>
          <w:szCs w:val="24"/>
        </w:rPr>
        <w:t xml:space="preserve"> which would prevent combustion air from getting to the furnace (</w:t>
      </w:r>
      <w:r w:rsidR="00C17C5C" w:rsidRPr="00C17C5C">
        <w:rPr>
          <w:szCs w:val="24"/>
        </w:rPr>
        <w:t>Picture</w:t>
      </w:r>
      <w:r w:rsidR="00C17C5C">
        <w:rPr>
          <w:szCs w:val="24"/>
        </w:rPr>
        <w:t xml:space="preserve"> 6</w:t>
      </w:r>
      <w:r w:rsidRPr="00C17C5C">
        <w:rPr>
          <w:szCs w:val="24"/>
        </w:rPr>
        <w:t>).</w:t>
      </w:r>
    </w:p>
    <w:p w:rsidR="00A96FF9" w:rsidRPr="007B0690" w:rsidRDefault="00131D4D" w:rsidP="00C17C5C">
      <w:pPr>
        <w:numPr>
          <w:ilvl w:val="0"/>
          <w:numId w:val="21"/>
        </w:numPr>
        <w:spacing w:line="360" w:lineRule="auto"/>
        <w:rPr>
          <w:szCs w:val="24"/>
        </w:rPr>
      </w:pPr>
      <w:r w:rsidRPr="007B0690">
        <w:rPr>
          <w:szCs w:val="24"/>
        </w:rPr>
        <w:t>A</w:t>
      </w:r>
      <w:r w:rsidR="00A96FF9" w:rsidRPr="007B0690">
        <w:rPr>
          <w:szCs w:val="24"/>
        </w:rPr>
        <w:t xml:space="preserve"> barometric pressure vent </w:t>
      </w:r>
      <w:r w:rsidRPr="007B0690">
        <w:rPr>
          <w:szCs w:val="24"/>
        </w:rPr>
        <w:t xml:space="preserve">exists </w:t>
      </w:r>
      <w:r w:rsidR="00A96FF9" w:rsidRPr="007B0690">
        <w:rPr>
          <w:szCs w:val="24"/>
        </w:rPr>
        <w:t>on the duct supplying the furnace power vent (</w:t>
      </w:r>
      <w:r w:rsidR="00C17C5C" w:rsidRPr="007B0690">
        <w:rPr>
          <w:szCs w:val="24"/>
        </w:rPr>
        <w:t>Picture 7</w:t>
      </w:r>
      <w:r w:rsidR="00A96FF9" w:rsidRPr="007B0690">
        <w:rPr>
          <w:szCs w:val="24"/>
        </w:rPr>
        <w:t>).</w:t>
      </w:r>
      <w:r w:rsidRPr="007B0690">
        <w:rPr>
          <w:szCs w:val="24"/>
        </w:rPr>
        <w:t xml:space="preserve"> </w:t>
      </w:r>
      <w:r w:rsidR="00A96FF9" w:rsidRPr="007B0690">
        <w:rPr>
          <w:szCs w:val="24"/>
        </w:rPr>
        <w:t>If the combustion air intake is blocked, this vent would allow for combustion air to be drawn from the furnace room</w:t>
      </w:r>
      <w:r w:rsidRPr="007B0690">
        <w:rPr>
          <w:szCs w:val="24"/>
        </w:rPr>
        <w:t>. This</w:t>
      </w:r>
      <w:r w:rsidR="00A96FF9" w:rsidRPr="007B0690">
        <w:rPr>
          <w:szCs w:val="24"/>
        </w:rPr>
        <w:t xml:space="preserve"> is an unusual configuration because without the barometric </w:t>
      </w:r>
      <w:proofErr w:type="gramStart"/>
      <w:r w:rsidR="00A96FF9" w:rsidRPr="007B0690">
        <w:rPr>
          <w:szCs w:val="24"/>
        </w:rPr>
        <w:t>pressure vent</w:t>
      </w:r>
      <w:proofErr w:type="gramEnd"/>
      <w:r w:rsidR="00A96FF9" w:rsidRPr="007B0690">
        <w:rPr>
          <w:szCs w:val="24"/>
        </w:rPr>
        <w:t xml:space="preserve"> on the flu</w:t>
      </w:r>
      <w:r w:rsidRPr="007B0690">
        <w:rPr>
          <w:szCs w:val="24"/>
        </w:rPr>
        <w:t>e</w:t>
      </w:r>
      <w:r w:rsidR="00A96FF9" w:rsidRPr="007B0690">
        <w:rPr>
          <w:szCs w:val="24"/>
        </w:rPr>
        <w:t xml:space="preserve"> between the furnace and the chimney this particular vent can allow for backdraft</w:t>
      </w:r>
      <w:r w:rsidR="00CD77D0">
        <w:rPr>
          <w:szCs w:val="24"/>
        </w:rPr>
        <w:t>ing</w:t>
      </w:r>
      <w:r w:rsidR="00A96FF9" w:rsidRPr="007B0690">
        <w:rPr>
          <w:szCs w:val="24"/>
        </w:rPr>
        <w:t xml:space="preserve"> of products of combustion into the building.</w:t>
      </w:r>
    </w:p>
    <w:p w:rsidR="007F6C3B" w:rsidRPr="00C17C5C" w:rsidRDefault="00A96FF9" w:rsidP="00131D4D">
      <w:pPr>
        <w:pStyle w:val="BodyText1"/>
      </w:pPr>
      <w:proofErr w:type="gramStart"/>
      <w:r w:rsidRPr="00C17C5C">
        <w:t>T</w:t>
      </w:r>
      <w:r w:rsidR="00A02948" w:rsidRPr="00C17C5C">
        <w:t xml:space="preserve">his furnace combusts oil </w:t>
      </w:r>
      <w:r w:rsidR="00C17C5C" w:rsidRPr="00C17C5C">
        <w:t>as</w:t>
      </w:r>
      <w:r w:rsidR="00A02948" w:rsidRPr="00C17C5C">
        <w:t xml:space="preserve"> </w:t>
      </w:r>
      <w:r w:rsidR="00C17C5C" w:rsidRPr="00C17C5C">
        <w:t xml:space="preserve">a </w:t>
      </w:r>
      <w:r w:rsidR="00A02948" w:rsidRPr="00C17C5C">
        <w:t>fuel.</w:t>
      </w:r>
      <w:proofErr w:type="gramEnd"/>
      <w:r w:rsidR="00131D4D">
        <w:t xml:space="preserve"> </w:t>
      </w:r>
      <w:r w:rsidR="00A02948" w:rsidRPr="00C17C5C">
        <w:t>The process of combustion produces airborne liquids, solids and gases, including carbon monoxide (CO) and carbon dioxide (NFPA, 1997).</w:t>
      </w:r>
      <w:r w:rsidR="00131D4D">
        <w:t xml:space="preserve"> </w:t>
      </w:r>
      <w:r w:rsidR="00A02948" w:rsidRPr="00C17C5C">
        <w:t>Of these materials, CO and smoke can produce immediate, acute health effects upon exposure.</w:t>
      </w:r>
      <w:r w:rsidRPr="00C17C5C">
        <w:t xml:space="preserve"> </w:t>
      </w:r>
      <w:r w:rsidR="00131D4D">
        <w:t>CO</w:t>
      </w:r>
      <w:r w:rsidR="00A02948" w:rsidRPr="00C17C5C">
        <w:t xml:space="preserve"> is a by-product of incomplete combustion of organic matter (e.g., gasoline, wood and tobacco).</w:t>
      </w:r>
    </w:p>
    <w:p w:rsidR="007F6C3B" w:rsidRPr="00C17C5C" w:rsidRDefault="007F6C3B" w:rsidP="00131D4D">
      <w:pPr>
        <w:pStyle w:val="BodyText1"/>
      </w:pPr>
      <w:r w:rsidRPr="00C17C5C">
        <w:t>IAQ</w:t>
      </w:r>
      <w:r w:rsidR="00A02948" w:rsidRPr="00C17C5C">
        <w:t xml:space="preserve"> staff examined the furnace and conducted air sampling for </w:t>
      </w:r>
      <w:r w:rsidRPr="00C17C5C">
        <w:t xml:space="preserve">PM2.5, </w:t>
      </w:r>
      <w:r w:rsidR="00A02948" w:rsidRPr="00C17C5C">
        <w:t>carbon monoxide and carbon dioxide</w:t>
      </w:r>
      <w:r w:rsidR="00131D4D">
        <w:t xml:space="preserve"> in the furnace room</w:t>
      </w:r>
      <w:r w:rsidR="00A02948" w:rsidRPr="00C17C5C">
        <w:t>.</w:t>
      </w:r>
      <w:r w:rsidR="00131D4D">
        <w:t xml:space="preserve"> The air sampling results</w:t>
      </w:r>
      <w:r w:rsidR="007B0690">
        <w:t xml:space="preserve"> for the furnace room</w:t>
      </w:r>
      <w:r w:rsidR="00131D4D">
        <w:t>, as shown in Table 1</w:t>
      </w:r>
      <w:r w:rsidRPr="00C17C5C">
        <w:t>:</w:t>
      </w:r>
    </w:p>
    <w:p w:rsidR="007F6C3B" w:rsidRPr="00C17C5C" w:rsidRDefault="00A02948" w:rsidP="00C17C5C">
      <w:pPr>
        <w:numPr>
          <w:ilvl w:val="0"/>
          <w:numId w:val="22"/>
        </w:numPr>
        <w:spacing w:line="360" w:lineRule="auto"/>
        <w:ind w:firstLine="720"/>
        <w:rPr>
          <w:szCs w:val="24"/>
        </w:rPr>
      </w:pPr>
      <w:r w:rsidRPr="00C17C5C">
        <w:rPr>
          <w:szCs w:val="24"/>
        </w:rPr>
        <w:t xml:space="preserve">CO measurement of </w:t>
      </w:r>
      <w:r w:rsidR="007F6C3B" w:rsidRPr="00C17C5C">
        <w:rPr>
          <w:szCs w:val="24"/>
        </w:rPr>
        <w:t xml:space="preserve">2 </w:t>
      </w:r>
      <w:r w:rsidR="00131D4D">
        <w:rPr>
          <w:szCs w:val="24"/>
        </w:rPr>
        <w:t>ppm</w:t>
      </w:r>
    </w:p>
    <w:p w:rsidR="007F6C3B" w:rsidRPr="00C17C5C" w:rsidRDefault="007F6C3B" w:rsidP="00C17C5C">
      <w:pPr>
        <w:numPr>
          <w:ilvl w:val="0"/>
          <w:numId w:val="22"/>
        </w:numPr>
        <w:spacing w:line="360" w:lineRule="auto"/>
        <w:ind w:firstLine="720"/>
        <w:rPr>
          <w:szCs w:val="24"/>
        </w:rPr>
      </w:pPr>
      <w:r w:rsidRPr="00C17C5C">
        <w:rPr>
          <w:szCs w:val="24"/>
        </w:rPr>
        <w:t>C</w:t>
      </w:r>
      <w:r w:rsidR="00A02948" w:rsidRPr="00C17C5C">
        <w:rPr>
          <w:szCs w:val="24"/>
        </w:rPr>
        <w:t xml:space="preserve">arbon dioxide measurement of </w:t>
      </w:r>
      <w:r w:rsidRPr="00C17C5C">
        <w:rPr>
          <w:szCs w:val="24"/>
        </w:rPr>
        <w:t>1572</w:t>
      </w:r>
      <w:r w:rsidR="00A02948" w:rsidRPr="00C17C5C">
        <w:rPr>
          <w:szCs w:val="24"/>
        </w:rPr>
        <w:t xml:space="preserve"> ppm</w:t>
      </w:r>
    </w:p>
    <w:p w:rsidR="007F6C3B" w:rsidRPr="00C17C5C" w:rsidRDefault="00131D4D" w:rsidP="00C17C5C">
      <w:pPr>
        <w:numPr>
          <w:ilvl w:val="0"/>
          <w:numId w:val="22"/>
        </w:numPr>
        <w:spacing w:line="360" w:lineRule="auto"/>
        <w:ind w:firstLine="720"/>
        <w:rPr>
          <w:szCs w:val="24"/>
        </w:rPr>
      </w:pPr>
      <w:r>
        <w:rPr>
          <w:szCs w:val="24"/>
        </w:rPr>
        <w:t xml:space="preserve">A </w:t>
      </w:r>
      <w:r w:rsidR="007F6C3B" w:rsidRPr="00C17C5C">
        <w:rPr>
          <w:szCs w:val="24"/>
        </w:rPr>
        <w:t xml:space="preserve">PM 2.5 </w:t>
      </w:r>
      <w:r>
        <w:rPr>
          <w:szCs w:val="24"/>
        </w:rPr>
        <w:t>range</w:t>
      </w:r>
      <w:r w:rsidR="007F6C3B" w:rsidRPr="00C17C5C">
        <w:rPr>
          <w:szCs w:val="24"/>
        </w:rPr>
        <w:t xml:space="preserve"> of 10 to 337</w:t>
      </w:r>
      <w:r>
        <w:rPr>
          <w:szCs w:val="24"/>
        </w:rPr>
        <w:t xml:space="preserve"> µ</w:t>
      </w:r>
      <w:r w:rsidR="007F6C3B" w:rsidRPr="00C17C5C">
        <w:rPr>
          <w:szCs w:val="24"/>
        </w:rPr>
        <w:t>g/m</w:t>
      </w:r>
      <w:r w:rsidR="007F6C3B" w:rsidRPr="00131D4D">
        <w:rPr>
          <w:szCs w:val="24"/>
          <w:vertAlign w:val="superscript"/>
        </w:rPr>
        <w:t>3</w:t>
      </w:r>
    </w:p>
    <w:p w:rsidR="007F6C3B" w:rsidRPr="00131D4D" w:rsidRDefault="00A02948" w:rsidP="00131D4D">
      <w:pPr>
        <w:pStyle w:val="BodyText1"/>
      </w:pPr>
      <w:r w:rsidRPr="00131D4D">
        <w:t xml:space="preserve">These measurements indicate that when the furnace is activated, products of combustion are venting into the </w:t>
      </w:r>
      <w:r w:rsidR="00131D4D">
        <w:t>furnace room/</w:t>
      </w:r>
      <w:r w:rsidRPr="00131D4D">
        <w:t xml:space="preserve">basement, rather than out </w:t>
      </w:r>
      <w:r w:rsidR="00131D4D">
        <w:t xml:space="preserve">of </w:t>
      </w:r>
      <w:r w:rsidRPr="00131D4D">
        <w:t>the building via the chimney.</w:t>
      </w:r>
      <w:r w:rsidR="00131D4D" w:rsidRPr="00131D4D">
        <w:t xml:space="preserve"> </w:t>
      </w:r>
      <w:r w:rsidR="007F6C3B" w:rsidRPr="00131D4D">
        <w:t xml:space="preserve">Due to the holes around the heating pipes it is possible that products of combustion from the furnace </w:t>
      </w:r>
      <w:r w:rsidR="00CD77D0">
        <w:t>are</w:t>
      </w:r>
      <w:r w:rsidR="007F6C3B" w:rsidRPr="00131D4D">
        <w:t xml:space="preserve"> drawn into the treasurer’s office from the ceiling of the </w:t>
      </w:r>
      <w:r w:rsidR="00CD77D0">
        <w:t>Senior Center</w:t>
      </w:r>
      <w:r w:rsidR="007F6C3B" w:rsidRPr="00131D4D">
        <w:t xml:space="preserve"> via the holes for the heating pipes that were noted in Pictures </w:t>
      </w:r>
      <w:r w:rsidR="00C17C5C" w:rsidRPr="00131D4D">
        <w:t>3</w:t>
      </w:r>
      <w:r w:rsidR="007F6C3B" w:rsidRPr="00131D4D">
        <w:t xml:space="preserve"> and </w:t>
      </w:r>
      <w:r w:rsidR="00C17C5C" w:rsidRPr="00131D4D">
        <w:t>4</w:t>
      </w:r>
      <w:r w:rsidR="007F6C3B" w:rsidRPr="00131D4D">
        <w:t>.</w:t>
      </w:r>
    </w:p>
    <w:p w:rsidR="00B25E44" w:rsidRPr="00C17C5C" w:rsidRDefault="00A02948" w:rsidP="0080335E">
      <w:pPr>
        <w:spacing w:line="360" w:lineRule="auto"/>
        <w:ind w:firstLine="720"/>
        <w:rPr>
          <w:szCs w:val="24"/>
        </w:rPr>
      </w:pPr>
      <w:r w:rsidRPr="00C17C5C">
        <w:rPr>
          <w:szCs w:val="24"/>
        </w:rPr>
        <w:t xml:space="preserve">In addition to CO and carbon dioxide, </w:t>
      </w:r>
      <w:r w:rsidR="007F6C3B" w:rsidRPr="00C17C5C">
        <w:rPr>
          <w:szCs w:val="24"/>
        </w:rPr>
        <w:t xml:space="preserve">various other pollutants can be produced from fuel oil which include hydrogen sulfide, residual metals, </w:t>
      </w:r>
      <w:r w:rsidRPr="00C17C5C">
        <w:rPr>
          <w:szCs w:val="24"/>
        </w:rPr>
        <w:t>water vapor and particulate (e.g., smoke)</w:t>
      </w:r>
      <w:r w:rsidR="007F6C3B" w:rsidRPr="00C17C5C">
        <w:rPr>
          <w:szCs w:val="24"/>
        </w:rPr>
        <w:t>.</w:t>
      </w:r>
      <w:r w:rsidR="00131D4D">
        <w:rPr>
          <w:szCs w:val="24"/>
        </w:rPr>
        <w:t xml:space="preserve"> </w:t>
      </w:r>
      <w:r w:rsidR="00131D4D">
        <w:rPr>
          <w:szCs w:val="24"/>
        </w:rPr>
        <w:lastRenderedPageBreak/>
        <w:t>These products</w:t>
      </w:r>
      <w:r w:rsidR="00B25E44" w:rsidRPr="00C17C5C">
        <w:rPr>
          <w:szCs w:val="24"/>
        </w:rPr>
        <w:t xml:space="preserve"> of combustion </w:t>
      </w:r>
      <w:r w:rsidR="00131D4D">
        <w:rPr>
          <w:szCs w:val="24"/>
        </w:rPr>
        <w:t>can be irritating</w:t>
      </w:r>
      <w:r w:rsidRPr="00C17C5C">
        <w:rPr>
          <w:szCs w:val="24"/>
        </w:rPr>
        <w:t xml:space="preserve"> to the eyes, nose throat and respiratory system.</w:t>
      </w:r>
      <w:r w:rsidR="00131D4D">
        <w:rPr>
          <w:szCs w:val="24"/>
        </w:rPr>
        <w:t xml:space="preserve"> </w:t>
      </w:r>
      <w:r w:rsidR="00B25E44" w:rsidRPr="00C17C5C">
        <w:rPr>
          <w:szCs w:val="24"/>
        </w:rPr>
        <w:t>In addition the sulfur odor as well as metallic taste ca</w:t>
      </w:r>
      <w:r w:rsidR="00131D4D">
        <w:rPr>
          <w:szCs w:val="24"/>
        </w:rPr>
        <w:t>n be attributed to exposure to these</w:t>
      </w:r>
      <w:r w:rsidR="00B25E44" w:rsidRPr="00C17C5C">
        <w:rPr>
          <w:szCs w:val="24"/>
        </w:rPr>
        <w:t xml:space="preserve"> products of combustion</w:t>
      </w:r>
      <w:r w:rsidR="00131D4D">
        <w:rPr>
          <w:szCs w:val="24"/>
        </w:rPr>
        <w:t xml:space="preserve"> from the furnace</w:t>
      </w:r>
      <w:r w:rsidR="00B25E44" w:rsidRPr="00C17C5C">
        <w:rPr>
          <w:szCs w:val="24"/>
        </w:rPr>
        <w:t>.</w:t>
      </w:r>
    </w:p>
    <w:p w:rsidR="00B25E44" w:rsidRPr="00C17C5C" w:rsidRDefault="00B25E44" w:rsidP="00C17C5C">
      <w:pPr>
        <w:spacing w:line="360" w:lineRule="auto"/>
        <w:ind w:firstLine="720"/>
        <w:rPr>
          <w:szCs w:val="24"/>
        </w:rPr>
      </w:pPr>
      <w:r w:rsidRPr="00C17C5C">
        <w:rPr>
          <w:szCs w:val="24"/>
        </w:rPr>
        <w:t xml:space="preserve">It is important to note that </w:t>
      </w:r>
      <w:r w:rsidR="00965820">
        <w:rPr>
          <w:szCs w:val="24"/>
        </w:rPr>
        <w:t xml:space="preserve">while CO levels </w:t>
      </w:r>
      <w:r w:rsidR="00A02948" w:rsidRPr="00C17C5C">
        <w:rPr>
          <w:szCs w:val="24"/>
        </w:rPr>
        <w:t xml:space="preserve">were below </w:t>
      </w:r>
      <w:r w:rsidRPr="00C17C5C">
        <w:rPr>
          <w:szCs w:val="24"/>
        </w:rPr>
        <w:t>the level of concern during this assessment</w:t>
      </w:r>
      <w:r w:rsidR="00965820">
        <w:rPr>
          <w:szCs w:val="24"/>
        </w:rPr>
        <w:t>, the elevated</w:t>
      </w:r>
      <w:r w:rsidR="00A02948" w:rsidRPr="00C17C5C">
        <w:rPr>
          <w:szCs w:val="24"/>
        </w:rPr>
        <w:t xml:space="preserve"> carbon dioxide levels </w:t>
      </w:r>
      <w:r w:rsidR="00965820">
        <w:rPr>
          <w:szCs w:val="24"/>
        </w:rPr>
        <w:t>in</w:t>
      </w:r>
      <w:r w:rsidRPr="00C17C5C">
        <w:rPr>
          <w:szCs w:val="24"/>
        </w:rPr>
        <w:t xml:space="preserve"> the furn</w:t>
      </w:r>
      <w:r w:rsidR="00965820">
        <w:rPr>
          <w:szCs w:val="24"/>
        </w:rPr>
        <w:t xml:space="preserve">ace room when compared to </w:t>
      </w:r>
      <w:proofErr w:type="gramStart"/>
      <w:r w:rsidR="00965820">
        <w:rPr>
          <w:szCs w:val="24"/>
        </w:rPr>
        <w:t>occupies</w:t>
      </w:r>
      <w:proofErr w:type="gramEnd"/>
      <w:r w:rsidRPr="00C17C5C">
        <w:rPr>
          <w:szCs w:val="24"/>
        </w:rPr>
        <w:t xml:space="preserve"> space </w:t>
      </w:r>
      <w:r w:rsidR="00C17C5C" w:rsidRPr="00C17C5C">
        <w:rPr>
          <w:szCs w:val="24"/>
        </w:rPr>
        <w:t>indicate</w:t>
      </w:r>
      <w:r w:rsidR="00A02948" w:rsidRPr="00C17C5C">
        <w:rPr>
          <w:szCs w:val="24"/>
        </w:rPr>
        <w:t xml:space="preserve"> </w:t>
      </w:r>
      <w:r w:rsidR="00965820">
        <w:rPr>
          <w:szCs w:val="24"/>
        </w:rPr>
        <w:t>the furnace room is not well-ventilated</w:t>
      </w:r>
      <w:r w:rsidRPr="00C17C5C">
        <w:rPr>
          <w:szCs w:val="24"/>
        </w:rPr>
        <w:t>.</w:t>
      </w:r>
    </w:p>
    <w:p w:rsidR="004D05AC" w:rsidRPr="00736ECE" w:rsidRDefault="00DF2A15" w:rsidP="00845CAC">
      <w:pPr>
        <w:pStyle w:val="Heading1"/>
      </w:pPr>
      <w:r w:rsidRPr="00736ECE">
        <w:t>C</w:t>
      </w:r>
      <w:r w:rsidR="004D05AC" w:rsidRPr="00736ECE">
        <w:t>onclusions/Recommendations</w:t>
      </w:r>
    </w:p>
    <w:p w:rsidR="00B25E44" w:rsidRDefault="00B25E44" w:rsidP="00F90ED3">
      <w:pPr>
        <w:pStyle w:val="BodyText"/>
      </w:pPr>
      <w:r w:rsidRPr="00F90ED3">
        <w:rPr>
          <w:rStyle w:val="BodyText1Char"/>
        </w:rPr>
        <w:t xml:space="preserve">Based on the observations made during this assessment, </w:t>
      </w:r>
      <w:r w:rsidR="00CD77D0">
        <w:rPr>
          <w:rStyle w:val="BodyText1Char"/>
        </w:rPr>
        <w:t xml:space="preserve">the </w:t>
      </w:r>
      <w:r w:rsidRPr="00F90ED3">
        <w:rPr>
          <w:rStyle w:val="BodyText1Char"/>
        </w:rPr>
        <w:t>BEH makes the following recommendations</w:t>
      </w:r>
      <w:r>
        <w:t>:</w:t>
      </w:r>
    </w:p>
    <w:p w:rsidR="00551D91" w:rsidRDefault="00551D91" w:rsidP="00551D91">
      <w:pPr>
        <w:pStyle w:val="BodyText"/>
        <w:numPr>
          <w:ilvl w:val="0"/>
          <w:numId w:val="7"/>
        </w:numPr>
      </w:pPr>
      <w:r>
        <w:t>Consult with the Fire Safety Office of the Sandisfield Fire Department.</w:t>
      </w:r>
    </w:p>
    <w:p w:rsidR="000D3CB7" w:rsidRDefault="00B25E44" w:rsidP="0080335E">
      <w:pPr>
        <w:pStyle w:val="BodyText"/>
        <w:numPr>
          <w:ilvl w:val="0"/>
          <w:numId w:val="7"/>
        </w:numPr>
      </w:pPr>
      <w:r>
        <w:t xml:space="preserve">Ensure that an adequate supply of combustion air exists </w:t>
      </w:r>
      <w:r w:rsidR="00551D91">
        <w:t>for the boiler and other fuel-fired</w:t>
      </w:r>
      <w:r>
        <w:t xml:space="preserve"> equipment.</w:t>
      </w:r>
    </w:p>
    <w:p w:rsidR="00B25E44" w:rsidRPr="00B25E44" w:rsidRDefault="00B25E44" w:rsidP="0080335E">
      <w:pPr>
        <w:numPr>
          <w:ilvl w:val="0"/>
          <w:numId w:val="7"/>
        </w:numPr>
        <w:spacing w:line="360" w:lineRule="auto"/>
      </w:pPr>
      <w:r w:rsidRPr="00B25E44">
        <w:t>Ensure that the chimney is not blocked.</w:t>
      </w:r>
    </w:p>
    <w:p w:rsidR="00B25E44" w:rsidRDefault="00B25E44" w:rsidP="0080335E">
      <w:pPr>
        <w:pStyle w:val="BodyText"/>
        <w:numPr>
          <w:ilvl w:val="0"/>
          <w:numId w:val="7"/>
        </w:numPr>
      </w:pPr>
      <w:r>
        <w:t>Seal the hole in the furnace flue.</w:t>
      </w:r>
    </w:p>
    <w:p w:rsidR="006F5F65" w:rsidRDefault="006F5F65" w:rsidP="006F5F65">
      <w:pPr>
        <w:pStyle w:val="BodyText"/>
        <w:numPr>
          <w:ilvl w:val="0"/>
          <w:numId w:val="7"/>
        </w:numPr>
      </w:pPr>
      <w:r>
        <w:t>Consult with a furnace company to identify the reason why the combustion air vent is equipped with the barometric pressure vent. If not required</w:t>
      </w:r>
      <w:r w:rsidR="00CD77D0">
        <w:t>,</w:t>
      </w:r>
      <w:r>
        <w:t xml:space="preserve"> remove the barometric pressure vent.</w:t>
      </w:r>
    </w:p>
    <w:p w:rsidR="00B25E44" w:rsidRDefault="00B25E44" w:rsidP="0080335E">
      <w:pPr>
        <w:pStyle w:val="BodyText"/>
        <w:numPr>
          <w:ilvl w:val="0"/>
          <w:numId w:val="7"/>
        </w:numPr>
      </w:pPr>
      <w:r>
        <w:t>Ensure that the power vent fresh air intake is not blocked the debris.</w:t>
      </w:r>
      <w:r w:rsidR="00131D4D">
        <w:t xml:space="preserve"> </w:t>
      </w:r>
      <w:r>
        <w:t>I</w:t>
      </w:r>
      <w:r w:rsidR="006F5F65">
        <w:t xml:space="preserve">f possible, </w:t>
      </w:r>
      <w:r>
        <w:t>reconfigure the combustion air intake to prevent blockage by leaves and other debris.</w:t>
      </w:r>
    </w:p>
    <w:p w:rsidR="00B25E44" w:rsidRDefault="00B25E44" w:rsidP="0080335E">
      <w:pPr>
        <w:pStyle w:val="BodyText"/>
        <w:numPr>
          <w:ilvl w:val="0"/>
          <w:numId w:val="7"/>
        </w:numPr>
      </w:pPr>
      <w:r>
        <w:t>Examine and repair the furnace casing to prevent furnace exhaust leakage.</w:t>
      </w:r>
    </w:p>
    <w:p w:rsidR="00B25E44" w:rsidRDefault="00B25E44" w:rsidP="0080335E">
      <w:pPr>
        <w:pStyle w:val="BodyText"/>
        <w:numPr>
          <w:ilvl w:val="0"/>
          <w:numId w:val="7"/>
        </w:numPr>
      </w:pPr>
      <w:r>
        <w:t>Seal the spaces betwe</w:t>
      </w:r>
      <w:r w:rsidR="00965820">
        <w:t>en heat vent pipes in Pictures 3 and 4</w:t>
      </w:r>
      <w:r>
        <w:t xml:space="preserve"> with a fire rated sealant.</w:t>
      </w:r>
      <w:r w:rsidR="00131D4D">
        <w:t xml:space="preserve"> </w:t>
      </w:r>
      <w:r>
        <w:t>Seal both sides of the</w:t>
      </w:r>
      <w:r w:rsidR="006F5F65">
        <w:t>se and any other</w:t>
      </w:r>
      <w:r>
        <w:t xml:space="preserve"> pipe penetration in floors, ceilings and walls throughout STO.</w:t>
      </w:r>
    </w:p>
    <w:p w:rsidR="00B25E44" w:rsidRDefault="00B25E44" w:rsidP="0080335E">
      <w:pPr>
        <w:pStyle w:val="BodyText"/>
        <w:numPr>
          <w:ilvl w:val="0"/>
          <w:numId w:val="7"/>
        </w:numPr>
      </w:pPr>
      <w:r>
        <w:t xml:space="preserve">Obtain a digital readout carbon monoxide detector for the hallway immediately outside the </w:t>
      </w:r>
      <w:r w:rsidR="00965820">
        <w:t>furnace</w:t>
      </w:r>
      <w:r>
        <w:t xml:space="preserve"> room </w:t>
      </w:r>
      <w:r w:rsidR="006F5F65">
        <w:t xml:space="preserve">and also for </w:t>
      </w:r>
      <w:r>
        <w:t>the first floor of the building.</w:t>
      </w:r>
    </w:p>
    <w:p w:rsidR="007B0690" w:rsidRDefault="007B0690" w:rsidP="0080335E">
      <w:pPr>
        <w:pStyle w:val="BodyText"/>
        <w:numPr>
          <w:ilvl w:val="0"/>
          <w:numId w:val="7"/>
        </w:numPr>
      </w:pPr>
      <w:r>
        <w:t>Use openable windows during temperate weather to allow fresh air into the building. Ensure windows are closed tightly at the end of the day.</w:t>
      </w:r>
    </w:p>
    <w:p w:rsidR="007B5977" w:rsidRPr="00736ECE" w:rsidRDefault="007B5977" w:rsidP="0080335E">
      <w:pPr>
        <w:pStyle w:val="BodyText"/>
        <w:numPr>
          <w:ilvl w:val="0"/>
          <w:numId w:val="7"/>
        </w:numPr>
      </w:pPr>
      <w:r w:rsidRPr="00736ECE">
        <w:t>Refer to resource manual and other related IAQ documents located on the MDPH’s website for further building-wide evaluations and advice on maintaining public buildings.</w:t>
      </w:r>
      <w:r w:rsidR="007D2C35" w:rsidRPr="00736ECE">
        <w:t xml:space="preserve"> </w:t>
      </w:r>
      <w:r w:rsidRPr="00736ECE">
        <w:t xml:space="preserve">These documents are available at: </w:t>
      </w:r>
      <w:hyperlink r:id="rId10" w:history="1">
        <w:r w:rsidRPr="00736ECE">
          <w:rPr>
            <w:rStyle w:val="Hyperlink"/>
          </w:rPr>
          <w:t>http://ma</w:t>
        </w:r>
        <w:r w:rsidRPr="00736ECE">
          <w:rPr>
            <w:rStyle w:val="Hyperlink"/>
          </w:rPr>
          <w:t>s</w:t>
        </w:r>
        <w:r w:rsidRPr="00736ECE">
          <w:rPr>
            <w:rStyle w:val="Hyperlink"/>
          </w:rPr>
          <w:t>s.gov/dph/iaq</w:t>
        </w:r>
      </w:hyperlink>
      <w:r w:rsidRPr="00736ECE">
        <w:t>.</w:t>
      </w:r>
    </w:p>
    <w:p w:rsidR="004D05AC" w:rsidRPr="003D4DE1" w:rsidRDefault="005942C5" w:rsidP="0080335E">
      <w:pPr>
        <w:pStyle w:val="Heading1"/>
        <w:spacing w:before="0"/>
      </w:pPr>
      <w:r>
        <w:br w:type="page"/>
      </w:r>
      <w:r w:rsidR="004A28CB">
        <w:lastRenderedPageBreak/>
        <w:t>R</w:t>
      </w:r>
      <w:r w:rsidR="004D05AC" w:rsidRPr="003D4DE1">
        <w:t>eferences</w:t>
      </w:r>
    </w:p>
    <w:p w:rsidR="008A4F35" w:rsidRDefault="008A4F35" w:rsidP="005A752D">
      <w:pPr>
        <w:pStyle w:val="References"/>
      </w:pPr>
      <w:proofErr w:type="gramStart"/>
      <w:r w:rsidRPr="001111F2">
        <w:t>MDPH.</w:t>
      </w:r>
      <w:proofErr w:type="gramEnd"/>
      <w:r w:rsidR="007D2C35" w:rsidRPr="001111F2">
        <w:t xml:space="preserve"> </w:t>
      </w:r>
      <w:proofErr w:type="gramStart"/>
      <w:r w:rsidRPr="001111F2">
        <w:t>2015.</w:t>
      </w:r>
      <w:r w:rsidR="007D2C35" w:rsidRPr="001111F2">
        <w:t xml:space="preserve"> </w:t>
      </w:r>
      <w:r w:rsidR="003D084D" w:rsidRPr="001111F2">
        <w:t>Massachusetts Department of Public Health.</w:t>
      </w:r>
      <w:proofErr w:type="gramEnd"/>
      <w:r w:rsidR="007D2C35" w:rsidRPr="001111F2">
        <w:t xml:space="preserve"> </w:t>
      </w:r>
      <w:r w:rsidRPr="001111F2">
        <w:t>Indoor Air Quality Manual: Chapters I-III.</w:t>
      </w:r>
      <w:r w:rsidR="007D2C35" w:rsidRPr="001111F2">
        <w:t xml:space="preserve"> </w:t>
      </w:r>
      <w:r w:rsidRPr="001111F2">
        <w:t xml:space="preserve">Available at: </w:t>
      </w:r>
      <w:hyperlink r:id="rId11" w:history="1">
        <w:r w:rsidRPr="001111F2">
          <w:rPr>
            <w:rStyle w:val="Hyperlink"/>
            <w:color w:val="auto"/>
          </w:rPr>
          <w:t>http://www.m</w:t>
        </w:r>
        <w:r w:rsidRPr="001111F2">
          <w:rPr>
            <w:rStyle w:val="Hyperlink"/>
            <w:color w:val="auto"/>
          </w:rPr>
          <w:t>a</w:t>
        </w:r>
        <w:r w:rsidRPr="001111F2">
          <w:rPr>
            <w:rStyle w:val="Hyperlink"/>
            <w:color w:val="auto"/>
          </w:rPr>
          <w:t>ss.gov/eohhs/gov/departments/dph/programs/environmental-health/exposure-topics/iaq/iaq-manual/</w:t>
        </w:r>
      </w:hyperlink>
      <w:r w:rsidR="001111F2">
        <w:t>.</w:t>
      </w:r>
    </w:p>
    <w:p w:rsidR="00304DB7" w:rsidRDefault="00577B72" w:rsidP="00577B72">
      <w:pPr>
        <w:pStyle w:val="BodyText2"/>
        <w:rPr>
          <w:szCs w:val="24"/>
        </w:rPr>
        <w:sectPr w:rsidR="00304DB7"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proofErr w:type="gramStart"/>
      <w:r w:rsidRPr="005A1D50">
        <w:rPr>
          <w:szCs w:val="24"/>
        </w:rPr>
        <w:t>NFPA.</w:t>
      </w:r>
      <w:proofErr w:type="gramEnd"/>
      <w:r>
        <w:rPr>
          <w:szCs w:val="24"/>
        </w:rPr>
        <w:t xml:space="preserve"> </w:t>
      </w:r>
      <w:r w:rsidRPr="005A1D50">
        <w:rPr>
          <w:szCs w:val="24"/>
        </w:rPr>
        <w:t>1997.</w:t>
      </w:r>
      <w:r>
        <w:rPr>
          <w:szCs w:val="24"/>
        </w:rPr>
        <w:t xml:space="preserve"> </w:t>
      </w:r>
      <w:r w:rsidRPr="005A1D50">
        <w:rPr>
          <w:szCs w:val="24"/>
        </w:rPr>
        <w:t>Fire Protection Handbook.</w:t>
      </w:r>
      <w:r>
        <w:rPr>
          <w:szCs w:val="24"/>
        </w:rPr>
        <w:t xml:space="preserve"> </w:t>
      </w:r>
      <w:proofErr w:type="gramStart"/>
      <w:r w:rsidRPr="005A1D50">
        <w:rPr>
          <w:szCs w:val="24"/>
        </w:rPr>
        <w:t>18th ed.</w:t>
      </w:r>
      <w:r>
        <w:rPr>
          <w:szCs w:val="24"/>
        </w:rPr>
        <w:t xml:space="preserve"> </w:t>
      </w:r>
      <w:r w:rsidRPr="005A1D50">
        <w:rPr>
          <w:szCs w:val="24"/>
        </w:rPr>
        <w:t>Cote, A.E., ed.</w:t>
      </w:r>
      <w:r>
        <w:rPr>
          <w:szCs w:val="24"/>
        </w:rPr>
        <w:t xml:space="preserve"> </w:t>
      </w:r>
      <w:r w:rsidRPr="005A1D50">
        <w:rPr>
          <w:szCs w:val="24"/>
        </w:rPr>
        <w:t>National Fire Protection Association, Quincy, MA.</w:t>
      </w:r>
      <w:proofErr w:type="gramEnd"/>
    </w:p>
    <w:p w:rsidR="00FC54F2" w:rsidRPr="00FC54F2" w:rsidRDefault="00FC54F2" w:rsidP="00FC54F2">
      <w:pPr>
        <w:spacing w:line="480" w:lineRule="auto"/>
        <w:rPr>
          <w:rFonts w:eastAsia="Calibri"/>
          <w:b/>
          <w:sz w:val="22"/>
          <w:szCs w:val="22"/>
        </w:rPr>
      </w:pPr>
      <w:r w:rsidRPr="00FC54F2">
        <w:rPr>
          <w:rFonts w:eastAsia="Calibri"/>
          <w:b/>
          <w:sz w:val="22"/>
          <w:szCs w:val="22"/>
        </w:rPr>
        <w:lastRenderedPageBreak/>
        <w:t>Picture 1</w:t>
      </w:r>
    </w:p>
    <w:p w:rsidR="00FC54F2" w:rsidRPr="00FC54F2" w:rsidRDefault="001B3CCF" w:rsidP="00FC54F2">
      <w:pPr>
        <w:spacing w:line="480" w:lineRule="auto"/>
        <w:jc w:val="center"/>
        <w:rPr>
          <w:rFonts w:eastAsia="Calibri"/>
          <w:b/>
          <w:sz w:val="22"/>
          <w:szCs w:val="22"/>
        </w:rPr>
      </w:pPr>
      <w:r>
        <w:rPr>
          <w:rFonts w:eastAsia="Calibri"/>
          <w:b/>
          <w:noProof/>
          <w:sz w:val="22"/>
          <w:szCs w:val="22"/>
        </w:rPr>
        <w:drawing>
          <wp:inline distT="0" distB="0" distL="0" distR="0">
            <wp:extent cx="3321685" cy="3291840"/>
            <wp:effectExtent l="0" t="0" r="0" b="0"/>
            <wp:docPr id="2" name="Picture 1" descr="Fan Coil Unit (FCU)"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an Coil Unit (FCU)" title="Picture 1"/>
                    <pic:cNvPicPr>
                      <a:picLocks noChangeAspect="1" noChangeArrowheads="1"/>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332168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FC54F2" w:rsidRPr="00FC54F2" w:rsidRDefault="00FC54F2" w:rsidP="00FC54F2">
      <w:pPr>
        <w:spacing w:line="480" w:lineRule="auto"/>
        <w:jc w:val="center"/>
        <w:rPr>
          <w:rFonts w:eastAsia="Calibri"/>
          <w:b/>
          <w:sz w:val="22"/>
          <w:szCs w:val="22"/>
        </w:rPr>
      </w:pPr>
      <w:r w:rsidRPr="00FC54F2">
        <w:rPr>
          <w:rFonts w:eastAsia="Calibri"/>
          <w:b/>
          <w:sz w:val="22"/>
          <w:szCs w:val="22"/>
        </w:rPr>
        <w:t>Fan Coil Unit (FCU)</w:t>
      </w:r>
    </w:p>
    <w:p w:rsidR="00FC54F2" w:rsidRPr="00FC54F2" w:rsidRDefault="00FC54F2" w:rsidP="00FC54F2">
      <w:pPr>
        <w:spacing w:line="480" w:lineRule="auto"/>
        <w:rPr>
          <w:rFonts w:eastAsia="Calibri"/>
          <w:b/>
          <w:sz w:val="22"/>
          <w:szCs w:val="22"/>
        </w:rPr>
      </w:pPr>
      <w:r w:rsidRPr="00FC54F2">
        <w:rPr>
          <w:rFonts w:eastAsia="Calibri"/>
          <w:b/>
          <w:sz w:val="22"/>
          <w:szCs w:val="22"/>
        </w:rPr>
        <w:t>Picture 2</w:t>
      </w:r>
    </w:p>
    <w:p w:rsidR="00FC54F2" w:rsidRPr="00FC54F2" w:rsidRDefault="001B3CCF" w:rsidP="00FC54F2">
      <w:pPr>
        <w:spacing w:line="480" w:lineRule="auto"/>
        <w:jc w:val="center"/>
        <w:rPr>
          <w:rFonts w:eastAsia="Calibri"/>
          <w:b/>
          <w:sz w:val="22"/>
          <w:szCs w:val="22"/>
        </w:rPr>
      </w:pPr>
      <w:r>
        <w:rPr>
          <w:rFonts w:eastAsia="Calibri"/>
          <w:b/>
          <w:noProof/>
          <w:sz w:val="22"/>
          <w:szCs w:val="22"/>
        </w:rPr>
        <w:drawing>
          <wp:inline distT="0" distB="0" distL="0" distR="0">
            <wp:extent cx="3672713" cy="3291840"/>
            <wp:effectExtent l="0" t="0" r="0" b="0"/>
            <wp:docPr id="3" name="Picture 2" descr="Sealed former fresh air intakes "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aled former fresh air intakes " title="Picture 2"/>
                    <pic:cNvPicPr>
                      <a:picLocks noChangeAspect="1" noChangeArrowheads="1"/>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367220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FC54F2" w:rsidRPr="00FC54F2" w:rsidRDefault="00FC54F2" w:rsidP="00FC54F2">
      <w:pPr>
        <w:spacing w:line="480" w:lineRule="auto"/>
        <w:jc w:val="center"/>
        <w:rPr>
          <w:rFonts w:eastAsia="Calibri"/>
          <w:b/>
          <w:sz w:val="22"/>
          <w:szCs w:val="22"/>
        </w:rPr>
      </w:pPr>
      <w:r w:rsidRPr="00FC54F2">
        <w:rPr>
          <w:rFonts w:eastAsia="Calibri"/>
          <w:b/>
          <w:sz w:val="22"/>
          <w:szCs w:val="22"/>
        </w:rPr>
        <w:t>Sealed former fresh air intake</w:t>
      </w:r>
    </w:p>
    <w:p w:rsidR="00FC54F2" w:rsidRPr="00FC54F2" w:rsidRDefault="00FC54F2" w:rsidP="00FC54F2">
      <w:pPr>
        <w:spacing w:line="480" w:lineRule="auto"/>
        <w:rPr>
          <w:rFonts w:eastAsia="Calibri"/>
          <w:b/>
          <w:sz w:val="22"/>
          <w:szCs w:val="22"/>
        </w:rPr>
      </w:pPr>
      <w:r w:rsidRPr="00FC54F2">
        <w:rPr>
          <w:rFonts w:eastAsia="Calibri"/>
          <w:b/>
          <w:sz w:val="22"/>
          <w:szCs w:val="22"/>
        </w:rPr>
        <w:lastRenderedPageBreak/>
        <w:t>Picture 3</w:t>
      </w:r>
    </w:p>
    <w:p w:rsidR="00FC54F2" w:rsidRPr="00FC54F2" w:rsidRDefault="001B3CCF" w:rsidP="00FC54F2">
      <w:pPr>
        <w:spacing w:line="480" w:lineRule="auto"/>
        <w:jc w:val="center"/>
        <w:rPr>
          <w:rFonts w:eastAsia="Calibri"/>
          <w:b/>
          <w:sz w:val="22"/>
          <w:szCs w:val="22"/>
        </w:rPr>
      </w:pPr>
      <w:r>
        <w:rPr>
          <w:rFonts w:eastAsia="Calibri"/>
          <w:b/>
          <w:noProof/>
          <w:sz w:val="22"/>
          <w:szCs w:val="22"/>
        </w:rPr>
        <w:drawing>
          <wp:inline distT="0" distB="0" distL="0" distR="0">
            <wp:extent cx="2811780" cy="3291840"/>
            <wp:effectExtent l="0" t="0" r="0" b="0"/>
            <wp:docPr id="4" name="Picture 3" descr="Heating pipes supplying the Treasurer’s Office FCU; note space between pipes"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ting pipes supplying the Treasurer’s Office FCU; note space between pipes" title="Picture 3"/>
                    <pic:cNvPicPr>
                      <a:picLocks noChangeAspect="1" noChangeArrowheads="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281178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FC54F2" w:rsidRPr="00FC54F2" w:rsidRDefault="00FC54F2" w:rsidP="00FC54F2">
      <w:pPr>
        <w:spacing w:line="480" w:lineRule="auto"/>
        <w:jc w:val="center"/>
        <w:rPr>
          <w:rFonts w:eastAsia="Calibri"/>
          <w:b/>
          <w:sz w:val="22"/>
          <w:szCs w:val="22"/>
        </w:rPr>
      </w:pPr>
      <w:r w:rsidRPr="00FC54F2">
        <w:rPr>
          <w:rFonts w:eastAsia="Calibri"/>
          <w:b/>
          <w:noProof/>
          <w:sz w:val="22"/>
          <w:szCs w:val="22"/>
        </w:rPr>
        <w:t>H</w:t>
      </w:r>
      <w:r w:rsidRPr="00FC54F2">
        <w:rPr>
          <w:rFonts w:eastAsia="Calibri"/>
          <w:b/>
          <w:sz w:val="22"/>
          <w:szCs w:val="22"/>
        </w:rPr>
        <w:t>eating pipes supplying the Treasurer’s Office FCU; note space between pipes</w:t>
      </w:r>
    </w:p>
    <w:p w:rsidR="00FC54F2" w:rsidRPr="00FC54F2" w:rsidRDefault="00FC54F2" w:rsidP="00FC54F2">
      <w:pPr>
        <w:spacing w:line="480" w:lineRule="auto"/>
        <w:rPr>
          <w:rFonts w:eastAsia="Calibri"/>
          <w:b/>
          <w:sz w:val="22"/>
          <w:szCs w:val="22"/>
        </w:rPr>
      </w:pPr>
      <w:r w:rsidRPr="00FC54F2">
        <w:rPr>
          <w:rFonts w:eastAsia="Calibri"/>
          <w:b/>
          <w:sz w:val="22"/>
          <w:szCs w:val="22"/>
        </w:rPr>
        <w:t>Picture 4</w:t>
      </w:r>
    </w:p>
    <w:p w:rsidR="00FC54F2" w:rsidRPr="00FC54F2" w:rsidRDefault="001B3CCF" w:rsidP="00FC54F2">
      <w:pPr>
        <w:spacing w:line="480" w:lineRule="auto"/>
        <w:jc w:val="center"/>
        <w:rPr>
          <w:rFonts w:eastAsia="Calibri"/>
          <w:b/>
          <w:sz w:val="22"/>
          <w:szCs w:val="22"/>
        </w:rPr>
      </w:pPr>
      <w:r>
        <w:rPr>
          <w:rFonts w:eastAsia="Calibri"/>
          <w:b/>
          <w:noProof/>
          <w:sz w:val="22"/>
          <w:szCs w:val="22"/>
        </w:rPr>
        <w:drawing>
          <wp:inline distT="0" distB="0" distL="0" distR="0">
            <wp:extent cx="3680460" cy="3291840"/>
            <wp:effectExtent l="0" t="0" r="0" b="0"/>
            <wp:docPr id="5" name="Picture 4" descr="Gaps between heating pipes penetrating wall between the senior center and the furnace room"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aps between heating pipes penetrating wall between the senior center and the furnace room" title="Picture 4"/>
                    <pic:cNvPicPr>
                      <a:picLocks noChangeAspect="1" noChangeArrowheads="1"/>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368046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FC54F2" w:rsidRPr="00FC54F2" w:rsidRDefault="00FC54F2" w:rsidP="00FC54F2">
      <w:pPr>
        <w:jc w:val="center"/>
        <w:rPr>
          <w:rFonts w:eastAsia="Calibri"/>
          <w:b/>
          <w:sz w:val="22"/>
          <w:szCs w:val="22"/>
        </w:rPr>
      </w:pPr>
      <w:r w:rsidRPr="00FC54F2">
        <w:rPr>
          <w:rFonts w:eastAsia="Calibri"/>
          <w:b/>
          <w:sz w:val="22"/>
          <w:szCs w:val="22"/>
        </w:rPr>
        <w:t>Gaps between heating pipes penetrating wall between the senior center and the furnace room</w:t>
      </w:r>
    </w:p>
    <w:p w:rsidR="00FC54F2" w:rsidRPr="00FC54F2" w:rsidRDefault="00FC54F2" w:rsidP="00FC54F2">
      <w:pPr>
        <w:rPr>
          <w:rFonts w:eastAsia="Calibri"/>
          <w:b/>
          <w:sz w:val="22"/>
          <w:szCs w:val="22"/>
        </w:rPr>
      </w:pPr>
    </w:p>
    <w:p w:rsidR="00FC54F2" w:rsidRPr="00FC54F2" w:rsidRDefault="00FC54F2" w:rsidP="00FC54F2">
      <w:pPr>
        <w:rPr>
          <w:rFonts w:eastAsia="Calibri"/>
          <w:b/>
          <w:sz w:val="22"/>
          <w:szCs w:val="22"/>
        </w:rPr>
      </w:pPr>
      <w:r w:rsidRPr="00FC54F2">
        <w:rPr>
          <w:rFonts w:eastAsia="Calibri"/>
          <w:b/>
          <w:sz w:val="22"/>
          <w:szCs w:val="22"/>
        </w:rPr>
        <w:lastRenderedPageBreak/>
        <w:t>Picture 5</w:t>
      </w:r>
    </w:p>
    <w:p w:rsidR="00FC54F2" w:rsidRPr="00FC54F2" w:rsidRDefault="00FC54F2" w:rsidP="00FC54F2">
      <w:pPr>
        <w:jc w:val="center"/>
        <w:rPr>
          <w:rFonts w:eastAsia="Calibri"/>
          <w:b/>
          <w:sz w:val="22"/>
          <w:szCs w:val="22"/>
        </w:rPr>
      </w:pPr>
    </w:p>
    <w:p w:rsidR="00FC54F2" w:rsidRPr="00FC54F2" w:rsidRDefault="001B3CCF" w:rsidP="00FC54F2">
      <w:pPr>
        <w:jc w:val="center"/>
        <w:rPr>
          <w:rFonts w:eastAsia="Calibri"/>
          <w:b/>
          <w:sz w:val="22"/>
          <w:szCs w:val="22"/>
        </w:rPr>
      </w:pPr>
      <w:r>
        <w:rPr>
          <w:rFonts w:eastAsia="Calibri"/>
          <w:b/>
          <w:noProof/>
          <w:sz w:val="22"/>
          <w:szCs w:val="22"/>
        </w:rPr>
        <w:drawing>
          <wp:inline distT="0" distB="0" distL="0" distR="0">
            <wp:extent cx="3213864" cy="3291840"/>
            <wp:effectExtent l="0" t="0" r="0" b="0"/>
            <wp:docPr id="6" name="Picture 5" descr="Hole in furnace flue"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ole in furnace flue" title="Picture 5"/>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321373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FC54F2" w:rsidRPr="00FC54F2" w:rsidRDefault="00FC54F2" w:rsidP="00FC54F2">
      <w:pPr>
        <w:jc w:val="center"/>
        <w:rPr>
          <w:rFonts w:eastAsia="Calibri"/>
          <w:b/>
          <w:sz w:val="22"/>
          <w:szCs w:val="22"/>
        </w:rPr>
      </w:pPr>
    </w:p>
    <w:p w:rsidR="00FC54F2" w:rsidRPr="00FC54F2" w:rsidRDefault="00FC54F2" w:rsidP="00FC54F2">
      <w:pPr>
        <w:jc w:val="center"/>
        <w:rPr>
          <w:rFonts w:eastAsia="Calibri"/>
          <w:b/>
          <w:sz w:val="22"/>
          <w:szCs w:val="22"/>
        </w:rPr>
      </w:pPr>
      <w:r w:rsidRPr="00FC54F2">
        <w:rPr>
          <w:rFonts w:eastAsia="Calibri"/>
          <w:b/>
          <w:sz w:val="22"/>
          <w:szCs w:val="22"/>
        </w:rPr>
        <w:t>Hole in furnace flue</w:t>
      </w:r>
    </w:p>
    <w:p w:rsidR="00FC54F2" w:rsidRPr="00FC54F2" w:rsidRDefault="00FC54F2" w:rsidP="00FC54F2">
      <w:pPr>
        <w:jc w:val="center"/>
        <w:rPr>
          <w:rFonts w:eastAsia="Calibri"/>
          <w:b/>
          <w:sz w:val="22"/>
          <w:szCs w:val="22"/>
        </w:rPr>
      </w:pPr>
    </w:p>
    <w:p w:rsidR="00FC54F2" w:rsidRPr="00FC54F2" w:rsidRDefault="00FC54F2" w:rsidP="00FC54F2">
      <w:pPr>
        <w:rPr>
          <w:rFonts w:eastAsia="Calibri"/>
          <w:b/>
          <w:sz w:val="22"/>
          <w:szCs w:val="22"/>
        </w:rPr>
      </w:pPr>
      <w:r w:rsidRPr="00FC54F2">
        <w:rPr>
          <w:rFonts w:eastAsia="Calibri"/>
          <w:b/>
          <w:sz w:val="22"/>
          <w:szCs w:val="22"/>
        </w:rPr>
        <w:t>Picture 6</w:t>
      </w:r>
    </w:p>
    <w:p w:rsidR="00FC54F2" w:rsidRPr="00FC54F2" w:rsidRDefault="00FC54F2" w:rsidP="00FC54F2">
      <w:pPr>
        <w:jc w:val="center"/>
        <w:rPr>
          <w:rFonts w:eastAsia="Calibri"/>
          <w:b/>
          <w:sz w:val="22"/>
          <w:szCs w:val="22"/>
        </w:rPr>
      </w:pPr>
    </w:p>
    <w:p w:rsidR="00FC54F2" w:rsidRPr="00FC54F2" w:rsidRDefault="001B3CCF" w:rsidP="00FC54F2">
      <w:pPr>
        <w:jc w:val="center"/>
        <w:rPr>
          <w:rFonts w:eastAsia="Calibri"/>
          <w:b/>
          <w:sz w:val="22"/>
          <w:szCs w:val="22"/>
        </w:rPr>
      </w:pPr>
      <w:r>
        <w:rPr>
          <w:rFonts w:eastAsia="Calibri"/>
          <w:b/>
          <w:noProof/>
          <w:sz w:val="22"/>
          <w:szCs w:val="22"/>
        </w:rPr>
        <w:drawing>
          <wp:inline distT="0" distB="0" distL="0" distR="0">
            <wp:extent cx="3541013" cy="3291840"/>
            <wp:effectExtent l="0" t="0" r="0" b="0"/>
            <wp:docPr id="7" name="Picture 6" descr="Furnace power vent air intake clogged with debris"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urnace power vent air intake clogged with debris" title="Picture 6"/>
                    <pic:cNvPicPr>
                      <a:picLocks noChangeAspect="1" noChangeArrowheads="1"/>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354076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FC54F2" w:rsidRPr="00FC54F2" w:rsidRDefault="00FC54F2" w:rsidP="00FC54F2">
      <w:pPr>
        <w:jc w:val="center"/>
        <w:rPr>
          <w:rFonts w:eastAsia="Calibri"/>
          <w:b/>
          <w:sz w:val="22"/>
          <w:szCs w:val="22"/>
        </w:rPr>
      </w:pPr>
    </w:p>
    <w:p w:rsidR="00FC54F2" w:rsidRPr="00FC54F2" w:rsidRDefault="00FC54F2" w:rsidP="00FC54F2">
      <w:pPr>
        <w:jc w:val="center"/>
        <w:rPr>
          <w:rFonts w:eastAsia="Calibri"/>
          <w:b/>
          <w:sz w:val="22"/>
          <w:szCs w:val="22"/>
        </w:rPr>
      </w:pPr>
      <w:r w:rsidRPr="00FC54F2">
        <w:rPr>
          <w:rFonts w:eastAsia="Calibri"/>
          <w:b/>
          <w:sz w:val="22"/>
          <w:szCs w:val="22"/>
        </w:rPr>
        <w:t>Furnace power vent air intake clogged with debris</w:t>
      </w:r>
    </w:p>
    <w:p w:rsidR="00FC54F2" w:rsidRPr="00FC54F2" w:rsidRDefault="00FC54F2" w:rsidP="00FC54F2">
      <w:pPr>
        <w:rPr>
          <w:rFonts w:eastAsia="Calibri"/>
          <w:b/>
          <w:sz w:val="22"/>
          <w:szCs w:val="22"/>
        </w:rPr>
      </w:pPr>
    </w:p>
    <w:p w:rsidR="00FC54F2" w:rsidRPr="00FC54F2" w:rsidRDefault="00FC54F2" w:rsidP="00FC54F2">
      <w:pPr>
        <w:rPr>
          <w:rFonts w:eastAsia="Calibri"/>
          <w:b/>
          <w:sz w:val="22"/>
          <w:szCs w:val="22"/>
        </w:rPr>
      </w:pPr>
      <w:r w:rsidRPr="00FC54F2">
        <w:rPr>
          <w:rFonts w:eastAsia="Calibri"/>
          <w:b/>
          <w:sz w:val="22"/>
          <w:szCs w:val="22"/>
        </w:rPr>
        <w:lastRenderedPageBreak/>
        <w:t>Picture 7</w:t>
      </w:r>
    </w:p>
    <w:p w:rsidR="00FC54F2" w:rsidRPr="00FC54F2" w:rsidRDefault="00FC54F2" w:rsidP="00FC54F2">
      <w:pPr>
        <w:jc w:val="center"/>
        <w:rPr>
          <w:rFonts w:eastAsia="Calibri"/>
          <w:b/>
          <w:sz w:val="22"/>
          <w:szCs w:val="22"/>
        </w:rPr>
      </w:pPr>
    </w:p>
    <w:p w:rsidR="00FC54F2" w:rsidRPr="00FC54F2" w:rsidRDefault="001B3CCF" w:rsidP="00FC54F2">
      <w:pPr>
        <w:jc w:val="center"/>
        <w:rPr>
          <w:rFonts w:eastAsia="Calibri"/>
          <w:b/>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2127885</wp:posOffset>
                </wp:positionH>
                <wp:positionV relativeFrom="paragraph">
                  <wp:posOffset>3003550</wp:posOffset>
                </wp:positionV>
                <wp:extent cx="712470" cy="106045"/>
                <wp:effectExtent l="57150" t="95250" r="0" b="844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2470" cy="106045"/>
                        </a:xfrm>
                        <a:prstGeom prst="straightConnector1">
                          <a:avLst/>
                        </a:prstGeom>
                        <a:noFill/>
                        <a:ln w="38100" cap="flat" cmpd="sng" algn="ctr">
                          <a:solidFill>
                            <a:sysClr val="window" lastClr="FFFFFF"/>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67.55pt;margin-top:236.5pt;width:56.1pt;height:8.3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" strokecolor="window" strokeweight="3pt">
                <v:stroke endarrow="open"/>
                <v:shadow on="t" color="black" opacity="22937f" origin=",.5" offset="0,.63889mm"/>
                <o:lock v:ext="edit" shapetype="f"/>
              </v:shape>
            </w:pict>
          </mc:Fallback>
        </mc:AlternateContent>
      </w:r>
      <w:r>
        <w:rPr>
          <w:rFonts w:eastAsia="Calibri"/>
          <w:b/>
          <w:noProof/>
          <w:sz w:val="22"/>
          <w:szCs w:val="22"/>
        </w:rPr>
        <w:drawing>
          <wp:inline distT="0" distB="0" distL="0" distR="0">
            <wp:extent cx="2819400" cy="3291840"/>
            <wp:effectExtent l="0" t="0" r="0" b="0"/>
            <wp:docPr id="8" name="Picture 7" descr="Barometric pressure vent on power vent duct"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rometric pressure vent on power vent duct" title="Picture 7"/>
                    <pic:cNvPicPr>
                      <a:picLocks noChangeAspect="1" noChangeArrowheads="1"/>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281940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FC54F2" w:rsidRPr="00FC54F2" w:rsidRDefault="00FC54F2" w:rsidP="00FC54F2">
      <w:pPr>
        <w:jc w:val="center"/>
        <w:rPr>
          <w:rFonts w:eastAsia="Calibri"/>
          <w:b/>
          <w:sz w:val="22"/>
          <w:szCs w:val="22"/>
        </w:rPr>
      </w:pPr>
    </w:p>
    <w:p w:rsidR="00FC54F2" w:rsidRDefault="00FC54F2" w:rsidP="00FC54F2">
      <w:pPr>
        <w:jc w:val="center"/>
        <w:rPr>
          <w:rFonts w:eastAsia="Calibri"/>
          <w:b/>
          <w:sz w:val="22"/>
          <w:szCs w:val="22"/>
        </w:rPr>
        <w:sectPr w:rsidR="00FC54F2">
          <w:footerReference w:type="default" r:id="rId25"/>
          <w:pgSz w:w="12240" w:h="15840"/>
          <w:pgMar w:top="1440" w:right="1440" w:bottom="1440" w:left="1440" w:header="720" w:footer="720" w:gutter="0"/>
          <w:cols w:space="720"/>
          <w:docGrid w:linePitch="360"/>
        </w:sectPr>
      </w:pPr>
      <w:r w:rsidRPr="00FC54F2">
        <w:rPr>
          <w:rFonts w:eastAsia="Calibri"/>
          <w:b/>
          <w:sz w:val="22"/>
          <w:szCs w:val="22"/>
        </w:rPr>
        <w:t>Barometric pressure vent on power vent duct</w:t>
      </w:r>
    </w:p>
    <w:tbl>
      <w:tblPr>
        <w:tblW w:w="1328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2186"/>
      </w:tblGrid>
      <w:tr w:rsidR="00FC54F2" w:rsidRPr="00FC54F2" w:rsidTr="00487EE4">
        <w:tblPrEx>
          <w:tblCellMar>
            <w:top w:w="0" w:type="dxa"/>
            <w:bottom w:w="0" w:type="dxa"/>
          </w:tblCellMar>
        </w:tblPrEx>
        <w:trPr>
          <w:cantSplit/>
          <w:trHeight w:val="240"/>
          <w:tblHeader/>
          <w:jc w:val="center"/>
        </w:trPr>
        <w:tc>
          <w:tcPr>
            <w:tcW w:w="1795" w:type="dxa"/>
            <w:vMerge w:val="restart"/>
            <w:vAlign w:val="bottom"/>
          </w:tcPr>
          <w:p w:rsidR="00FC54F2" w:rsidRPr="00FC54F2" w:rsidRDefault="00FC54F2" w:rsidP="00FC54F2">
            <w:pPr>
              <w:keepNext/>
              <w:jc w:val="center"/>
              <w:outlineLvl w:val="0"/>
              <w:rPr>
                <w:b/>
                <w:sz w:val="18"/>
              </w:rPr>
            </w:pPr>
            <w:r w:rsidRPr="00FC54F2">
              <w:rPr>
                <w:b/>
                <w:sz w:val="18"/>
              </w:rPr>
              <w:lastRenderedPageBreak/>
              <w:t>Location</w:t>
            </w:r>
          </w:p>
        </w:tc>
        <w:tc>
          <w:tcPr>
            <w:tcW w:w="891" w:type="dxa"/>
            <w:vMerge w:val="restart"/>
            <w:vAlign w:val="bottom"/>
          </w:tcPr>
          <w:p w:rsidR="00FC54F2" w:rsidRPr="00FC54F2" w:rsidRDefault="00FC54F2" w:rsidP="00FC54F2">
            <w:pPr>
              <w:jc w:val="center"/>
              <w:rPr>
                <w:b/>
                <w:sz w:val="18"/>
              </w:rPr>
            </w:pPr>
            <w:r w:rsidRPr="00FC54F2">
              <w:rPr>
                <w:b/>
                <w:sz w:val="18"/>
              </w:rPr>
              <w:t>Carbon</w:t>
            </w:r>
          </w:p>
          <w:p w:rsidR="00FC54F2" w:rsidRPr="00FC54F2" w:rsidRDefault="00FC54F2" w:rsidP="00FC54F2">
            <w:pPr>
              <w:jc w:val="center"/>
              <w:rPr>
                <w:b/>
                <w:sz w:val="18"/>
              </w:rPr>
            </w:pPr>
            <w:r w:rsidRPr="00FC54F2">
              <w:rPr>
                <w:b/>
                <w:sz w:val="18"/>
              </w:rPr>
              <w:t>Dioxide</w:t>
            </w:r>
          </w:p>
          <w:p w:rsidR="00FC54F2" w:rsidRPr="00FC54F2" w:rsidRDefault="00FC54F2" w:rsidP="00FC54F2">
            <w:pPr>
              <w:jc w:val="center"/>
              <w:rPr>
                <w:b/>
                <w:sz w:val="18"/>
              </w:rPr>
            </w:pPr>
            <w:r w:rsidRPr="00FC54F2">
              <w:rPr>
                <w:b/>
                <w:sz w:val="18"/>
              </w:rPr>
              <w:t>(ppm)</w:t>
            </w:r>
          </w:p>
        </w:tc>
        <w:tc>
          <w:tcPr>
            <w:tcW w:w="995" w:type="dxa"/>
            <w:vMerge w:val="restart"/>
            <w:vAlign w:val="bottom"/>
          </w:tcPr>
          <w:p w:rsidR="00FC54F2" w:rsidRPr="00FC54F2" w:rsidRDefault="00FC54F2" w:rsidP="00FC54F2">
            <w:pPr>
              <w:jc w:val="center"/>
              <w:rPr>
                <w:b/>
                <w:sz w:val="18"/>
              </w:rPr>
            </w:pPr>
            <w:r w:rsidRPr="00FC54F2">
              <w:rPr>
                <w:b/>
                <w:sz w:val="18"/>
              </w:rPr>
              <w:t>Carbon Monoxide</w:t>
            </w:r>
          </w:p>
          <w:p w:rsidR="00FC54F2" w:rsidRPr="00FC54F2" w:rsidRDefault="00FC54F2" w:rsidP="00FC54F2">
            <w:pPr>
              <w:jc w:val="center"/>
              <w:rPr>
                <w:b/>
                <w:sz w:val="18"/>
              </w:rPr>
            </w:pPr>
            <w:r w:rsidRPr="00FC54F2">
              <w:rPr>
                <w:b/>
                <w:sz w:val="18"/>
              </w:rPr>
              <w:t>(ppm)</w:t>
            </w:r>
          </w:p>
        </w:tc>
        <w:tc>
          <w:tcPr>
            <w:tcW w:w="994" w:type="dxa"/>
            <w:vMerge w:val="restart"/>
            <w:vAlign w:val="bottom"/>
          </w:tcPr>
          <w:p w:rsidR="00FC54F2" w:rsidRPr="00FC54F2" w:rsidRDefault="00FC54F2" w:rsidP="00FC54F2">
            <w:pPr>
              <w:jc w:val="center"/>
              <w:rPr>
                <w:b/>
                <w:sz w:val="18"/>
              </w:rPr>
            </w:pPr>
            <w:r w:rsidRPr="00FC54F2">
              <w:rPr>
                <w:b/>
                <w:sz w:val="18"/>
              </w:rPr>
              <w:t>Temp</w:t>
            </w:r>
          </w:p>
          <w:p w:rsidR="00FC54F2" w:rsidRPr="00FC54F2" w:rsidRDefault="00FC54F2" w:rsidP="00FC54F2">
            <w:pPr>
              <w:jc w:val="center"/>
              <w:rPr>
                <w:b/>
                <w:sz w:val="18"/>
              </w:rPr>
            </w:pPr>
            <w:r w:rsidRPr="00FC54F2">
              <w:rPr>
                <w:b/>
                <w:sz w:val="18"/>
              </w:rPr>
              <w:t>(°F)</w:t>
            </w:r>
          </w:p>
        </w:tc>
        <w:tc>
          <w:tcPr>
            <w:tcW w:w="1152" w:type="dxa"/>
            <w:vMerge w:val="restart"/>
            <w:vAlign w:val="bottom"/>
          </w:tcPr>
          <w:p w:rsidR="00FC54F2" w:rsidRPr="00FC54F2" w:rsidRDefault="00FC54F2" w:rsidP="00FC54F2">
            <w:pPr>
              <w:jc w:val="center"/>
              <w:rPr>
                <w:b/>
                <w:sz w:val="18"/>
              </w:rPr>
            </w:pPr>
            <w:r w:rsidRPr="00FC54F2">
              <w:rPr>
                <w:b/>
                <w:sz w:val="18"/>
              </w:rPr>
              <w:t>Relative</w:t>
            </w:r>
          </w:p>
          <w:p w:rsidR="00FC54F2" w:rsidRPr="00FC54F2" w:rsidRDefault="00FC54F2" w:rsidP="00FC54F2">
            <w:pPr>
              <w:jc w:val="center"/>
              <w:rPr>
                <w:b/>
                <w:sz w:val="18"/>
              </w:rPr>
            </w:pPr>
            <w:r w:rsidRPr="00FC54F2">
              <w:rPr>
                <w:b/>
                <w:sz w:val="18"/>
              </w:rPr>
              <w:t>Humidity</w:t>
            </w:r>
          </w:p>
          <w:p w:rsidR="00FC54F2" w:rsidRPr="00FC54F2" w:rsidRDefault="00FC54F2" w:rsidP="00FC54F2">
            <w:pPr>
              <w:jc w:val="center"/>
              <w:rPr>
                <w:b/>
                <w:sz w:val="18"/>
              </w:rPr>
            </w:pPr>
            <w:r w:rsidRPr="00FC54F2">
              <w:rPr>
                <w:b/>
                <w:sz w:val="18"/>
              </w:rPr>
              <w:t>(%)</w:t>
            </w:r>
          </w:p>
        </w:tc>
        <w:tc>
          <w:tcPr>
            <w:tcW w:w="1037" w:type="dxa"/>
            <w:vMerge w:val="restart"/>
            <w:vAlign w:val="bottom"/>
          </w:tcPr>
          <w:p w:rsidR="00FC54F2" w:rsidRPr="00FC54F2" w:rsidRDefault="00FC54F2" w:rsidP="00FC54F2">
            <w:pPr>
              <w:jc w:val="center"/>
              <w:rPr>
                <w:b/>
                <w:sz w:val="18"/>
              </w:rPr>
            </w:pPr>
            <w:r w:rsidRPr="00FC54F2">
              <w:rPr>
                <w:b/>
                <w:sz w:val="18"/>
              </w:rPr>
              <w:t>PM2.5</w:t>
            </w:r>
          </w:p>
          <w:p w:rsidR="00FC54F2" w:rsidRPr="00FC54F2" w:rsidRDefault="00FC54F2" w:rsidP="00FC54F2">
            <w:pPr>
              <w:jc w:val="center"/>
              <w:rPr>
                <w:b/>
                <w:sz w:val="18"/>
              </w:rPr>
            </w:pPr>
            <w:r w:rsidRPr="00FC54F2">
              <w:rPr>
                <w:b/>
                <w:sz w:val="18"/>
              </w:rPr>
              <w:t>(µg/</w:t>
            </w:r>
            <w:r w:rsidRPr="00FC54F2">
              <w:rPr>
                <w:rFonts w:ascii="Times" w:hAnsi="Times" w:cs="Times"/>
                <w:b/>
                <w:sz w:val="20"/>
              </w:rPr>
              <w:t>m</w:t>
            </w:r>
            <w:r w:rsidRPr="00FC54F2">
              <w:rPr>
                <w:rFonts w:ascii="Times" w:hAnsi="Times" w:cs="Times"/>
                <w:b/>
                <w:sz w:val="20"/>
                <w:vertAlign w:val="superscript"/>
              </w:rPr>
              <w:t>3</w:t>
            </w:r>
            <w:r w:rsidRPr="00FC54F2">
              <w:rPr>
                <w:b/>
                <w:sz w:val="18"/>
              </w:rPr>
              <w:t>)</w:t>
            </w:r>
          </w:p>
        </w:tc>
        <w:tc>
          <w:tcPr>
            <w:tcW w:w="1267" w:type="dxa"/>
            <w:vMerge w:val="restart"/>
            <w:vAlign w:val="bottom"/>
          </w:tcPr>
          <w:p w:rsidR="00FC54F2" w:rsidRPr="00FC54F2" w:rsidRDefault="00FC54F2" w:rsidP="00FC54F2">
            <w:pPr>
              <w:jc w:val="center"/>
              <w:rPr>
                <w:b/>
                <w:sz w:val="18"/>
                <w:szCs w:val="18"/>
              </w:rPr>
            </w:pPr>
            <w:r w:rsidRPr="00FC54F2">
              <w:rPr>
                <w:b/>
                <w:sz w:val="18"/>
                <w:szCs w:val="18"/>
              </w:rPr>
              <w:t>Occupants</w:t>
            </w:r>
          </w:p>
          <w:p w:rsidR="00FC54F2" w:rsidRPr="00FC54F2" w:rsidRDefault="00FC54F2" w:rsidP="00FC54F2">
            <w:pPr>
              <w:jc w:val="center"/>
              <w:rPr>
                <w:b/>
                <w:sz w:val="21"/>
                <w:szCs w:val="21"/>
              </w:rPr>
            </w:pPr>
            <w:r w:rsidRPr="00FC54F2">
              <w:rPr>
                <w:b/>
                <w:sz w:val="18"/>
                <w:szCs w:val="18"/>
              </w:rPr>
              <w:t>in Room</w:t>
            </w:r>
          </w:p>
        </w:tc>
        <w:tc>
          <w:tcPr>
            <w:tcW w:w="1152" w:type="dxa"/>
            <w:vMerge w:val="restart"/>
            <w:vAlign w:val="bottom"/>
          </w:tcPr>
          <w:p w:rsidR="00FC54F2" w:rsidRPr="00FC54F2" w:rsidRDefault="00FC54F2" w:rsidP="00FC54F2">
            <w:pPr>
              <w:jc w:val="center"/>
              <w:rPr>
                <w:b/>
                <w:sz w:val="18"/>
              </w:rPr>
            </w:pPr>
            <w:r w:rsidRPr="00FC54F2">
              <w:rPr>
                <w:b/>
                <w:sz w:val="18"/>
              </w:rPr>
              <w:t>Windows</w:t>
            </w:r>
          </w:p>
          <w:p w:rsidR="00FC54F2" w:rsidRPr="00FC54F2" w:rsidRDefault="00FC54F2" w:rsidP="00FC54F2">
            <w:pPr>
              <w:jc w:val="center"/>
              <w:rPr>
                <w:b/>
                <w:sz w:val="18"/>
              </w:rPr>
            </w:pPr>
            <w:r w:rsidRPr="00FC54F2">
              <w:rPr>
                <w:b/>
                <w:sz w:val="18"/>
              </w:rPr>
              <w:t>Openable</w:t>
            </w:r>
          </w:p>
        </w:tc>
        <w:tc>
          <w:tcPr>
            <w:tcW w:w="1818" w:type="dxa"/>
            <w:gridSpan w:val="2"/>
            <w:tcBorders>
              <w:left w:val="nil"/>
              <w:bottom w:val="nil"/>
            </w:tcBorders>
            <w:vAlign w:val="bottom"/>
          </w:tcPr>
          <w:p w:rsidR="00FC54F2" w:rsidRPr="00FC54F2" w:rsidRDefault="00FC54F2" w:rsidP="00FC54F2">
            <w:pPr>
              <w:ind w:left="-105"/>
              <w:jc w:val="center"/>
              <w:rPr>
                <w:b/>
                <w:sz w:val="18"/>
              </w:rPr>
            </w:pPr>
            <w:r w:rsidRPr="00FC54F2">
              <w:rPr>
                <w:b/>
                <w:sz w:val="18"/>
              </w:rPr>
              <w:t>Ventilation</w:t>
            </w:r>
          </w:p>
        </w:tc>
        <w:tc>
          <w:tcPr>
            <w:tcW w:w="2186" w:type="dxa"/>
            <w:vMerge w:val="restart"/>
            <w:vAlign w:val="bottom"/>
          </w:tcPr>
          <w:p w:rsidR="00FC54F2" w:rsidRPr="00FC54F2" w:rsidRDefault="00FC54F2" w:rsidP="00FC54F2">
            <w:pPr>
              <w:jc w:val="center"/>
              <w:rPr>
                <w:b/>
                <w:sz w:val="18"/>
              </w:rPr>
            </w:pPr>
            <w:r w:rsidRPr="00FC54F2">
              <w:rPr>
                <w:b/>
                <w:sz w:val="18"/>
              </w:rPr>
              <w:t>Remarks</w:t>
            </w:r>
          </w:p>
        </w:tc>
      </w:tr>
      <w:tr w:rsidR="00FC54F2" w:rsidRPr="00FC54F2" w:rsidTr="00487EE4">
        <w:tblPrEx>
          <w:tblCellMar>
            <w:top w:w="0" w:type="dxa"/>
            <w:bottom w:w="0" w:type="dxa"/>
          </w:tblCellMar>
        </w:tblPrEx>
        <w:trPr>
          <w:cantSplit/>
          <w:trHeight w:val="240"/>
          <w:tblHeader/>
          <w:jc w:val="center"/>
        </w:trPr>
        <w:tc>
          <w:tcPr>
            <w:tcW w:w="1795" w:type="dxa"/>
            <w:vMerge/>
          </w:tcPr>
          <w:p w:rsidR="00FC54F2" w:rsidRPr="00FC54F2" w:rsidRDefault="00FC54F2" w:rsidP="00FC54F2">
            <w:pPr>
              <w:rPr>
                <w:sz w:val="18"/>
              </w:rPr>
            </w:pPr>
          </w:p>
        </w:tc>
        <w:tc>
          <w:tcPr>
            <w:tcW w:w="891" w:type="dxa"/>
            <w:vMerge/>
          </w:tcPr>
          <w:p w:rsidR="00FC54F2" w:rsidRPr="00FC54F2" w:rsidRDefault="00FC54F2" w:rsidP="00FC54F2">
            <w:pPr>
              <w:jc w:val="center"/>
              <w:rPr>
                <w:sz w:val="18"/>
              </w:rPr>
            </w:pPr>
          </w:p>
        </w:tc>
        <w:tc>
          <w:tcPr>
            <w:tcW w:w="995" w:type="dxa"/>
            <w:vMerge/>
          </w:tcPr>
          <w:p w:rsidR="00FC54F2" w:rsidRPr="00FC54F2" w:rsidRDefault="00FC54F2" w:rsidP="00FC54F2">
            <w:pPr>
              <w:jc w:val="center"/>
              <w:rPr>
                <w:b/>
                <w:sz w:val="18"/>
              </w:rPr>
            </w:pPr>
          </w:p>
        </w:tc>
        <w:tc>
          <w:tcPr>
            <w:tcW w:w="994" w:type="dxa"/>
            <w:vMerge/>
          </w:tcPr>
          <w:p w:rsidR="00FC54F2" w:rsidRPr="00FC54F2" w:rsidRDefault="00FC54F2" w:rsidP="00FC54F2">
            <w:pPr>
              <w:jc w:val="center"/>
              <w:rPr>
                <w:b/>
                <w:sz w:val="18"/>
              </w:rPr>
            </w:pPr>
          </w:p>
        </w:tc>
        <w:tc>
          <w:tcPr>
            <w:tcW w:w="1152" w:type="dxa"/>
            <w:vMerge/>
          </w:tcPr>
          <w:p w:rsidR="00FC54F2" w:rsidRPr="00FC54F2" w:rsidRDefault="00FC54F2" w:rsidP="00FC54F2">
            <w:pPr>
              <w:jc w:val="center"/>
              <w:rPr>
                <w:b/>
                <w:sz w:val="18"/>
              </w:rPr>
            </w:pPr>
          </w:p>
        </w:tc>
        <w:tc>
          <w:tcPr>
            <w:tcW w:w="1037" w:type="dxa"/>
            <w:vMerge/>
          </w:tcPr>
          <w:p w:rsidR="00FC54F2" w:rsidRPr="00FC54F2" w:rsidRDefault="00FC54F2" w:rsidP="00FC54F2">
            <w:pPr>
              <w:jc w:val="center"/>
              <w:rPr>
                <w:b/>
                <w:sz w:val="18"/>
              </w:rPr>
            </w:pPr>
          </w:p>
        </w:tc>
        <w:tc>
          <w:tcPr>
            <w:tcW w:w="1267" w:type="dxa"/>
            <w:vMerge/>
            <w:vAlign w:val="center"/>
          </w:tcPr>
          <w:p w:rsidR="00FC54F2" w:rsidRPr="00FC54F2" w:rsidRDefault="00FC54F2" w:rsidP="00FC54F2">
            <w:pPr>
              <w:rPr>
                <w:b/>
                <w:sz w:val="21"/>
                <w:szCs w:val="21"/>
              </w:rPr>
            </w:pPr>
          </w:p>
        </w:tc>
        <w:tc>
          <w:tcPr>
            <w:tcW w:w="1152" w:type="dxa"/>
            <w:vMerge/>
          </w:tcPr>
          <w:p w:rsidR="00FC54F2" w:rsidRPr="00FC54F2" w:rsidRDefault="00FC54F2" w:rsidP="00FC54F2">
            <w:pPr>
              <w:jc w:val="center"/>
              <w:rPr>
                <w:b/>
                <w:sz w:val="18"/>
              </w:rPr>
            </w:pPr>
          </w:p>
        </w:tc>
        <w:tc>
          <w:tcPr>
            <w:tcW w:w="882" w:type="dxa"/>
            <w:tcBorders>
              <w:bottom w:val="nil"/>
            </w:tcBorders>
            <w:vAlign w:val="bottom"/>
          </w:tcPr>
          <w:p w:rsidR="00FC54F2" w:rsidRPr="00FC54F2" w:rsidRDefault="00FC54F2" w:rsidP="00FC54F2">
            <w:pPr>
              <w:jc w:val="center"/>
              <w:rPr>
                <w:sz w:val="16"/>
              </w:rPr>
            </w:pPr>
            <w:r w:rsidRPr="00FC54F2">
              <w:rPr>
                <w:b/>
                <w:sz w:val="16"/>
              </w:rPr>
              <w:t>Supply</w:t>
            </w:r>
          </w:p>
        </w:tc>
        <w:tc>
          <w:tcPr>
            <w:tcW w:w="936" w:type="dxa"/>
            <w:tcBorders>
              <w:bottom w:val="nil"/>
            </w:tcBorders>
            <w:vAlign w:val="bottom"/>
          </w:tcPr>
          <w:p w:rsidR="00FC54F2" w:rsidRPr="00FC54F2" w:rsidRDefault="00FC54F2" w:rsidP="00FC54F2">
            <w:pPr>
              <w:jc w:val="center"/>
              <w:rPr>
                <w:sz w:val="16"/>
              </w:rPr>
            </w:pPr>
            <w:r w:rsidRPr="00FC54F2">
              <w:rPr>
                <w:b/>
                <w:sz w:val="16"/>
              </w:rPr>
              <w:t>Exhaust</w:t>
            </w:r>
          </w:p>
        </w:tc>
        <w:tc>
          <w:tcPr>
            <w:tcW w:w="2186" w:type="dxa"/>
            <w:vMerge/>
          </w:tcPr>
          <w:p w:rsidR="00FC54F2" w:rsidRPr="00FC54F2" w:rsidRDefault="00FC54F2" w:rsidP="00FC54F2">
            <w:pPr>
              <w:rPr>
                <w:sz w:val="18"/>
              </w:rPr>
            </w:pPr>
          </w:p>
        </w:tc>
      </w:tr>
      <w:tr w:rsidR="00FC54F2" w:rsidRPr="00FC54F2" w:rsidTr="00487EE4">
        <w:tblPrEx>
          <w:tblCellMar>
            <w:top w:w="0" w:type="dxa"/>
            <w:bottom w:w="0" w:type="dxa"/>
          </w:tblCellMar>
        </w:tblPrEx>
        <w:trPr>
          <w:trHeight w:val="560"/>
          <w:jc w:val="center"/>
        </w:trPr>
        <w:tc>
          <w:tcPr>
            <w:tcW w:w="1795" w:type="dxa"/>
            <w:vAlign w:val="center"/>
          </w:tcPr>
          <w:p w:rsidR="00FC54F2" w:rsidRPr="00FC54F2" w:rsidRDefault="00FC54F2" w:rsidP="00FC54F2">
            <w:pPr>
              <w:spacing w:before="60" w:after="60"/>
              <w:rPr>
                <w:sz w:val="22"/>
                <w:szCs w:val="22"/>
              </w:rPr>
            </w:pPr>
            <w:r w:rsidRPr="00FC54F2">
              <w:rPr>
                <w:sz w:val="22"/>
                <w:szCs w:val="22"/>
              </w:rPr>
              <w:t>Background (outdoors)</w:t>
            </w:r>
          </w:p>
        </w:tc>
        <w:tc>
          <w:tcPr>
            <w:tcW w:w="891" w:type="dxa"/>
            <w:vAlign w:val="center"/>
          </w:tcPr>
          <w:p w:rsidR="00FC54F2" w:rsidRPr="00FC54F2" w:rsidRDefault="00FC54F2" w:rsidP="00FC54F2">
            <w:pPr>
              <w:spacing w:before="60" w:after="60"/>
              <w:jc w:val="center"/>
              <w:rPr>
                <w:sz w:val="22"/>
                <w:szCs w:val="22"/>
              </w:rPr>
            </w:pPr>
            <w:r w:rsidRPr="00FC54F2">
              <w:rPr>
                <w:sz w:val="22"/>
                <w:szCs w:val="22"/>
              </w:rPr>
              <w:t>368</w:t>
            </w:r>
          </w:p>
        </w:tc>
        <w:tc>
          <w:tcPr>
            <w:tcW w:w="995" w:type="dxa"/>
            <w:vAlign w:val="center"/>
          </w:tcPr>
          <w:p w:rsidR="00FC54F2" w:rsidRPr="00FC54F2" w:rsidRDefault="00FC54F2" w:rsidP="00FC54F2">
            <w:pPr>
              <w:spacing w:before="60" w:after="60"/>
              <w:jc w:val="center"/>
              <w:rPr>
                <w:sz w:val="22"/>
                <w:szCs w:val="22"/>
              </w:rPr>
            </w:pPr>
            <w:r w:rsidRPr="00FC54F2">
              <w:rPr>
                <w:sz w:val="22"/>
                <w:szCs w:val="22"/>
              </w:rPr>
              <w:t>ND</w:t>
            </w:r>
          </w:p>
        </w:tc>
        <w:tc>
          <w:tcPr>
            <w:tcW w:w="994" w:type="dxa"/>
            <w:vAlign w:val="center"/>
          </w:tcPr>
          <w:p w:rsidR="00FC54F2" w:rsidRPr="00FC54F2" w:rsidRDefault="00FC54F2" w:rsidP="00FC54F2">
            <w:pPr>
              <w:spacing w:before="60" w:after="60"/>
              <w:jc w:val="center"/>
              <w:rPr>
                <w:sz w:val="22"/>
                <w:szCs w:val="22"/>
              </w:rPr>
            </w:pPr>
            <w:r w:rsidRPr="00FC54F2">
              <w:rPr>
                <w:sz w:val="22"/>
                <w:szCs w:val="22"/>
              </w:rPr>
              <w:t>59</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67</w:t>
            </w:r>
          </w:p>
        </w:tc>
        <w:tc>
          <w:tcPr>
            <w:tcW w:w="1037" w:type="dxa"/>
            <w:vAlign w:val="center"/>
          </w:tcPr>
          <w:p w:rsidR="00FC54F2" w:rsidRPr="00FC54F2" w:rsidRDefault="00FC54F2" w:rsidP="00FC54F2">
            <w:pPr>
              <w:jc w:val="center"/>
            </w:pPr>
            <w:r w:rsidRPr="00FC54F2">
              <w:rPr>
                <w:sz w:val="22"/>
                <w:szCs w:val="22"/>
              </w:rPr>
              <w:t>ND</w:t>
            </w:r>
          </w:p>
        </w:tc>
        <w:tc>
          <w:tcPr>
            <w:tcW w:w="1267" w:type="dxa"/>
            <w:vAlign w:val="center"/>
          </w:tcPr>
          <w:p w:rsidR="00FC54F2" w:rsidRPr="00FC54F2" w:rsidRDefault="00FC54F2" w:rsidP="00FC54F2">
            <w:pPr>
              <w:jc w:val="center"/>
              <w:rPr>
                <w:sz w:val="22"/>
                <w:szCs w:val="22"/>
              </w:rPr>
            </w:pPr>
          </w:p>
        </w:tc>
        <w:tc>
          <w:tcPr>
            <w:tcW w:w="1152" w:type="dxa"/>
            <w:vAlign w:val="center"/>
          </w:tcPr>
          <w:p w:rsidR="00FC54F2" w:rsidRPr="00FC54F2" w:rsidRDefault="00FC54F2" w:rsidP="00FC54F2">
            <w:pPr>
              <w:spacing w:before="60" w:after="60"/>
              <w:jc w:val="center"/>
              <w:rPr>
                <w:sz w:val="22"/>
                <w:szCs w:val="22"/>
              </w:rPr>
            </w:pPr>
          </w:p>
        </w:tc>
        <w:tc>
          <w:tcPr>
            <w:tcW w:w="882" w:type="dxa"/>
            <w:vAlign w:val="center"/>
          </w:tcPr>
          <w:p w:rsidR="00FC54F2" w:rsidRPr="00FC54F2" w:rsidRDefault="00FC54F2" w:rsidP="00FC54F2">
            <w:pPr>
              <w:spacing w:before="60" w:after="60"/>
              <w:jc w:val="center"/>
              <w:rPr>
                <w:sz w:val="22"/>
                <w:szCs w:val="22"/>
              </w:rPr>
            </w:pPr>
          </w:p>
        </w:tc>
        <w:tc>
          <w:tcPr>
            <w:tcW w:w="936" w:type="dxa"/>
            <w:vAlign w:val="center"/>
          </w:tcPr>
          <w:p w:rsidR="00FC54F2" w:rsidRPr="00FC54F2" w:rsidRDefault="00FC54F2" w:rsidP="00FC54F2">
            <w:pPr>
              <w:spacing w:before="60" w:after="60"/>
              <w:jc w:val="center"/>
              <w:rPr>
                <w:sz w:val="22"/>
                <w:szCs w:val="22"/>
              </w:rPr>
            </w:pPr>
          </w:p>
        </w:tc>
        <w:tc>
          <w:tcPr>
            <w:tcW w:w="2186" w:type="dxa"/>
            <w:tcBorders>
              <w:left w:val="nil"/>
            </w:tcBorders>
            <w:vAlign w:val="bottom"/>
          </w:tcPr>
          <w:p w:rsidR="00FC54F2" w:rsidRPr="00FC54F2" w:rsidRDefault="00FC54F2" w:rsidP="00FC54F2">
            <w:pPr>
              <w:spacing w:before="60" w:after="60"/>
              <w:rPr>
                <w:sz w:val="22"/>
                <w:szCs w:val="22"/>
              </w:rPr>
            </w:pPr>
          </w:p>
        </w:tc>
      </w:tr>
      <w:tr w:rsidR="00FC54F2" w:rsidRPr="00FC54F2" w:rsidTr="00487EE4">
        <w:tblPrEx>
          <w:tblCellMar>
            <w:top w:w="0" w:type="dxa"/>
            <w:bottom w:w="0" w:type="dxa"/>
          </w:tblCellMar>
        </w:tblPrEx>
        <w:trPr>
          <w:trHeight w:val="560"/>
          <w:jc w:val="center"/>
        </w:trPr>
        <w:tc>
          <w:tcPr>
            <w:tcW w:w="1795" w:type="dxa"/>
            <w:vAlign w:val="center"/>
          </w:tcPr>
          <w:p w:rsidR="00FC54F2" w:rsidRPr="00FC54F2" w:rsidRDefault="00FC54F2" w:rsidP="00FC54F2">
            <w:pPr>
              <w:spacing w:before="60" w:after="60"/>
              <w:rPr>
                <w:sz w:val="22"/>
                <w:szCs w:val="22"/>
              </w:rPr>
            </w:pPr>
            <w:r w:rsidRPr="00FC54F2">
              <w:rPr>
                <w:sz w:val="22"/>
                <w:szCs w:val="22"/>
              </w:rPr>
              <w:t>Town Selectman</w:t>
            </w:r>
          </w:p>
        </w:tc>
        <w:tc>
          <w:tcPr>
            <w:tcW w:w="891" w:type="dxa"/>
            <w:vAlign w:val="center"/>
          </w:tcPr>
          <w:p w:rsidR="00FC54F2" w:rsidRPr="00FC54F2" w:rsidRDefault="00FC54F2" w:rsidP="00FC54F2">
            <w:pPr>
              <w:spacing w:before="60" w:after="60"/>
              <w:jc w:val="center"/>
              <w:rPr>
                <w:sz w:val="22"/>
                <w:szCs w:val="22"/>
              </w:rPr>
            </w:pPr>
            <w:r w:rsidRPr="00FC54F2">
              <w:rPr>
                <w:sz w:val="22"/>
                <w:szCs w:val="22"/>
              </w:rPr>
              <w:t>511</w:t>
            </w:r>
          </w:p>
        </w:tc>
        <w:tc>
          <w:tcPr>
            <w:tcW w:w="995" w:type="dxa"/>
            <w:vAlign w:val="center"/>
          </w:tcPr>
          <w:p w:rsidR="00FC54F2" w:rsidRPr="00FC54F2" w:rsidRDefault="00FC54F2" w:rsidP="00FC54F2">
            <w:pPr>
              <w:spacing w:before="60" w:after="60"/>
              <w:jc w:val="center"/>
              <w:rPr>
                <w:sz w:val="22"/>
                <w:szCs w:val="22"/>
              </w:rPr>
            </w:pPr>
            <w:r w:rsidRPr="00FC54F2">
              <w:rPr>
                <w:sz w:val="22"/>
                <w:szCs w:val="22"/>
              </w:rPr>
              <w:t>ND</w:t>
            </w:r>
          </w:p>
        </w:tc>
        <w:tc>
          <w:tcPr>
            <w:tcW w:w="994" w:type="dxa"/>
            <w:vAlign w:val="center"/>
          </w:tcPr>
          <w:p w:rsidR="00FC54F2" w:rsidRPr="00FC54F2" w:rsidRDefault="00FC54F2" w:rsidP="00FC54F2">
            <w:pPr>
              <w:spacing w:before="60" w:after="60"/>
              <w:jc w:val="center"/>
              <w:rPr>
                <w:sz w:val="22"/>
                <w:szCs w:val="22"/>
              </w:rPr>
            </w:pPr>
            <w:r w:rsidRPr="00FC54F2">
              <w:rPr>
                <w:sz w:val="22"/>
                <w:szCs w:val="22"/>
              </w:rPr>
              <w:t>64</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50</w:t>
            </w:r>
          </w:p>
        </w:tc>
        <w:tc>
          <w:tcPr>
            <w:tcW w:w="1037" w:type="dxa"/>
            <w:vAlign w:val="center"/>
          </w:tcPr>
          <w:p w:rsidR="00FC54F2" w:rsidRPr="00FC54F2" w:rsidRDefault="00FC54F2" w:rsidP="00FC54F2">
            <w:pPr>
              <w:jc w:val="center"/>
            </w:pPr>
            <w:r w:rsidRPr="00FC54F2">
              <w:rPr>
                <w:sz w:val="22"/>
                <w:szCs w:val="22"/>
              </w:rPr>
              <w:t>ND</w:t>
            </w:r>
          </w:p>
        </w:tc>
        <w:tc>
          <w:tcPr>
            <w:tcW w:w="1267" w:type="dxa"/>
            <w:vAlign w:val="center"/>
          </w:tcPr>
          <w:p w:rsidR="00FC54F2" w:rsidRPr="00FC54F2" w:rsidRDefault="00FC54F2" w:rsidP="00FC54F2">
            <w:pPr>
              <w:jc w:val="center"/>
              <w:rPr>
                <w:sz w:val="22"/>
                <w:szCs w:val="22"/>
              </w:rPr>
            </w:pPr>
            <w:r w:rsidRPr="00FC54F2">
              <w:rPr>
                <w:sz w:val="22"/>
                <w:szCs w:val="22"/>
              </w:rPr>
              <w:t>1</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Y</w:t>
            </w:r>
          </w:p>
        </w:tc>
        <w:tc>
          <w:tcPr>
            <w:tcW w:w="882"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936"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2186" w:type="dxa"/>
            <w:tcBorders>
              <w:left w:val="nil"/>
            </w:tcBorders>
            <w:vAlign w:val="bottom"/>
          </w:tcPr>
          <w:p w:rsidR="00FC54F2" w:rsidRPr="00FC54F2" w:rsidRDefault="00FC54F2" w:rsidP="00FC54F2">
            <w:pPr>
              <w:spacing w:before="60" w:after="60"/>
              <w:rPr>
                <w:sz w:val="22"/>
                <w:szCs w:val="22"/>
              </w:rPr>
            </w:pPr>
          </w:p>
        </w:tc>
      </w:tr>
      <w:tr w:rsidR="00FC54F2" w:rsidRPr="00FC54F2" w:rsidTr="00487EE4">
        <w:tblPrEx>
          <w:tblCellMar>
            <w:top w:w="0" w:type="dxa"/>
            <w:bottom w:w="0" w:type="dxa"/>
          </w:tblCellMar>
        </w:tblPrEx>
        <w:trPr>
          <w:trHeight w:val="560"/>
          <w:jc w:val="center"/>
        </w:trPr>
        <w:tc>
          <w:tcPr>
            <w:tcW w:w="1795" w:type="dxa"/>
            <w:vAlign w:val="center"/>
          </w:tcPr>
          <w:p w:rsidR="00FC54F2" w:rsidRPr="00FC54F2" w:rsidRDefault="00FC54F2" w:rsidP="00FC54F2">
            <w:pPr>
              <w:spacing w:before="60" w:after="60"/>
              <w:rPr>
                <w:sz w:val="22"/>
                <w:szCs w:val="22"/>
              </w:rPr>
            </w:pPr>
            <w:r w:rsidRPr="00FC54F2">
              <w:rPr>
                <w:sz w:val="22"/>
                <w:szCs w:val="22"/>
              </w:rPr>
              <w:t>Treasurer</w:t>
            </w:r>
          </w:p>
        </w:tc>
        <w:tc>
          <w:tcPr>
            <w:tcW w:w="891" w:type="dxa"/>
            <w:vAlign w:val="center"/>
          </w:tcPr>
          <w:p w:rsidR="00FC54F2" w:rsidRPr="00FC54F2" w:rsidRDefault="00FC54F2" w:rsidP="00FC54F2">
            <w:pPr>
              <w:spacing w:before="60" w:after="60"/>
              <w:jc w:val="center"/>
              <w:rPr>
                <w:sz w:val="22"/>
                <w:szCs w:val="22"/>
              </w:rPr>
            </w:pPr>
            <w:r w:rsidRPr="00FC54F2">
              <w:rPr>
                <w:sz w:val="22"/>
                <w:szCs w:val="22"/>
              </w:rPr>
              <w:t>573</w:t>
            </w:r>
          </w:p>
        </w:tc>
        <w:tc>
          <w:tcPr>
            <w:tcW w:w="995" w:type="dxa"/>
            <w:vAlign w:val="center"/>
          </w:tcPr>
          <w:p w:rsidR="00FC54F2" w:rsidRPr="00FC54F2" w:rsidRDefault="00FC54F2" w:rsidP="00FC54F2">
            <w:pPr>
              <w:spacing w:before="60" w:after="60"/>
              <w:jc w:val="center"/>
              <w:rPr>
                <w:sz w:val="22"/>
                <w:szCs w:val="22"/>
              </w:rPr>
            </w:pPr>
            <w:r w:rsidRPr="00FC54F2">
              <w:rPr>
                <w:sz w:val="22"/>
                <w:szCs w:val="22"/>
              </w:rPr>
              <w:t>ND</w:t>
            </w:r>
          </w:p>
        </w:tc>
        <w:tc>
          <w:tcPr>
            <w:tcW w:w="994" w:type="dxa"/>
            <w:vAlign w:val="center"/>
          </w:tcPr>
          <w:p w:rsidR="00FC54F2" w:rsidRPr="00FC54F2" w:rsidRDefault="00FC54F2" w:rsidP="00FC54F2">
            <w:pPr>
              <w:spacing w:before="60" w:after="60"/>
              <w:jc w:val="center"/>
              <w:rPr>
                <w:sz w:val="22"/>
                <w:szCs w:val="22"/>
              </w:rPr>
            </w:pPr>
            <w:r w:rsidRPr="00FC54F2">
              <w:rPr>
                <w:sz w:val="22"/>
                <w:szCs w:val="22"/>
              </w:rPr>
              <w:t>66</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41</w:t>
            </w:r>
          </w:p>
        </w:tc>
        <w:tc>
          <w:tcPr>
            <w:tcW w:w="1037" w:type="dxa"/>
            <w:vAlign w:val="center"/>
          </w:tcPr>
          <w:p w:rsidR="00FC54F2" w:rsidRPr="00FC54F2" w:rsidRDefault="00FC54F2" w:rsidP="00FC54F2">
            <w:pPr>
              <w:jc w:val="center"/>
            </w:pPr>
            <w:r w:rsidRPr="00FC54F2">
              <w:rPr>
                <w:sz w:val="22"/>
                <w:szCs w:val="22"/>
              </w:rPr>
              <w:t>ND</w:t>
            </w:r>
          </w:p>
        </w:tc>
        <w:tc>
          <w:tcPr>
            <w:tcW w:w="1267" w:type="dxa"/>
            <w:vAlign w:val="center"/>
          </w:tcPr>
          <w:p w:rsidR="00FC54F2" w:rsidRPr="00FC54F2" w:rsidRDefault="00FC54F2" w:rsidP="00FC54F2">
            <w:pPr>
              <w:jc w:val="center"/>
              <w:rPr>
                <w:sz w:val="22"/>
                <w:szCs w:val="22"/>
              </w:rPr>
            </w:pPr>
            <w:r w:rsidRPr="00FC54F2">
              <w:rPr>
                <w:sz w:val="22"/>
                <w:szCs w:val="22"/>
              </w:rPr>
              <w:t>1</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Y</w:t>
            </w:r>
          </w:p>
        </w:tc>
        <w:tc>
          <w:tcPr>
            <w:tcW w:w="882"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936"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2186" w:type="dxa"/>
            <w:tcBorders>
              <w:left w:val="nil"/>
            </w:tcBorders>
            <w:vAlign w:val="bottom"/>
          </w:tcPr>
          <w:p w:rsidR="00FC54F2" w:rsidRPr="00FC54F2" w:rsidRDefault="00FC54F2" w:rsidP="00FC54F2">
            <w:pPr>
              <w:spacing w:before="60" w:after="60"/>
              <w:rPr>
                <w:sz w:val="22"/>
                <w:szCs w:val="22"/>
              </w:rPr>
            </w:pPr>
          </w:p>
        </w:tc>
      </w:tr>
      <w:tr w:rsidR="00FC54F2" w:rsidRPr="00FC54F2" w:rsidTr="00487EE4">
        <w:tblPrEx>
          <w:tblCellMar>
            <w:top w:w="0" w:type="dxa"/>
            <w:bottom w:w="0" w:type="dxa"/>
          </w:tblCellMar>
        </w:tblPrEx>
        <w:trPr>
          <w:trHeight w:val="560"/>
          <w:jc w:val="center"/>
        </w:trPr>
        <w:tc>
          <w:tcPr>
            <w:tcW w:w="1795" w:type="dxa"/>
            <w:vAlign w:val="center"/>
          </w:tcPr>
          <w:p w:rsidR="00FC54F2" w:rsidRPr="00FC54F2" w:rsidRDefault="00FC54F2" w:rsidP="00FC54F2">
            <w:pPr>
              <w:spacing w:before="60" w:after="60"/>
              <w:rPr>
                <w:sz w:val="22"/>
                <w:szCs w:val="22"/>
              </w:rPr>
            </w:pPr>
            <w:r w:rsidRPr="00FC54F2">
              <w:rPr>
                <w:sz w:val="22"/>
                <w:szCs w:val="22"/>
              </w:rPr>
              <w:t>Mainframe</w:t>
            </w:r>
          </w:p>
        </w:tc>
        <w:tc>
          <w:tcPr>
            <w:tcW w:w="891" w:type="dxa"/>
            <w:vAlign w:val="center"/>
          </w:tcPr>
          <w:p w:rsidR="00FC54F2" w:rsidRPr="00FC54F2" w:rsidRDefault="00FC54F2" w:rsidP="00FC54F2">
            <w:pPr>
              <w:spacing w:before="60" w:after="60"/>
              <w:jc w:val="center"/>
              <w:rPr>
                <w:sz w:val="22"/>
                <w:szCs w:val="22"/>
              </w:rPr>
            </w:pPr>
            <w:r w:rsidRPr="00FC54F2">
              <w:rPr>
                <w:sz w:val="22"/>
                <w:szCs w:val="22"/>
              </w:rPr>
              <w:t>538</w:t>
            </w:r>
          </w:p>
        </w:tc>
        <w:tc>
          <w:tcPr>
            <w:tcW w:w="995" w:type="dxa"/>
            <w:vAlign w:val="center"/>
          </w:tcPr>
          <w:p w:rsidR="00FC54F2" w:rsidRPr="00FC54F2" w:rsidRDefault="00FC54F2" w:rsidP="00FC54F2">
            <w:pPr>
              <w:spacing w:before="60" w:after="60"/>
              <w:jc w:val="center"/>
              <w:rPr>
                <w:sz w:val="22"/>
                <w:szCs w:val="22"/>
              </w:rPr>
            </w:pPr>
            <w:r w:rsidRPr="00FC54F2">
              <w:rPr>
                <w:sz w:val="22"/>
                <w:szCs w:val="22"/>
              </w:rPr>
              <w:t>ND</w:t>
            </w:r>
          </w:p>
        </w:tc>
        <w:tc>
          <w:tcPr>
            <w:tcW w:w="994" w:type="dxa"/>
            <w:vAlign w:val="center"/>
          </w:tcPr>
          <w:p w:rsidR="00FC54F2" w:rsidRPr="00FC54F2" w:rsidRDefault="00FC54F2" w:rsidP="00FC54F2">
            <w:pPr>
              <w:spacing w:before="60" w:after="60"/>
              <w:jc w:val="center"/>
              <w:rPr>
                <w:sz w:val="22"/>
                <w:szCs w:val="22"/>
              </w:rPr>
            </w:pPr>
            <w:r w:rsidRPr="00FC54F2">
              <w:rPr>
                <w:sz w:val="22"/>
                <w:szCs w:val="22"/>
              </w:rPr>
              <w:t>68</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43</w:t>
            </w:r>
          </w:p>
        </w:tc>
        <w:tc>
          <w:tcPr>
            <w:tcW w:w="1037" w:type="dxa"/>
            <w:vAlign w:val="center"/>
          </w:tcPr>
          <w:p w:rsidR="00FC54F2" w:rsidRPr="00FC54F2" w:rsidRDefault="00FC54F2" w:rsidP="00FC54F2">
            <w:pPr>
              <w:jc w:val="center"/>
            </w:pPr>
            <w:r w:rsidRPr="00FC54F2">
              <w:rPr>
                <w:sz w:val="22"/>
                <w:szCs w:val="22"/>
              </w:rPr>
              <w:t>ND</w:t>
            </w:r>
          </w:p>
        </w:tc>
        <w:tc>
          <w:tcPr>
            <w:tcW w:w="1267" w:type="dxa"/>
            <w:vAlign w:val="center"/>
          </w:tcPr>
          <w:p w:rsidR="00FC54F2" w:rsidRPr="00FC54F2" w:rsidRDefault="00FC54F2" w:rsidP="00FC54F2">
            <w:pPr>
              <w:jc w:val="center"/>
              <w:rPr>
                <w:sz w:val="22"/>
                <w:szCs w:val="22"/>
              </w:rPr>
            </w:pPr>
            <w:r w:rsidRPr="00FC54F2">
              <w:rPr>
                <w:sz w:val="22"/>
                <w:szCs w:val="22"/>
              </w:rPr>
              <w:t>0</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Y</w:t>
            </w:r>
          </w:p>
        </w:tc>
        <w:tc>
          <w:tcPr>
            <w:tcW w:w="882"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936"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2186" w:type="dxa"/>
            <w:tcBorders>
              <w:left w:val="nil"/>
            </w:tcBorders>
            <w:vAlign w:val="bottom"/>
          </w:tcPr>
          <w:p w:rsidR="00FC54F2" w:rsidRPr="00FC54F2" w:rsidRDefault="00FC54F2" w:rsidP="00FC54F2">
            <w:pPr>
              <w:spacing w:before="60" w:after="60"/>
              <w:rPr>
                <w:sz w:val="22"/>
                <w:szCs w:val="22"/>
              </w:rPr>
            </w:pPr>
          </w:p>
        </w:tc>
      </w:tr>
      <w:tr w:rsidR="00FC54F2" w:rsidRPr="00FC54F2" w:rsidTr="00487EE4">
        <w:tblPrEx>
          <w:tblCellMar>
            <w:top w:w="0" w:type="dxa"/>
            <w:bottom w:w="0" w:type="dxa"/>
          </w:tblCellMar>
        </w:tblPrEx>
        <w:trPr>
          <w:trHeight w:val="560"/>
          <w:jc w:val="center"/>
        </w:trPr>
        <w:tc>
          <w:tcPr>
            <w:tcW w:w="1795" w:type="dxa"/>
            <w:vAlign w:val="center"/>
          </w:tcPr>
          <w:p w:rsidR="00FC54F2" w:rsidRPr="00FC54F2" w:rsidRDefault="00FC54F2" w:rsidP="00FC54F2">
            <w:pPr>
              <w:spacing w:before="60" w:after="60"/>
              <w:rPr>
                <w:sz w:val="22"/>
                <w:szCs w:val="22"/>
              </w:rPr>
            </w:pPr>
            <w:r w:rsidRPr="00FC54F2">
              <w:rPr>
                <w:sz w:val="22"/>
                <w:szCs w:val="22"/>
              </w:rPr>
              <w:t>Office</w:t>
            </w:r>
          </w:p>
        </w:tc>
        <w:tc>
          <w:tcPr>
            <w:tcW w:w="891" w:type="dxa"/>
            <w:vAlign w:val="center"/>
          </w:tcPr>
          <w:p w:rsidR="00FC54F2" w:rsidRPr="00FC54F2" w:rsidRDefault="00FC54F2" w:rsidP="00FC54F2">
            <w:pPr>
              <w:spacing w:before="60" w:after="60"/>
              <w:jc w:val="center"/>
              <w:rPr>
                <w:sz w:val="22"/>
                <w:szCs w:val="22"/>
              </w:rPr>
            </w:pPr>
            <w:r w:rsidRPr="00FC54F2">
              <w:rPr>
                <w:sz w:val="22"/>
                <w:szCs w:val="22"/>
              </w:rPr>
              <w:t>563</w:t>
            </w:r>
          </w:p>
        </w:tc>
        <w:tc>
          <w:tcPr>
            <w:tcW w:w="995" w:type="dxa"/>
            <w:vAlign w:val="center"/>
          </w:tcPr>
          <w:p w:rsidR="00FC54F2" w:rsidRPr="00FC54F2" w:rsidRDefault="00FC54F2" w:rsidP="00FC54F2">
            <w:pPr>
              <w:spacing w:before="60" w:after="60"/>
              <w:jc w:val="center"/>
              <w:rPr>
                <w:sz w:val="22"/>
                <w:szCs w:val="22"/>
              </w:rPr>
            </w:pPr>
            <w:r w:rsidRPr="00FC54F2">
              <w:rPr>
                <w:sz w:val="22"/>
                <w:szCs w:val="22"/>
              </w:rPr>
              <w:t>ND</w:t>
            </w:r>
          </w:p>
        </w:tc>
        <w:tc>
          <w:tcPr>
            <w:tcW w:w="994" w:type="dxa"/>
            <w:vAlign w:val="center"/>
          </w:tcPr>
          <w:p w:rsidR="00FC54F2" w:rsidRPr="00FC54F2" w:rsidRDefault="00FC54F2" w:rsidP="00FC54F2">
            <w:pPr>
              <w:spacing w:before="60" w:after="60"/>
              <w:jc w:val="center"/>
              <w:rPr>
                <w:sz w:val="22"/>
                <w:szCs w:val="22"/>
              </w:rPr>
            </w:pPr>
            <w:r w:rsidRPr="00FC54F2">
              <w:rPr>
                <w:sz w:val="22"/>
                <w:szCs w:val="22"/>
              </w:rPr>
              <w:t>71</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43</w:t>
            </w:r>
          </w:p>
        </w:tc>
        <w:tc>
          <w:tcPr>
            <w:tcW w:w="1037" w:type="dxa"/>
            <w:vAlign w:val="center"/>
          </w:tcPr>
          <w:p w:rsidR="00FC54F2" w:rsidRPr="00FC54F2" w:rsidRDefault="00FC54F2" w:rsidP="00FC54F2">
            <w:pPr>
              <w:jc w:val="center"/>
            </w:pPr>
            <w:r w:rsidRPr="00FC54F2">
              <w:rPr>
                <w:sz w:val="22"/>
                <w:szCs w:val="22"/>
              </w:rPr>
              <w:t>ND</w:t>
            </w:r>
          </w:p>
        </w:tc>
        <w:tc>
          <w:tcPr>
            <w:tcW w:w="1267" w:type="dxa"/>
            <w:vAlign w:val="center"/>
          </w:tcPr>
          <w:p w:rsidR="00FC54F2" w:rsidRPr="00FC54F2" w:rsidRDefault="00FC54F2" w:rsidP="00FC54F2">
            <w:pPr>
              <w:jc w:val="center"/>
              <w:rPr>
                <w:sz w:val="22"/>
                <w:szCs w:val="22"/>
              </w:rPr>
            </w:pPr>
            <w:r w:rsidRPr="00FC54F2">
              <w:rPr>
                <w:sz w:val="22"/>
                <w:szCs w:val="22"/>
              </w:rPr>
              <w:t>1</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Y</w:t>
            </w:r>
          </w:p>
        </w:tc>
        <w:tc>
          <w:tcPr>
            <w:tcW w:w="882"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936"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2186" w:type="dxa"/>
            <w:tcBorders>
              <w:left w:val="nil"/>
            </w:tcBorders>
            <w:vAlign w:val="bottom"/>
          </w:tcPr>
          <w:p w:rsidR="00FC54F2" w:rsidRPr="00FC54F2" w:rsidRDefault="00FC54F2" w:rsidP="00FC54F2">
            <w:pPr>
              <w:spacing w:before="60" w:after="60"/>
              <w:rPr>
                <w:sz w:val="22"/>
                <w:szCs w:val="22"/>
              </w:rPr>
            </w:pPr>
          </w:p>
        </w:tc>
      </w:tr>
      <w:tr w:rsidR="00FC54F2" w:rsidRPr="00FC54F2" w:rsidTr="00487EE4">
        <w:tblPrEx>
          <w:tblCellMar>
            <w:top w:w="0" w:type="dxa"/>
            <w:bottom w:w="0" w:type="dxa"/>
          </w:tblCellMar>
        </w:tblPrEx>
        <w:trPr>
          <w:trHeight w:val="560"/>
          <w:jc w:val="center"/>
        </w:trPr>
        <w:tc>
          <w:tcPr>
            <w:tcW w:w="1795" w:type="dxa"/>
            <w:vAlign w:val="center"/>
          </w:tcPr>
          <w:p w:rsidR="00FC54F2" w:rsidRPr="00FC54F2" w:rsidRDefault="00FC54F2" w:rsidP="00FC54F2">
            <w:pPr>
              <w:spacing w:before="60" w:after="60"/>
              <w:rPr>
                <w:sz w:val="22"/>
                <w:szCs w:val="22"/>
              </w:rPr>
            </w:pPr>
            <w:r w:rsidRPr="00FC54F2">
              <w:rPr>
                <w:sz w:val="22"/>
                <w:szCs w:val="22"/>
              </w:rPr>
              <w:t>Men’s restroom</w:t>
            </w:r>
          </w:p>
        </w:tc>
        <w:tc>
          <w:tcPr>
            <w:tcW w:w="891" w:type="dxa"/>
            <w:vAlign w:val="center"/>
          </w:tcPr>
          <w:p w:rsidR="00FC54F2" w:rsidRPr="00FC54F2" w:rsidRDefault="00FC54F2" w:rsidP="00FC54F2">
            <w:pPr>
              <w:spacing w:before="60" w:after="60"/>
              <w:jc w:val="center"/>
              <w:rPr>
                <w:sz w:val="22"/>
                <w:szCs w:val="22"/>
              </w:rPr>
            </w:pPr>
            <w:r w:rsidRPr="00FC54F2">
              <w:rPr>
                <w:sz w:val="22"/>
                <w:szCs w:val="22"/>
              </w:rPr>
              <w:t>549</w:t>
            </w:r>
          </w:p>
        </w:tc>
        <w:tc>
          <w:tcPr>
            <w:tcW w:w="995" w:type="dxa"/>
            <w:vAlign w:val="center"/>
          </w:tcPr>
          <w:p w:rsidR="00FC54F2" w:rsidRPr="00FC54F2" w:rsidRDefault="00FC54F2" w:rsidP="00FC54F2">
            <w:pPr>
              <w:spacing w:before="60" w:after="60"/>
              <w:jc w:val="center"/>
              <w:rPr>
                <w:sz w:val="22"/>
                <w:szCs w:val="22"/>
              </w:rPr>
            </w:pPr>
            <w:r w:rsidRPr="00FC54F2">
              <w:rPr>
                <w:sz w:val="22"/>
                <w:szCs w:val="22"/>
              </w:rPr>
              <w:t>ND</w:t>
            </w:r>
          </w:p>
        </w:tc>
        <w:tc>
          <w:tcPr>
            <w:tcW w:w="994" w:type="dxa"/>
            <w:vAlign w:val="center"/>
          </w:tcPr>
          <w:p w:rsidR="00FC54F2" w:rsidRPr="00FC54F2" w:rsidRDefault="00FC54F2" w:rsidP="00FC54F2">
            <w:pPr>
              <w:spacing w:before="60" w:after="60"/>
              <w:jc w:val="center"/>
              <w:rPr>
                <w:sz w:val="22"/>
                <w:szCs w:val="22"/>
              </w:rPr>
            </w:pPr>
            <w:r w:rsidRPr="00FC54F2">
              <w:rPr>
                <w:sz w:val="22"/>
                <w:szCs w:val="22"/>
              </w:rPr>
              <w:t>70</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41</w:t>
            </w:r>
          </w:p>
        </w:tc>
        <w:tc>
          <w:tcPr>
            <w:tcW w:w="1037" w:type="dxa"/>
            <w:vAlign w:val="center"/>
          </w:tcPr>
          <w:p w:rsidR="00FC54F2" w:rsidRPr="00FC54F2" w:rsidRDefault="00FC54F2" w:rsidP="00FC54F2">
            <w:pPr>
              <w:spacing w:before="60" w:after="60"/>
              <w:jc w:val="center"/>
              <w:rPr>
                <w:sz w:val="22"/>
                <w:szCs w:val="22"/>
              </w:rPr>
            </w:pPr>
            <w:r w:rsidRPr="00FC54F2">
              <w:rPr>
                <w:sz w:val="22"/>
                <w:szCs w:val="22"/>
              </w:rPr>
              <w:t>1</w:t>
            </w:r>
          </w:p>
        </w:tc>
        <w:tc>
          <w:tcPr>
            <w:tcW w:w="1267" w:type="dxa"/>
            <w:vAlign w:val="center"/>
          </w:tcPr>
          <w:p w:rsidR="00FC54F2" w:rsidRPr="00FC54F2" w:rsidRDefault="00FC54F2" w:rsidP="00FC54F2">
            <w:pPr>
              <w:jc w:val="center"/>
              <w:rPr>
                <w:sz w:val="22"/>
                <w:szCs w:val="22"/>
              </w:rPr>
            </w:pPr>
            <w:r w:rsidRPr="00FC54F2">
              <w:rPr>
                <w:sz w:val="22"/>
                <w:szCs w:val="22"/>
              </w:rPr>
              <w:t>0</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Y</w:t>
            </w:r>
          </w:p>
        </w:tc>
        <w:tc>
          <w:tcPr>
            <w:tcW w:w="882"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936"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2186" w:type="dxa"/>
            <w:tcBorders>
              <w:left w:val="nil"/>
            </w:tcBorders>
            <w:vAlign w:val="bottom"/>
          </w:tcPr>
          <w:p w:rsidR="00FC54F2" w:rsidRPr="00FC54F2" w:rsidRDefault="00FC54F2" w:rsidP="00FC54F2">
            <w:pPr>
              <w:spacing w:before="60" w:after="60"/>
              <w:rPr>
                <w:sz w:val="22"/>
                <w:szCs w:val="22"/>
              </w:rPr>
            </w:pPr>
          </w:p>
        </w:tc>
      </w:tr>
      <w:tr w:rsidR="00FC54F2" w:rsidRPr="00FC54F2" w:rsidTr="00487EE4">
        <w:tblPrEx>
          <w:tblCellMar>
            <w:top w:w="0" w:type="dxa"/>
            <w:bottom w:w="0" w:type="dxa"/>
          </w:tblCellMar>
        </w:tblPrEx>
        <w:trPr>
          <w:trHeight w:val="560"/>
          <w:jc w:val="center"/>
        </w:trPr>
        <w:tc>
          <w:tcPr>
            <w:tcW w:w="1795" w:type="dxa"/>
            <w:vAlign w:val="center"/>
          </w:tcPr>
          <w:p w:rsidR="00FC54F2" w:rsidRPr="00FC54F2" w:rsidRDefault="00FC54F2" w:rsidP="00FC54F2">
            <w:pPr>
              <w:spacing w:before="60" w:after="60"/>
              <w:rPr>
                <w:sz w:val="22"/>
                <w:szCs w:val="22"/>
              </w:rPr>
            </w:pPr>
            <w:r w:rsidRPr="00FC54F2">
              <w:rPr>
                <w:sz w:val="22"/>
                <w:szCs w:val="22"/>
              </w:rPr>
              <w:t>Women’s restroom</w:t>
            </w:r>
          </w:p>
        </w:tc>
        <w:tc>
          <w:tcPr>
            <w:tcW w:w="891" w:type="dxa"/>
            <w:vAlign w:val="center"/>
          </w:tcPr>
          <w:p w:rsidR="00FC54F2" w:rsidRPr="00FC54F2" w:rsidRDefault="00FC54F2" w:rsidP="00FC54F2">
            <w:pPr>
              <w:spacing w:before="60" w:after="60"/>
              <w:jc w:val="center"/>
              <w:rPr>
                <w:sz w:val="22"/>
                <w:szCs w:val="22"/>
              </w:rPr>
            </w:pPr>
            <w:r w:rsidRPr="00FC54F2">
              <w:rPr>
                <w:sz w:val="22"/>
                <w:szCs w:val="22"/>
              </w:rPr>
              <w:t>552</w:t>
            </w:r>
          </w:p>
        </w:tc>
        <w:tc>
          <w:tcPr>
            <w:tcW w:w="995" w:type="dxa"/>
            <w:vAlign w:val="center"/>
          </w:tcPr>
          <w:p w:rsidR="00FC54F2" w:rsidRPr="00FC54F2" w:rsidRDefault="00FC54F2" w:rsidP="00FC54F2">
            <w:pPr>
              <w:spacing w:before="60" w:after="60"/>
              <w:jc w:val="center"/>
              <w:rPr>
                <w:sz w:val="22"/>
                <w:szCs w:val="22"/>
              </w:rPr>
            </w:pPr>
            <w:r w:rsidRPr="00FC54F2">
              <w:rPr>
                <w:sz w:val="22"/>
                <w:szCs w:val="22"/>
              </w:rPr>
              <w:t>ND</w:t>
            </w:r>
          </w:p>
        </w:tc>
        <w:tc>
          <w:tcPr>
            <w:tcW w:w="994" w:type="dxa"/>
            <w:vAlign w:val="center"/>
          </w:tcPr>
          <w:p w:rsidR="00FC54F2" w:rsidRPr="00FC54F2" w:rsidRDefault="00FC54F2" w:rsidP="00FC54F2">
            <w:pPr>
              <w:spacing w:before="60" w:after="60"/>
              <w:jc w:val="center"/>
              <w:rPr>
                <w:sz w:val="22"/>
                <w:szCs w:val="22"/>
              </w:rPr>
            </w:pPr>
            <w:r w:rsidRPr="00FC54F2">
              <w:rPr>
                <w:sz w:val="22"/>
                <w:szCs w:val="22"/>
              </w:rPr>
              <w:t>72</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39</w:t>
            </w:r>
          </w:p>
        </w:tc>
        <w:tc>
          <w:tcPr>
            <w:tcW w:w="1037" w:type="dxa"/>
            <w:vAlign w:val="center"/>
          </w:tcPr>
          <w:p w:rsidR="00FC54F2" w:rsidRPr="00FC54F2" w:rsidRDefault="00FC54F2" w:rsidP="00FC54F2">
            <w:pPr>
              <w:spacing w:before="60" w:after="60"/>
              <w:jc w:val="center"/>
              <w:rPr>
                <w:sz w:val="22"/>
                <w:szCs w:val="22"/>
              </w:rPr>
            </w:pPr>
            <w:r w:rsidRPr="00FC54F2">
              <w:rPr>
                <w:sz w:val="22"/>
                <w:szCs w:val="22"/>
              </w:rPr>
              <w:t>ND</w:t>
            </w:r>
          </w:p>
        </w:tc>
        <w:tc>
          <w:tcPr>
            <w:tcW w:w="1267" w:type="dxa"/>
            <w:vAlign w:val="center"/>
          </w:tcPr>
          <w:p w:rsidR="00FC54F2" w:rsidRPr="00FC54F2" w:rsidRDefault="00FC54F2" w:rsidP="00FC54F2">
            <w:pPr>
              <w:jc w:val="center"/>
              <w:rPr>
                <w:sz w:val="22"/>
                <w:szCs w:val="22"/>
              </w:rPr>
            </w:pPr>
            <w:r w:rsidRPr="00FC54F2">
              <w:rPr>
                <w:sz w:val="22"/>
                <w:szCs w:val="22"/>
              </w:rPr>
              <w:t>0</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Y</w:t>
            </w:r>
          </w:p>
        </w:tc>
        <w:tc>
          <w:tcPr>
            <w:tcW w:w="882"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936"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2186" w:type="dxa"/>
            <w:tcBorders>
              <w:left w:val="nil"/>
            </w:tcBorders>
            <w:vAlign w:val="bottom"/>
          </w:tcPr>
          <w:p w:rsidR="00FC54F2" w:rsidRPr="00FC54F2" w:rsidRDefault="00FC54F2" w:rsidP="00FC54F2">
            <w:pPr>
              <w:spacing w:before="60" w:after="60"/>
              <w:rPr>
                <w:sz w:val="22"/>
                <w:szCs w:val="22"/>
              </w:rPr>
            </w:pPr>
          </w:p>
        </w:tc>
      </w:tr>
      <w:tr w:rsidR="00FC54F2" w:rsidRPr="00FC54F2" w:rsidTr="00487EE4">
        <w:tblPrEx>
          <w:tblCellMar>
            <w:top w:w="0" w:type="dxa"/>
            <w:bottom w:w="0" w:type="dxa"/>
          </w:tblCellMar>
        </w:tblPrEx>
        <w:trPr>
          <w:trHeight w:val="560"/>
          <w:jc w:val="center"/>
        </w:trPr>
        <w:tc>
          <w:tcPr>
            <w:tcW w:w="1795" w:type="dxa"/>
            <w:vAlign w:val="center"/>
          </w:tcPr>
          <w:p w:rsidR="00FC54F2" w:rsidRPr="00FC54F2" w:rsidRDefault="00FC54F2" w:rsidP="00FC54F2">
            <w:pPr>
              <w:spacing w:before="60" w:after="60"/>
              <w:rPr>
                <w:sz w:val="22"/>
                <w:szCs w:val="22"/>
              </w:rPr>
            </w:pPr>
            <w:r w:rsidRPr="00FC54F2">
              <w:rPr>
                <w:sz w:val="22"/>
                <w:szCs w:val="22"/>
              </w:rPr>
              <w:t>Senior center</w:t>
            </w:r>
          </w:p>
        </w:tc>
        <w:tc>
          <w:tcPr>
            <w:tcW w:w="891" w:type="dxa"/>
            <w:vAlign w:val="center"/>
          </w:tcPr>
          <w:p w:rsidR="00FC54F2" w:rsidRPr="00FC54F2" w:rsidRDefault="00FC54F2" w:rsidP="00FC54F2">
            <w:pPr>
              <w:spacing w:before="60" w:after="60"/>
              <w:jc w:val="center"/>
              <w:rPr>
                <w:sz w:val="22"/>
                <w:szCs w:val="22"/>
              </w:rPr>
            </w:pPr>
            <w:r w:rsidRPr="00FC54F2">
              <w:rPr>
                <w:sz w:val="22"/>
                <w:szCs w:val="22"/>
              </w:rPr>
              <w:t>508</w:t>
            </w:r>
          </w:p>
        </w:tc>
        <w:tc>
          <w:tcPr>
            <w:tcW w:w="995" w:type="dxa"/>
            <w:vAlign w:val="center"/>
          </w:tcPr>
          <w:p w:rsidR="00FC54F2" w:rsidRPr="00FC54F2" w:rsidRDefault="00FC54F2" w:rsidP="00FC54F2">
            <w:pPr>
              <w:spacing w:before="60" w:after="60"/>
              <w:jc w:val="center"/>
              <w:rPr>
                <w:sz w:val="22"/>
                <w:szCs w:val="22"/>
              </w:rPr>
            </w:pPr>
            <w:r w:rsidRPr="00FC54F2">
              <w:rPr>
                <w:sz w:val="22"/>
                <w:szCs w:val="22"/>
              </w:rPr>
              <w:t>ND</w:t>
            </w:r>
          </w:p>
        </w:tc>
        <w:tc>
          <w:tcPr>
            <w:tcW w:w="994" w:type="dxa"/>
            <w:vAlign w:val="center"/>
          </w:tcPr>
          <w:p w:rsidR="00FC54F2" w:rsidRPr="00FC54F2" w:rsidRDefault="00FC54F2" w:rsidP="00FC54F2">
            <w:pPr>
              <w:spacing w:before="60" w:after="60"/>
              <w:jc w:val="center"/>
              <w:rPr>
                <w:sz w:val="22"/>
                <w:szCs w:val="22"/>
              </w:rPr>
            </w:pPr>
            <w:r w:rsidRPr="00FC54F2">
              <w:rPr>
                <w:sz w:val="22"/>
                <w:szCs w:val="22"/>
              </w:rPr>
              <w:t>68</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38</w:t>
            </w:r>
          </w:p>
        </w:tc>
        <w:tc>
          <w:tcPr>
            <w:tcW w:w="1037" w:type="dxa"/>
            <w:vAlign w:val="center"/>
          </w:tcPr>
          <w:p w:rsidR="00FC54F2" w:rsidRPr="00FC54F2" w:rsidRDefault="00FC54F2" w:rsidP="00FC54F2">
            <w:pPr>
              <w:spacing w:before="60" w:after="60"/>
              <w:jc w:val="center"/>
              <w:rPr>
                <w:sz w:val="22"/>
                <w:szCs w:val="22"/>
              </w:rPr>
            </w:pPr>
            <w:r w:rsidRPr="00FC54F2">
              <w:rPr>
                <w:sz w:val="22"/>
                <w:szCs w:val="22"/>
              </w:rPr>
              <w:t>1</w:t>
            </w:r>
          </w:p>
        </w:tc>
        <w:tc>
          <w:tcPr>
            <w:tcW w:w="1267" w:type="dxa"/>
            <w:vAlign w:val="center"/>
          </w:tcPr>
          <w:p w:rsidR="00FC54F2" w:rsidRPr="00FC54F2" w:rsidRDefault="00FC54F2" w:rsidP="00FC54F2">
            <w:pPr>
              <w:jc w:val="center"/>
              <w:rPr>
                <w:sz w:val="22"/>
                <w:szCs w:val="22"/>
              </w:rPr>
            </w:pPr>
            <w:r w:rsidRPr="00FC54F2">
              <w:rPr>
                <w:sz w:val="22"/>
                <w:szCs w:val="22"/>
              </w:rPr>
              <w:t>0</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Y</w:t>
            </w:r>
          </w:p>
        </w:tc>
        <w:tc>
          <w:tcPr>
            <w:tcW w:w="882"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936"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2186" w:type="dxa"/>
            <w:tcBorders>
              <w:left w:val="nil"/>
            </w:tcBorders>
            <w:vAlign w:val="bottom"/>
          </w:tcPr>
          <w:p w:rsidR="00FC54F2" w:rsidRPr="00FC54F2" w:rsidRDefault="00FC54F2" w:rsidP="00FC54F2">
            <w:pPr>
              <w:spacing w:before="60" w:after="60"/>
              <w:rPr>
                <w:sz w:val="22"/>
                <w:szCs w:val="22"/>
              </w:rPr>
            </w:pPr>
          </w:p>
        </w:tc>
      </w:tr>
      <w:tr w:rsidR="00FC54F2" w:rsidRPr="00FC54F2" w:rsidTr="00487EE4">
        <w:tblPrEx>
          <w:tblCellMar>
            <w:top w:w="0" w:type="dxa"/>
            <w:bottom w:w="0" w:type="dxa"/>
          </w:tblCellMar>
        </w:tblPrEx>
        <w:trPr>
          <w:trHeight w:val="560"/>
          <w:jc w:val="center"/>
        </w:trPr>
        <w:tc>
          <w:tcPr>
            <w:tcW w:w="1795" w:type="dxa"/>
            <w:vAlign w:val="center"/>
          </w:tcPr>
          <w:p w:rsidR="00FC54F2" w:rsidRPr="00FC54F2" w:rsidRDefault="00FC54F2" w:rsidP="00FC54F2">
            <w:pPr>
              <w:spacing w:before="60" w:after="60"/>
              <w:rPr>
                <w:sz w:val="22"/>
                <w:szCs w:val="22"/>
              </w:rPr>
            </w:pPr>
            <w:r w:rsidRPr="00FC54F2">
              <w:rPr>
                <w:sz w:val="22"/>
                <w:szCs w:val="22"/>
              </w:rPr>
              <w:t>Furnace room</w:t>
            </w:r>
          </w:p>
        </w:tc>
        <w:tc>
          <w:tcPr>
            <w:tcW w:w="891" w:type="dxa"/>
            <w:vAlign w:val="center"/>
          </w:tcPr>
          <w:p w:rsidR="00FC54F2" w:rsidRPr="00FC54F2" w:rsidRDefault="00FC54F2" w:rsidP="00FC54F2">
            <w:pPr>
              <w:spacing w:before="60" w:after="60"/>
              <w:jc w:val="center"/>
              <w:rPr>
                <w:sz w:val="22"/>
                <w:szCs w:val="22"/>
              </w:rPr>
            </w:pPr>
            <w:r w:rsidRPr="00FC54F2">
              <w:rPr>
                <w:sz w:val="22"/>
                <w:szCs w:val="22"/>
              </w:rPr>
              <w:t>1572</w:t>
            </w:r>
          </w:p>
        </w:tc>
        <w:tc>
          <w:tcPr>
            <w:tcW w:w="995" w:type="dxa"/>
            <w:vAlign w:val="center"/>
          </w:tcPr>
          <w:p w:rsidR="00FC54F2" w:rsidRPr="00FC54F2" w:rsidRDefault="00FC54F2" w:rsidP="00FC54F2">
            <w:pPr>
              <w:spacing w:before="60" w:after="60"/>
              <w:jc w:val="center"/>
              <w:rPr>
                <w:sz w:val="22"/>
                <w:szCs w:val="22"/>
              </w:rPr>
            </w:pPr>
            <w:r w:rsidRPr="00FC54F2">
              <w:rPr>
                <w:sz w:val="22"/>
                <w:szCs w:val="22"/>
              </w:rPr>
              <w:t>2</w:t>
            </w:r>
          </w:p>
        </w:tc>
        <w:tc>
          <w:tcPr>
            <w:tcW w:w="994" w:type="dxa"/>
            <w:vAlign w:val="center"/>
          </w:tcPr>
          <w:p w:rsidR="00FC54F2" w:rsidRPr="00FC54F2" w:rsidRDefault="00FC54F2" w:rsidP="00FC54F2">
            <w:pPr>
              <w:spacing w:before="60" w:after="60"/>
              <w:jc w:val="center"/>
              <w:rPr>
                <w:sz w:val="22"/>
                <w:szCs w:val="22"/>
              </w:rPr>
            </w:pPr>
            <w:r w:rsidRPr="00FC54F2">
              <w:rPr>
                <w:sz w:val="22"/>
                <w:szCs w:val="22"/>
              </w:rPr>
              <w:t>80</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26</w:t>
            </w:r>
          </w:p>
        </w:tc>
        <w:tc>
          <w:tcPr>
            <w:tcW w:w="1037" w:type="dxa"/>
            <w:vAlign w:val="center"/>
          </w:tcPr>
          <w:p w:rsidR="00FC54F2" w:rsidRPr="00FC54F2" w:rsidRDefault="00FC54F2" w:rsidP="00FC54F2">
            <w:pPr>
              <w:spacing w:before="60" w:after="60"/>
              <w:jc w:val="center"/>
              <w:rPr>
                <w:sz w:val="22"/>
                <w:szCs w:val="22"/>
              </w:rPr>
            </w:pPr>
            <w:r w:rsidRPr="00FC54F2">
              <w:rPr>
                <w:sz w:val="22"/>
                <w:szCs w:val="22"/>
              </w:rPr>
              <w:t>10-337</w:t>
            </w:r>
          </w:p>
        </w:tc>
        <w:tc>
          <w:tcPr>
            <w:tcW w:w="1267" w:type="dxa"/>
            <w:vAlign w:val="center"/>
          </w:tcPr>
          <w:p w:rsidR="00FC54F2" w:rsidRPr="00FC54F2" w:rsidRDefault="00FC54F2" w:rsidP="00FC54F2">
            <w:pPr>
              <w:jc w:val="center"/>
              <w:rPr>
                <w:sz w:val="22"/>
                <w:szCs w:val="22"/>
              </w:rPr>
            </w:pPr>
            <w:r w:rsidRPr="00FC54F2">
              <w:rPr>
                <w:sz w:val="22"/>
                <w:szCs w:val="22"/>
              </w:rPr>
              <w:t>0</w:t>
            </w:r>
          </w:p>
        </w:tc>
        <w:tc>
          <w:tcPr>
            <w:tcW w:w="1152"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882"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936" w:type="dxa"/>
            <w:vAlign w:val="center"/>
          </w:tcPr>
          <w:p w:rsidR="00FC54F2" w:rsidRPr="00FC54F2" w:rsidRDefault="00FC54F2" w:rsidP="00FC54F2">
            <w:pPr>
              <w:spacing w:before="60" w:after="60"/>
              <w:jc w:val="center"/>
              <w:rPr>
                <w:sz w:val="22"/>
                <w:szCs w:val="22"/>
              </w:rPr>
            </w:pPr>
            <w:r w:rsidRPr="00FC54F2">
              <w:rPr>
                <w:sz w:val="22"/>
                <w:szCs w:val="22"/>
              </w:rPr>
              <w:t>N</w:t>
            </w:r>
          </w:p>
        </w:tc>
        <w:tc>
          <w:tcPr>
            <w:tcW w:w="2186" w:type="dxa"/>
            <w:tcBorders>
              <w:left w:val="nil"/>
            </w:tcBorders>
            <w:vAlign w:val="bottom"/>
          </w:tcPr>
          <w:p w:rsidR="00FC54F2" w:rsidRPr="00FC54F2" w:rsidRDefault="00FC54F2" w:rsidP="00FC54F2">
            <w:pPr>
              <w:spacing w:before="60" w:after="60"/>
              <w:rPr>
                <w:sz w:val="22"/>
                <w:szCs w:val="22"/>
              </w:rPr>
            </w:pPr>
          </w:p>
        </w:tc>
      </w:tr>
    </w:tbl>
    <w:p w:rsidR="00FC54F2" w:rsidRPr="00FC54F2" w:rsidRDefault="00FC54F2" w:rsidP="00FC54F2"/>
    <w:p w:rsidR="00FC54F2" w:rsidRPr="00FC54F2" w:rsidRDefault="00FC54F2" w:rsidP="00FC54F2"/>
    <w:p w:rsidR="00FC54F2" w:rsidRPr="00FC54F2" w:rsidRDefault="00FC54F2" w:rsidP="00FC54F2"/>
    <w:p w:rsidR="00577B72" w:rsidRPr="00577B72" w:rsidRDefault="00577B72" w:rsidP="00FC54F2">
      <w:pPr>
        <w:jc w:val="center"/>
        <w:rPr>
          <w:szCs w:val="24"/>
        </w:rPr>
      </w:pPr>
    </w:p>
    <w:sectPr w:rsidR="00577B72" w:rsidRPr="00577B72" w:rsidSect="00FC54F2">
      <w:headerReference w:type="even" r:id="rId26"/>
      <w:headerReference w:type="default" r:id="rId27"/>
      <w:footerReference w:type="default" r:id="rId28"/>
      <w:headerReference w:type="first" r:id="rId29"/>
      <w:footerReference w:type="first" r:id="rId30"/>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091" w:rsidRDefault="00460091">
      <w:r>
        <w:separator/>
      </w:r>
    </w:p>
  </w:endnote>
  <w:endnote w:type="continuationSeparator" w:id="0">
    <w:p w:rsidR="00460091" w:rsidRDefault="0046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7163">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F2" w:rsidRDefault="00FC54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F2" w:rsidRDefault="00FC54F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4" w:rsidRDefault="00487EE4" w:rsidP="00487EE4">
    <w:pPr>
      <w:pStyle w:val="Footer"/>
      <w:rPr>
        <w:rFonts w:ascii="Times" w:hAnsi="Times" w:cs="Times"/>
        <w:sz w:val="20"/>
      </w:rPr>
    </w:pPr>
  </w:p>
  <w:p w:rsidR="00487EE4" w:rsidRDefault="00487EE4" w:rsidP="00487EE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87EE4" w:rsidTr="00487EE4">
      <w:tblPrEx>
        <w:tblCellMar>
          <w:top w:w="0" w:type="dxa"/>
          <w:bottom w:w="0" w:type="dxa"/>
        </w:tblCellMar>
      </w:tblPrEx>
      <w:tc>
        <w:tcPr>
          <w:tcW w:w="2718" w:type="dxa"/>
        </w:tcPr>
        <w:p w:rsidR="00487EE4" w:rsidRDefault="00487EE4" w:rsidP="00487EE4">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487EE4" w:rsidRDefault="00487EE4" w:rsidP="00487EE4">
          <w:pPr>
            <w:rPr>
              <w:sz w:val="20"/>
            </w:rPr>
          </w:pPr>
          <w:r>
            <w:rPr>
              <w:sz w:val="20"/>
            </w:rPr>
            <w:t>&lt;800 = preferable</w:t>
          </w:r>
        </w:p>
      </w:tc>
      <w:tc>
        <w:tcPr>
          <w:tcW w:w="3600" w:type="dxa"/>
        </w:tcPr>
        <w:p w:rsidR="00487EE4" w:rsidRDefault="00487EE4" w:rsidP="00487EE4">
          <w:pPr>
            <w:jc w:val="right"/>
            <w:rPr>
              <w:sz w:val="20"/>
            </w:rPr>
          </w:pPr>
          <w:r>
            <w:rPr>
              <w:sz w:val="20"/>
            </w:rPr>
            <w:t>Temperature:</w:t>
          </w:r>
        </w:p>
      </w:tc>
      <w:tc>
        <w:tcPr>
          <w:tcW w:w="3420" w:type="dxa"/>
        </w:tcPr>
        <w:p w:rsidR="00487EE4" w:rsidRDefault="00487EE4" w:rsidP="00487EE4">
          <w:pPr>
            <w:rPr>
              <w:sz w:val="20"/>
            </w:rPr>
          </w:pPr>
          <w:r>
            <w:rPr>
              <w:sz w:val="20"/>
            </w:rPr>
            <w:t>70 - 78 °F</w:t>
          </w:r>
        </w:p>
      </w:tc>
    </w:tr>
    <w:tr w:rsidR="00487EE4" w:rsidTr="00487EE4">
      <w:tblPrEx>
        <w:tblCellMar>
          <w:top w:w="0" w:type="dxa"/>
          <w:bottom w:w="0" w:type="dxa"/>
        </w:tblCellMar>
      </w:tblPrEx>
      <w:tc>
        <w:tcPr>
          <w:tcW w:w="2718" w:type="dxa"/>
        </w:tcPr>
        <w:p w:rsidR="00487EE4" w:rsidRDefault="00487EE4" w:rsidP="00487EE4">
          <w:pPr>
            <w:jc w:val="right"/>
            <w:rPr>
              <w:sz w:val="20"/>
            </w:rPr>
          </w:pPr>
        </w:p>
      </w:tc>
      <w:tc>
        <w:tcPr>
          <w:tcW w:w="4860" w:type="dxa"/>
        </w:tcPr>
        <w:p w:rsidR="00487EE4" w:rsidRDefault="00487EE4" w:rsidP="00487EE4">
          <w:pPr>
            <w:rPr>
              <w:sz w:val="20"/>
            </w:rPr>
          </w:pPr>
          <w:r>
            <w:rPr>
              <w:sz w:val="20"/>
            </w:rPr>
            <w:t>&gt; 800 ppm = indicative of ventilation problems</w:t>
          </w:r>
        </w:p>
      </w:tc>
      <w:tc>
        <w:tcPr>
          <w:tcW w:w="3600" w:type="dxa"/>
        </w:tcPr>
        <w:p w:rsidR="00487EE4" w:rsidRDefault="00487EE4" w:rsidP="00487EE4">
          <w:pPr>
            <w:jc w:val="right"/>
            <w:rPr>
              <w:sz w:val="20"/>
            </w:rPr>
          </w:pPr>
          <w:r>
            <w:rPr>
              <w:sz w:val="20"/>
            </w:rPr>
            <w:t>Relative Humidity:</w:t>
          </w:r>
        </w:p>
      </w:tc>
      <w:tc>
        <w:tcPr>
          <w:tcW w:w="3420" w:type="dxa"/>
        </w:tcPr>
        <w:p w:rsidR="00487EE4" w:rsidRDefault="00487EE4" w:rsidP="00487EE4">
          <w:pPr>
            <w:rPr>
              <w:sz w:val="20"/>
            </w:rPr>
          </w:pPr>
          <w:r>
            <w:rPr>
              <w:sz w:val="20"/>
            </w:rPr>
            <w:t>40 - 60%</w:t>
          </w:r>
        </w:p>
      </w:tc>
    </w:tr>
  </w:tbl>
  <w:p w:rsidR="00487EE4" w:rsidRDefault="00487EE4" w:rsidP="00487EE4">
    <w:pPr>
      <w:pStyle w:val="Footer"/>
      <w:jc w:val="center"/>
    </w:pPr>
  </w:p>
  <w:p w:rsidR="00487EE4" w:rsidRPr="00A7353A" w:rsidRDefault="00487EE4" w:rsidP="00487EE4">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09" w:type="dxa"/>
      <w:jc w:val="center"/>
      <w:tblInd w:w="-98" w:type="dxa"/>
      <w:tblLayout w:type="fixed"/>
      <w:tblLook w:val="0000" w:firstRow="0" w:lastRow="0" w:firstColumn="0" w:lastColumn="0" w:noHBand="0" w:noVBand="0"/>
    </w:tblPr>
    <w:tblGrid>
      <w:gridCol w:w="3407"/>
      <w:gridCol w:w="2520"/>
      <w:gridCol w:w="3382"/>
    </w:tblGrid>
    <w:tr w:rsidR="00487EE4" w:rsidRPr="00F374D5" w:rsidTr="00487EE4">
      <w:trPr>
        <w:trHeight w:val="313"/>
        <w:jc w:val="center"/>
      </w:trPr>
      <w:tc>
        <w:tcPr>
          <w:tcW w:w="3407" w:type="dxa"/>
          <w:tcBorders>
            <w:top w:val="nil"/>
            <w:left w:val="nil"/>
            <w:bottom w:val="nil"/>
            <w:right w:val="nil"/>
          </w:tcBorders>
          <w:shd w:val="clear" w:color="auto" w:fill="auto"/>
          <w:noWrap/>
          <w:vAlign w:val="bottom"/>
        </w:tcPr>
        <w:p w:rsidR="00487EE4" w:rsidRPr="00F374D5" w:rsidRDefault="00487EE4" w:rsidP="00487EE4">
          <w:pPr>
            <w:rPr>
              <w:rFonts w:ascii="Times" w:hAnsi="Times" w:cs="Times"/>
              <w:sz w:val="20"/>
            </w:rPr>
          </w:pPr>
          <w:r w:rsidRPr="00F374D5">
            <w:rPr>
              <w:rFonts w:ascii="Times" w:hAnsi="Times" w:cs="Times"/>
              <w:sz w:val="20"/>
            </w:rPr>
            <w:t>ppm = parts per million</w:t>
          </w:r>
        </w:p>
      </w:tc>
      <w:tc>
        <w:tcPr>
          <w:tcW w:w="2520" w:type="dxa"/>
          <w:tcBorders>
            <w:top w:val="nil"/>
            <w:left w:val="nil"/>
            <w:bottom w:val="nil"/>
            <w:right w:val="nil"/>
          </w:tcBorders>
          <w:shd w:val="clear" w:color="auto" w:fill="auto"/>
          <w:noWrap/>
          <w:vAlign w:val="bottom"/>
        </w:tcPr>
        <w:p w:rsidR="00487EE4" w:rsidRPr="00F374D5" w:rsidRDefault="00487EE4" w:rsidP="00487EE4">
          <w:pPr>
            <w:rPr>
              <w:rFonts w:ascii="Times" w:hAnsi="Times" w:cs="Times"/>
              <w:sz w:val="20"/>
            </w:rPr>
          </w:pPr>
          <w:r w:rsidRPr="00F170BC">
            <w:rPr>
              <w:rFonts w:ascii="Times" w:hAnsi="Times" w:cs="Times"/>
              <w:sz w:val="20"/>
            </w:rPr>
            <w:t>ND = non-detect</w:t>
          </w:r>
        </w:p>
      </w:tc>
      <w:tc>
        <w:tcPr>
          <w:tcW w:w="3382" w:type="dxa"/>
          <w:tcBorders>
            <w:top w:val="nil"/>
            <w:left w:val="nil"/>
            <w:bottom w:val="nil"/>
            <w:right w:val="nil"/>
          </w:tcBorders>
          <w:shd w:val="clear" w:color="auto" w:fill="auto"/>
          <w:noWrap/>
          <w:vAlign w:val="bottom"/>
        </w:tcPr>
        <w:p w:rsidR="00487EE4" w:rsidRPr="00F374D5" w:rsidRDefault="00487EE4" w:rsidP="00487EE4">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r>
  </w:tbl>
  <w:p w:rsidR="00487EE4" w:rsidRDefault="00487EE4" w:rsidP="00487EE4">
    <w:pPr>
      <w:tabs>
        <w:tab w:val="left" w:pos="9180"/>
      </w:tabs>
      <w:rPr>
        <w:b/>
        <w:sz w:val="20"/>
      </w:rPr>
    </w:pPr>
  </w:p>
  <w:p w:rsidR="00487EE4" w:rsidRDefault="00487EE4" w:rsidP="00487EE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87EE4" w:rsidTr="00487EE4">
      <w:tblPrEx>
        <w:tblCellMar>
          <w:top w:w="0" w:type="dxa"/>
          <w:bottom w:w="0" w:type="dxa"/>
        </w:tblCellMar>
      </w:tblPrEx>
      <w:tc>
        <w:tcPr>
          <w:tcW w:w="2718" w:type="dxa"/>
        </w:tcPr>
        <w:p w:rsidR="00487EE4" w:rsidRDefault="00487EE4" w:rsidP="00487EE4">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487EE4" w:rsidRDefault="00487EE4" w:rsidP="00487EE4">
          <w:pPr>
            <w:rPr>
              <w:sz w:val="20"/>
            </w:rPr>
          </w:pPr>
          <w:r>
            <w:rPr>
              <w:sz w:val="20"/>
            </w:rPr>
            <w:t>&lt; 800 ppm = preferable</w:t>
          </w:r>
        </w:p>
      </w:tc>
      <w:tc>
        <w:tcPr>
          <w:tcW w:w="3600" w:type="dxa"/>
        </w:tcPr>
        <w:p w:rsidR="00487EE4" w:rsidRDefault="00487EE4" w:rsidP="00487EE4">
          <w:pPr>
            <w:jc w:val="right"/>
            <w:rPr>
              <w:sz w:val="20"/>
            </w:rPr>
          </w:pPr>
          <w:r>
            <w:rPr>
              <w:sz w:val="20"/>
            </w:rPr>
            <w:t>Temperature:</w:t>
          </w:r>
        </w:p>
      </w:tc>
      <w:tc>
        <w:tcPr>
          <w:tcW w:w="3420" w:type="dxa"/>
        </w:tcPr>
        <w:p w:rsidR="00487EE4" w:rsidRDefault="00487EE4" w:rsidP="00487EE4">
          <w:pPr>
            <w:rPr>
              <w:sz w:val="20"/>
            </w:rPr>
          </w:pPr>
          <w:r>
            <w:rPr>
              <w:sz w:val="20"/>
            </w:rPr>
            <w:t>70 - 78 °F</w:t>
          </w:r>
        </w:p>
      </w:tc>
    </w:tr>
    <w:tr w:rsidR="00487EE4" w:rsidTr="00487EE4">
      <w:tblPrEx>
        <w:tblCellMar>
          <w:top w:w="0" w:type="dxa"/>
          <w:bottom w:w="0" w:type="dxa"/>
        </w:tblCellMar>
      </w:tblPrEx>
      <w:tc>
        <w:tcPr>
          <w:tcW w:w="2718" w:type="dxa"/>
        </w:tcPr>
        <w:p w:rsidR="00487EE4" w:rsidRDefault="00487EE4" w:rsidP="00487EE4">
          <w:pPr>
            <w:jc w:val="right"/>
            <w:rPr>
              <w:sz w:val="20"/>
            </w:rPr>
          </w:pPr>
        </w:p>
      </w:tc>
      <w:tc>
        <w:tcPr>
          <w:tcW w:w="4860" w:type="dxa"/>
        </w:tcPr>
        <w:p w:rsidR="00487EE4" w:rsidRDefault="00487EE4" w:rsidP="00487EE4">
          <w:pPr>
            <w:rPr>
              <w:sz w:val="20"/>
            </w:rPr>
          </w:pPr>
          <w:r>
            <w:rPr>
              <w:sz w:val="20"/>
            </w:rPr>
            <w:t>&gt; 800 ppm = indicative of ventilation problems</w:t>
          </w:r>
        </w:p>
      </w:tc>
      <w:tc>
        <w:tcPr>
          <w:tcW w:w="3600" w:type="dxa"/>
        </w:tcPr>
        <w:p w:rsidR="00487EE4" w:rsidRDefault="00487EE4" w:rsidP="00487EE4">
          <w:pPr>
            <w:jc w:val="right"/>
            <w:rPr>
              <w:sz w:val="20"/>
            </w:rPr>
          </w:pPr>
          <w:r>
            <w:rPr>
              <w:sz w:val="20"/>
            </w:rPr>
            <w:t>Relative Humidity:</w:t>
          </w:r>
        </w:p>
      </w:tc>
      <w:tc>
        <w:tcPr>
          <w:tcW w:w="3420" w:type="dxa"/>
        </w:tcPr>
        <w:p w:rsidR="00487EE4" w:rsidRDefault="00487EE4" w:rsidP="00487EE4">
          <w:pPr>
            <w:rPr>
              <w:sz w:val="20"/>
            </w:rPr>
          </w:pPr>
          <w:r>
            <w:rPr>
              <w:sz w:val="20"/>
            </w:rPr>
            <w:t>40 - 60%</w:t>
          </w:r>
        </w:p>
      </w:tc>
    </w:tr>
  </w:tbl>
  <w:p w:rsidR="00487EE4" w:rsidRDefault="00487EE4" w:rsidP="00487EE4">
    <w:pPr>
      <w:pStyle w:val="Footer"/>
      <w:jc w:val="center"/>
    </w:pPr>
  </w:p>
  <w:p w:rsidR="00487EE4" w:rsidRPr="00A7353A" w:rsidRDefault="00487EE4" w:rsidP="00487EE4">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C17163">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091" w:rsidRDefault="00460091">
      <w:r>
        <w:separator/>
      </w:r>
    </w:p>
  </w:footnote>
  <w:footnote w:type="continuationSeparator" w:id="0">
    <w:p w:rsidR="00460091" w:rsidRDefault="00460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F2" w:rsidRDefault="00FC5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F2" w:rsidRDefault="00FC54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F2" w:rsidRDefault="00FC54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4" w:rsidRDefault="00487EE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7EE4" w:rsidRDefault="00487EE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487EE4" w:rsidTr="00487EE4">
      <w:tblPrEx>
        <w:tblCellMar>
          <w:top w:w="0" w:type="dxa"/>
          <w:bottom w:w="0" w:type="dxa"/>
        </w:tblCellMar>
      </w:tblPrEx>
      <w:trPr>
        <w:cantSplit/>
      </w:trPr>
      <w:tc>
        <w:tcPr>
          <w:tcW w:w="12258" w:type="dxa"/>
          <w:gridSpan w:val="3"/>
        </w:tcPr>
        <w:p w:rsidR="00487EE4" w:rsidRPr="00677AC6" w:rsidRDefault="00487EE4" w:rsidP="00487EE4">
          <w:pPr>
            <w:pStyle w:val="Header"/>
            <w:spacing w:before="60" w:after="60"/>
            <w:rPr>
              <w:b/>
            </w:rPr>
          </w:pPr>
          <w:r>
            <w:rPr>
              <w:b/>
            </w:rPr>
            <w:t>Location:</w:t>
          </w:r>
          <w:r>
            <w:t xml:space="preserve"> </w:t>
          </w:r>
          <w:r w:rsidRPr="001F6460">
            <w:rPr>
              <w:b/>
            </w:rPr>
            <w:t>Provincetown Council on Aging</w:t>
          </w:r>
          <w:r>
            <w:rPr>
              <w:b/>
            </w:rPr>
            <w:t xml:space="preserve"> </w:t>
          </w:r>
        </w:p>
      </w:tc>
      <w:tc>
        <w:tcPr>
          <w:tcW w:w="2358" w:type="dxa"/>
        </w:tcPr>
        <w:p w:rsidR="00487EE4" w:rsidRDefault="00487EE4" w:rsidP="00487EE4">
          <w:pPr>
            <w:pStyle w:val="Header"/>
            <w:tabs>
              <w:tab w:val="clear" w:pos="4320"/>
              <w:tab w:val="clear" w:pos="8640"/>
            </w:tabs>
            <w:spacing w:before="60" w:after="60"/>
            <w:rPr>
              <w:b/>
            </w:rPr>
          </w:pPr>
          <w:r>
            <w:rPr>
              <w:b/>
            </w:rPr>
            <w:t>Indoor Air Results</w:t>
          </w:r>
        </w:p>
      </w:tc>
    </w:tr>
    <w:tr w:rsidR="00487EE4" w:rsidTr="00487EE4">
      <w:tblPrEx>
        <w:tblCellMar>
          <w:top w:w="0" w:type="dxa"/>
          <w:bottom w:w="0" w:type="dxa"/>
        </w:tblCellMar>
      </w:tblPrEx>
      <w:trPr>
        <w:cantSplit/>
      </w:trPr>
      <w:tc>
        <w:tcPr>
          <w:tcW w:w="4872" w:type="dxa"/>
        </w:tcPr>
        <w:p w:rsidR="00487EE4" w:rsidRDefault="00487EE4" w:rsidP="00487EE4">
          <w:pPr>
            <w:pStyle w:val="Header"/>
            <w:tabs>
              <w:tab w:val="clear" w:pos="4320"/>
              <w:tab w:val="clear" w:pos="8640"/>
            </w:tabs>
            <w:spacing w:before="60" w:after="60"/>
            <w:rPr>
              <w:b/>
            </w:rPr>
          </w:pPr>
          <w:r>
            <w:rPr>
              <w:b/>
            </w:rPr>
            <w:t>Address: 2 Mayflower St, Provincetown, MA</w:t>
          </w:r>
        </w:p>
      </w:tc>
      <w:tc>
        <w:tcPr>
          <w:tcW w:w="4872" w:type="dxa"/>
        </w:tcPr>
        <w:p w:rsidR="00487EE4" w:rsidRPr="00A7353A" w:rsidRDefault="00487EE4" w:rsidP="00487EE4">
          <w:pPr>
            <w:pStyle w:val="Header"/>
            <w:tabs>
              <w:tab w:val="clear" w:pos="4320"/>
              <w:tab w:val="clear" w:pos="8640"/>
            </w:tabs>
            <w:spacing w:before="60" w:after="60"/>
            <w:jc w:val="center"/>
            <w:rPr>
              <w:b/>
              <w:sz w:val="22"/>
              <w:szCs w:val="22"/>
            </w:rPr>
          </w:pPr>
          <w:r w:rsidRPr="00A7353A">
            <w:rPr>
              <w:b/>
              <w:sz w:val="22"/>
              <w:szCs w:val="22"/>
            </w:rPr>
            <w:t>Table 1 (continued)</w:t>
          </w:r>
        </w:p>
      </w:tc>
      <w:tc>
        <w:tcPr>
          <w:tcW w:w="2514" w:type="dxa"/>
        </w:tcPr>
        <w:p w:rsidR="00487EE4" w:rsidRDefault="00487EE4" w:rsidP="00487EE4">
          <w:pPr>
            <w:pStyle w:val="Header"/>
            <w:tabs>
              <w:tab w:val="clear" w:pos="4320"/>
              <w:tab w:val="clear" w:pos="8640"/>
            </w:tabs>
            <w:spacing w:before="60" w:after="60"/>
            <w:rPr>
              <w:b/>
            </w:rPr>
          </w:pPr>
        </w:p>
      </w:tc>
      <w:tc>
        <w:tcPr>
          <w:tcW w:w="2358" w:type="dxa"/>
        </w:tcPr>
        <w:p w:rsidR="00487EE4" w:rsidRDefault="00487EE4" w:rsidP="00487EE4">
          <w:pPr>
            <w:pStyle w:val="Header"/>
            <w:tabs>
              <w:tab w:val="clear" w:pos="4320"/>
              <w:tab w:val="clear" w:pos="8640"/>
            </w:tabs>
            <w:spacing w:before="60" w:after="60"/>
            <w:jc w:val="center"/>
            <w:rPr>
              <w:b/>
            </w:rPr>
          </w:pPr>
          <w:r w:rsidRPr="00677AC6">
            <w:rPr>
              <w:b/>
            </w:rPr>
            <w:t>Date:</w:t>
          </w:r>
          <w:r>
            <w:rPr>
              <w:b/>
            </w:rPr>
            <w:t xml:space="preserve"> 10/27/2017</w:t>
          </w:r>
        </w:p>
      </w:tc>
    </w:tr>
  </w:tbl>
  <w:p w:rsidR="00487EE4" w:rsidRPr="00EC38EA" w:rsidRDefault="00487EE4" w:rsidP="00487EE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487EE4" w:rsidTr="00487EE4">
      <w:tblPrEx>
        <w:tblCellMar>
          <w:top w:w="0" w:type="dxa"/>
          <w:bottom w:w="0" w:type="dxa"/>
        </w:tblCellMar>
      </w:tblPrEx>
      <w:trPr>
        <w:cantSplit/>
      </w:trPr>
      <w:tc>
        <w:tcPr>
          <w:tcW w:w="12258" w:type="dxa"/>
          <w:gridSpan w:val="3"/>
        </w:tcPr>
        <w:p w:rsidR="00487EE4" w:rsidRPr="00AA0C96" w:rsidRDefault="00487EE4" w:rsidP="00487EE4">
          <w:pPr>
            <w:pStyle w:val="Header"/>
            <w:spacing w:before="60" w:after="60"/>
            <w:rPr>
              <w:b/>
              <w:sz w:val="22"/>
            </w:rPr>
          </w:pPr>
          <w:r>
            <w:rPr>
              <w:b/>
              <w:sz w:val="22"/>
            </w:rPr>
            <w:t xml:space="preserve">Location: </w:t>
          </w:r>
          <w:proofErr w:type="spellStart"/>
          <w:r>
            <w:rPr>
              <w:b/>
              <w:sz w:val="22"/>
            </w:rPr>
            <w:t>Sandisfield</w:t>
          </w:r>
          <w:proofErr w:type="spellEnd"/>
          <w:r>
            <w:rPr>
              <w:b/>
              <w:sz w:val="22"/>
            </w:rPr>
            <w:t xml:space="preserve"> Town Offices</w:t>
          </w:r>
        </w:p>
      </w:tc>
      <w:tc>
        <w:tcPr>
          <w:tcW w:w="2358" w:type="dxa"/>
        </w:tcPr>
        <w:p w:rsidR="00487EE4" w:rsidRPr="00AA0C96" w:rsidRDefault="00487EE4" w:rsidP="00487EE4">
          <w:pPr>
            <w:pStyle w:val="Header"/>
            <w:tabs>
              <w:tab w:val="clear" w:pos="4320"/>
              <w:tab w:val="clear" w:pos="8640"/>
            </w:tabs>
            <w:spacing w:before="60" w:after="60"/>
            <w:rPr>
              <w:b/>
              <w:sz w:val="22"/>
            </w:rPr>
          </w:pPr>
          <w:r w:rsidRPr="00AA0C96">
            <w:rPr>
              <w:b/>
              <w:sz w:val="22"/>
            </w:rPr>
            <w:t>Indoor Air Results</w:t>
          </w:r>
        </w:p>
      </w:tc>
    </w:tr>
    <w:tr w:rsidR="00487EE4" w:rsidTr="00487EE4">
      <w:tblPrEx>
        <w:tblCellMar>
          <w:top w:w="0" w:type="dxa"/>
          <w:bottom w:w="0" w:type="dxa"/>
        </w:tblCellMar>
      </w:tblPrEx>
      <w:trPr>
        <w:cantSplit/>
      </w:trPr>
      <w:tc>
        <w:tcPr>
          <w:tcW w:w="4872" w:type="dxa"/>
        </w:tcPr>
        <w:p w:rsidR="00487EE4" w:rsidRPr="00AA0C96" w:rsidRDefault="00487EE4" w:rsidP="00487EE4">
          <w:pPr>
            <w:pStyle w:val="Header"/>
            <w:tabs>
              <w:tab w:val="clear" w:pos="4320"/>
              <w:tab w:val="clear" w:pos="8640"/>
            </w:tabs>
            <w:spacing w:before="60" w:after="60"/>
            <w:rPr>
              <w:b/>
              <w:sz w:val="22"/>
            </w:rPr>
          </w:pPr>
          <w:r w:rsidRPr="00AA0C96">
            <w:rPr>
              <w:b/>
              <w:sz w:val="22"/>
            </w:rPr>
            <w:t xml:space="preserve">Address: </w:t>
          </w:r>
          <w:r w:rsidRPr="00C82D41">
            <w:rPr>
              <w:b/>
              <w:sz w:val="22"/>
            </w:rPr>
            <w:t xml:space="preserve">66 </w:t>
          </w:r>
          <w:proofErr w:type="spellStart"/>
          <w:r w:rsidRPr="00C82D41">
            <w:rPr>
              <w:b/>
              <w:sz w:val="22"/>
            </w:rPr>
            <w:t>Sandisfield</w:t>
          </w:r>
          <w:proofErr w:type="spellEnd"/>
          <w:r w:rsidRPr="00C82D41">
            <w:rPr>
              <w:b/>
              <w:sz w:val="22"/>
            </w:rPr>
            <w:t xml:space="preserve"> Road</w:t>
          </w:r>
          <w:r>
            <w:rPr>
              <w:b/>
              <w:sz w:val="22"/>
            </w:rPr>
            <w:t xml:space="preserve">, </w:t>
          </w:r>
          <w:proofErr w:type="spellStart"/>
          <w:r>
            <w:rPr>
              <w:b/>
              <w:sz w:val="22"/>
            </w:rPr>
            <w:t>Sandisfield</w:t>
          </w:r>
          <w:proofErr w:type="spellEnd"/>
          <w:r>
            <w:rPr>
              <w:b/>
              <w:sz w:val="22"/>
            </w:rPr>
            <w:t xml:space="preserve"> MA</w:t>
          </w:r>
        </w:p>
      </w:tc>
      <w:tc>
        <w:tcPr>
          <w:tcW w:w="4872" w:type="dxa"/>
        </w:tcPr>
        <w:p w:rsidR="00487EE4" w:rsidRPr="00AA0C96" w:rsidRDefault="00487EE4" w:rsidP="00487EE4">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487EE4" w:rsidRPr="00AA0C96" w:rsidRDefault="00487EE4" w:rsidP="00487EE4">
          <w:pPr>
            <w:pStyle w:val="Header"/>
            <w:tabs>
              <w:tab w:val="clear" w:pos="4320"/>
              <w:tab w:val="clear" w:pos="8640"/>
            </w:tabs>
            <w:spacing w:before="60" w:after="60"/>
            <w:rPr>
              <w:b/>
              <w:sz w:val="22"/>
            </w:rPr>
          </w:pPr>
        </w:p>
      </w:tc>
      <w:tc>
        <w:tcPr>
          <w:tcW w:w="2358" w:type="dxa"/>
        </w:tcPr>
        <w:p w:rsidR="00487EE4" w:rsidRPr="00AA0C96" w:rsidRDefault="00487EE4" w:rsidP="00487EE4">
          <w:pPr>
            <w:pStyle w:val="Header"/>
            <w:tabs>
              <w:tab w:val="clear" w:pos="4320"/>
              <w:tab w:val="clear" w:pos="8640"/>
            </w:tabs>
            <w:spacing w:before="60" w:after="60"/>
            <w:rPr>
              <w:b/>
              <w:sz w:val="22"/>
            </w:rPr>
          </w:pPr>
          <w:r w:rsidRPr="00AA0C96">
            <w:rPr>
              <w:b/>
              <w:sz w:val="22"/>
            </w:rPr>
            <w:t>Date</w:t>
          </w:r>
          <w:r>
            <w:rPr>
              <w:b/>
              <w:sz w:val="22"/>
            </w:rPr>
            <w:t>: 1/12/2018</w:t>
          </w:r>
        </w:p>
      </w:tc>
    </w:tr>
  </w:tbl>
  <w:p w:rsidR="00487EE4" w:rsidRDefault="00487EE4" w:rsidP="00487E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67B2E35"/>
    <w:multiLevelType w:val="hybridMultilevel"/>
    <w:tmpl w:val="C1DC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1600B"/>
    <w:multiLevelType w:val="multilevel"/>
    <w:tmpl w:val="1762915E"/>
    <w:numStyleLink w:val="StyleBulletedSymbolsymbolBoldLeft0Hanging0251"/>
  </w:abstractNum>
  <w:abstractNum w:abstractNumId="4">
    <w:nsid w:val="1DF329A2"/>
    <w:multiLevelType w:val="multilevel"/>
    <w:tmpl w:val="1762915E"/>
    <w:numStyleLink w:val="StyleBulletedSymbolsymbolBoldLeft0Hanging0251"/>
  </w:abstractNum>
  <w:abstractNum w:abstractNumId="5">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2AD30EED"/>
    <w:multiLevelType w:val="multilevel"/>
    <w:tmpl w:val="1762915E"/>
    <w:numStyleLink w:val="StyleBulletedSymbolsymbolBoldLeft0Hanging0251"/>
  </w:abstractNum>
  <w:abstractNum w:abstractNumId="9">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1">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2">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DD64C6"/>
    <w:multiLevelType w:val="multilevel"/>
    <w:tmpl w:val="1762915E"/>
    <w:numStyleLink w:val="StyleBulletedSymbolsymbolBoldLeft0Hanging0251"/>
  </w:abstractNum>
  <w:abstractNum w:abstractNumId="14">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4E556AA4"/>
    <w:multiLevelType w:val="hybridMultilevel"/>
    <w:tmpl w:val="CEA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00632B"/>
    <w:multiLevelType w:val="hybridMultilevel"/>
    <w:tmpl w:val="6AD26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nsid w:val="64FC6D8A"/>
    <w:multiLevelType w:val="multilevel"/>
    <w:tmpl w:val="1762915E"/>
    <w:numStyleLink w:val="StyleBulletedSymbolsymbolBoldLeft0Hanging0251"/>
  </w:abstractNum>
  <w:abstractNum w:abstractNumId="2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10"/>
  </w:num>
  <w:num w:numId="2">
    <w:abstractNumId w:val="0"/>
  </w:num>
  <w:num w:numId="3">
    <w:abstractNumId w:val="9"/>
  </w:num>
  <w:num w:numId="4">
    <w:abstractNumId w:val="11"/>
  </w:num>
  <w:num w:numId="5">
    <w:abstractNumId w:val="12"/>
  </w:num>
  <w:num w:numId="6">
    <w:abstractNumId w:val="21"/>
  </w:num>
  <w:num w:numId="7">
    <w:abstractNumId w:val="20"/>
  </w:num>
  <w:num w:numId="8">
    <w:abstractNumId w:val="6"/>
  </w:num>
  <w:num w:numId="9">
    <w:abstractNumId w:val="1"/>
  </w:num>
  <w:num w:numId="10">
    <w:abstractNumId w:val="7"/>
  </w:num>
  <w:num w:numId="11">
    <w:abstractNumId w:val="15"/>
  </w:num>
  <w:num w:numId="12">
    <w:abstractNumId w:val="5"/>
  </w:num>
  <w:num w:numId="13">
    <w:abstractNumId w:val="18"/>
  </w:num>
  <w:num w:numId="14">
    <w:abstractNumId w:val="14"/>
  </w:num>
  <w:num w:numId="15">
    <w:abstractNumId w:val="4"/>
  </w:num>
  <w:num w:numId="16">
    <w:abstractNumId w:val="13"/>
  </w:num>
  <w:num w:numId="17">
    <w:abstractNumId w:val="3"/>
  </w:num>
  <w:num w:numId="18">
    <w:abstractNumId w:val="8"/>
  </w:num>
  <w:num w:numId="19">
    <w:abstractNumId w:val="19"/>
  </w:num>
  <w:num w:numId="20">
    <w:abstractNumId w:val="16"/>
  </w:num>
  <w:num w:numId="21">
    <w:abstractNumId w:val="2"/>
  </w:num>
  <w:num w:numId="2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3E0B"/>
    <w:rsid w:val="00005661"/>
    <w:rsid w:val="000105AD"/>
    <w:rsid w:val="00010835"/>
    <w:rsid w:val="000108ED"/>
    <w:rsid w:val="00011F77"/>
    <w:rsid w:val="00012980"/>
    <w:rsid w:val="00012B49"/>
    <w:rsid w:val="0001560D"/>
    <w:rsid w:val="00020432"/>
    <w:rsid w:val="00021A0F"/>
    <w:rsid w:val="00023943"/>
    <w:rsid w:val="00024D15"/>
    <w:rsid w:val="000258C5"/>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144"/>
    <w:rsid w:val="0004591A"/>
    <w:rsid w:val="00045DAC"/>
    <w:rsid w:val="000479ED"/>
    <w:rsid w:val="000506A6"/>
    <w:rsid w:val="00050A04"/>
    <w:rsid w:val="00051245"/>
    <w:rsid w:val="00051D6A"/>
    <w:rsid w:val="00053D15"/>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68F"/>
    <w:rsid w:val="00076A4B"/>
    <w:rsid w:val="00076CDF"/>
    <w:rsid w:val="000770C5"/>
    <w:rsid w:val="000771D8"/>
    <w:rsid w:val="000806F6"/>
    <w:rsid w:val="00081B8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419"/>
    <w:rsid w:val="000B30BF"/>
    <w:rsid w:val="000B40AE"/>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4E6"/>
    <w:rsid w:val="000D35ED"/>
    <w:rsid w:val="000D3CB7"/>
    <w:rsid w:val="000D3F92"/>
    <w:rsid w:val="000D423F"/>
    <w:rsid w:val="000D5513"/>
    <w:rsid w:val="000D6993"/>
    <w:rsid w:val="000D6D88"/>
    <w:rsid w:val="000D6E60"/>
    <w:rsid w:val="000D7274"/>
    <w:rsid w:val="000D77C0"/>
    <w:rsid w:val="000E0274"/>
    <w:rsid w:val="000E3262"/>
    <w:rsid w:val="000E3EA9"/>
    <w:rsid w:val="000F07EE"/>
    <w:rsid w:val="000F247D"/>
    <w:rsid w:val="000F2B46"/>
    <w:rsid w:val="000F2DD2"/>
    <w:rsid w:val="000F5F97"/>
    <w:rsid w:val="000F694B"/>
    <w:rsid w:val="0010091C"/>
    <w:rsid w:val="00101E4B"/>
    <w:rsid w:val="00102288"/>
    <w:rsid w:val="001022AC"/>
    <w:rsid w:val="00104BB6"/>
    <w:rsid w:val="00104C3D"/>
    <w:rsid w:val="001062F9"/>
    <w:rsid w:val="00107443"/>
    <w:rsid w:val="001111F2"/>
    <w:rsid w:val="00111B85"/>
    <w:rsid w:val="00111DBB"/>
    <w:rsid w:val="001129E9"/>
    <w:rsid w:val="001133C6"/>
    <w:rsid w:val="001138EF"/>
    <w:rsid w:val="00113A6B"/>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6A13"/>
    <w:rsid w:val="00126D99"/>
    <w:rsid w:val="001274EF"/>
    <w:rsid w:val="001276F0"/>
    <w:rsid w:val="00131C3C"/>
    <w:rsid w:val="00131D4D"/>
    <w:rsid w:val="00132BC1"/>
    <w:rsid w:val="00132EF8"/>
    <w:rsid w:val="00132F44"/>
    <w:rsid w:val="001341F9"/>
    <w:rsid w:val="001355AE"/>
    <w:rsid w:val="00136653"/>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8C1"/>
    <w:rsid w:val="00183D48"/>
    <w:rsid w:val="001843E8"/>
    <w:rsid w:val="001844EF"/>
    <w:rsid w:val="001848D9"/>
    <w:rsid w:val="00184974"/>
    <w:rsid w:val="001869A2"/>
    <w:rsid w:val="00187326"/>
    <w:rsid w:val="0018765B"/>
    <w:rsid w:val="00190190"/>
    <w:rsid w:val="00190F27"/>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6E3E"/>
    <w:rsid w:val="001A6F32"/>
    <w:rsid w:val="001A7ACE"/>
    <w:rsid w:val="001B0089"/>
    <w:rsid w:val="001B3CCF"/>
    <w:rsid w:val="001B51A6"/>
    <w:rsid w:val="001B535E"/>
    <w:rsid w:val="001B64BE"/>
    <w:rsid w:val="001B64D5"/>
    <w:rsid w:val="001B7980"/>
    <w:rsid w:val="001B7C7D"/>
    <w:rsid w:val="001C07FF"/>
    <w:rsid w:val="001C0838"/>
    <w:rsid w:val="001C1237"/>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5B37"/>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47E7"/>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AC8"/>
    <w:rsid w:val="00251B76"/>
    <w:rsid w:val="0025271C"/>
    <w:rsid w:val="0025288A"/>
    <w:rsid w:val="00253B50"/>
    <w:rsid w:val="00253F0C"/>
    <w:rsid w:val="002553F0"/>
    <w:rsid w:val="00255988"/>
    <w:rsid w:val="00257350"/>
    <w:rsid w:val="0026107E"/>
    <w:rsid w:val="00261269"/>
    <w:rsid w:val="00262919"/>
    <w:rsid w:val="00264059"/>
    <w:rsid w:val="00264AB2"/>
    <w:rsid w:val="00264AFB"/>
    <w:rsid w:val="00265723"/>
    <w:rsid w:val="002660FC"/>
    <w:rsid w:val="00266F28"/>
    <w:rsid w:val="00270588"/>
    <w:rsid w:val="00270760"/>
    <w:rsid w:val="002707EF"/>
    <w:rsid w:val="00271AD3"/>
    <w:rsid w:val="00272607"/>
    <w:rsid w:val="00272C40"/>
    <w:rsid w:val="00273B44"/>
    <w:rsid w:val="00274E4A"/>
    <w:rsid w:val="0027518C"/>
    <w:rsid w:val="002759DC"/>
    <w:rsid w:val="0027605D"/>
    <w:rsid w:val="00276168"/>
    <w:rsid w:val="00276427"/>
    <w:rsid w:val="00280268"/>
    <w:rsid w:val="002815C4"/>
    <w:rsid w:val="00282303"/>
    <w:rsid w:val="002849CA"/>
    <w:rsid w:val="00284B3E"/>
    <w:rsid w:val="0028728A"/>
    <w:rsid w:val="00287A1F"/>
    <w:rsid w:val="00291A33"/>
    <w:rsid w:val="00291A6F"/>
    <w:rsid w:val="0029302E"/>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AD6"/>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4DB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F52"/>
    <w:rsid w:val="00324A6A"/>
    <w:rsid w:val="00324B85"/>
    <w:rsid w:val="00325E7E"/>
    <w:rsid w:val="00330468"/>
    <w:rsid w:val="0033092B"/>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0571"/>
    <w:rsid w:val="00351496"/>
    <w:rsid w:val="003518E7"/>
    <w:rsid w:val="003541F9"/>
    <w:rsid w:val="00354EEA"/>
    <w:rsid w:val="00355280"/>
    <w:rsid w:val="00355B10"/>
    <w:rsid w:val="00356121"/>
    <w:rsid w:val="00356C15"/>
    <w:rsid w:val="00357CB2"/>
    <w:rsid w:val="003601DC"/>
    <w:rsid w:val="003609C4"/>
    <w:rsid w:val="0036112D"/>
    <w:rsid w:val="0036119D"/>
    <w:rsid w:val="00362238"/>
    <w:rsid w:val="00365C53"/>
    <w:rsid w:val="00367B9E"/>
    <w:rsid w:val="00370064"/>
    <w:rsid w:val="00370275"/>
    <w:rsid w:val="00370784"/>
    <w:rsid w:val="00370A2F"/>
    <w:rsid w:val="00371434"/>
    <w:rsid w:val="00372350"/>
    <w:rsid w:val="00373943"/>
    <w:rsid w:val="00373B4E"/>
    <w:rsid w:val="003754B2"/>
    <w:rsid w:val="0037757C"/>
    <w:rsid w:val="003820B3"/>
    <w:rsid w:val="00382A79"/>
    <w:rsid w:val="00382BFA"/>
    <w:rsid w:val="003835AD"/>
    <w:rsid w:val="00383BB7"/>
    <w:rsid w:val="00384760"/>
    <w:rsid w:val="00385FC0"/>
    <w:rsid w:val="0038729C"/>
    <w:rsid w:val="00387FDE"/>
    <w:rsid w:val="00390663"/>
    <w:rsid w:val="0039069F"/>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8B1"/>
    <w:rsid w:val="003C02E2"/>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3858"/>
    <w:rsid w:val="00404F8A"/>
    <w:rsid w:val="0040505D"/>
    <w:rsid w:val="00406079"/>
    <w:rsid w:val="00406525"/>
    <w:rsid w:val="00406760"/>
    <w:rsid w:val="0041005C"/>
    <w:rsid w:val="00410068"/>
    <w:rsid w:val="00412AE3"/>
    <w:rsid w:val="00412B14"/>
    <w:rsid w:val="00412FF2"/>
    <w:rsid w:val="00414AD3"/>
    <w:rsid w:val="004155F6"/>
    <w:rsid w:val="00416293"/>
    <w:rsid w:val="00416DB2"/>
    <w:rsid w:val="00417496"/>
    <w:rsid w:val="00417FC1"/>
    <w:rsid w:val="004206B7"/>
    <w:rsid w:val="00420721"/>
    <w:rsid w:val="00420CE0"/>
    <w:rsid w:val="00420D1A"/>
    <w:rsid w:val="0042199C"/>
    <w:rsid w:val="0042251C"/>
    <w:rsid w:val="00423B95"/>
    <w:rsid w:val="0042497C"/>
    <w:rsid w:val="00425FC6"/>
    <w:rsid w:val="00426402"/>
    <w:rsid w:val="0042699C"/>
    <w:rsid w:val="004275C1"/>
    <w:rsid w:val="004301A4"/>
    <w:rsid w:val="0043075D"/>
    <w:rsid w:val="00430C1F"/>
    <w:rsid w:val="00430E0D"/>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0D03"/>
    <w:rsid w:val="0045416E"/>
    <w:rsid w:val="004543CC"/>
    <w:rsid w:val="004545CC"/>
    <w:rsid w:val="004545E3"/>
    <w:rsid w:val="00454B4A"/>
    <w:rsid w:val="00454D42"/>
    <w:rsid w:val="00455543"/>
    <w:rsid w:val="00456C2C"/>
    <w:rsid w:val="004576F9"/>
    <w:rsid w:val="004578E9"/>
    <w:rsid w:val="00460091"/>
    <w:rsid w:val="004610F9"/>
    <w:rsid w:val="004631F0"/>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0B30"/>
    <w:rsid w:val="00482E41"/>
    <w:rsid w:val="004841FA"/>
    <w:rsid w:val="004843C9"/>
    <w:rsid w:val="00484665"/>
    <w:rsid w:val="00484A74"/>
    <w:rsid w:val="00484AD7"/>
    <w:rsid w:val="00485739"/>
    <w:rsid w:val="004862E3"/>
    <w:rsid w:val="00486557"/>
    <w:rsid w:val="00487EE4"/>
    <w:rsid w:val="0049028D"/>
    <w:rsid w:val="00491149"/>
    <w:rsid w:val="00491DC6"/>
    <w:rsid w:val="00492676"/>
    <w:rsid w:val="00492A60"/>
    <w:rsid w:val="004932CE"/>
    <w:rsid w:val="0049417E"/>
    <w:rsid w:val="004964D7"/>
    <w:rsid w:val="004A19CE"/>
    <w:rsid w:val="004A1D9A"/>
    <w:rsid w:val="004A235A"/>
    <w:rsid w:val="004A28CB"/>
    <w:rsid w:val="004A380E"/>
    <w:rsid w:val="004A3B93"/>
    <w:rsid w:val="004A40B5"/>
    <w:rsid w:val="004A4AE7"/>
    <w:rsid w:val="004A515F"/>
    <w:rsid w:val="004A53F2"/>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5E40"/>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94D"/>
    <w:rsid w:val="004D3C11"/>
    <w:rsid w:val="004D4309"/>
    <w:rsid w:val="004D46C4"/>
    <w:rsid w:val="004D57A4"/>
    <w:rsid w:val="004D6546"/>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1D91"/>
    <w:rsid w:val="0055289E"/>
    <w:rsid w:val="00552AB1"/>
    <w:rsid w:val="00552DF6"/>
    <w:rsid w:val="005538DE"/>
    <w:rsid w:val="005555D6"/>
    <w:rsid w:val="00555930"/>
    <w:rsid w:val="00555963"/>
    <w:rsid w:val="00555CAD"/>
    <w:rsid w:val="00555D17"/>
    <w:rsid w:val="00555DB1"/>
    <w:rsid w:val="00556E7A"/>
    <w:rsid w:val="00557541"/>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7B72"/>
    <w:rsid w:val="00583227"/>
    <w:rsid w:val="005835A3"/>
    <w:rsid w:val="0058447C"/>
    <w:rsid w:val="00584656"/>
    <w:rsid w:val="005859C3"/>
    <w:rsid w:val="00585A3D"/>
    <w:rsid w:val="00587592"/>
    <w:rsid w:val="005875E3"/>
    <w:rsid w:val="005876EF"/>
    <w:rsid w:val="00587AF3"/>
    <w:rsid w:val="00590A8B"/>
    <w:rsid w:val="00590C8F"/>
    <w:rsid w:val="00590E8E"/>
    <w:rsid w:val="0059175B"/>
    <w:rsid w:val="005919E2"/>
    <w:rsid w:val="00591F7C"/>
    <w:rsid w:val="005926CF"/>
    <w:rsid w:val="005935A5"/>
    <w:rsid w:val="00593C70"/>
    <w:rsid w:val="005942C5"/>
    <w:rsid w:val="005958EC"/>
    <w:rsid w:val="0059606F"/>
    <w:rsid w:val="0059648C"/>
    <w:rsid w:val="0059686C"/>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67F"/>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3E21"/>
    <w:rsid w:val="0060439A"/>
    <w:rsid w:val="0060564D"/>
    <w:rsid w:val="00606D1D"/>
    <w:rsid w:val="00607980"/>
    <w:rsid w:val="00607B34"/>
    <w:rsid w:val="00610F72"/>
    <w:rsid w:val="0061184E"/>
    <w:rsid w:val="006120FB"/>
    <w:rsid w:val="00612DA9"/>
    <w:rsid w:val="0061467A"/>
    <w:rsid w:val="00615818"/>
    <w:rsid w:val="00617E42"/>
    <w:rsid w:val="00617FA4"/>
    <w:rsid w:val="00620323"/>
    <w:rsid w:val="00620BAA"/>
    <w:rsid w:val="0062143B"/>
    <w:rsid w:val="00621440"/>
    <w:rsid w:val="00621945"/>
    <w:rsid w:val="006241E7"/>
    <w:rsid w:val="00625477"/>
    <w:rsid w:val="00625614"/>
    <w:rsid w:val="0062564B"/>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811"/>
    <w:rsid w:val="0064541B"/>
    <w:rsid w:val="0064547F"/>
    <w:rsid w:val="0064548F"/>
    <w:rsid w:val="00646E09"/>
    <w:rsid w:val="00650A8E"/>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19A3"/>
    <w:rsid w:val="0068267B"/>
    <w:rsid w:val="00682779"/>
    <w:rsid w:val="00682E02"/>
    <w:rsid w:val="00684E5D"/>
    <w:rsid w:val="0068520B"/>
    <w:rsid w:val="006859E5"/>
    <w:rsid w:val="00687A3E"/>
    <w:rsid w:val="00687F30"/>
    <w:rsid w:val="00690032"/>
    <w:rsid w:val="006905B5"/>
    <w:rsid w:val="00691F29"/>
    <w:rsid w:val="00691F89"/>
    <w:rsid w:val="00692948"/>
    <w:rsid w:val="00692E1D"/>
    <w:rsid w:val="00693971"/>
    <w:rsid w:val="00695BC4"/>
    <w:rsid w:val="00695C98"/>
    <w:rsid w:val="0069614F"/>
    <w:rsid w:val="006962BD"/>
    <w:rsid w:val="0069635A"/>
    <w:rsid w:val="0069675D"/>
    <w:rsid w:val="0069711B"/>
    <w:rsid w:val="00697417"/>
    <w:rsid w:val="006976C4"/>
    <w:rsid w:val="006A038E"/>
    <w:rsid w:val="006A2B37"/>
    <w:rsid w:val="006A3281"/>
    <w:rsid w:val="006A33D1"/>
    <w:rsid w:val="006A45C5"/>
    <w:rsid w:val="006A4C27"/>
    <w:rsid w:val="006A7C9F"/>
    <w:rsid w:val="006B0B31"/>
    <w:rsid w:val="006B10D2"/>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C5FE2"/>
    <w:rsid w:val="006D0FE5"/>
    <w:rsid w:val="006D1CEC"/>
    <w:rsid w:val="006D2455"/>
    <w:rsid w:val="006D2919"/>
    <w:rsid w:val="006D2DAF"/>
    <w:rsid w:val="006D35C2"/>
    <w:rsid w:val="006D4763"/>
    <w:rsid w:val="006D512D"/>
    <w:rsid w:val="006D6689"/>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471B"/>
    <w:rsid w:val="006F5F65"/>
    <w:rsid w:val="006F6549"/>
    <w:rsid w:val="006F6ACB"/>
    <w:rsid w:val="00700099"/>
    <w:rsid w:val="007010EE"/>
    <w:rsid w:val="0070196F"/>
    <w:rsid w:val="00701DCD"/>
    <w:rsid w:val="00702971"/>
    <w:rsid w:val="00702F60"/>
    <w:rsid w:val="00703249"/>
    <w:rsid w:val="00703A75"/>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2BA"/>
    <w:rsid w:val="007221EE"/>
    <w:rsid w:val="00722666"/>
    <w:rsid w:val="00722D08"/>
    <w:rsid w:val="00725EE1"/>
    <w:rsid w:val="007262F3"/>
    <w:rsid w:val="0072689E"/>
    <w:rsid w:val="00726D89"/>
    <w:rsid w:val="00727965"/>
    <w:rsid w:val="00730B75"/>
    <w:rsid w:val="00731337"/>
    <w:rsid w:val="00731E26"/>
    <w:rsid w:val="00732168"/>
    <w:rsid w:val="00732A26"/>
    <w:rsid w:val="00733A7C"/>
    <w:rsid w:val="00733AAB"/>
    <w:rsid w:val="00733ABB"/>
    <w:rsid w:val="0073445F"/>
    <w:rsid w:val="0073496C"/>
    <w:rsid w:val="00735AE7"/>
    <w:rsid w:val="00735CA7"/>
    <w:rsid w:val="00735CCB"/>
    <w:rsid w:val="00736ECE"/>
    <w:rsid w:val="0073731E"/>
    <w:rsid w:val="0074002F"/>
    <w:rsid w:val="007408BC"/>
    <w:rsid w:val="00741142"/>
    <w:rsid w:val="00741371"/>
    <w:rsid w:val="00741C86"/>
    <w:rsid w:val="00741D4F"/>
    <w:rsid w:val="007420F3"/>
    <w:rsid w:val="007423ED"/>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1E6D"/>
    <w:rsid w:val="0075353C"/>
    <w:rsid w:val="0075388D"/>
    <w:rsid w:val="007548B2"/>
    <w:rsid w:val="00757A0B"/>
    <w:rsid w:val="00757D0A"/>
    <w:rsid w:val="0076164D"/>
    <w:rsid w:val="00763F34"/>
    <w:rsid w:val="007659D3"/>
    <w:rsid w:val="00765A98"/>
    <w:rsid w:val="00766B6A"/>
    <w:rsid w:val="00766EE5"/>
    <w:rsid w:val="007746D5"/>
    <w:rsid w:val="00774BD5"/>
    <w:rsid w:val="00774C32"/>
    <w:rsid w:val="00774E53"/>
    <w:rsid w:val="007759CE"/>
    <w:rsid w:val="007759E8"/>
    <w:rsid w:val="0077606E"/>
    <w:rsid w:val="0077623F"/>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67C"/>
    <w:rsid w:val="007A7C30"/>
    <w:rsid w:val="007A7D32"/>
    <w:rsid w:val="007B0690"/>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388"/>
    <w:rsid w:val="007F2D19"/>
    <w:rsid w:val="007F383A"/>
    <w:rsid w:val="007F38D3"/>
    <w:rsid w:val="007F49EB"/>
    <w:rsid w:val="007F4F34"/>
    <w:rsid w:val="007F5D80"/>
    <w:rsid w:val="007F6C3B"/>
    <w:rsid w:val="007F6E69"/>
    <w:rsid w:val="007F7A37"/>
    <w:rsid w:val="008005CF"/>
    <w:rsid w:val="00801C3D"/>
    <w:rsid w:val="0080239B"/>
    <w:rsid w:val="0080269F"/>
    <w:rsid w:val="0080335E"/>
    <w:rsid w:val="00803E61"/>
    <w:rsid w:val="008040E5"/>
    <w:rsid w:val="00804374"/>
    <w:rsid w:val="00805088"/>
    <w:rsid w:val="008058CA"/>
    <w:rsid w:val="008063F2"/>
    <w:rsid w:val="00806635"/>
    <w:rsid w:val="00807B6A"/>
    <w:rsid w:val="00807F2E"/>
    <w:rsid w:val="00810532"/>
    <w:rsid w:val="008116E9"/>
    <w:rsid w:val="00811A48"/>
    <w:rsid w:val="00812CA6"/>
    <w:rsid w:val="00813922"/>
    <w:rsid w:val="0081463F"/>
    <w:rsid w:val="008148CD"/>
    <w:rsid w:val="00815395"/>
    <w:rsid w:val="00816B7C"/>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30C6A"/>
    <w:rsid w:val="008310F1"/>
    <w:rsid w:val="008339DA"/>
    <w:rsid w:val="00833D79"/>
    <w:rsid w:val="00834909"/>
    <w:rsid w:val="008355B0"/>
    <w:rsid w:val="00837706"/>
    <w:rsid w:val="0084092D"/>
    <w:rsid w:val="00841EA4"/>
    <w:rsid w:val="008420B3"/>
    <w:rsid w:val="008427E3"/>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5336"/>
    <w:rsid w:val="0086691F"/>
    <w:rsid w:val="008672A5"/>
    <w:rsid w:val="008672D6"/>
    <w:rsid w:val="0086784D"/>
    <w:rsid w:val="00870582"/>
    <w:rsid w:val="008719E4"/>
    <w:rsid w:val="0087421A"/>
    <w:rsid w:val="0087427A"/>
    <w:rsid w:val="00875BE8"/>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D69"/>
    <w:rsid w:val="00893F2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6FB4"/>
    <w:rsid w:val="008A764A"/>
    <w:rsid w:val="008A790E"/>
    <w:rsid w:val="008B0058"/>
    <w:rsid w:val="008B1139"/>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3E01"/>
    <w:rsid w:val="008D4DF5"/>
    <w:rsid w:val="008D60D1"/>
    <w:rsid w:val="008D6221"/>
    <w:rsid w:val="008E0D2C"/>
    <w:rsid w:val="008E1E90"/>
    <w:rsid w:val="008E227A"/>
    <w:rsid w:val="008E25DB"/>
    <w:rsid w:val="008E2AAA"/>
    <w:rsid w:val="008E3A0C"/>
    <w:rsid w:val="008E4DE1"/>
    <w:rsid w:val="008E55E0"/>
    <w:rsid w:val="008E568E"/>
    <w:rsid w:val="008E5784"/>
    <w:rsid w:val="008E5EEC"/>
    <w:rsid w:val="008F0B78"/>
    <w:rsid w:val="008F13C9"/>
    <w:rsid w:val="008F31D0"/>
    <w:rsid w:val="008F3FD6"/>
    <w:rsid w:val="008F430B"/>
    <w:rsid w:val="008F609A"/>
    <w:rsid w:val="008F6B0B"/>
    <w:rsid w:val="008F77D9"/>
    <w:rsid w:val="008F7D64"/>
    <w:rsid w:val="009002F3"/>
    <w:rsid w:val="00901114"/>
    <w:rsid w:val="0090147E"/>
    <w:rsid w:val="009022AA"/>
    <w:rsid w:val="009023D9"/>
    <w:rsid w:val="0090298C"/>
    <w:rsid w:val="009033D2"/>
    <w:rsid w:val="00903BE0"/>
    <w:rsid w:val="009045FF"/>
    <w:rsid w:val="0090487A"/>
    <w:rsid w:val="00905A61"/>
    <w:rsid w:val="00906C56"/>
    <w:rsid w:val="00906CB1"/>
    <w:rsid w:val="0090714B"/>
    <w:rsid w:val="00907493"/>
    <w:rsid w:val="009078A0"/>
    <w:rsid w:val="00907926"/>
    <w:rsid w:val="00910A03"/>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0FE4"/>
    <w:rsid w:val="009214B5"/>
    <w:rsid w:val="009219C7"/>
    <w:rsid w:val="00921C96"/>
    <w:rsid w:val="009222D2"/>
    <w:rsid w:val="00923A46"/>
    <w:rsid w:val="0092485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748A"/>
    <w:rsid w:val="009576EB"/>
    <w:rsid w:val="009578EB"/>
    <w:rsid w:val="00957CA9"/>
    <w:rsid w:val="00960683"/>
    <w:rsid w:val="00960714"/>
    <w:rsid w:val="00960F89"/>
    <w:rsid w:val="00961186"/>
    <w:rsid w:val="00961271"/>
    <w:rsid w:val="00961E4A"/>
    <w:rsid w:val="00962DF6"/>
    <w:rsid w:val="00963131"/>
    <w:rsid w:val="009639F0"/>
    <w:rsid w:val="00963FCC"/>
    <w:rsid w:val="009641BA"/>
    <w:rsid w:val="00964F4E"/>
    <w:rsid w:val="00965820"/>
    <w:rsid w:val="00965D7D"/>
    <w:rsid w:val="00966514"/>
    <w:rsid w:val="00966B98"/>
    <w:rsid w:val="009678EA"/>
    <w:rsid w:val="00967AF4"/>
    <w:rsid w:val="009703B3"/>
    <w:rsid w:val="00972A32"/>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D7EEC"/>
    <w:rsid w:val="009E061D"/>
    <w:rsid w:val="009E278E"/>
    <w:rsid w:val="009E286D"/>
    <w:rsid w:val="009E34E2"/>
    <w:rsid w:val="009E39FE"/>
    <w:rsid w:val="009E3D17"/>
    <w:rsid w:val="009E50F2"/>
    <w:rsid w:val="009E5767"/>
    <w:rsid w:val="009E66AB"/>
    <w:rsid w:val="009F049C"/>
    <w:rsid w:val="009F0850"/>
    <w:rsid w:val="009F174B"/>
    <w:rsid w:val="009F1877"/>
    <w:rsid w:val="009F1BF6"/>
    <w:rsid w:val="009F3619"/>
    <w:rsid w:val="009F4797"/>
    <w:rsid w:val="009F4D06"/>
    <w:rsid w:val="009F4F7E"/>
    <w:rsid w:val="009F5F4D"/>
    <w:rsid w:val="009F6115"/>
    <w:rsid w:val="009F6242"/>
    <w:rsid w:val="009F6872"/>
    <w:rsid w:val="009F6A7E"/>
    <w:rsid w:val="009F743E"/>
    <w:rsid w:val="00A0065B"/>
    <w:rsid w:val="00A0067C"/>
    <w:rsid w:val="00A01220"/>
    <w:rsid w:val="00A02029"/>
    <w:rsid w:val="00A020F8"/>
    <w:rsid w:val="00A0294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58D8"/>
    <w:rsid w:val="00A27DB3"/>
    <w:rsid w:val="00A27F47"/>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275"/>
    <w:rsid w:val="00A9343F"/>
    <w:rsid w:val="00A939DE"/>
    <w:rsid w:val="00A95AE2"/>
    <w:rsid w:val="00A96F0D"/>
    <w:rsid w:val="00A96FF9"/>
    <w:rsid w:val="00A97799"/>
    <w:rsid w:val="00AA03A5"/>
    <w:rsid w:val="00AA07E6"/>
    <w:rsid w:val="00AA1B70"/>
    <w:rsid w:val="00AA28BF"/>
    <w:rsid w:val="00AA3079"/>
    <w:rsid w:val="00AA47CC"/>
    <w:rsid w:val="00AA4ACF"/>
    <w:rsid w:val="00AA6209"/>
    <w:rsid w:val="00AA686D"/>
    <w:rsid w:val="00AA764F"/>
    <w:rsid w:val="00AB0775"/>
    <w:rsid w:val="00AB1485"/>
    <w:rsid w:val="00AB3406"/>
    <w:rsid w:val="00AB432B"/>
    <w:rsid w:val="00AB5879"/>
    <w:rsid w:val="00AB764B"/>
    <w:rsid w:val="00AB7B30"/>
    <w:rsid w:val="00AC1F0F"/>
    <w:rsid w:val="00AC2595"/>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EC2"/>
    <w:rsid w:val="00B03611"/>
    <w:rsid w:val="00B03A22"/>
    <w:rsid w:val="00B03CD0"/>
    <w:rsid w:val="00B0444B"/>
    <w:rsid w:val="00B04828"/>
    <w:rsid w:val="00B04BEA"/>
    <w:rsid w:val="00B04EE5"/>
    <w:rsid w:val="00B0563C"/>
    <w:rsid w:val="00B076B5"/>
    <w:rsid w:val="00B10F1D"/>
    <w:rsid w:val="00B110E6"/>
    <w:rsid w:val="00B1139E"/>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5BED"/>
    <w:rsid w:val="00B25E44"/>
    <w:rsid w:val="00B26C60"/>
    <w:rsid w:val="00B26F42"/>
    <w:rsid w:val="00B30A25"/>
    <w:rsid w:val="00B31230"/>
    <w:rsid w:val="00B313B3"/>
    <w:rsid w:val="00B319B8"/>
    <w:rsid w:val="00B31C05"/>
    <w:rsid w:val="00B32BEC"/>
    <w:rsid w:val="00B34BD6"/>
    <w:rsid w:val="00B34E40"/>
    <w:rsid w:val="00B358D6"/>
    <w:rsid w:val="00B359C2"/>
    <w:rsid w:val="00B379BD"/>
    <w:rsid w:val="00B37E6E"/>
    <w:rsid w:val="00B40509"/>
    <w:rsid w:val="00B41F11"/>
    <w:rsid w:val="00B42252"/>
    <w:rsid w:val="00B422D8"/>
    <w:rsid w:val="00B42481"/>
    <w:rsid w:val="00B43919"/>
    <w:rsid w:val="00B45A5F"/>
    <w:rsid w:val="00B46863"/>
    <w:rsid w:val="00B46925"/>
    <w:rsid w:val="00B46A3D"/>
    <w:rsid w:val="00B52BB3"/>
    <w:rsid w:val="00B52C86"/>
    <w:rsid w:val="00B530D3"/>
    <w:rsid w:val="00B53C78"/>
    <w:rsid w:val="00B55B41"/>
    <w:rsid w:val="00B55DAB"/>
    <w:rsid w:val="00B56B2D"/>
    <w:rsid w:val="00B5708A"/>
    <w:rsid w:val="00B57949"/>
    <w:rsid w:val="00B57B9A"/>
    <w:rsid w:val="00B6149F"/>
    <w:rsid w:val="00B61EBA"/>
    <w:rsid w:val="00B62316"/>
    <w:rsid w:val="00B63D2C"/>
    <w:rsid w:val="00B64827"/>
    <w:rsid w:val="00B64F70"/>
    <w:rsid w:val="00B65DA8"/>
    <w:rsid w:val="00B66417"/>
    <w:rsid w:val="00B66836"/>
    <w:rsid w:val="00B675AC"/>
    <w:rsid w:val="00B70520"/>
    <w:rsid w:val="00B7096D"/>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CB9"/>
    <w:rsid w:val="00B92F7E"/>
    <w:rsid w:val="00BA09FE"/>
    <w:rsid w:val="00BA19BD"/>
    <w:rsid w:val="00BA1B10"/>
    <w:rsid w:val="00BA212F"/>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102"/>
    <w:rsid w:val="00BB7E9A"/>
    <w:rsid w:val="00BC1220"/>
    <w:rsid w:val="00BC2003"/>
    <w:rsid w:val="00BC25BB"/>
    <w:rsid w:val="00BC2B30"/>
    <w:rsid w:val="00BC43B8"/>
    <w:rsid w:val="00BC4768"/>
    <w:rsid w:val="00BC47FB"/>
    <w:rsid w:val="00BC5778"/>
    <w:rsid w:val="00BC636A"/>
    <w:rsid w:val="00BC6834"/>
    <w:rsid w:val="00BC6DCD"/>
    <w:rsid w:val="00BC7718"/>
    <w:rsid w:val="00BD0556"/>
    <w:rsid w:val="00BD08A8"/>
    <w:rsid w:val="00BD2485"/>
    <w:rsid w:val="00BD24E9"/>
    <w:rsid w:val="00BD3445"/>
    <w:rsid w:val="00BD3D98"/>
    <w:rsid w:val="00BD4226"/>
    <w:rsid w:val="00BD56ED"/>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163"/>
    <w:rsid w:val="00C17702"/>
    <w:rsid w:val="00C17C5C"/>
    <w:rsid w:val="00C20116"/>
    <w:rsid w:val="00C21DA0"/>
    <w:rsid w:val="00C21FFB"/>
    <w:rsid w:val="00C2227F"/>
    <w:rsid w:val="00C227E2"/>
    <w:rsid w:val="00C2294D"/>
    <w:rsid w:val="00C235A1"/>
    <w:rsid w:val="00C23973"/>
    <w:rsid w:val="00C26B42"/>
    <w:rsid w:val="00C26B64"/>
    <w:rsid w:val="00C27AC9"/>
    <w:rsid w:val="00C3146A"/>
    <w:rsid w:val="00C3373A"/>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5B3"/>
    <w:rsid w:val="00C45947"/>
    <w:rsid w:val="00C47E6C"/>
    <w:rsid w:val="00C500DE"/>
    <w:rsid w:val="00C50876"/>
    <w:rsid w:val="00C50CA5"/>
    <w:rsid w:val="00C51CC9"/>
    <w:rsid w:val="00C51F02"/>
    <w:rsid w:val="00C521C8"/>
    <w:rsid w:val="00C523A5"/>
    <w:rsid w:val="00C52B52"/>
    <w:rsid w:val="00C533E7"/>
    <w:rsid w:val="00C53444"/>
    <w:rsid w:val="00C53769"/>
    <w:rsid w:val="00C53B9F"/>
    <w:rsid w:val="00C53FAA"/>
    <w:rsid w:val="00C549A4"/>
    <w:rsid w:val="00C56937"/>
    <w:rsid w:val="00C57C97"/>
    <w:rsid w:val="00C57EAB"/>
    <w:rsid w:val="00C60900"/>
    <w:rsid w:val="00C60D71"/>
    <w:rsid w:val="00C620EA"/>
    <w:rsid w:val="00C6293D"/>
    <w:rsid w:val="00C6332B"/>
    <w:rsid w:val="00C64340"/>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3F9"/>
    <w:rsid w:val="00CD19D7"/>
    <w:rsid w:val="00CD247C"/>
    <w:rsid w:val="00CD2B09"/>
    <w:rsid w:val="00CD2B5C"/>
    <w:rsid w:val="00CD30EF"/>
    <w:rsid w:val="00CD4559"/>
    <w:rsid w:val="00CD5328"/>
    <w:rsid w:val="00CD67A3"/>
    <w:rsid w:val="00CD76B9"/>
    <w:rsid w:val="00CD77D0"/>
    <w:rsid w:val="00CD7A75"/>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9D5"/>
    <w:rsid w:val="00CF2E34"/>
    <w:rsid w:val="00CF3168"/>
    <w:rsid w:val="00CF35C8"/>
    <w:rsid w:val="00CF4413"/>
    <w:rsid w:val="00CF52BA"/>
    <w:rsid w:val="00CF5BD7"/>
    <w:rsid w:val="00CF61F0"/>
    <w:rsid w:val="00CF738F"/>
    <w:rsid w:val="00D00461"/>
    <w:rsid w:val="00D018A3"/>
    <w:rsid w:val="00D021BA"/>
    <w:rsid w:val="00D024E7"/>
    <w:rsid w:val="00D02F8D"/>
    <w:rsid w:val="00D03BED"/>
    <w:rsid w:val="00D0424E"/>
    <w:rsid w:val="00D050CE"/>
    <w:rsid w:val="00D07457"/>
    <w:rsid w:val="00D07809"/>
    <w:rsid w:val="00D079F1"/>
    <w:rsid w:val="00D07A13"/>
    <w:rsid w:val="00D07CDF"/>
    <w:rsid w:val="00D106C1"/>
    <w:rsid w:val="00D11103"/>
    <w:rsid w:val="00D11DE0"/>
    <w:rsid w:val="00D121E1"/>
    <w:rsid w:val="00D122B2"/>
    <w:rsid w:val="00D144B1"/>
    <w:rsid w:val="00D15311"/>
    <w:rsid w:val="00D1666F"/>
    <w:rsid w:val="00D16AA1"/>
    <w:rsid w:val="00D16F2A"/>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91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9014F"/>
    <w:rsid w:val="00D903F7"/>
    <w:rsid w:val="00D91573"/>
    <w:rsid w:val="00D9365A"/>
    <w:rsid w:val="00D93B48"/>
    <w:rsid w:val="00D942C3"/>
    <w:rsid w:val="00D94EDD"/>
    <w:rsid w:val="00D96194"/>
    <w:rsid w:val="00D9675A"/>
    <w:rsid w:val="00D978F0"/>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5A66"/>
    <w:rsid w:val="00DC6636"/>
    <w:rsid w:val="00DD0516"/>
    <w:rsid w:val="00DD0E39"/>
    <w:rsid w:val="00DD3D9A"/>
    <w:rsid w:val="00DD42C3"/>
    <w:rsid w:val="00DD5249"/>
    <w:rsid w:val="00DD5DF1"/>
    <w:rsid w:val="00DD668C"/>
    <w:rsid w:val="00DD684B"/>
    <w:rsid w:val="00DD6C7E"/>
    <w:rsid w:val="00DD73C5"/>
    <w:rsid w:val="00DD7557"/>
    <w:rsid w:val="00DD7A1D"/>
    <w:rsid w:val="00DE00BE"/>
    <w:rsid w:val="00DE0568"/>
    <w:rsid w:val="00DE1866"/>
    <w:rsid w:val="00DE1A18"/>
    <w:rsid w:val="00DE2DB6"/>
    <w:rsid w:val="00DE302D"/>
    <w:rsid w:val="00DE4845"/>
    <w:rsid w:val="00DE62F9"/>
    <w:rsid w:val="00DE6429"/>
    <w:rsid w:val="00DE7850"/>
    <w:rsid w:val="00DE7DA0"/>
    <w:rsid w:val="00DF2A15"/>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410"/>
    <w:rsid w:val="00E706A0"/>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0AA"/>
    <w:rsid w:val="00E935B0"/>
    <w:rsid w:val="00E9402A"/>
    <w:rsid w:val="00E9425E"/>
    <w:rsid w:val="00E94309"/>
    <w:rsid w:val="00E95544"/>
    <w:rsid w:val="00E960D1"/>
    <w:rsid w:val="00E97C76"/>
    <w:rsid w:val="00EA0EBE"/>
    <w:rsid w:val="00EA1A8D"/>
    <w:rsid w:val="00EA1D65"/>
    <w:rsid w:val="00EA2482"/>
    <w:rsid w:val="00EA31D4"/>
    <w:rsid w:val="00EA4484"/>
    <w:rsid w:val="00EA5EF2"/>
    <w:rsid w:val="00EA6068"/>
    <w:rsid w:val="00EA6102"/>
    <w:rsid w:val="00EA61A2"/>
    <w:rsid w:val="00EB06CB"/>
    <w:rsid w:val="00EB203C"/>
    <w:rsid w:val="00EB2200"/>
    <w:rsid w:val="00EB2C50"/>
    <w:rsid w:val="00EB3FF6"/>
    <w:rsid w:val="00EB4F51"/>
    <w:rsid w:val="00EB512F"/>
    <w:rsid w:val="00EB7065"/>
    <w:rsid w:val="00EB7C50"/>
    <w:rsid w:val="00EC002E"/>
    <w:rsid w:val="00EC0945"/>
    <w:rsid w:val="00EC163A"/>
    <w:rsid w:val="00EC349A"/>
    <w:rsid w:val="00EC3B43"/>
    <w:rsid w:val="00EC4F4A"/>
    <w:rsid w:val="00EC5360"/>
    <w:rsid w:val="00EC55BC"/>
    <w:rsid w:val="00EC6302"/>
    <w:rsid w:val="00EC660D"/>
    <w:rsid w:val="00EC6681"/>
    <w:rsid w:val="00EC74CE"/>
    <w:rsid w:val="00EC7E8A"/>
    <w:rsid w:val="00ED0077"/>
    <w:rsid w:val="00ED062E"/>
    <w:rsid w:val="00ED0ED3"/>
    <w:rsid w:val="00ED2E19"/>
    <w:rsid w:val="00ED3C49"/>
    <w:rsid w:val="00ED3E3E"/>
    <w:rsid w:val="00ED5D2F"/>
    <w:rsid w:val="00ED62A5"/>
    <w:rsid w:val="00EE0499"/>
    <w:rsid w:val="00EE0721"/>
    <w:rsid w:val="00EE09AA"/>
    <w:rsid w:val="00EE1889"/>
    <w:rsid w:val="00EE2D5E"/>
    <w:rsid w:val="00EE387A"/>
    <w:rsid w:val="00EE558C"/>
    <w:rsid w:val="00EE5677"/>
    <w:rsid w:val="00EE5A81"/>
    <w:rsid w:val="00EE64C1"/>
    <w:rsid w:val="00EF2FCF"/>
    <w:rsid w:val="00EF39D5"/>
    <w:rsid w:val="00EF3B42"/>
    <w:rsid w:val="00EF3C45"/>
    <w:rsid w:val="00EF3FC8"/>
    <w:rsid w:val="00EF697F"/>
    <w:rsid w:val="00EF6CE0"/>
    <w:rsid w:val="00F00E4B"/>
    <w:rsid w:val="00F02A7D"/>
    <w:rsid w:val="00F02C25"/>
    <w:rsid w:val="00F04081"/>
    <w:rsid w:val="00F04D19"/>
    <w:rsid w:val="00F059CA"/>
    <w:rsid w:val="00F0689C"/>
    <w:rsid w:val="00F06DAA"/>
    <w:rsid w:val="00F07413"/>
    <w:rsid w:val="00F0783A"/>
    <w:rsid w:val="00F07C87"/>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423F"/>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428"/>
    <w:rsid w:val="00F40C5B"/>
    <w:rsid w:val="00F40DEC"/>
    <w:rsid w:val="00F412D3"/>
    <w:rsid w:val="00F4163D"/>
    <w:rsid w:val="00F41DB9"/>
    <w:rsid w:val="00F438A3"/>
    <w:rsid w:val="00F43F15"/>
    <w:rsid w:val="00F444EF"/>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063F"/>
    <w:rsid w:val="00F90ED3"/>
    <w:rsid w:val="00F91EAE"/>
    <w:rsid w:val="00F92385"/>
    <w:rsid w:val="00F93352"/>
    <w:rsid w:val="00F93486"/>
    <w:rsid w:val="00F93D5E"/>
    <w:rsid w:val="00F9712B"/>
    <w:rsid w:val="00F9766E"/>
    <w:rsid w:val="00F979B3"/>
    <w:rsid w:val="00FA06D8"/>
    <w:rsid w:val="00FA0CCD"/>
    <w:rsid w:val="00FA234F"/>
    <w:rsid w:val="00FA3444"/>
    <w:rsid w:val="00FA3571"/>
    <w:rsid w:val="00FA4A79"/>
    <w:rsid w:val="00FA55C6"/>
    <w:rsid w:val="00FA65C5"/>
    <w:rsid w:val="00FB0243"/>
    <w:rsid w:val="00FB06A5"/>
    <w:rsid w:val="00FB0FCE"/>
    <w:rsid w:val="00FB1447"/>
    <w:rsid w:val="00FB175F"/>
    <w:rsid w:val="00FB2273"/>
    <w:rsid w:val="00FB23A3"/>
    <w:rsid w:val="00FB3500"/>
    <w:rsid w:val="00FB3CD4"/>
    <w:rsid w:val="00FB408A"/>
    <w:rsid w:val="00FC05A1"/>
    <w:rsid w:val="00FC1BEF"/>
    <w:rsid w:val="00FC30CD"/>
    <w:rsid w:val="00FC475A"/>
    <w:rsid w:val="00FC49C1"/>
    <w:rsid w:val="00FC515C"/>
    <w:rsid w:val="00FC54F2"/>
    <w:rsid w:val="00FD12CD"/>
    <w:rsid w:val="00FD1831"/>
    <w:rsid w:val="00FD1B0E"/>
    <w:rsid w:val="00FD2277"/>
    <w:rsid w:val="00FD2355"/>
    <w:rsid w:val="00FD2611"/>
    <w:rsid w:val="00FD35F1"/>
    <w:rsid w:val="00FD414C"/>
    <w:rsid w:val="00FD4A4E"/>
    <w:rsid w:val="00FD4A58"/>
    <w:rsid w:val="00FD4F6E"/>
    <w:rsid w:val="00FD6A10"/>
    <w:rsid w:val="00FE0071"/>
    <w:rsid w:val="00FE1649"/>
    <w:rsid w:val="00FE3606"/>
    <w:rsid w:val="00FE47C8"/>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footer" Target="footer5.xml"/><Relationship Id="rId10" Type="http://schemas.openxmlformats.org/officeDocument/2006/relationships/hyperlink" Target="http://mass.gov/dph/iaq" TargetMode="External"/><Relationship Id="rId19" Type="http://schemas.openxmlformats.org/officeDocument/2006/relationships/image" Target="media/image3.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header" Target="header5.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7AFA7-F717-404F-AF63-8DAC2CD5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Indoor air quality assessment - Sandisfield Town Offices (January 2018)</vt:lpstr>
    </vt:vector>
  </TitlesOfParts>
  <Company>MDPH</Company>
  <LinksUpToDate>false</LinksUpToDate>
  <CharactersWithSpaces>9474</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Sandisfield Town Offices (January 2018)</dc:title>
  <dc:subject>Sandisfield Town Hsll</dc:subject>
  <dc:creator>Indoor Air Quality Program</dc:creator>
  <cp:keywords>Sandisfield, town hall</cp:keywords>
  <cp:lastModifiedBy>AutoBVT</cp:lastModifiedBy>
  <cp:revision>3</cp:revision>
  <cp:lastPrinted>2018-01-23T18:17:00Z</cp:lastPrinted>
  <dcterms:created xsi:type="dcterms:W3CDTF">2018-09-07T18:58:00Z</dcterms:created>
  <dcterms:modified xsi:type="dcterms:W3CDTF">2018-09-07T18:59:00Z</dcterms:modified>
</cp:coreProperties>
</file>