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38CF" w14:textId="77777777" w:rsidR="00BD7EAB" w:rsidRPr="0016554E" w:rsidRDefault="00BD7EAB" w:rsidP="00E455FE">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sidRPr="0016554E">
        <w:rPr>
          <w:rFonts w:ascii="Arial" w:hAnsi="Arial" w:cs="Arial"/>
          <w:webHidden/>
          <w:color w:val="FFFFFF" w:themeColor="background1"/>
          <w:sz w:val="28"/>
          <w:szCs w:val="28"/>
        </w:rPr>
        <w:t>S</w:t>
      </w:r>
      <w:r w:rsidR="00B03FF9" w:rsidRPr="0016554E">
        <w:rPr>
          <w:rFonts w:ascii="Arial" w:hAnsi="Arial" w:cs="Arial"/>
          <w:webHidden/>
          <w:color w:val="FFFFFF" w:themeColor="background1"/>
          <w:sz w:val="28"/>
          <w:szCs w:val="28"/>
        </w:rPr>
        <w:t>ECTION</w:t>
      </w:r>
      <w:r w:rsidRPr="0016554E">
        <w:rPr>
          <w:rFonts w:ascii="Arial" w:hAnsi="Arial" w:cs="Arial"/>
          <w:webHidden/>
          <w:color w:val="FFFFFF" w:themeColor="background1"/>
          <w:sz w:val="28"/>
          <w:szCs w:val="28"/>
        </w:rPr>
        <w:t xml:space="preserve"> I</w:t>
      </w:r>
      <w:r w:rsidR="00654FA4">
        <w:rPr>
          <w:rFonts w:ascii="Arial" w:hAnsi="Arial" w:cs="Arial"/>
          <w:webHidden/>
          <w:color w:val="FFFFFF" w:themeColor="background1"/>
          <w:sz w:val="28"/>
          <w:szCs w:val="28"/>
        </w:rPr>
        <w:t>V</w:t>
      </w:r>
    </w:p>
    <w:p w14:paraId="283D2E20" w14:textId="77777777" w:rsidR="00BD7EAB" w:rsidRPr="00267D40" w:rsidRDefault="001B32B6" w:rsidP="00E455FE">
      <w:pPr>
        <w:pStyle w:val="Level2"/>
        <w:tabs>
          <w:tab w:val="clear" w:pos="8630"/>
        </w:tabs>
        <w:spacing w:after="0" w:line="240" w:lineRule="auto"/>
        <w:rPr>
          <w:rFonts w:ascii="Arial" w:hAnsi="Arial" w:cs="Arial"/>
          <w:webHidden/>
          <w:sz w:val="28"/>
          <w:szCs w:val="28"/>
        </w:rPr>
      </w:pPr>
      <w:r w:rsidRPr="00BD7EAB">
        <w:rPr>
          <w:rFonts w:ascii="Arial" w:hAnsi="Arial" w:cs="Arial"/>
          <w:webHidden/>
          <w:sz w:val="28"/>
          <w:szCs w:val="28"/>
        </w:rPr>
        <w:tab/>
      </w:r>
    </w:p>
    <w:p w14:paraId="4E1F3BB2" w14:textId="77777777" w:rsidR="00A909C1" w:rsidRPr="0016554E" w:rsidRDefault="001E0C53" w:rsidP="00E455FE">
      <w:pPr>
        <w:pStyle w:val="Level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webHidden/>
          <w:color w:val="000000" w:themeColor="text1"/>
          <w:sz w:val="24"/>
          <w:szCs w:val="24"/>
        </w:rPr>
      </w:pPr>
      <w:r>
        <w:rPr>
          <w:rFonts w:ascii="Arial" w:hAnsi="Arial" w:cs="Arial"/>
          <w:webHidden/>
          <w:color w:val="000000" w:themeColor="text1"/>
          <w:sz w:val="24"/>
          <w:szCs w:val="24"/>
        </w:rPr>
        <w:t>OBTAINING PATIENT CONSENT</w:t>
      </w:r>
    </w:p>
    <w:p w14:paraId="1F41ECBD" w14:textId="77777777" w:rsidR="001B32B6" w:rsidRDefault="001B32B6" w:rsidP="00E455FE">
      <w:pPr>
        <w:pStyle w:val="Level2"/>
        <w:tabs>
          <w:tab w:val="clear" w:pos="8630"/>
        </w:tabs>
        <w:spacing w:after="0" w:line="240" w:lineRule="auto"/>
        <w:rPr>
          <w:rFonts w:ascii="Arial" w:hAnsi="Arial" w:cs="Arial"/>
          <w:b w:val="0"/>
          <w:sz w:val="24"/>
          <w:szCs w:val="24"/>
        </w:rPr>
      </w:pPr>
    </w:p>
    <w:p w14:paraId="3F23D6AB" w14:textId="77777777" w:rsidR="006E78CF" w:rsidRPr="00D82355" w:rsidRDefault="006E78CF" w:rsidP="00E455FE">
      <w:pPr>
        <w:keepNext/>
        <w:spacing w:after="0" w:line="240" w:lineRule="auto"/>
        <w:rPr>
          <w:rFonts w:ascii="Arial" w:eastAsia="Times New Roman" w:hAnsi="Arial" w:cs="Arial"/>
          <w:b/>
          <w:spacing w:val="-5"/>
          <w:kern w:val="28"/>
          <w:u w:val="single"/>
        </w:rPr>
      </w:pPr>
      <w:r w:rsidRPr="00D82355">
        <w:rPr>
          <w:rFonts w:ascii="Arial" w:eastAsia="Times New Roman" w:hAnsi="Arial" w:cs="Arial"/>
          <w:b/>
          <w:spacing w:val="-5"/>
          <w:kern w:val="28"/>
          <w:u w:val="single"/>
        </w:rPr>
        <w:t>Informed Consent</w:t>
      </w:r>
    </w:p>
    <w:p w14:paraId="5CEF26F3" w14:textId="77777777" w:rsidR="00A3096E" w:rsidRPr="00DD7FA3" w:rsidRDefault="00A3096E" w:rsidP="00E455FE">
      <w:pPr>
        <w:keepNext/>
        <w:spacing w:after="0" w:line="240" w:lineRule="auto"/>
        <w:rPr>
          <w:rFonts w:ascii="Arial" w:eastAsia="Times New Roman" w:hAnsi="Arial" w:cs="Arial"/>
          <w:b/>
          <w:spacing w:val="-5"/>
          <w:kern w:val="28"/>
        </w:rPr>
      </w:pPr>
    </w:p>
    <w:p w14:paraId="5DB62765" w14:textId="77777777" w:rsidR="006E78CF" w:rsidRDefault="006E78CF" w:rsidP="00E455FE">
      <w:pPr>
        <w:spacing w:after="0" w:line="240" w:lineRule="auto"/>
        <w:rPr>
          <w:rFonts w:ascii="Arial" w:hAnsi="Arial" w:cs="Arial"/>
          <w:sz w:val="20"/>
          <w:szCs w:val="20"/>
        </w:rPr>
      </w:pPr>
      <w:r w:rsidRPr="00362647">
        <w:rPr>
          <w:rFonts w:ascii="Arial" w:hAnsi="Arial" w:cs="Arial"/>
          <w:sz w:val="20"/>
          <w:szCs w:val="20"/>
        </w:rPr>
        <w:t>The SANE and/or medical provider must obtain informed consent from the patient for the physical exam and evidence collection. Obtaining consent ensures that the patient understands the various options of care available and what the exam and evidence collection process entails. The patient’s written consent must be obtained before initiating the SANE exam.</w:t>
      </w:r>
    </w:p>
    <w:p w14:paraId="301235D8" w14:textId="77777777" w:rsidR="00D82355" w:rsidRDefault="00D82355" w:rsidP="00E455FE">
      <w:pPr>
        <w:spacing w:after="0" w:line="240" w:lineRule="auto"/>
        <w:rPr>
          <w:rFonts w:ascii="Arial" w:hAnsi="Arial" w:cs="Arial"/>
          <w:sz w:val="20"/>
          <w:szCs w:val="20"/>
        </w:rPr>
      </w:pPr>
    </w:p>
    <w:p w14:paraId="45A86560" w14:textId="77777777" w:rsidR="00D82355" w:rsidRPr="00D82355" w:rsidRDefault="00D82355" w:rsidP="00E455FE">
      <w:pPr>
        <w:keepNext/>
        <w:spacing w:after="0" w:line="240" w:lineRule="auto"/>
        <w:rPr>
          <w:rFonts w:ascii="Arial" w:eastAsia="Times New Roman" w:hAnsi="Arial" w:cs="Arial"/>
          <w:b/>
          <w:spacing w:val="-5"/>
          <w:kern w:val="28"/>
          <w:u w:val="single"/>
        </w:rPr>
      </w:pPr>
      <w:r>
        <w:rPr>
          <w:rFonts w:ascii="Arial" w:eastAsia="Times New Roman" w:hAnsi="Arial" w:cs="Arial"/>
          <w:b/>
          <w:spacing w:val="-5"/>
          <w:kern w:val="28"/>
          <w:u w:val="single"/>
        </w:rPr>
        <w:t>Guide for SANEs</w:t>
      </w:r>
    </w:p>
    <w:p w14:paraId="6845FFC5" w14:textId="77777777" w:rsidR="006E78CF" w:rsidRPr="00362647" w:rsidRDefault="006E78CF" w:rsidP="00E455FE">
      <w:pPr>
        <w:spacing w:after="0" w:line="240" w:lineRule="auto"/>
        <w:rPr>
          <w:rFonts w:ascii="Arial" w:hAnsi="Arial" w:cs="Arial"/>
          <w:sz w:val="20"/>
          <w:szCs w:val="20"/>
        </w:rPr>
      </w:pPr>
    </w:p>
    <w:p w14:paraId="607217FC" w14:textId="77777777" w:rsidR="00D82355" w:rsidRDefault="006E78CF" w:rsidP="00E455FE">
      <w:pPr>
        <w:spacing w:after="0" w:line="240" w:lineRule="auto"/>
        <w:rPr>
          <w:rFonts w:ascii="Arial" w:hAnsi="Arial" w:cs="Arial"/>
          <w:sz w:val="20"/>
          <w:szCs w:val="20"/>
        </w:rPr>
      </w:pPr>
      <w:r w:rsidRPr="00D82355">
        <w:rPr>
          <w:rFonts w:ascii="Arial" w:hAnsi="Arial" w:cs="Arial"/>
          <w:sz w:val="20"/>
          <w:szCs w:val="20"/>
        </w:rPr>
        <w:t xml:space="preserve">The SANE must carefully explain the </w:t>
      </w:r>
      <w:r w:rsidR="00DD7FA3" w:rsidRPr="00D82355">
        <w:rPr>
          <w:rFonts w:ascii="Arial" w:hAnsi="Arial" w:cs="Arial"/>
          <w:sz w:val="20"/>
          <w:szCs w:val="20"/>
        </w:rPr>
        <w:t>following points to the patient</w:t>
      </w:r>
      <w:r w:rsidR="00D82355">
        <w:rPr>
          <w:rFonts w:ascii="Arial" w:hAnsi="Arial" w:cs="Arial"/>
          <w:sz w:val="20"/>
          <w:szCs w:val="20"/>
        </w:rPr>
        <w:t>:</w:t>
      </w:r>
    </w:p>
    <w:p w14:paraId="140EFC36" w14:textId="77777777" w:rsidR="006E78CF" w:rsidRPr="00D82355" w:rsidRDefault="006E78CF" w:rsidP="00E455FE">
      <w:pPr>
        <w:pStyle w:val="ListParagraph"/>
        <w:numPr>
          <w:ilvl w:val="0"/>
          <w:numId w:val="17"/>
        </w:numPr>
        <w:spacing w:after="0" w:line="240" w:lineRule="auto"/>
        <w:ind w:left="360"/>
        <w:rPr>
          <w:rFonts w:ascii="Arial" w:hAnsi="Arial" w:cs="Arial"/>
          <w:b/>
          <w:sz w:val="20"/>
          <w:szCs w:val="20"/>
        </w:rPr>
      </w:pPr>
      <w:r w:rsidRPr="00D82355">
        <w:rPr>
          <w:rFonts w:ascii="Arial" w:hAnsi="Arial" w:cs="Arial"/>
          <w:sz w:val="20"/>
          <w:szCs w:val="20"/>
        </w:rPr>
        <w:t xml:space="preserve">The purpose of the SANE exam is three-fold: </w:t>
      </w:r>
    </w:p>
    <w:p w14:paraId="1DEE590B" w14:textId="77777777" w:rsidR="006E78CF" w:rsidRPr="00DD7FA3" w:rsidRDefault="006E78CF" w:rsidP="00E455FE">
      <w:pPr>
        <w:pStyle w:val="ListParagraph"/>
        <w:numPr>
          <w:ilvl w:val="0"/>
          <w:numId w:val="16"/>
        </w:numPr>
        <w:spacing w:after="0" w:line="240" w:lineRule="auto"/>
        <w:rPr>
          <w:rFonts w:ascii="Arial" w:hAnsi="Arial" w:cs="Arial"/>
          <w:sz w:val="20"/>
          <w:szCs w:val="20"/>
        </w:rPr>
      </w:pPr>
      <w:r w:rsidRPr="00DD7FA3">
        <w:rPr>
          <w:rFonts w:ascii="Arial" w:hAnsi="Arial" w:cs="Arial"/>
          <w:sz w:val="20"/>
          <w:szCs w:val="20"/>
        </w:rPr>
        <w:t>A thorough head-to-toe and assessment for injury</w:t>
      </w:r>
      <w:r w:rsidR="00E3259B">
        <w:rPr>
          <w:rFonts w:ascii="Arial" w:hAnsi="Arial" w:cs="Arial"/>
          <w:sz w:val="20"/>
          <w:szCs w:val="20"/>
        </w:rPr>
        <w:t>;</w:t>
      </w:r>
    </w:p>
    <w:p w14:paraId="5BDAC207" w14:textId="77777777" w:rsidR="006E78CF" w:rsidRPr="00DD7FA3" w:rsidRDefault="006E78CF" w:rsidP="00E455FE">
      <w:pPr>
        <w:pStyle w:val="ListParagraph"/>
        <w:numPr>
          <w:ilvl w:val="0"/>
          <w:numId w:val="16"/>
        </w:numPr>
        <w:spacing w:after="0" w:line="240" w:lineRule="auto"/>
        <w:rPr>
          <w:rFonts w:ascii="Arial" w:hAnsi="Arial" w:cs="Arial"/>
          <w:sz w:val="20"/>
          <w:szCs w:val="20"/>
        </w:rPr>
      </w:pPr>
      <w:r w:rsidRPr="00DD7FA3">
        <w:rPr>
          <w:rFonts w:ascii="Arial" w:hAnsi="Arial" w:cs="Arial"/>
          <w:sz w:val="20"/>
          <w:szCs w:val="20"/>
        </w:rPr>
        <w:t>Collection of physical evidence</w:t>
      </w:r>
      <w:r w:rsidR="00E3259B">
        <w:rPr>
          <w:rFonts w:ascii="Arial" w:hAnsi="Arial" w:cs="Arial"/>
          <w:sz w:val="20"/>
          <w:szCs w:val="20"/>
        </w:rPr>
        <w:t>;</w:t>
      </w:r>
    </w:p>
    <w:p w14:paraId="725267DF" w14:textId="3B1A8F2B" w:rsidR="006E78CF" w:rsidRDefault="006E78CF" w:rsidP="00E455FE">
      <w:pPr>
        <w:pStyle w:val="ListParagraph"/>
        <w:numPr>
          <w:ilvl w:val="0"/>
          <w:numId w:val="16"/>
        </w:numPr>
        <w:spacing w:after="0" w:line="240" w:lineRule="auto"/>
        <w:rPr>
          <w:rFonts w:ascii="Arial" w:hAnsi="Arial" w:cs="Arial"/>
          <w:sz w:val="20"/>
          <w:szCs w:val="20"/>
        </w:rPr>
      </w:pPr>
      <w:r w:rsidRPr="00DD7FA3">
        <w:rPr>
          <w:rFonts w:ascii="Arial" w:hAnsi="Arial" w:cs="Arial"/>
          <w:sz w:val="20"/>
          <w:szCs w:val="20"/>
        </w:rPr>
        <w:t>Documentation of the patient’s report of the assault in the patient’s own words and through photographs</w:t>
      </w:r>
      <w:r w:rsidR="00E3259B">
        <w:rPr>
          <w:rFonts w:ascii="Arial" w:hAnsi="Arial" w:cs="Arial"/>
          <w:sz w:val="20"/>
          <w:szCs w:val="20"/>
        </w:rPr>
        <w:t>.</w:t>
      </w:r>
    </w:p>
    <w:p w14:paraId="04F32BF5" w14:textId="3B682F7A" w:rsidR="009907D3" w:rsidRPr="007345F9" w:rsidRDefault="009907D3" w:rsidP="00E455FE">
      <w:pPr>
        <w:keepNext/>
        <w:spacing w:after="0" w:line="240" w:lineRule="auto"/>
        <w:rPr>
          <w:rFonts w:ascii="Arial" w:eastAsia="Times New Roman" w:hAnsi="Arial" w:cs="Arial"/>
          <w:bCs/>
          <w:spacing w:val="-5"/>
          <w:kern w:val="28"/>
          <w:sz w:val="20"/>
          <w:szCs w:val="20"/>
        </w:rPr>
      </w:pPr>
      <w:r w:rsidRPr="007345F9">
        <w:rPr>
          <w:rFonts w:ascii="Arial" w:hAnsi="Arial" w:cs="Arial"/>
          <w:sz w:val="20"/>
          <w:szCs w:val="20"/>
        </w:rPr>
        <w:t>Toxicology testing if indicated – which requires a separate consent</w:t>
      </w:r>
      <w:r w:rsidR="00854B1B" w:rsidRPr="007345F9">
        <w:rPr>
          <w:rFonts w:ascii="Arial" w:eastAsia="Times New Roman" w:hAnsi="Arial" w:cs="Arial"/>
          <w:bCs/>
          <w:spacing w:val="-5"/>
          <w:kern w:val="28"/>
          <w:sz w:val="20"/>
          <w:szCs w:val="20"/>
        </w:rPr>
        <w:t>.</w:t>
      </w:r>
      <w:r w:rsidR="007345F9" w:rsidRPr="007345F9">
        <w:rPr>
          <w:rFonts w:ascii="Arial" w:eastAsia="Times New Roman" w:hAnsi="Arial" w:cs="Arial"/>
          <w:bCs/>
          <w:spacing w:val="-5"/>
          <w:kern w:val="28"/>
          <w:sz w:val="20"/>
          <w:szCs w:val="20"/>
        </w:rPr>
        <w:t xml:space="preserve"> </w:t>
      </w:r>
      <w:r w:rsidR="007345F9" w:rsidRPr="007345F9">
        <w:rPr>
          <w:rFonts w:ascii="Arial" w:hAnsi="Arial" w:cs="Arial"/>
          <w:sz w:val="20"/>
          <w:szCs w:val="20"/>
        </w:rPr>
        <w:t>(Also See Section IX – Forensic Examination - Use of the MA Sexual Assault Evidence Collection Kit (MSAECK) – Step 2 Toxicology Testing).</w:t>
      </w:r>
    </w:p>
    <w:p w14:paraId="5E67D457" w14:textId="77777777" w:rsidR="006E78CF" w:rsidRPr="00D82355" w:rsidRDefault="006E78CF" w:rsidP="00E455FE">
      <w:pPr>
        <w:pStyle w:val="ListParagraph"/>
        <w:numPr>
          <w:ilvl w:val="0"/>
          <w:numId w:val="17"/>
        </w:numPr>
        <w:spacing w:after="0" w:line="240" w:lineRule="auto"/>
        <w:ind w:left="360"/>
        <w:rPr>
          <w:rFonts w:ascii="Arial" w:hAnsi="Arial" w:cs="Arial"/>
          <w:sz w:val="20"/>
          <w:szCs w:val="20"/>
        </w:rPr>
      </w:pPr>
      <w:r w:rsidRPr="00D82355">
        <w:rPr>
          <w:rFonts w:ascii="Arial" w:hAnsi="Arial" w:cs="Arial"/>
          <w:sz w:val="20"/>
          <w:szCs w:val="20"/>
        </w:rPr>
        <w:t>Discuss with patient:</w:t>
      </w:r>
    </w:p>
    <w:p w14:paraId="5049F109" w14:textId="77777777" w:rsidR="006E78CF" w:rsidRPr="00362647" w:rsidRDefault="006E78CF" w:rsidP="00E455FE">
      <w:pPr>
        <w:pStyle w:val="ListParagraph"/>
        <w:numPr>
          <w:ilvl w:val="0"/>
          <w:numId w:val="9"/>
        </w:numPr>
        <w:spacing w:after="0" w:line="240" w:lineRule="auto"/>
        <w:ind w:left="720"/>
        <w:rPr>
          <w:rFonts w:ascii="Arial" w:hAnsi="Arial" w:cs="Arial"/>
          <w:sz w:val="20"/>
          <w:szCs w:val="20"/>
        </w:rPr>
      </w:pPr>
      <w:r w:rsidRPr="00362647">
        <w:rPr>
          <w:rFonts w:ascii="Arial" w:hAnsi="Arial" w:cs="Arial"/>
          <w:sz w:val="20"/>
          <w:szCs w:val="20"/>
        </w:rPr>
        <w:t>The itemized steps involved in evidence collection and the potential value of the evidence.</w:t>
      </w:r>
    </w:p>
    <w:p w14:paraId="3FB0C188" w14:textId="77777777" w:rsidR="006E78CF" w:rsidRPr="00362647" w:rsidRDefault="006E78CF" w:rsidP="00E455FE">
      <w:pPr>
        <w:pStyle w:val="ListParagraph"/>
        <w:numPr>
          <w:ilvl w:val="0"/>
          <w:numId w:val="9"/>
        </w:numPr>
        <w:spacing w:after="0" w:line="240" w:lineRule="auto"/>
        <w:ind w:left="720"/>
        <w:rPr>
          <w:rFonts w:ascii="Arial" w:hAnsi="Arial" w:cs="Arial"/>
          <w:sz w:val="20"/>
          <w:szCs w:val="20"/>
        </w:rPr>
      </w:pPr>
      <w:r w:rsidRPr="00362647">
        <w:rPr>
          <w:rFonts w:ascii="Arial" w:hAnsi="Arial" w:cs="Arial"/>
          <w:sz w:val="20"/>
          <w:szCs w:val="20"/>
        </w:rPr>
        <w:t xml:space="preserve">The patient’s right to decline </w:t>
      </w:r>
      <w:r w:rsidRPr="00DD7FA3">
        <w:rPr>
          <w:rFonts w:ascii="Arial" w:hAnsi="Arial" w:cs="Arial"/>
          <w:b/>
          <w:sz w:val="20"/>
          <w:szCs w:val="20"/>
          <w:u w:val="single"/>
        </w:rPr>
        <w:t>any</w:t>
      </w:r>
      <w:r w:rsidRPr="00362647">
        <w:rPr>
          <w:rFonts w:ascii="Arial" w:hAnsi="Arial" w:cs="Arial"/>
          <w:b/>
          <w:i/>
          <w:sz w:val="20"/>
          <w:szCs w:val="20"/>
        </w:rPr>
        <w:t xml:space="preserve"> </w:t>
      </w:r>
      <w:r w:rsidRPr="00362647">
        <w:rPr>
          <w:rFonts w:ascii="Arial" w:hAnsi="Arial" w:cs="Arial"/>
          <w:sz w:val="20"/>
          <w:szCs w:val="20"/>
        </w:rPr>
        <w:t xml:space="preserve">portion of the examination and evidence collection </w:t>
      </w:r>
      <w:r w:rsidRPr="00DD7FA3">
        <w:rPr>
          <w:rFonts w:ascii="Arial" w:hAnsi="Arial" w:cs="Arial"/>
          <w:b/>
          <w:sz w:val="20"/>
          <w:szCs w:val="20"/>
          <w:u w:val="single"/>
        </w:rPr>
        <w:t>at any time</w:t>
      </w:r>
      <w:r w:rsidRPr="00362647">
        <w:rPr>
          <w:rFonts w:ascii="Arial" w:hAnsi="Arial" w:cs="Arial"/>
          <w:sz w:val="20"/>
          <w:szCs w:val="20"/>
        </w:rPr>
        <w:t xml:space="preserve"> during the examination process,</w:t>
      </w:r>
      <w:r w:rsidR="00840E90">
        <w:rPr>
          <w:rFonts w:ascii="Arial" w:hAnsi="Arial" w:cs="Arial"/>
          <w:sz w:val="20"/>
          <w:szCs w:val="20"/>
        </w:rPr>
        <w:t xml:space="preserve"> even though they</w:t>
      </w:r>
      <w:r w:rsidRPr="00362647">
        <w:rPr>
          <w:rFonts w:ascii="Arial" w:hAnsi="Arial" w:cs="Arial"/>
          <w:sz w:val="20"/>
          <w:szCs w:val="20"/>
        </w:rPr>
        <w:t xml:space="preserve"> previously indicated their consent.  </w:t>
      </w:r>
    </w:p>
    <w:p w14:paraId="7AFD6162" w14:textId="77777777" w:rsidR="006E78CF" w:rsidRPr="00362647" w:rsidRDefault="006E78CF" w:rsidP="00E455FE">
      <w:pPr>
        <w:pStyle w:val="ListParagraph"/>
        <w:numPr>
          <w:ilvl w:val="0"/>
          <w:numId w:val="9"/>
        </w:numPr>
        <w:spacing w:after="0" w:line="240" w:lineRule="auto"/>
        <w:ind w:left="720"/>
        <w:rPr>
          <w:rFonts w:ascii="Arial" w:hAnsi="Arial" w:cs="Arial"/>
          <w:sz w:val="20"/>
          <w:szCs w:val="20"/>
        </w:rPr>
      </w:pPr>
      <w:r w:rsidRPr="00362647">
        <w:rPr>
          <w:rFonts w:ascii="Arial" w:hAnsi="Arial" w:cs="Arial"/>
          <w:sz w:val="20"/>
          <w:szCs w:val="20"/>
        </w:rPr>
        <w:t xml:space="preserve">The patient is </w:t>
      </w:r>
      <w:r w:rsidRPr="00840E90">
        <w:rPr>
          <w:rFonts w:ascii="Arial" w:hAnsi="Arial" w:cs="Arial"/>
          <w:b/>
          <w:sz w:val="20"/>
          <w:szCs w:val="20"/>
          <w:u w:val="single"/>
        </w:rPr>
        <w:t>not</w:t>
      </w:r>
      <w:r w:rsidRPr="00362647">
        <w:rPr>
          <w:rFonts w:ascii="Arial" w:hAnsi="Arial" w:cs="Arial"/>
          <w:sz w:val="20"/>
          <w:szCs w:val="20"/>
        </w:rPr>
        <w:t xml:space="preserve"> being asked to consent or commit to any course of action in the criminal justice system or the courts.</w:t>
      </w:r>
    </w:p>
    <w:p w14:paraId="658DEAC7" w14:textId="77777777" w:rsidR="006E78CF" w:rsidRPr="00362647" w:rsidRDefault="006E78CF" w:rsidP="00E455FE">
      <w:pPr>
        <w:pStyle w:val="ListParagraph"/>
        <w:numPr>
          <w:ilvl w:val="0"/>
          <w:numId w:val="9"/>
        </w:numPr>
        <w:spacing w:after="0" w:line="240" w:lineRule="auto"/>
        <w:ind w:left="720"/>
        <w:rPr>
          <w:rFonts w:ascii="Arial" w:hAnsi="Arial" w:cs="Arial"/>
          <w:sz w:val="20"/>
          <w:szCs w:val="20"/>
        </w:rPr>
      </w:pPr>
      <w:r w:rsidRPr="00362647">
        <w:rPr>
          <w:rFonts w:ascii="Arial" w:hAnsi="Arial" w:cs="Arial"/>
          <w:sz w:val="20"/>
          <w:szCs w:val="20"/>
        </w:rPr>
        <w:t xml:space="preserve">The patient </w:t>
      </w:r>
      <w:r w:rsidRPr="00840E90">
        <w:rPr>
          <w:rFonts w:ascii="Arial" w:hAnsi="Arial" w:cs="Arial"/>
          <w:b/>
          <w:sz w:val="20"/>
          <w:szCs w:val="20"/>
          <w:u w:val="single"/>
        </w:rPr>
        <w:t>may or may not</w:t>
      </w:r>
      <w:r w:rsidRPr="00362647">
        <w:rPr>
          <w:rFonts w:ascii="Arial" w:hAnsi="Arial" w:cs="Arial"/>
          <w:sz w:val="20"/>
          <w:szCs w:val="20"/>
        </w:rPr>
        <w:t xml:space="preserve"> choose to report their assa</w:t>
      </w:r>
      <w:r w:rsidR="00840E90">
        <w:rPr>
          <w:rFonts w:ascii="Arial" w:hAnsi="Arial" w:cs="Arial"/>
          <w:sz w:val="20"/>
          <w:szCs w:val="20"/>
        </w:rPr>
        <w:t>ult to police at a later time; h</w:t>
      </w:r>
      <w:r w:rsidRPr="00362647">
        <w:rPr>
          <w:rFonts w:ascii="Arial" w:hAnsi="Arial" w:cs="Arial"/>
          <w:sz w:val="20"/>
          <w:szCs w:val="20"/>
        </w:rPr>
        <w:t xml:space="preserve">owever, </w:t>
      </w:r>
      <w:r w:rsidR="00840E90">
        <w:rPr>
          <w:rFonts w:ascii="Arial" w:hAnsi="Arial" w:cs="Arial"/>
          <w:sz w:val="20"/>
          <w:szCs w:val="20"/>
        </w:rPr>
        <w:t>they do</w:t>
      </w:r>
      <w:r w:rsidRPr="00362647">
        <w:rPr>
          <w:rFonts w:ascii="Arial" w:hAnsi="Arial" w:cs="Arial"/>
          <w:sz w:val="20"/>
          <w:szCs w:val="20"/>
        </w:rPr>
        <w:t xml:space="preserve"> not need to file a police report at the time of the SANE examination. </w:t>
      </w:r>
    </w:p>
    <w:p w14:paraId="6A6D7F7A" w14:textId="77777777" w:rsidR="00E822D7" w:rsidRDefault="006E78CF" w:rsidP="00E455FE">
      <w:pPr>
        <w:pStyle w:val="ListParagraph"/>
        <w:numPr>
          <w:ilvl w:val="0"/>
          <w:numId w:val="9"/>
        </w:numPr>
        <w:spacing w:after="0" w:line="240" w:lineRule="auto"/>
        <w:ind w:left="720"/>
        <w:rPr>
          <w:rFonts w:ascii="Arial" w:hAnsi="Arial" w:cs="Arial"/>
          <w:sz w:val="20"/>
          <w:szCs w:val="20"/>
        </w:rPr>
      </w:pPr>
      <w:r w:rsidRPr="00362647">
        <w:rPr>
          <w:rFonts w:ascii="Arial" w:hAnsi="Arial" w:cs="Arial"/>
          <w:sz w:val="20"/>
          <w:szCs w:val="20"/>
        </w:rPr>
        <w:t>If the patient would like to report to police at the present time, the SANE can facilitate that process.</w:t>
      </w:r>
    </w:p>
    <w:p w14:paraId="683D51B4" w14:textId="56C7E994" w:rsidR="00E822D7" w:rsidRPr="00A167E0" w:rsidRDefault="00E822D7" w:rsidP="00E455FE">
      <w:pPr>
        <w:pStyle w:val="ListParagraph"/>
        <w:numPr>
          <w:ilvl w:val="0"/>
          <w:numId w:val="9"/>
        </w:numPr>
        <w:spacing w:after="0" w:line="240" w:lineRule="auto"/>
        <w:ind w:left="720"/>
        <w:rPr>
          <w:rFonts w:ascii="Arial" w:hAnsi="Arial" w:cs="Arial"/>
          <w:sz w:val="20"/>
          <w:szCs w:val="20"/>
        </w:rPr>
      </w:pPr>
      <w:r w:rsidRPr="00A167E0">
        <w:rPr>
          <w:rFonts w:ascii="Arial" w:hAnsi="Arial" w:cs="Arial"/>
          <w:sz w:val="20"/>
          <w:szCs w:val="20"/>
        </w:rPr>
        <w:t>Medical care will be provided whether or not the patient gives permission for any evidence collection.</w:t>
      </w:r>
    </w:p>
    <w:p w14:paraId="2FB15626" w14:textId="60776FAD" w:rsidR="006E78CF" w:rsidRPr="00362647" w:rsidRDefault="006E78CF" w:rsidP="00E455FE">
      <w:pPr>
        <w:pStyle w:val="ListParagraph"/>
        <w:numPr>
          <w:ilvl w:val="0"/>
          <w:numId w:val="9"/>
        </w:numPr>
        <w:spacing w:after="0" w:line="240" w:lineRule="auto"/>
        <w:ind w:left="720"/>
        <w:rPr>
          <w:rFonts w:ascii="Arial" w:hAnsi="Arial" w:cs="Arial"/>
          <w:sz w:val="20"/>
          <w:szCs w:val="20"/>
        </w:rPr>
      </w:pPr>
      <w:r w:rsidRPr="00362647">
        <w:rPr>
          <w:rFonts w:ascii="Arial" w:hAnsi="Arial" w:cs="Arial"/>
          <w:sz w:val="20"/>
          <w:szCs w:val="20"/>
        </w:rPr>
        <w:t xml:space="preserve">The terms of kit storage </w:t>
      </w:r>
      <w:r w:rsidR="00A167E0">
        <w:rPr>
          <w:rFonts w:ascii="Arial" w:hAnsi="Arial" w:cs="Arial"/>
          <w:sz w:val="20"/>
          <w:szCs w:val="20"/>
        </w:rPr>
        <w:t xml:space="preserve">to ensure </w:t>
      </w:r>
      <w:r w:rsidRPr="00362647">
        <w:rPr>
          <w:rFonts w:ascii="Arial" w:hAnsi="Arial" w:cs="Arial"/>
          <w:sz w:val="20"/>
          <w:szCs w:val="20"/>
        </w:rPr>
        <w:t>the patient understands the roles of the Police and the Crime Lab with respect to the</w:t>
      </w:r>
      <w:r w:rsidR="009907D3">
        <w:rPr>
          <w:rFonts w:ascii="Arial" w:hAnsi="Arial" w:cs="Arial"/>
          <w:sz w:val="20"/>
          <w:szCs w:val="20"/>
        </w:rPr>
        <w:t xml:space="preserve"> transport and</w:t>
      </w:r>
      <w:r w:rsidRPr="00362647">
        <w:rPr>
          <w:rFonts w:ascii="Arial" w:hAnsi="Arial" w:cs="Arial"/>
          <w:sz w:val="20"/>
          <w:szCs w:val="20"/>
        </w:rPr>
        <w:t xml:space="preserve"> storage of evidence:</w:t>
      </w:r>
    </w:p>
    <w:p w14:paraId="4142CDFD" w14:textId="61043BED" w:rsidR="006E78CF" w:rsidRPr="00362647" w:rsidRDefault="006E78CF" w:rsidP="00E455FE">
      <w:pPr>
        <w:pStyle w:val="ListParagraph"/>
        <w:numPr>
          <w:ilvl w:val="0"/>
          <w:numId w:val="10"/>
        </w:numPr>
        <w:spacing w:after="0" w:line="240" w:lineRule="auto"/>
        <w:ind w:left="1080"/>
        <w:rPr>
          <w:rFonts w:ascii="Arial" w:hAnsi="Arial" w:cs="Arial"/>
          <w:sz w:val="20"/>
          <w:szCs w:val="20"/>
        </w:rPr>
      </w:pPr>
      <w:r w:rsidRPr="00362647">
        <w:rPr>
          <w:rFonts w:ascii="Arial" w:hAnsi="Arial" w:cs="Arial"/>
          <w:sz w:val="20"/>
          <w:szCs w:val="20"/>
        </w:rPr>
        <w:t xml:space="preserve">All evidence collection kits, </w:t>
      </w:r>
      <w:r w:rsidR="00CB458F">
        <w:rPr>
          <w:rFonts w:ascii="Arial" w:hAnsi="Arial" w:cs="Arial"/>
          <w:sz w:val="20"/>
          <w:szCs w:val="20"/>
        </w:rPr>
        <w:t>including Forms 2A, 2B, 3, 4, 5 and 6,</w:t>
      </w:r>
      <w:r w:rsidR="00A167E0">
        <w:rPr>
          <w:rFonts w:ascii="Arial" w:hAnsi="Arial" w:cs="Arial"/>
          <w:sz w:val="20"/>
          <w:szCs w:val="20"/>
        </w:rPr>
        <w:t xml:space="preserve"> </w:t>
      </w:r>
      <w:r w:rsidR="00840E90">
        <w:rPr>
          <w:rFonts w:ascii="Arial" w:hAnsi="Arial" w:cs="Arial"/>
          <w:sz w:val="20"/>
          <w:szCs w:val="20"/>
        </w:rPr>
        <w:t>and samples of physical evidence</w:t>
      </w:r>
      <w:r w:rsidRPr="00362647">
        <w:rPr>
          <w:rFonts w:ascii="Arial" w:hAnsi="Arial" w:cs="Arial"/>
          <w:sz w:val="20"/>
          <w:szCs w:val="20"/>
        </w:rPr>
        <w:t xml:space="preserve"> are sealed and given a specific MSAECK </w:t>
      </w:r>
      <w:r w:rsidR="00CB458F">
        <w:rPr>
          <w:rFonts w:ascii="Arial" w:hAnsi="Arial" w:cs="Arial"/>
          <w:sz w:val="20"/>
          <w:szCs w:val="20"/>
        </w:rPr>
        <w:t xml:space="preserve">barcode </w:t>
      </w:r>
      <w:r w:rsidRPr="00362647">
        <w:rPr>
          <w:rFonts w:ascii="Arial" w:hAnsi="Arial" w:cs="Arial"/>
          <w:sz w:val="20"/>
          <w:szCs w:val="20"/>
        </w:rPr>
        <w:t>number.</w:t>
      </w:r>
    </w:p>
    <w:p w14:paraId="5D5EAD47" w14:textId="3F729B51" w:rsidR="00041524" w:rsidRDefault="00CB458F" w:rsidP="00E455FE">
      <w:pPr>
        <w:pStyle w:val="ListParagraph"/>
        <w:numPr>
          <w:ilvl w:val="0"/>
          <w:numId w:val="10"/>
        </w:numPr>
        <w:spacing w:after="0" w:line="240" w:lineRule="auto"/>
        <w:ind w:left="1080"/>
        <w:rPr>
          <w:rFonts w:ascii="Arial" w:hAnsi="Arial" w:cs="Arial"/>
          <w:sz w:val="20"/>
          <w:szCs w:val="20"/>
        </w:rPr>
      </w:pPr>
      <w:r>
        <w:rPr>
          <w:rFonts w:ascii="Arial" w:hAnsi="Arial" w:cs="Arial"/>
          <w:sz w:val="20"/>
          <w:szCs w:val="20"/>
        </w:rPr>
        <w:t>In reported cases, p</w:t>
      </w:r>
      <w:r w:rsidRPr="00362647">
        <w:rPr>
          <w:rFonts w:ascii="Arial" w:hAnsi="Arial" w:cs="Arial"/>
          <w:sz w:val="20"/>
          <w:szCs w:val="20"/>
        </w:rPr>
        <w:t xml:space="preserve">olice </w:t>
      </w:r>
      <w:r w:rsidR="006E78CF" w:rsidRPr="00362647">
        <w:rPr>
          <w:rFonts w:ascii="Arial" w:hAnsi="Arial" w:cs="Arial"/>
          <w:sz w:val="20"/>
          <w:szCs w:val="20"/>
        </w:rPr>
        <w:t xml:space="preserve">transport sealed MSAECKs to the Boston or State Police Crime lab </w:t>
      </w:r>
      <w:r>
        <w:rPr>
          <w:rFonts w:ascii="Arial" w:hAnsi="Arial" w:cs="Arial"/>
          <w:sz w:val="20"/>
          <w:szCs w:val="20"/>
        </w:rPr>
        <w:t>for</w:t>
      </w:r>
      <w:r w:rsidR="006E78CF" w:rsidRPr="00362647">
        <w:rPr>
          <w:rFonts w:ascii="Arial" w:hAnsi="Arial" w:cs="Arial"/>
          <w:sz w:val="20"/>
          <w:szCs w:val="20"/>
        </w:rPr>
        <w:t xml:space="preserve"> analysis. Transport should occur in a timely manner</w:t>
      </w:r>
      <w:r>
        <w:rPr>
          <w:rFonts w:ascii="Arial" w:hAnsi="Arial" w:cs="Arial"/>
          <w:sz w:val="20"/>
          <w:szCs w:val="20"/>
        </w:rPr>
        <w:t>, and the current location of the MSAECK</w:t>
      </w:r>
      <w:r w:rsidR="00A167E0">
        <w:rPr>
          <w:rFonts w:ascii="Arial" w:hAnsi="Arial" w:cs="Arial"/>
          <w:sz w:val="20"/>
          <w:szCs w:val="20"/>
        </w:rPr>
        <w:t xml:space="preserve"> is </w:t>
      </w:r>
      <w:r>
        <w:rPr>
          <w:rFonts w:ascii="Arial" w:hAnsi="Arial" w:cs="Arial"/>
          <w:sz w:val="20"/>
          <w:szCs w:val="20"/>
        </w:rPr>
        <w:t>available to the patient through the Massachusetts TRACK Kit System.</w:t>
      </w:r>
    </w:p>
    <w:p w14:paraId="3BC6886D" w14:textId="4E58C9FA" w:rsidR="00041524" w:rsidRPr="00A167E0" w:rsidRDefault="00041524" w:rsidP="00E455FE">
      <w:pPr>
        <w:pStyle w:val="ListParagraph"/>
        <w:numPr>
          <w:ilvl w:val="0"/>
          <w:numId w:val="10"/>
        </w:numPr>
        <w:spacing w:after="0" w:line="240" w:lineRule="auto"/>
        <w:ind w:left="1080"/>
        <w:rPr>
          <w:rFonts w:ascii="Arial" w:hAnsi="Arial" w:cs="Arial"/>
          <w:sz w:val="20"/>
          <w:szCs w:val="20"/>
        </w:rPr>
      </w:pPr>
      <w:r w:rsidRPr="00A167E0">
        <w:rPr>
          <w:rFonts w:ascii="Arial" w:hAnsi="Arial" w:cs="Arial"/>
          <w:sz w:val="20"/>
          <w:szCs w:val="20"/>
        </w:rPr>
        <w:t xml:space="preserve">Adolescents &lt; 16 years should </w:t>
      </w:r>
      <w:r w:rsidRPr="00A167E0">
        <w:rPr>
          <w:rFonts w:ascii="Arial" w:hAnsi="Arial" w:cs="Arial"/>
          <w:noProof/>
          <w:sz w:val="20"/>
          <w:szCs w:val="20"/>
        </w:rPr>
        <w:t>be informed</w:t>
      </w:r>
      <w:r w:rsidRPr="00A167E0">
        <w:rPr>
          <w:rFonts w:ascii="Arial" w:hAnsi="Arial" w:cs="Arial"/>
          <w:sz w:val="20"/>
          <w:szCs w:val="20"/>
        </w:rPr>
        <w:t xml:space="preserve"> that their forensic evidence kit will be analyzed by the crime lab whether or not they choose </w:t>
      </w:r>
      <w:r w:rsidRPr="00A167E0">
        <w:rPr>
          <w:rFonts w:ascii="Arial" w:hAnsi="Arial" w:cs="Arial"/>
          <w:noProof/>
          <w:sz w:val="20"/>
          <w:szCs w:val="20"/>
        </w:rPr>
        <w:t>to report their assault to the police</w:t>
      </w:r>
      <w:r w:rsidRPr="00A167E0">
        <w:rPr>
          <w:rFonts w:ascii="Arial" w:hAnsi="Arial" w:cs="Arial"/>
          <w:sz w:val="20"/>
          <w:szCs w:val="20"/>
        </w:rPr>
        <w:t>.</w:t>
      </w:r>
    </w:p>
    <w:p w14:paraId="0EA553FA" w14:textId="77777777" w:rsidR="00A167E0" w:rsidRDefault="006E78CF" w:rsidP="00E455FE">
      <w:pPr>
        <w:pStyle w:val="ListParagraph"/>
        <w:numPr>
          <w:ilvl w:val="0"/>
          <w:numId w:val="10"/>
        </w:numPr>
        <w:spacing w:after="0" w:line="240" w:lineRule="auto"/>
        <w:ind w:left="1080"/>
        <w:rPr>
          <w:rFonts w:ascii="Arial" w:hAnsi="Arial" w:cs="Arial"/>
          <w:sz w:val="20"/>
          <w:szCs w:val="20"/>
        </w:rPr>
      </w:pPr>
      <w:r w:rsidRPr="00362647">
        <w:rPr>
          <w:rFonts w:ascii="Arial" w:hAnsi="Arial" w:cs="Arial"/>
          <w:sz w:val="20"/>
          <w:szCs w:val="20"/>
        </w:rPr>
        <w:t xml:space="preserve">If a patient does </w:t>
      </w:r>
      <w:r w:rsidRPr="00362647">
        <w:rPr>
          <w:rFonts w:ascii="Arial" w:hAnsi="Arial" w:cs="Arial"/>
          <w:b/>
          <w:sz w:val="20"/>
          <w:szCs w:val="20"/>
        </w:rPr>
        <w:t>not</w:t>
      </w:r>
      <w:r w:rsidRPr="00362647">
        <w:rPr>
          <w:rFonts w:ascii="Arial" w:hAnsi="Arial" w:cs="Arial"/>
          <w:sz w:val="20"/>
          <w:szCs w:val="20"/>
        </w:rPr>
        <w:t xml:space="preserve"> choose to report to police, their MSAECK is </w:t>
      </w:r>
      <w:r w:rsidR="00960947">
        <w:rPr>
          <w:rFonts w:ascii="Arial" w:hAnsi="Arial" w:cs="Arial"/>
          <w:sz w:val="20"/>
          <w:szCs w:val="20"/>
        </w:rPr>
        <w:t xml:space="preserve">identified only by </w:t>
      </w:r>
      <w:r w:rsidR="00A167E0">
        <w:rPr>
          <w:rFonts w:ascii="Arial" w:hAnsi="Arial" w:cs="Arial"/>
          <w:sz w:val="20"/>
          <w:szCs w:val="20"/>
        </w:rPr>
        <w:t>the</w:t>
      </w:r>
      <w:r w:rsidR="00960947">
        <w:rPr>
          <w:rFonts w:ascii="Arial" w:hAnsi="Arial" w:cs="Arial"/>
          <w:sz w:val="20"/>
          <w:szCs w:val="20"/>
        </w:rPr>
        <w:t xml:space="preserve"> kit</w:t>
      </w:r>
      <w:r w:rsidR="00A167E0">
        <w:rPr>
          <w:rFonts w:ascii="Arial" w:hAnsi="Arial" w:cs="Arial"/>
          <w:sz w:val="20"/>
          <w:szCs w:val="20"/>
        </w:rPr>
        <w:t>’s barcode</w:t>
      </w:r>
      <w:r w:rsidR="00960947">
        <w:rPr>
          <w:rFonts w:ascii="Arial" w:hAnsi="Arial" w:cs="Arial"/>
          <w:sz w:val="20"/>
          <w:szCs w:val="20"/>
        </w:rPr>
        <w:t xml:space="preserve"> number</w:t>
      </w:r>
      <w:r w:rsidRPr="00362647">
        <w:rPr>
          <w:rFonts w:ascii="Arial" w:hAnsi="Arial" w:cs="Arial"/>
          <w:sz w:val="20"/>
          <w:szCs w:val="20"/>
        </w:rPr>
        <w:t xml:space="preserve"> and not the patient’s name. As per Crime Justice Bill</w:t>
      </w:r>
      <w:r w:rsidR="00960947">
        <w:rPr>
          <w:rFonts w:ascii="Arial" w:hAnsi="Arial" w:cs="Arial"/>
          <w:sz w:val="20"/>
          <w:szCs w:val="20"/>
        </w:rPr>
        <w:t xml:space="preserve"> H4011 </w:t>
      </w:r>
      <w:r w:rsidRPr="00362647">
        <w:rPr>
          <w:rFonts w:ascii="Arial" w:hAnsi="Arial" w:cs="Arial"/>
          <w:sz w:val="20"/>
          <w:szCs w:val="20"/>
        </w:rPr>
        <w:t xml:space="preserve">enacted April 2018, </w:t>
      </w:r>
      <w:r w:rsidR="00960947">
        <w:rPr>
          <w:rFonts w:ascii="Arial" w:hAnsi="Arial" w:cs="Arial"/>
          <w:sz w:val="20"/>
          <w:szCs w:val="20"/>
        </w:rPr>
        <w:t>"n</w:t>
      </w:r>
      <w:r w:rsidRPr="00362647">
        <w:rPr>
          <w:rFonts w:ascii="Arial" w:hAnsi="Arial" w:cs="Arial"/>
          <w:sz w:val="20"/>
          <w:szCs w:val="20"/>
        </w:rPr>
        <w:t>on-investigatory kits shall be safely stored by law enforcement in a manner that preserves evidence for the duration of the statute of limitations for all sexual assault and rape cases</w:t>
      </w:r>
      <w:r w:rsidR="00960947">
        <w:rPr>
          <w:rFonts w:ascii="Arial" w:hAnsi="Arial" w:cs="Arial"/>
          <w:sz w:val="20"/>
          <w:szCs w:val="20"/>
        </w:rPr>
        <w:t>.</w:t>
      </w:r>
      <w:r w:rsidRPr="00362647">
        <w:rPr>
          <w:rFonts w:ascii="Arial" w:hAnsi="Arial" w:cs="Arial"/>
          <w:sz w:val="20"/>
          <w:szCs w:val="20"/>
        </w:rPr>
        <w:t>"</w:t>
      </w:r>
      <w:r w:rsidR="009907D3">
        <w:rPr>
          <w:rFonts w:ascii="Arial" w:hAnsi="Arial" w:cs="Arial"/>
          <w:sz w:val="20"/>
          <w:szCs w:val="20"/>
        </w:rPr>
        <w:t xml:space="preserve">  In unreported cases, the current location of the MSAECK is also available to the patient through the Massachusetts TRACK Kit System.</w:t>
      </w:r>
    </w:p>
    <w:p w14:paraId="6D695A17" w14:textId="7B5BDFCA" w:rsidR="003C1B3D" w:rsidRPr="00A167E0" w:rsidRDefault="003C1B3D" w:rsidP="00E455FE">
      <w:pPr>
        <w:pStyle w:val="ListParagraph"/>
        <w:numPr>
          <w:ilvl w:val="0"/>
          <w:numId w:val="10"/>
        </w:numPr>
        <w:spacing w:after="0" w:line="240" w:lineRule="auto"/>
        <w:ind w:left="1080"/>
        <w:rPr>
          <w:rFonts w:ascii="Arial" w:hAnsi="Arial" w:cs="Arial"/>
          <w:sz w:val="20"/>
          <w:szCs w:val="20"/>
        </w:rPr>
      </w:pPr>
      <w:r w:rsidRPr="00A167E0">
        <w:rPr>
          <w:rFonts w:ascii="Arial" w:hAnsi="Arial" w:cs="Arial"/>
          <w:sz w:val="20"/>
          <w:szCs w:val="20"/>
        </w:rPr>
        <w:t xml:space="preserve">ALL completed Toxicology Kits are transported to the State Police Crime Lab, where they are tested. </w:t>
      </w:r>
    </w:p>
    <w:p w14:paraId="30D73884" w14:textId="7B67DEEC" w:rsidR="003C1B3D" w:rsidRDefault="003C1B3D" w:rsidP="00E455FE">
      <w:pPr>
        <w:pStyle w:val="ListParagraph"/>
        <w:numPr>
          <w:ilvl w:val="0"/>
          <w:numId w:val="10"/>
        </w:numPr>
        <w:spacing w:after="0" w:line="240" w:lineRule="auto"/>
        <w:rPr>
          <w:rFonts w:ascii="Arial" w:hAnsi="Arial" w:cs="Arial"/>
          <w:sz w:val="20"/>
          <w:szCs w:val="20"/>
        </w:rPr>
      </w:pPr>
      <w:r>
        <w:rPr>
          <w:rFonts w:ascii="Arial" w:hAnsi="Arial" w:cs="Arial"/>
          <w:sz w:val="20"/>
          <w:szCs w:val="20"/>
        </w:rPr>
        <w:lastRenderedPageBreak/>
        <w:t>Toxicology results for reported cases are available to law enforcement and patients may obtain results by contacting law enforcement in the town where their assault occurred.</w:t>
      </w:r>
    </w:p>
    <w:p w14:paraId="461E0136" w14:textId="555E1B1F" w:rsidR="00AC0EC0" w:rsidRDefault="003C1B3D" w:rsidP="00E455FE">
      <w:pPr>
        <w:pStyle w:val="ListParagraph"/>
        <w:numPr>
          <w:ilvl w:val="1"/>
          <w:numId w:val="10"/>
        </w:numPr>
        <w:spacing w:after="0" w:line="240" w:lineRule="auto"/>
        <w:rPr>
          <w:rFonts w:ascii="Arial" w:hAnsi="Arial" w:cs="Arial"/>
          <w:sz w:val="20"/>
          <w:szCs w:val="20"/>
        </w:rPr>
      </w:pPr>
      <w:r>
        <w:rPr>
          <w:rFonts w:ascii="Arial" w:hAnsi="Arial" w:cs="Arial"/>
          <w:sz w:val="20"/>
          <w:szCs w:val="20"/>
        </w:rPr>
        <w:t xml:space="preserve">Toxicology Kits for unreported cases, are identified only by a Toxicology barcode </w:t>
      </w:r>
      <w:r w:rsidR="00A167E0">
        <w:rPr>
          <w:rFonts w:ascii="Arial" w:hAnsi="Arial" w:cs="Arial"/>
          <w:sz w:val="20"/>
          <w:szCs w:val="20"/>
        </w:rPr>
        <w:t>number</w:t>
      </w:r>
      <w:r>
        <w:rPr>
          <w:rFonts w:ascii="Arial" w:hAnsi="Arial" w:cs="Arial"/>
          <w:sz w:val="20"/>
          <w:szCs w:val="20"/>
        </w:rPr>
        <w:t xml:space="preserve"> </w:t>
      </w:r>
      <w:r w:rsidR="00A167E0">
        <w:rPr>
          <w:rFonts w:ascii="Arial" w:hAnsi="Arial" w:cs="Arial"/>
          <w:sz w:val="20"/>
          <w:szCs w:val="20"/>
        </w:rPr>
        <w:t xml:space="preserve">(MAT ###) </w:t>
      </w:r>
      <w:r>
        <w:rPr>
          <w:rFonts w:ascii="Arial" w:hAnsi="Arial" w:cs="Arial"/>
          <w:sz w:val="20"/>
          <w:szCs w:val="20"/>
        </w:rPr>
        <w:t xml:space="preserve">and patients can receive their results in unreported cases by calling the confidential, toll-free Statewide Toxicology Results Information line in approximately 12 weeks. </w:t>
      </w:r>
    </w:p>
    <w:p w14:paraId="64330407" w14:textId="4F2E3A20" w:rsidR="003C1B3D" w:rsidRDefault="003C1B3D" w:rsidP="00E455FE">
      <w:pPr>
        <w:pStyle w:val="ListParagraph"/>
        <w:numPr>
          <w:ilvl w:val="0"/>
          <w:numId w:val="10"/>
        </w:numPr>
        <w:spacing w:after="0" w:line="240" w:lineRule="auto"/>
        <w:rPr>
          <w:rFonts w:ascii="Arial" w:hAnsi="Arial" w:cs="Arial"/>
          <w:sz w:val="20"/>
          <w:szCs w:val="20"/>
        </w:rPr>
      </w:pPr>
      <w:r w:rsidRPr="00A167E0">
        <w:rPr>
          <w:rFonts w:ascii="Arial" w:hAnsi="Arial" w:cs="Arial"/>
          <w:sz w:val="20"/>
          <w:szCs w:val="20"/>
        </w:rPr>
        <w:t>(Review Form 7, Aftercare Instructions with patients for details)</w:t>
      </w:r>
    </w:p>
    <w:p w14:paraId="3B78C208" w14:textId="77777777" w:rsidR="00A167E0" w:rsidRPr="00A167E0" w:rsidRDefault="00A167E0" w:rsidP="00E455FE">
      <w:pPr>
        <w:pStyle w:val="ListParagraph"/>
        <w:spacing w:after="0" w:line="240" w:lineRule="auto"/>
        <w:ind w:left="2160"/>
        <w:rPr>
          <w:rFonts w:ascii="Arial" w:hAnsi="Arial" w:cs="Arial"/>
          <w:sz w:val="20"/>
          <w:szCs w:val="20"/>
        </w:rPr>
      </w:pPr>
    </w:p>
    <w:p w14:paraId="1B34E009" w14:textId="45CF0805" w:rsidR="00E822D7" w:rsidRPr="00A167E0" w:rsidRDefault="009907D3" w:rsidP="00E455FE">
      <w:pPr>
        <w:pStyle w:val="ListParagraph"/>
        <w:numPr>
          <w:ilvl w:val="0"/>
          <w:numId w:val="9"/>
        </w:numPr>
        <w:spacing w:after="0" w:line="240" w:lineRule="auto"/>
        <w:ind w:left="720"/>
        <w:rPr>
          <w:rFonts w:ascii="Arial" w:hAnsi="Arial" w:cs="Arial"/>
          <w:sz w:val="20"/>
          <w:szCs w:val="20"/>
        </w:rPr>
      </w:pPr>
      <w:r w:rsidRPr="003C1B3D">
        <w:rPr>
          <w:rFonts w:ascii="Arial" w:hAnsi="Arial" w:cs="Arial"/>
          <w:sz w:val="20"/>
          <w:szCs w:val="20"/>
        </w:rPr>
        <w:t>Upon discharge, all patients will be</w:t>
      </w:r>
      <w:r w:rsidRPr="00AC0EC0">
        <w:rPr>
          <w:rFonts w:ascii="Arial" w:hAnsi="Arial" w:cs="Arial"/>
          <w:sz w:val="20"/>
          <w:szCs w:val="20"/>
        </w:rPr>
        <w:t xml:space="preserve"> provided with a card containing their </w:t>
      </w:r>
      <w:r w:rsidR="00E822D7" w:rsidRPr="009907D3">
        <w:rPr>
          <w:rFonts w:ascii="Arial" w:hAnsi="Arial" w:cs="Arial"/>
          <w:sz w:val="20"/>
          <w:szCs w:val="20"/>
        </w:rPr>
        <w:t>containing their MA Sexual Assault Evidence Collection Kit (MSAECK)</w:t>
      </w:r>
      <w:r w:rsidRPr="009907D3">
        <w:rPr>
          <w:rFonts w:ascii="Arial" w:hAnsi="Arial" w:cs="Arial"/>
          <w:sz w:val="20"/>
          <w:szCs w:val="20"/>
        </w:rPr>
        <w:t xml:space="preserve"> barcode #</w:t>
      </w:r>
      <w:r w:rsidR="003C1B3D">
        <w:rPr>
          <w:rFonts w:ascii="Arial" w:hAnsi="Arial" w:cs="Arial"/>
          <w:sz w:val="20"/>
          <w:szCs w:val="20"/>
        </w:rPr>
        <w:t xml:space="preserve">, if appropriate a Toxicology Kit </w:t>
      </w:r>
      <w:r w:rsidR="00A167E0">
        <w:rPr>
          <w:rFonts w:ascii="Arial" w:hAnsi="Arial" w:cs="Arial"/>
          <w:sz w:val="20"/>
          <w:szCs w:val="20"/>
        </w:rPr>
        <w:t xml:space="preserve">barcode </w:t>
      </w:r>
      <w:r w:rsidR="003C1B3D">
        <w:rPr>
          <w:rFonts w:ascii="Arial" w:hAnsi="Arial" w:cs="Arial"/>
          <w:sz w:val="20"/>
          <w:szCs w:val="20"/>
        </w:rPr>
        <w:t>#</w:t>
      </w:r>
      <w:r w:rsidR="00A167E0">
        <w:rPr>
          <w:rFonts w:ascii="Arial" w:hAnsi="Arial" w:cs="Arial"/>
          <w:sz w:val="20"/>
          <w:szCs w:val="20"/>
        </w:rPr>
        <w:t xml:space="preserve"> (MAT ###)</w:t>
      </w:r>
      <w:r w:rsidR="003C1B3D">
        <w:rPr>
          <w:rFonts w:ascii="Arial" w:hAnsi="Arial" w:cs="Arial"/>
          <w:sz w:val="20"/>
          <w:szCs w:val="20"/>
        </w:rPr>
        <w:t xml:space="preserve">, </w:t>
      </w:r>
      <w:r w:rsidR="00B852A0" w:rsidRPr="009907D3">
        <w:rPr>
          <w:rFonts w:ascii="Arial" w:hAnsi="Arial" w:cs="Arial"/>
          <w:sz w:val="20"/>
          <w:szCs w:val="20"/>
        </w:rPr>
        <w:t>and</w:t>
      </w:r>
      <w:r w:rsidRPr="009907D3">
        <w:rPr>
          <w:rFonts w:ascii="Arial" w:hAnsi="Arial" w:cs="Arial"/>
          <w:sz w:val="20"/>
          <w:szCs w:val="20"/>
        </w:rPr>
        <w:t xml:space="preserve"> a</w:t>
      </w:r>
      <w:r w:rsidR="00B852A0" w:rsidRPr="009907D3">
        <w:rPr>
          <w:rFonts w:ascii="Arial" w:hAnsi="Arial" w:cs="Arial"/>
          <w:sz w:val="20"/>
          <w:szCs w:val="20"/>
        </w:rPr>
        <w:t xml:space="preserve"> temporary password</w:t>
      </w:r>
      <w:r w:rsidRPr="009907D3">
        <w:rPr>
          <w:rFonts w:ascii="Arial" w:hAnsi="Arial" w:cs="Arial"/>
          <w:sz w:val="20"/>
          <w:szCs w:val="20"/>
        </w:rPr>
        <w:t>.</w:t>
      </w:r>
      <w:r w:rsidR="00A167E0">
        <w:rPr>
          <w:rFonts w:ascii="Arial" w:hAnsi="Arial" w:cs="Arial"/>
          <w:sz w:val="20"/>
          <w:szCs w:val="20"/>
        </w:rPr>
        <w:t xml:space="preserve"> </w:t>
      </w:r>
      <w:r w:rsidR="00E822D7" w:rsidRPr="009907D3">
        <w:rPr>
          <w:rFonts w:ascii="Arial" w:hAnsi="Arial" w:cs="Arial"/>
          <w:sz w:val="20"/>
          <w:szCs w:val="20"/>
        </w:rPr>
        <w:t xml:space="preserve">This </w:t>
      </w:r>
      <w:r w:rsidR="00B852A0" w:rsidRPr="009907D3">
        <w:rPr>
          <w:rFonts w:ascii="Arial" w:hAnsi="Arial" w:cs="Arial"/>
          <w:sz w:val="20"/>
          <w:szCs w:val="20"/>
        </w:rPr>
        <w:t xml:space="preserve">information </w:t>
      </w:r>
      <w:r w:rsidR="00E822D7" w:rsidRPr="009907D3">
        <w:rPr>
          <w:rFonts w:ascii="Arial" w:hAnsi="Arial" w:cs="Arial"/>
          <w:sz w:val="20"/>
          <w:szCs w:val="20"/>
        </w:rPr>
        <w:t xml:space="preserve">will allow </w:t>
      </w:r>
      <w:r w:rsidR="00B852A0" w:rsidRPr="009907D3">
        <w:rPr>
          <w:rFonts w:ascii="Arial" w:hAnsi="Arial" w:cs="Arial"/>
          <w:sz w:val="20"/>
          <w:szCs w:val="20"/>
        </w:rPr>
        <w:t>the patient with</w:t>
      </w:r>
      <w:r w:rsidR="00E822D7" w:rsidRPr="009907D3">
        <w:rPr>
          <w:rFonts w:ascii="Arial" w:hAnsi="Arial" w:cs="Arial"/>
          <w:sz w:val="20"/>
          <w:szCs w:val="20"/>
        </w:rPr>
        <w:t xml:space="preserve"> access to the MA TRACK Kit system, where they can</w:t>
      </w:r>
      <w:r w:rsidRPr="009907D3">
        <w:rPr>
          <w:rFonts w:ascii="Arial" w:hAnsi="Arial" w:cs="Arial"/>
          <w:sz w:val="20"/>
          <w:szCs w:val="20"/>
        </w:rPr>
        <w:t xml:space="preserve"> change their password, and </w:t>
      </w:r>
      <w:r w:rsidR="00E822D7" w:rsidRPr="009907D3">
        <w:rPr>
          <w:rFonts w:ascii="Arial" w:hAnsi="Arial" w:cs="Arial"/>
          <w:sz w:val="20"/>
          <w:szCs w:val="20"/>
        </w:rPr>
        <w:t>track the physical location of their MSAECK</w:t>
      </w:r>
      <w:r w:rsidR="003C1B3D">
        <w:rPr>
          <w:rFonts w:ascii="Arial" w:hAnsi="Arial" w:cs="Arial"/>
          <w:sz w:val="20"/>
          <w:szCs w:val="20"/>
        </w:rPr>
        <w:t>/Toxicology Kit</w:t>
      </w:r>
      <w:r>
        <w:rPr>
          <w:rFonts w:ascii="Arial" w:hAnsi="Arial" w:cs="Arial"/>
          <w:sz w:val="20"/>
          <w:szCs w:val="20"/>
        </w:rPr>
        <w:t>.</w:t>
      </w:r>
    </w:p>
    <w:p w14:paraId="709E322F" w14:textId="77777777" w:rsidR="00A3096E" w:rsidRDefault="006E78CF" w:rsidP="00E455FE">
      <w:pPr>
        <w:pStyle w:val="ListParagraph"/>
        <w:numPr>
          <w:ilvl w:val="0"/>
          <w:numId w:val="9"/>
        </w:numPr>
        <w:spacing w:after="0" w:line="240" w:lineRule="auto"/>
        <w:ind w:left="720"/>
        <w:rPr>
          <w:rFonts w:ascii="Arial" w:hAnsi="Arial" w:cs="Arial"/>
          <w:sz w:val="20"/>
          <w:szCs w:val="20"/>
        </w:rPr>
      </w:pPr>
      <w:r w:rsidRPr="00362647">
        <w:rPr>
          <w:rFonts w:ascii="Arial" w:hAnsi="Arial" w:cs="Arial"/>
          <w:sz w:val="20"/>
          <w:szCs w:val="20"/>
        </w:rPr>
        <w:t xml:space="preserve">Provide the patient with the opportunity to ask questions and respond to any questions. </w:t>
      </w:r>
    </w:p>
    <w:p w14:paraId="4BB9559C" w14:textId="77777777" w:rsidR="000E093E" w:rsidRDefault="000E093E" w:rsidP="00E455FE">
      <w:pPr>
        <w:spacing w:after="0" w:line="240" w:lineRule="auto"/>
        <w:rPr>
          <w:rFonts w:ascii="Arial" w:hAnsi="Arial" w:cs="Arial"/>
          <w:sz w:val="20"/>
          <w:szCs w:val="20"/>
        </w:rPr>
      </w:pPr>
    </w:p>
    <w:p w14:paraId="20162DCC" w14:textId="77777777" w:rsidR="000E093E" w:rsidRDefault="000E093E" w:rsidP="00E455FE">
      <w:pPr>
        <w:spacing w:after="0" w:line="240" w:lineRule="auto"/>
        <w:rPr>
          <w:rFonts w:ascii="Arial" w:hAnsi="Arial" w:cs="Arial"/>
          <w:sz w:val="20"/>
          <w:szCs w:val="20"/>
        </w:rPr>
      </w:pPr>
    </w:p>
    <w:p w14:paraId="0DE7A2B6" w14:textId="77777777" w:rsidR="00A3096E" w:rsidRPr="00702324" w:rsidRDefault="00A3096E" w:rsidP="00E455FE">
      <w:pPr>
        <w:pStyle w:val="Level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color w:val="000000" w:themeColor="text1"/>
          <w:sz w:val="24"/>
          <w:szCs w:val="24"/>
        </w:rPr>
      </w:pPr>
      <w:r>
        <w:rPr>
          <w:rFonts w:ascii="Arial" w:hAnsi="Arial" w:cs="Arial"/>
          <w:webHidden/>
          <w:color w:val="000000" w:themeColor="text1"/>
          <w:sz w:val="24"/>
          <w:szCs w:val="24"/>
        </w:rPr>
        <w:t>CONSENT MODIFICATIONS BASED ON PATIENT STATUS</w:t>
      </w:r>
    </w:p>
    <w:p w14:paraId="0A59CB0E" w14:textId="77777777" w:rsidR="006E78CF" w:rsidRPr="00362647" w:rsidRDefault="006E78CF" w:rsidP="00E455FE">
      <w:pPr>
        <w:spacing w:after="0" w:line="240" w:lineRule="auto"/>
        <w:rPr>
          <w:rFonts w:ascii="Arial" w:hAnsi="Arial" w:cs="Arial"/>
          <w:b/>
          <w:sz w:val="20"/>
          <w:szCs w:val="20"/>
        </w:rPr>
      </w:pPr>
    </w:p>
    <w:p w14:paraId="31CF8EA3" w14:textId="77777777" w:rsidR="006E78CF" w:rsidRPr="00702324" w:rsidRDefault="006E78CF" w:rsidP="00E455FE">
      <w:pPr>
        <w:spacing w:after="0" w:line="240" w:lineRule="auto"/>
        <w:rPr>
          <w:rFonts w:ascii="Arial" w:hAnsi="Arial" w:cs="Arial"/>
          <w:b/>
          <w:u w:val="single"/>
        </w:rPr>
      </w:pPr>
      <w:r w:rsidRPr="00702324">
        <w:rPr>
          <w:rFonts w:ascii="Arial" w:hAnsi="Arial" w:cs="Arial"/>
          <w:b/>
          <w:u w:val="single"/>
        </w:rPr>
        <w:t>Patients with Intellectual</w:t>
      </w:r>
      <w:r w:rsidR="00702324" w:rsidRPr="00702324">
        <w:rPr>
          <w:rFonts w:ascii="Arial" w:hAnsi="Arial" w:cs="Arial"/>
          <w:b/>
          <w:u w:val="single"/>
        </w:rPr>
        <w:t>/Developmental</w:t>
      </w:r>
      <w:r w:rsidRPr="00702324">
        <w:rPr>
          <w:rFonts w:ascii="Arial" w:hAnsi="Arial" w:cs="Arial"/>
          <w:b/>
          <w:u w:val="single"/>
        </w:rPr>
        <w:t xml:space="preserve"> Disabilities </w:t>
      </w:r>
      <w:r w:rsidR="00702324" w:rsidRPr="00702324">
        <w:rPr>
          <w:rFonts w:ascii="Arial" w:hAnsi="Arial" w:cs="Arial"/>
          <w:b/>
          <w:u w:val="single"/>
        </w:rPr>
        <w:t>(I/DD)</w:t>
      </w:r>
    </w:p>
    <w:p w14:paraId="029FBFB0" w14:textId="77777777" w:rsidR="00702324" w:rsidRPr="000E093E" w:rsidRDefault="00702324" w:rsidP="00E455FE">
      <w:pPr>
        <w:spacing w:after="0" w:line="240" w:lineRule="auto"/>
        <w:rPr>
          <w:rFonts w:ascii="Arial" w:hAnsi="Arial" w:cs="Arial"/>
          <w:b/>
          <w:sz w:val="16"/>
          <w:szCs w:val="16"/>
        </w:rPr>
      </w:pPr>
    </w:p>
    <w:p w14:paraId="45896674" w14:textId="77777777" w:rsidR="006E78CF" w:rsidRPr="00362647" w:rsidRDefault="006E78CF" w:rsidP="00E455FE">
      <w:pPr>
        <w:spacing w:after="0" w:line="240" w:lineRule="auto"/>
        <w:rPr>
          <w:rFonts w:ascii="Arial" w:hAnsi="Arial" w:cs="Arial"/>
          <w:sz w:val="20"/>
          <w:szCs w:val="20"/>
        </w:rPr>
      </w:pPr>
      <w:r w:rsidRPr="00362647">
        <w:rPr>
          <w:rFonts w:ascii="Arial" w:hAnsi="Arial" w:cs="Arial"/>
          <w:sz w:val="20"/>
          <w:szCs w:val="20"/>
        </w:rPr>
        <w:t>In order to ensure patients with intellectual disabilities are treated with dignity and respect, the following approaches may be beneficial:</w:t>
      </w:r>
    </w:p>
    <w:p w14:paraId="432C4DBB" w14:textId="77777777" w:rsidR="006E78CF" w:rsidRPr="00362647" w:rsidRDefault="006E78CF" w:rsidP="00E455FE">
      <w:pPr>
        <w:pStyle w:val="ListParagraph"/>
        <w:numPr>
          <w:ilvl w:val="0"/>
          <w:numId w:val="11"/>
        </w:numPr>
        <w:spacing w:after="0" w:line="240" w:lineRule="auto"/>
        <w:ind w:left="360"/>
        <w:rPr>
          <w:rFonts w:ascii="Arial" w:hAnsi="Arial" w:cs="Arial"/>
          <w:sz w:val="20"/>
          <w:szCs w:val="20"/>
        </w:rPr>
      </w:pPr>
      <w:r w:rsidRPr="00362647">
        <w:rPr>
          <w:rFonts w:ascii="Arial" w:hAnsi="Arial" w:cs="Arial"/>
          <w:sz w:val="20"/>
          <w:szCs w:val="20"/>
        </w:rPr>
        <w:t>The SANE/hospital staff should provide adequate time for the consent process so the patient has sufficient time to ask questions, have questions answered, and communicate consent before the patient signs the consent document.</w:t>
      </w:r>
    </w:p>
    <w:p w14:paraId="15AEC465" w14:textId="77777777" w:rsidR="006E78CF" w:rsidRPr="00362647" w:rsidRDefault="00912EE2" w:rsidP="00E455FE">
      <w:pPr>
        <w:pStyle w:val="ListParagraph"/>
        <w:numPr>
          <w:ilvl w:val="0"/>
          <w:numId w:val="11"/>
        </w:numPr>
        <w:spacing w:after="0" w:line="240" w:lineRule="auto"/>
        <w:ind w:left="360"/>
        <w:rPr>
          <w:rFonts w:ascii="Arial" w:hAnsi="Arial" w:cs="Arial"/>
          <w:sz w:val="20"/>
          <w:szCs w:val="20"/>
        </w:rPr>
      </w:pPr>
      <w:r>
        <w:rPr>
          <w:rFonts w:ascii="Arial" w:hAnsi="Arial" w:cs="Arial"/>
          <w:sz w:val="20"/>
          <w:szCs w:val="20"/>
        </w:rPr>
        <w:t xml:space="preserve">The </w:t>
      </w:r>
      <w:r w:rsidR="006E78CF" w:rsidRPr="00362647">
        <w:rPr>
          <w:rFonts w:ascii="Arial" w:hAnsi="Arial" w:cs="Arial"/>
          <w:sz w:val="20"/>
          <w:szCs w:val="20"/>
        </w:rPr>
        <w:t>patient’s understanding may be indicated in many ways such as nodding their head, raising a hand, making a signal, or verbally answering questions.</w:t>
      </w:r>
    </w:p>
    <w:p w14:paraId="6CB118C7" w14:textId="77777777" w:rsidR="006E78CF" w:rsidRPr="00362647" w:rsidRDefault="006E78CF" w:rsidP="00E455FE">
      <w:pPr>
        <w:pStyle w:val="ListParagraph"/>
        <w:numPr>
          <w:ilvl w:val="0"/>
          <w:numId w:val="11"/>
        </w:numPr>
        <w:spacing w:after="0" w:line="240" w:lineRule="auto"/>
        <w:ind w:left="360"/>
        <w:rPr>
          <w:rFonts w:ascii="Arial" w:hAnsi="Arial" w:cs="Arial"/>
          <w:sz w:val="20"/>
          <w:szCs w:val="20"/>
        </w:rPr>
      </w:pPr>
      <w:r w:rsidRPr="00362647">
        <w:rPr>
          <w:rFonts w:ascii="Arial" w:hAnsi="Arial" w:cs="Arial"/>
          <w:sz w:val="20"/>
          <w:szCs w:val="20"/>
        </w:rPr>
        <w:t>Ask the patient to explain their understanding of any procedure described.</w:t>
      </w:r>
    </w:p>
    <w:p w14:paraId="61106C13" w14:textId="504DE9E7" w:rsidR="006E78CF" w:rsidRDefault="006E78CF" w:rsidP="00E455FE">
      <w:pPr>
        <w:pStyle w:val="ListParagraph"/>
        <w:numPr>
          <w:ilvl w:val="0"/>
          <w:numId w:val="11"/>
        </w:numPr>
        <w:spacing w:after="0" w:line="240" w:lineRule="auto"/>
        <w:ind w:left="360"/>
        <w:rPr>
          <w:rFonts w:ascii="Arial" w:hAnsi="Arial" w:cs="Arial"/>
          <w:sz w:val="20"/>
          <w:szCs w:val="20"/>
        </w:rPr>
      </w:pPr>
      <w:r w:rsidRPr="00362647">
        <w:rPr>
          <w:rFonts w:ascii="Arial" w:hAnsi="Arial" w:cs="Arial"/>
          <w:sz w:val="20"/>
          <w:szCs w:val="20"/>
        </w:rPr>
        <w:t>Persons with intellectual disabilities may not initially reveal the disability.</w:t>
      </w:r>
      <w:r w:rsidR="00912EE2">
        <w:rPr>
          <w:rFonts w:ascii="Arial" w:hAnsi="Arial" w:cs="Arial"/>
          <w:sz w:val="20"/>
          <w:szCs w:val="20"/>
        </w:rPr>
        <w:t xml:space="preserve"> </w:t>
      </w:r>
      <w:r w:rsidRPr="00362647">
        <w:rPr>
          <w:rFonts w:ascii="Arial" w:hAnsi="Arial" w:cs="Arial"/>
          <w:sz w:val="20"/>
          <w:szCs w:val="20"/>
        </w:rPr>
        <w:t>The SANE/hospital staff must develop a relationship of trust and respect with the patient so that the full extent of the patient’s disability can be revealed. Additionally, establishing trust with the patient reduces the chance the patient will feel intimidated.</w:t>
      </w:r>
    </w:p>
    <w:p w14:paraId="58131078" w14:textId="6466C635" w:rsidR="00E455FE" w:rsidRPr="00E455FE" w:rsidRDefault="00E455FE" w:rsidP="00E455FE">
      <w:pPr>
        <w:pStyle w:val="ListParagraph"/>
        <w:numPr>
          <w:ilvl w:val="0"/>
          <w:numId w:val="11"/>
        </w:numPr>
        <w:spacing w:after="0" w:line="240" w:lineRule="auto"/>
        <w:ind w:left="360"/>
        <w:rPr>
          <w:rFonts w:ascii="Arial" w:hAnsi="Arial" w:cs="Arial"/>
          <w:sz w:val="20"/>
          <w:szCs w:val="20"/>
        </w:rPr>
      </w:pPr>
      <w:r w:rsidRPr="00E455FE">
        <w:rPr>
          <w:rFonts w:ascii="Arial" w:hAnsi="Arial" w:cs="Arial"/>
          <w:sz w:val="20"/>
          <w:szCs w:val="20"/>
        </w:rPr>
        <w:t>Contact the Disabled Persons Protection Commission (DPPC)</w:t>
      </w:r>
      <w:r>
        <w:rPr>
          <w:rFonts w:ascii="Arial" w:hAnsi="Arial" w:cs="Arial"/>
          <w:sz w:val="20"/>
          <w:szCs w:val="20"/>
        </w:rPr>
        <w:t xml:space="preserve"> Hotline</w:t>
      </w:r>
      <w:r>
        <w:rPr>
          <w:rFonts w:ascii="Arial" w:eastAsia="Times New Roman" w:hAnsi="Arial" w:cs="Arial"/>
          <w:b/>
          <w:spacing w:val="-5"/>
          <w:sz w:val="20"/>
          <w:szCs w:val="20"/>
        </w:rPr>
        <w:t xml:space="preserve"> (</w:t>
      </w:r>
      <w:r w:rsidRPr="008E6E05">
        <w:rPr>
          <w:rFonts w:ascii="Arial" w:eastAsia="Times New Roman" w:hAnsi="Arial" w:cs="Arial"/>
          <w:b/>
          <w:spacing w:val="-5"/>
          <w:sz w:val="20"/>
          <w:szCs w:val="20"/>
        </w:rPr>
        <w:t>1-800-426-9009</w:t>
      </w:r>
      <w:r>
        <w:rPr>
          <w:rFonts w:ascii="Arial" w:eastAsia="Times New Roman" w:hAnsi="Arial" w:cs="Arial"/>
          <w:b/>
          <w:spacing w:val="-5"/>
          <w:sz w:val="20"/>
          <w:szCs w:val="20"/>
        </w:rPr>
        <w:t xml:space="preserve">) </w:t>
      </w:r>
      <w:r w:rsidRPr="00E455FE">
        <w:rPr>
          <w:rFonts w:ascii="Arial" w:hAnsi="Arial" w:cs="Arial"/>
          <w:sz w:val="20"/>
          <w:szCs w:val="20"/>
        </w:rPr>
        <w:t>for consent issues related to patients with disabilities who are unable to consent on their own.</w:t>
      </w:r>
    </w:p>
    <w:p w14:paraId="4E0EF064" w14:textId="77777777" w:rsidR="006E78CF" w:rsidRPr="00362647" w:rsidRDefault="006E78CF" w:rsidP="00E455FE">
      <w:pPr>
        <w:pStyle w:val="ListParagraph"/>
        <w:spacing w:after="0" w:line="240" w:lineRule="auto"/>
        <w:ind w:left="2160"/>
        <w:rPr>
          <w:rFonts w:ascii="Arial" w:hAnsi="Arial" w:cs="Arial"/>
          <w:sz w:val="20"/>
          <w:szCs w:val="20"/>
        </w:rPr>
      </w:pPr>
    </w:p>
    <w:p w14:paraId="2E28FDDA" w14:textId="77777777" w:rsidR="006E78CF" w:rsidRPr="00702324" w:rsidRDefault="006E78CF" w:rsidP="00E455FE">
      <w:pPr>
        <w:spacing w:after="0" w:line="240" w:lineRule="auto"/>
        <w:rPr>
          <w:rFonts w:ascii="Arial" w:hAnsi="Arial" w:cs="Arial"/>
          <w:b/>
          <w:u w:val="single"/>
        </w:rPr>
      </w:pPr>
      <w:r w:rsidRPr="00702324">
        <w:rPr>
          <w:rFonts w:ascii="Arial" w:hAnsi="Arial" w:cs="Arial"/>
          <w:b/>
          <w:u w:val="single"/>
        </w:rPr>
        <w:t xml:space="preserve">Patients with Mental </w:t>
      </w:r>
      <w:r w:rsidR="00702324" w:rsidRPr="00702324">
        <w:rPr>
          <w:rFonts w:ascii="Arial" w:hAnsi="Arial" w:cs="Arial"/>
          <w:b/>
          <w:u w:val="single"/>
        </w:rPr>
        <w:t>Health Challenges</w:t>
      </w:r>
    </w:p>
    <w:p w14:paraId="759F5FA5" w14:textId="77777777" w:rsidR="00702324" w:rsidRPr="000E093E" w:rsidRDefault="00702324" w:rsidP="00E455FE">
      <w:pPr>
        <w:spacing w:after="0" w:line="240" w:lineRule="auto"/>
        <w:rPr>
          <w:rFonts w:ascii="Arial" w:hAnsi="Arial" w:cs="Arial"/>
          <w:b/>
          <w:sz w:val="16"/>
          <w:szCs w:val="16"/>
        </w:rPr>
      </w:pPr>
    </w:p>
    <w:p w14:paraId="3617B99D" w14:textId="77777777" w:rsidR="00E455FE" w:rsidRDefault="006E78CF" w:rsidP="00E455FE">
      <w:pPr>
        <w:pStyle w:val="ListParagraph"/>
        <w:numPr>
          <w:ilvl w:val="0"/>
          <w:numId w:val="12"/>
        </w:numPr>
        <w:spacing w:after="0" w:line="240" w:lineRule="auto"/>
        <w:ind w:left="360"/>
        <w:rPr>
          <w:rFonts w:ascii="Arial" w:hAnsi="Arial" w:cs="Arial"/>
          <w:sz w:val="20"/>
          <w:szCs w:val="20"/>
        </w:rPr>
      </w:pPr>
      <w:r w:rsidRPr="00362647">
        <w:rPr>
          <w:rFonts w:ascii="Arial" w:hAnsi="Arial" w:cs="Arial"/>
          <w:sz w:val="20"/>
          <w:szCs w:val="20"/>
        </w:rPr>
        <w:t xml:space="preserve">Persons suffering from mental illness deserve the same dignified and respectful approach, used for </w:t>
      </w:r>
      <w:r w:rsidRPr="00E455FE">
        <w:rPr>
          <w:rFonts w:ascii="Arial" w:hAnsi="Arial" w:cs="Arial"/>
          <w:sz w:val="20"/>
          <w:szCs w:val="20"/>
        </w:rPr>
        <w:t xml:space="preserve">patients without such challenges. Patients with mental health issues may remain competent to give informed consent. </w:t>
      </w:r>
    </w:p>
    <w:p w14:paraId="547602A9" w14:textId="65F5C766" w:rsidR="006E78CF" w:rsidRDefault="006E78CF" w:rsidP="00E455FE">
      <w:pPr>
        <w:pStyle w:val="ListParagraph"/>
        <w:numPr>
          <w:ilvl w:val="0"/>
          <w:numId w:val="12"/>
        </w:numPr>
        <w:spacing w:after="0" w:line="240" w:lineRule="auto"/>
        <w:ind w:left="360"/>
        <w:rPr>
          <w:rFonts w:ascii="Arial" w:hAnsi="Arial" w:cs="Arial"/>
          <w:sz w:val="20"/>
          <w:szCs w:val="20"/>
        </w:rPr>
      </w:pPr>
      <w:r w:rsidRPr="00E455FE">
        <w:rPr>
          <w:rFonts w:ascii="Arial" w:hAnsi="Arial" w:cs="Arial"/>
          <w:sz w:val="20"/>
          <w:szCs w:val="20"/>
        </w:rPr>
        <w:t>A person with mental health issues may be admitted to the Emergency Department pursuant to an emergency restraint as a precautionary protective measure. A Section 12 restraint does not necessarily mean that the patient is incapable of giving consent for a SANE exam and evidence collection. When the patient is deemed medically safe and can cooperate with the exam</w:t>
      </w:r>
      <w:r w:rsidRPr="00CD02FD">
        <w:rPr>
          <w:rFonts w:ascii="Arial" w:hAnsi="Arial" w:cs="Arial"/>
          <w:sz w:val="20"/>
          <w:szCs w:val="20"/>
        </w:rPr>
        <w:t>,</w:t>
      </w:r>
      <w:r w:rsidR="00B852A0" w:rsidRPr="00CD02FD">
        <w:rPr>
          <w:rFonts w:ascii="Arial" w:hAnsi="Arial" w:cs="Arial"/>
          <w:sz w:val="20"/>
          <w:szCs w:val="20"/>
        </w:rPr>
        <w:t xml:space="preserve"> (</w:t>
      </w:r>
      <w:r w:rsidR="00E911BF">
        <w:rPr>
          <w:rFonts w:ascii="Arial" w:hAnsi="Arial" w:cs="Arial"/>
          <w:sz w:val="20"/>
          <w:szCs w:val="20"/>
        </w:rPr>
        <w:t>S</w:t>
      </w:r>
      <w:r w:rsidR="00B852A0" w:rsidRPr="00CD02FD">
        <w:rPr>
          <w:rFonts w:ascii="Arial" w:hAnsi="Arial" w:cs="Arial"/>
          <w:sz w:val="20"/>
          <w:szCs w:val="20"/>
        </w:rPr>
        <w:t xml:space="preserve">ee </w:t>
      </w:r>
      <w:r w:rsidR="00B852A0" w:rsidRPr="00EE4023">
        <w:rPr>
          <w:rFonts w:ascii="Arial" w:hAnsi="Arial" w:cs="Arial"/>
          <w:sz w:val="20"/>
          <w:szCs w:val="20"/>
        </w:rPr>
        <w:t>Appendix 3 – Patient Readiness for SANE Care</w:t>
      </w:r>
      <w:r w:rsidR="00EE4023">
        <w:rPr>
          <w:rFonts w:ascii="Arial" w:hAnsi="Arial" w:cs="Arial"/>
          <w:sz w:val="20"/>
          <w:szCs w:val="20"/>
        </w:rPr>
        <w:t xml:space="preserve"> (</w:t>
      </w:r>
      <w:hyperlink r:id="rId8" w:history="1">
        <w:r w:rsidR="00EE4023" w:rsidRPr="00EE4023">
          <w:rPr>
            <w:rStyle w:val="Hyperlink"/>
            <w:rFonts w:ascii="Arial" w:hAnsi="Arial" w:cs="Arial"/>
            <w:sz w:val="20"/>
            <w:szCs w:val="20"/>
          </w:rPr>
          <w:t>PDF</w:t>
        </w:r>
      </w:hyperlink>
      <w:r w:rsidR="00EE4023">
        <w:rPr>
          <w:rFonts w:ascii="Arial" w:hAnsi="Arial" w:cs="Arial"/>
          <w:sz w:val="20"/>
          <w:szCs w:val="20"/>
        </w:rPr>
        <w:t>) (</w:t>
      </w:r>
      <w:hyperlink r:id="rId9" w:history="1">
        <w:r w:rsidR="00EE4023" w:rsidRPr="00EE4023">
          <w:rPr>
            <w:rStyle w:val="Hyperlink"/>
            <w:rFonts w:ascii="Arial" w:hAnsi="Arial" w:cs="Arial"/>
            <w:sz w:val="20"/>
            <w:szCs w:val="20"/>
          </w:rPr>
          <w:t>DOC</w:t>
        </w:r>
      </w:hyperlink>
      <w:r w:rsidR="00EE4023">
        <w:rPr>
          <w:rFonts w:ascii="Arial" w:hAnsi="Arial" w:cs="Arial"/>
          <w:sz w:val="20"/>
          <w:szCs w:val="20"/>
        </w:rPr>
        <w:t>)</w:t>
      </w:r>
      <w:r w:rsidR="00B852A0" w:rsidRPr="00CD02FD">
        <w:rPr>
          <w:rFonts w:ascii="Arial" w:hAnsi="Arial" w:cs="Arial"/>
          <w:sz w:val="20"/>
          <w:szCs w:val="20"/>
        </w:rPr>
        <w:t xml:space="preserve">) </w:t>
      </w:r>
      <w:r w:rsidRPr="00E455FE">
        <w:rPr>
          <w:rFonts w:ascii="Arial" w:hAnsi="Arial" w:cs="Arial"/>
          <w:sz w:val="20"/>
          <w:szCs w:val="20"/>
        </w:rPr>
        <w:t xml:space="preserve">the SANE/hospital staff can proceed to obtain written patient consent using the </w:t>
      </w:r>
      <w:r w:rsidR="0034212C" w:rsidRPr="00E455FE">
        <w:rPr>
          <w:rFonts w:ascii="Arial" w:hAnsi="Arial" w:cs="Arial"/>
          <w:sz w:val="20"/>
          <w:szCs w:val="20"/>
        </w:rPr>
        <w:t xml:space="preserve">MSAECK Consent Form 1. </w:t>
      </w:r>
      <w:r w:rsidRPr="00E455FE">
        <w:rPr>
          <w:rFonts w:ascii="Arial" w:hAnsi="Arial" w:cs="Arial"/>
          <w:sz w:val="20"/>
          <w:szCs w:val="20"/>
        </w:rPr>
        <w:t xml:space="preserve"> </w:t>
      </w:r>
    </w:p>
    <w:p w14:paraId="4CB03287" w14:textId="1943EC7D" w:rsidR="00E455FE" w:rsidRDefault="00E455FE" w:rsidP="00E455FE">
      <w:pPr>
        <w:spacing w:after="0" w:line="240" w:lineRule="auto"/>
        <w:rPr>
          <w:rFonts w:ascii="Arial" w:hAnsi="Arial" w:cs="Arial"/>
          <w:sz w:val="20"/>
          <w:szCs w:val="20"/>
        </w:rPr>
      </w:pPr>
    </w:p>
    <w:p w14:paraId="057E22F3" w14:textId="77777777" w:rsidR="00A91C4C" w:rsidRDefault="00A91C4C">
      <w:pPr>
        <w:rPr>
          <w:rFonts w:ascii="Arial" w:hAnsi="Arial" w:cs="Arial"/>
          <w:b/>
          <w:u w:val="single"/>
        </w:rPr>
      </w:pPr>
      <w:r>
        <w:rPr>
          <w:rFonts w:ascii="Arial" w:hAnsi="Arial" w:cs="Arial"/>
          <w:b/>
          <w:u w:val="single"/>
        </w:rPr>
        <w:br w:type="page"/>
      </w:r>
    </w:p>
    <w:p w14:paraId="1837B099" w14:textId="61689DE4" w:rsidR="00E455FE" w:rsidRDefault="00ED1978" w:rsidP="00E455FE">
      <w:pPr>
        <w:spacing w:after="0" w:line="240" w:lineRule="auto"/>
        <w:rPr>
          <w:rFonts w:ascii="Arial" w:hAnsi="Arial" w:cs="Arial"/>
          <w:b/>
          <w:u w:val="single"/>
        </w:rPr>
      </w:pPr>
      <w:r>
        <w:rPr>
          <w:rFonts w:ascii="Arial" w:hAnsi="Arial" w:cs="Arial"/>
          <w:b/>
          <w:u w:val="single"/>
        </w:rPr>
        <w:lastRenderedPageBreak/>
        <w:t xml:space="preserve">Adolescent </w:t>
      </w:r>
      <w:r w:rsidR="006E78CF" w:rsidRPr="00284FDD">
        <w:rPr>
          <w:rFonts w:ascii="Arial" w:hAnsi="Arial" w:cs="Arial"/>
          <w:b/>
          <w:u w:val="single"/>
        </w:rPr>
        <w:t xml:space="preserve">Patients </w:t>
      </w:r>
      <w:r>
        <w:rPr>
          <w:rFonts w:ascii="Arial" w:hAnsi="Arial" w:cs="Arial"/>
          <w:b/>
          <w:u w:val="single"/>
        </w:rPr>
        <w:t>(</w:t>
      </w:r>
      <w:r w:rsidR="006E78CF" w:rsidRPr="00284FDD">
        <w:rPr>
          <w:rFonts w:ascii="Arial" w:hAnsi="Arial" w:cs="Arial"/>
          <w:b/>
          <w:u w:val="single"/>
        </w:rPr>
        <w:t>12 to 17 Years of Age</w:t>
      </w:r>
      <w:r>
        <w:rPr>
          <w:rFonts w:ascii="Arial" w:hAnsi="Arial" w:cs="Arial"/>
          <w:b/>
          <w:u w:val="single"/>
        </w:rPr>
        <w:t>)</w:t>
      </w:r>
      <w:r w:rsidR="00010DEC">
        <w:rPr>
          <w:rFonts w:ascii="Arial" w:hAnsi="Arial" w:cs="Arial"/>
          <w:b/>
          <w:u w:val="single"/>
        </w:rPr>
        <w:t xml:space="preserve"> </w:t>
      </w:r>
    </w:p>
    <w:p w14:paraId="4E50EFED" w14:textId="56D70B39" w:rsidR="006E78CF" w:rsidRPr="00E72973" w:rsidRDefault="00010DEC" w:rsidP="00E455FE">
      <w:pPr>
        <w:spacing w:after="0" w:line="240" w:lineRule="auto"/>
        <w:rPr>
          <w:rFonts w:ascii="Arial" w:hAnsi="Arial" w:cs="Arial"/>
          <w:b/>
          <w:sz w:val="20"/>
          <w:szCs w:val="20"/>
          <w:u w:val="single"/>
        </w:rPr>
      </w:pPr>
      <w:r w:rsidRPr="00E72973">
        <w:rPr>
          <w:rFonts w:ascii="Arial" w:hAnsi="Arial" w:cs="Arial"/>
          <w:b/>
          <w:sz w:val="20"/>
          <w:szCs w:val="20"/>
          <w:u w:val="single"/>
        </w:rPr>
        <w:t>(</w:t>
      </w:r>
      <w:r w:rsidR="00E455FE" w:rsidRPr="00E72973">
        <w:rPr>
          <w:rFonts w:ascii="Arial" w:hAnsi="Arial" w:cs="Arial"/>
          <w:b/>
          <w:sz w:val="20"/>
          <w:szCs w:val="20"/>
          <w:u w:val="single"/>
        </w:rPr>
        <w:t xml:space="preserve">Also </w:t>
      </w:r>
      <w:r w:rsidRPr="00E72973">
        <w:rPr>
          <w:rFonts w:ascii="Arial" w:hAnsi="Arial" w:cs="Arial"/>
          <w:b/>
          <w:sz w:val="20"/>
          <w:szCs w:val="20"/>
          <w:u w:val="single"/>
        </w:rPr>
        <w:t>see</w:t>
      </w:r>
      <w:r w:rsidR="00EE23D5" w:rsidRPr="00E72973">
        <w:rPr>
          <w:rFonts w:ascii="Arial" w:hAnsi="Arial" w:cs="Arial"/>
          <w:b/>
          <w:sz w:val="20"/>
          <w:szCs w:val="20"/>
          <w:u w:val="single"/>
        </w:rPr>
        <w:t xml:space="preserve"> </w:t>
      </w:r>
      <w:r w:rsidR="00EE23D5" w:rsidRPr="005D39F1">
        <w:rPr>
          <w:rFonts w:ascii="Arial" w:hAnsi="Arial" w:cs="Arial"/>
          <w:b/>
          <w:sz w:val="20"/>
          <w:szCs w:val="20"/>
        </w:rPr>
        <w:t>Section VI: Caring for Special Patient Populations</w:t>
      </w:r>
      <w:r w:rsidR="00B852A0" w:rsidRPr="005D39F1">
        <w:rPr>
          <w:rFonts w:ascii="Arial" w:hAnsi="Arial" w:cs="Arial"/>
          <w:b/>
          <w:sz w:val="20"/>
          <w:szCs w:val="20"/>
        </w:rPr>
        <w:t xml:space="preserve"> </w:t>
      </w:r>
      <w:r w:rsidR="005D39F1">
        <w:rPr>
          <w:rFonts w:ascii="Arial" w:hAnsi="Arial" w:cs="Arial"/>
          <w:b/>
          <w:sz w:val="20"/>
          <w:szCs w:val="20"/>
        </w:rPr>
        <w:t>–</w:t>
      </w:r>
      <w:r w:rsidR="00B852A0" w:rsidRPr="005D39F1">
        <w:rPr>
          <w:rFonts w:ascii="Arial" w:hAnsi="Arial" w:cs="Arial"/>
          <w:b/>
          <w:sz w:val="20"/>
          <w:szCs w:val="20"/>
        </w:rPr>
        <w:t xml:space="preserve"> Adolescents</w:t>
      </w:r>
      <w:r w:rsidR="005D39F1">
        <w:rPr>
          <w:rFonts w:ascii="Arial" w:hAnsi="Arial" w:cs="Arial"/>
          <w:b/>
          <w:sz w:val="20"/>
          <w:szCs w:val="20"/>
        </w:rPr>
        <w:t xml:space="preserve"> (</w:t>
      </w:r>
      <w:hyperlink r:id="rId10" w:history="1">
        <w:r w:rsidR="005D39F1" w:rsidRPr="00517C97">
          <w:rPr>
            <w:rStyle w:val="Hyperlink"/>
            <w:rFonts w:ascii="Arial" w:hAnsi="Arial" w:cs="Arial"/>
            <w:b/>
            <w:sz w:val="20"/>
            <w:szCs w:val="20"/>
          </w:rPr>
          <w:t>PDF</w:t>
        </w:r>
      </w:hyperlink>
      <w:r w:rsidR="005D39F1">
        <w:rPr>
          <w:rFonts w:ascii="Arial" w:hAnsi="Arial" w:cs="Arial"/>
          <w:b/>
          <w:sz w:val="20"/>
          <w:szCs w:val="20"/>
        </w:rPr>
        <w:t>) (</w:t>
      </w:r>
      <w:hyperlink r:id="rId11" w:history="1">
        <w:r w:rsidR="005D39F1" w:rsidRPr="0035251C">
          <w:rPr>
            <w:rStyle w:val="Hyperlink"/>
            <w:rFonts w:ascii="Arial" w:hAnsi="Arial" w:cs="Arial"/>
            <w:b/>
            <w:sz w:val="20"/>
            <w:szCs w:val="20"/>
          </w:rPr>
          <w:t>DOC</w:t>
        </w:r>
      </w:hyperlink>
      <w:r w:rsidR="005D39F1">
        <w:rPr>
          <w:rFonts w:ascii="Arial" w:hAnsi="Arial" w:cs="Arial"/>
          <w:b/>
          <w:sz w:val="20"/>
          <w:szCs w:val="20"/>
        </w:rPr>
        <w:t>)</w:t>
      </w:r>
      <w:r w:rsidR="00EE23D5" w:rsidRPr="00E72973">
        <w:rPr>
          <w:rFonts w:ascii="Arial" w:hAnsi="Arial" w:cs="Arial"/>
          <w:b/>
          <w:sz w:val="20"/>
          <w:szCs w:val="20"/>
          <w:u w:val="single"/>
        </w:rPr>
        <w:t>)</w:t>
      </w:r>
    </w:p>
    <w:p w14:paraId="12112B78" w14:textId="77777777" w:rsidR="00702324" w:rsidRPr="000E093E" w:rsidRDefault="00702324" w:rsidP="00E455FE">
      <w:pPr>
        <w:spacing w:after="0" w:line="240" w:lineRule="auto"/>
        <w:rPr>
          <w:rFonts w:ascii="Arial" w:hAnsi="Arial" w:cs="Arial"/>
          <w:b/>
          <w:sz w:val="16"/>
          <w:szCs w:val="16"/>
        </w:rPr>
      </w:pPr>
    </w:p>
    <w:p w14:paraId="37BD624D" w14:textId="77777777" w:rsidR="006E78CF" w:rsidRPr="00362647" w:rsidRDefault="006E78CF" w:rsidP="00E455FE">
      <w:pPr>
        <w:pStyle w:val="ListParagraph"/>
        <w:numPr>
          <w:ilvl w:val="0"/>
          <w:numId w:val="13"/>
        </w:numPr>
        <w:spacing w:after="0" w:line="240" w:lineRule="auto"/>
        <w:ind w:left="360"/>
        <w:rPr>
          <w:rFonts w:ascii="Arial" w:hAnsi="Arial" w:cs="Arial"/>
          <w:sz w:val="20"/>
          <w:szCs w:val="20"/>
        </w:rPr>
      </w:pPr>
      <w:r w:rsidRPr="00362647">
        <w:rPr>
          <w:rFonts w:ascii="Arial" w:hAnsi="Arial" w:cs="Arial"/>
          <w:sz w:val="20"/>
          <w:szCs w:val="20"/>
        </w:rPr>
        <w:t>A minor’s consent is sufficient without parent/guardian co-signature to provide medical care and evidence collection when he/she presents for emergency care within 5 days/120 hours following a sexual assault.</w:t>
      </w:r>
    </w:p>
    <w:p w14:paraId="7770F74A" w14:textId="2B7EA5D1" w:rsidR="006E78CF" w:rsidRDefault="006E78CF" w:rsidP="00E455FE">
      <w:pPr>
        <w:pStyle w:val="ListParagraph"/>
        <w:numPr>
          <w:ilvl w:val="0"/>
          <w:numId w:val="13"/>
        </w:numPr>
        <w:spacing w:after="0" w:line="240" w:lineRule="auto"/>
        <w:ind w:left="360"/>
        <w:rPr>
          <w:rFonts w:ascii="Arial" w:hAnsi="Arial" w:cs="Arial"/>
          <w:sz w:val="20"/>
          <w:szCs w:val="20"/>
        </w:rPr>
      </w:pPr>
      <w:r w:rsidRPr="00362647">
        <w:rPr>
          <w:rFonts w:ascii="Arial" w:hAnsi="Arial" w:cs="Arial"/>
          <w:sz w:val="20"/>
          <w:szCs w:val="20"/>
        </w:rPr>
        <w:t>Massachusetts law expressly provides instances such as exposure to sexually transmitted infections and risk of pregnancy as instances where persons under the age of 18 can consent for treatment pursuant to the “emergency treatment for minors” statute.</w:t>
      </w:r>
    </w:p>
    <w:p w14:paraId="7D3068C5" w14:textId="77777777" w:rsidR="006E78CF" w:rsidRPr="00054F66" w:rsidRDefault="006E78CF" w:rsidP="00E455FE">
      <w:pPr>
        <w:spacing w:after="0" w:line="240" w:lineRule="auto"/>
        <w:rPr>
          <w:rFonts w:ascii="Arial" w:hAnsi="Arial" w:cs="Arial"/>
          <w:b/>
          <w:u w:val="single"/>
        </w:rPr>
      </w:pPr>
      <w:r w:rsidRPr="00054F66">
        <w:rPr>
          <w:rFonts w:ascii="Arial" w:hAnsi="Arial" w:cs="Arial"/>
          <w:b/>
          <w:u w:val="single"/>
        </w:rPr>
        <w:t>Patients Under the Influence of Alcohol and/or Drugs</w:t>
      </w:r>
    </w:p>
    <w:p w14:paraId="45304EE5" w14:textId="77777777" w:rsidR="00054F66" w:rsidRPr="000E093E" w:rsidRDefault="00054F66" w:rsidP="00E455FE">
      <w:pPr>
        <w:spacing w:after="0" w:line="240" w:lineRule="auto"/>
        <w:rPr>
          <w:rFonts w:ascii="Arial" w:hAnsi="Arial" w:cs="Arial"/>
          <w:sz w:val="16"/>
          <w:szCs w:val="16"/>
        </w:rPr>
      </w:pPr>
    </w:p>
    <w:p w14:paraId="694F6E72" w14:textId="77777777" w:rsidR="006E78CF" w:rsidRPr="00362647" w:rsidRDefault="006E78CF" w:rsidP="00E455FE">
      <w:pPr>
        <w:spacing w:after="0" w:line="240" w:lineRule="auto"/>
        <w:rPr>
          <w:rFonts w:ascii="Arial" w:hAnsi="Arial" w:cs="Arial"/>
          <w:sz w:val="20"/>
          <w:szCs w:val="20"/>
        </w:rPr>
      </w:pPr>
      <w:r w:rsidRPr="00362647">
        <w:rPr>
          <w:rFonts w:ascii="Arial" w:hAnsi="Arial" w:cs="Arial"/>
          <w:sz w:val="20"/>
          <w:szCs w:val="20"/>
        </w:rPr>
        <w:t>A patient who is awake, alert, oriented to time, place, person, time, declared medically safe, and can cooperate is competent to give consent for SANE care and a forensic exam. A toxicology screen or alcohol level is not required for a patient to be deemed competent to consent for SANE care.</w:t>
      </w:r>
    </w:p>
    <w:p w14:paraId="0F83E463" w14:textId="77777777" w:rsidR="00B852A0" w:rsidRDefault="00B852A0" w:rsidP="00E455FE">
      <w:pPr>
        <w:spacing w:after="0" w:line="240" w:lineRule="auto"/>
        <w:rPr>
          <w:rFonts w:ascii="Arial" w:hAnsi="Arial" w:cs="Arial"/>
          <w:b/>
          <w:u w:val="single"/>
        </w:rPr>
      </w:pPr>
    </w:p>
    <w:p w14:paraId="50452F45" w14:textId="1BC27EB7" w:rsidR="006E78CF" w:rsidRPr="00054F66" w:rsidRDefault="006E78CF" w:rsidP="00E455FE">
      <w:pPr>
        <w:spacing w:after="0" w:line="240" w:lineRule="auto"/>
        <w:rPr>
          <w:rFonts w:ascii="Arial" w:hAnsi="Arial" w:cs="Arial"/>
          <w:b/>
          <w:u w:val="single"/>
        </w:rPr>
      </w:pPr>
      <w:r w:rsidRPr="00054F66">
        <w:rPr>
          <w:rFonts w:ascii="Arial" w:hAnsi="Arial" w:cs="Arial"/>
          <w:b/>
          <w:u w:val="single"/>
        </w:rPr>
        <w:t>Patients Unable to Give Consent</w:t>
      </w:r>
    </w:p>
    <w:p w14:paraId="09334E79" w14:textId="77777777" w:rsidR="00054F66" w:rsidRPr="000E093E" w:rsidRDefault="00054F66" w:rsidP="00E455FE">
      <w:pPr>
        <w:spacing w:after="0" w:line="240" w:lineRule="auto"/>
        <w:rPr>
          <w:rFonts w:ascii="Arial" w:hAnsi="Arial" w:cs="Arial"/>
          <w:b/>
          <w:sz w:val="16"/>
          <w:szCs w:val="16"/>
        </w:rPr>
      </w:pPr>
    </w:p>
    <w:p w14:paraId="10563AB9" w14:textId="77777777" w:rsidR="006E78CF" w:rsidRDefault="006E78CF" w:rsidP="00E455FE">
      <w:pPr>
        <w:spacing w:after="0" w:line="240" w:lineRule="auto"/>
        <w:rPr>
          <w:rFonts w:ascii="Arial" w:hAnsi="Arial" w:cs="Arial"/>
          <w:sz w:val="20"/>
          <w:szCs w:val="20"/>
        </w:rPr>
      </w:pPr>
      <w:r w:rsidRPr="00362647">
        <w:rPr>
          <w:rFonts w:ascii="Arial" w:hAnsi="Arial" w:cs="Arial"/>
          <w:sz w:val="20"/>
          <w:szCs w:val="20"/>
        </w:rPr>
        <w:t>In some instances there may be high suspicion that a sexual assault has occurred, but the patient may be unresponsive and unable to give consent. These instances may prompt an Administrative Consent option in the facility w</w:t>
      </w:r>
      <w:r w:rsidR="00EE23D5">
        <w:rPr>
          <w:rFonts w:ascii="Arial" w:hAnsi="Arial" w:cs="Arial"/>
          <w:sz w:val="20"/>
          <w:szCs w:val="20"/>
        </w:rPr>
        <w:t xml:space="preserve">here the SANE is providing care </w:t>
      </w:r>
      <w:r w:rsidR="00EE23D5" w:rsidRPr="009E7FEE">
        <w:rPr>
          <w:rFonts w:ascii="Arial" w:hAnsi="Arial" w:cs="Arial"/>
          <w:sz w:val="20"/>
          <w:szCs w:val="20"/>
        </w:rPr>
        <w:t>(</w:t>
      </w:r>
      <w:r w:rsidR="00EE23D5" w:rsidRPr="009E7FEE">
        <w:rPr>
          <w:rFonts w:ascii="Arial" w:hAnsi="Arial" w:cs="Arial"/>
          <w:spacing w:val="-3"/>
          <w:sz w:val="20"/>
          <w:szCs w:val="20"/>
        </w:rPr>
        <w:t>re</w:t>
      </w:r>
      <w:r w:rsidR="00EE23D5" w:rsidRPr="009E7FEE">
        <w:rPr>
          <w:rFonts w:ascii="Arial" w:hAnsi="Arial" w:cs="Arial"/>
          <w:webHidden/>
          <w:sz w:val="20"/>
          <w:szCs w:val="20"/>
        </w:rPr>
        <w:t>fer to Section V: Caring for Patients in the ICU/OR).</w:t>
      </w:r>
    </w:p>
    <w:p w14:paraId="5717789D" w14:textId="77777777" w:rsidR="00054F66" w:rsidRDefault="00054F66" w:rsidP="00E455FE">
      <w:pPr>
        <w:spacing w:after="0" w:line="240" w:lineRule="auto"/>
        <w:rPr>
          <w:rFonts w:ascii="Arial" w:hAnsi="Arial" w:cs="Arial"/>
          <w:sz w:val="20"/>
          <w:szCs w:val="20"/>
        </w:rPr>
      </w:pPr>
    </w:p>
    <w:p w14:paraId="3A7AFBB9" w14:textId="77777777" w:rsidR="00054F66" w:rsidRPr="00054F66" w:rsidRDefault="00054F66" w:rsidP="00E455FE">
      <w:pPr>
        <w:spacing w:after="0" w:line="240" w:lineRule="auto"/>
        <w:rPr>
          <w:rFonts w:ascii="Arial" w:hAnsi="Arial" w:cs="Arial"/>
          <w:b/>
          <w:u w:val="single"/>
        </w:rPr>
      </w:pPr>
      <w:r w:rsidRPr="00054F66">
        <w:rPr>
          <w:rFonts w:ascii="Arial" w:hAnsi="Arial" w:cs="Arial"/>
          <w:b/>
          <w:u w:val="single"/>
        </w:rPr>
        <w:t>Patients Who Do Not Give Consent</w:t>
      </w:r>
    </w:p>
    <w:p w14:paraId="1B17B623" w14:textId="77777777" w:rsidR="00054F66" w:rsidRPr="000E093E" w:rsidRDefault="00054F66" w:rsidP="00E455FE">
      <w:pPr>
        <w:spacing w:after="0" w:line="240" w:lineRule="auto"/>
        <w:rPr>
          <w:rFonts w:ascii="Arial" w:hAnsi="Arial" w:cs="Arial"/>
          <w:sz w:val="16"/>
          <w:szCs w:val="16"/>
        </w:rPr>
      </w:pPr>
    </w:p>
    <w:p w14:paraId="77B30C97" w14:textId="77777777" w:rsidR="006E78CF" w:rsidRPr="00010DEC" w:rsidRDefault="00054F66" w:rsidP="00E455FE">
      <w:pPr>
        <w:spacing w:after="0" w:line="240" w:lineRule="auto"/>
        <w:rPr>
          <w:rFonts w:ascii="Arial" w:hAnsi="Arial" w:cs="Arial"/>
          <w:sz w:val="20"/>
          <w:szCs w:val="20"/>
        </w:rPr>
      </w:pPr>
      <w:r w:rsidRPr="00362647">
        <w:rPr>
          <w:rFonts w:ascii="Arial" w:hAnsi="Arial" w:cs="Arial"/>
          <w:sz w:val="20"/>
          <w:szCs w:val="20"/>
        </w:rPr>
        <w:t xml:space="preserve">A SANE </w:t>
      </w:r>
      <w:r w:rsidRPr="00362647">
        <w:rPr>
          <w:rFonts w:ascii="Arial" w:hAnsi="Arial" w:cs="Arial"/>
          <w:b/>
          <w:sz w:val="20"/>
          <w:szCs w:val="20"/>
          <w:u w:val="single"/>
        </w:rPr>
        <w:t>will not</w:t>
      </w:r>
      <w:r w:rsidRPr="00362647">
        <w:rPr>
          <w:rFonts w:ascii="Arial" w:hAnsi="Arial" w:cs="Arial"/>
          <w:b/>
          <w:sz w:val="20"/>
          <w:szCs w:val="20"/>
        </w:rPr>
        <w:t xml:space="preserve"> </w:t>
      </w:r>
      <w:r w:rsidRPr="00362647">
        <w:rPr>
          <w:rFonts w:ascii="Arial" w:hAnsi="Arial" w:cs="Arial"/>
          <w:sz w:val="20"/>
          <w:szCs w:val="20"/>
        </w:rPr>
        <w:t xml:space="preserve">examine a patient who declines an exam. The SANE shall consult with the Primary Nurse and ED Physician regarding the appropriate medical management, including medications and follow-up care. The ED staff may wish to consult with the Social Service Department or Child Protection Team, if available. </w:t>
      </w:r>
    </w:p>
    <w:sectPr w:rsidR="006E78CF" w:rsidRPr="00010DEC" w:rsidSect="006F5E6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82F6" w14:textId="77777777" w:rsidR="00487C91" w:rsidRDefault="00487C91" w:rsidP="001B32B6">
      <w:pPr>
        <w:spacing w:after="0" w:line="240" w:lineRule="auto"/>
      </w:pPr>
      <w:r>
        <w:separator/>
      </w:r>
    </w:p>
  </w:endnote>
  <w:endnote w:type="continuationSeparator" w:id="0">
    <w:p w14:paraId="5BF16C0C" w14:textId="77777777" w:rsidR="00487C91" w:rsidRDefault="00487C91" w:rsidP="001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0B06" w14:textId="77777777" w:rsidR="00926CEE" w:rsidRDefault="0092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286D" w14:textId="4A312619" w:rsidR="001B32B6" w:rsidRPr="001B32B6" w:rsidRDefault="001B32B6" w:rsidP="001B32B6">
    <w:pPr>
      <w:pStyle w:val="Footer"/>
      <w:jc w:val="right"/>
      <w:rPr>
        <w:rFonts w:ascii="Times New Roman" w:hAnsi="Times New Roman" w:cs="Times New Roman"/>
        <w:sz w:val="18"/>
        <w:szCs w:val="18"/>
      </w:rPr>
    </w:pPr>
    <w:r>
      <w:rPr>
        <w:rFonts w:ascii="Times New Roman" w:hAnsi="Times New Roman" w:cs="Times New Roman"/>
        <w:sz w:val="18"/>
        <w:szCs w:val="18"/>
      </w:rPr>
      <w:t xml:space="preserve">MA SANE Program © </w:t>
    </w:r>
    <w:r w:rsidR="00EB6C19">
      <w:rPr>
        <w:rFonts w:ascii="Times New Roman" w:hAnsi="Times New Roman" w:cs="Times New Roman"/>
        <w:sz w:val="18"/>
        <w:szCs w:val="18"/>
      </w:rPr>
      <w:t>2019</w:t>
    </w:r>
    <w:r w:rsidR="00CB458F">
      <w:rPr>
        <w:rFonts w:ascii="Times New Roman" w:hAnsi="Times New Roman" w:cs="Times New Roman"/>
        <w:sz w:val="18"/>
        <w:szCs w:val="18"/>
      </w:rPr>
      <w:t xml:space="preserve"> updated 2022</w:t>
    </w:r>
    <w:r w:rsidRPr="001325A0">
      <w:rPr>
        <w:rFonts w:ascii="Times New Roman" w:hAnsi="Times New Roman" w:cs="Times New Roman"/>
        <w:sz w:val="18"/>
        <w:szCs w:val="18"/>
      </w:rPr>
      <w:tab/>
    </w:r>
    <w:r w:rsidRPr="001325A0">
      <w:rPr>
        <w:rFonts w:ascii="Times New Roman" w:hAnsi="Times New Roman" w:cs="Times New Roman"/>
        <w:sz w:val="18"/>
        <w:szCs w:val="18"/>
      </w:rPr>
      <w:tab/>
      <w:t xml:space="preserve"> </w:t>
    </w:r>
    <w:sdt>
      <w:sdtPr>
        <w:rPr>
          <w:rFonts w:ascii="Times New Roman" w:hAnsi="Times New Roman" w:cs="Times New Roman"/>
          <w:sz w:val="18"/>
          <w:szCs w:val="18"/>
        </w:rPr>
        <w:id w:val="2035529579"/>
        <w:docPartObj>
          <w:docPartGallery w:val="Page Numbers (Bottom of Page)"/>
          <w:docPartUnique/>
        </w:docPartObj>
      </w:sdtPr>
      <w:sdtEndPr>
        <w:rPr>
          <w:noProof/>
        </w:rPr>
      </w:sdtEndPr>
      <w:sdtContent>
        <w:r w:rsidR="006F5E6D" w:rsidRPr="006F5E6D">
          <w:rPr>
            <w:rFonts w:ascii="Times New Roman" w:hAnsi="Times New Roman" w:cs="Times New Roman"/>
            <w:sz w:val="18"/>
            <w:szCs w:val="18"/>
          </w:rPr>
          <w:fldChar w:fldCharType="begin"/>
        </w:r>
        <w:r w:rsidR="006F5E6D" w:rsidRPr="006F5E6D">
          <w:rPr>
            <w:rFonts w:ascii="Times New Roman" w:hAnsi="Times New Roman" w:cs="Times New Roman"/>
            <w:sz w:val="18"/>
            <w:szCs w:val="18"/>
          </w:rPr>
          <w:instrText xml:space="preserve"> PAGE   \* MERGEFORMAT </w:instrText>
        </w:r>
        <w:r w:rsidR="006F5E6D" w:rsidRPr="006F5E6D">
          <w:rPr>
            <w:rFonts w:ascii="Times New Roman" w:hAnsi="Times New Roman" w:cs="Times New Roman"/>
            <w:sz w:val="18"/>
            <w:szCs w:val="18"/>
          </w:rPr>
          <w:fldChar w:fldCharType="separate"/>
        </w:r>
        <w:r w:rsidR="006F5E6D" w:rsidRPr="006F5E6D">
          <w:rPr>
            <w:rFonts w:ascii="Times New Roman" w:hAnsi="Times New Roman" w:cs="Times New Roman"/>
            <w:noProof/>
            <w:sz w:val="18"/>
            <w:szCs w:val="18"/>
          </w:rPr>
          <w:t>1</w:t>
        </w:r>
        <w:r w:rsidR="006F5E6D" w:rsidRPr="006F5E6D">
          <w:rPr>
            <w:rFonts w:ascii="Times New Roman" w:hAnsi="Times New Roman" w:cs="Times New Roman"/>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73B6" w14:textId="77777777" w:rsidR="00926CEE" w:rsidRDefault="0092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98D3" w14:textId="77777777" w:rsidR="00487C91" w:rsidRDefault="00487C91" w:rsidP="001B32B6">
      <w:pPr>
        <w:spacing w:after="0" w:line="240" w:lineRule="auto"/>
      </w:pPr>
      <w:r>
        <w:separator/>
      </w:r>
    </w:p>
  </w:footnote>
  <w:footnote w:type="continuationSeparator" w:id="0">
    <w:p w14:paraId="4625DD62" w14:textId="77777777" w:rsidR="00487C91" w:rsidRDefault="00487C91" w:rsidP="001B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28A3" w14:textId="77777777" w:rsidR="00926CEE" w:rsidRDefault="0092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57A2" w14:textId="77777777" w:rsidR="001B32B6" w:rsidRPr="008E2FF0" w:rsidRDefault="001B32B6" w:rsidP="001B32B6">
    <w:pPr>
      <w:pStyle w:val="Header"/>
      <w:tabs>
        <w:tab w:val="clear" w:pos="4680"/>
        <w:tab w:val="clear" w:pos="9360"/>
      </w:tabs>
      <w:jc w:val="center"/>
      <w:rPr>
        <w:rFonts w:ascii="Times New Roman" w:hAnsi="Times New Roman" w:cs="Times New Roman"/>
        <w:sz w:val="26"/>
        <w:szCs w:val="26"/>
      </w:rPr>
    </w:pPr>
    <w:r w:rsidRPr="008E2FF0">
      <w:rPr>
        <w:rFonts w:ascii="Times New Roman" w:hAnsi="Times New Roman" w:cs="Times New Roman"/>
        <w:sz w:val="26"/>
        <w:szCs w:val="26"/>
      </w:rPr>
      <w:t>MASSACHUSETTS SEXUAL ASSAULT NURSE EXAMINER PROGRAM</w:t>
    </w:r>
  </w:p>
  <w:p w14:paraId="68A48D3C" w14:textId="1FAE5DBF" w:rsidR="001B32B6" w:rsidRPr="008E2FF0" w:rsidRDefault="001B32B6" w:rsidP="001B32B6">
    <w:pPr>
      <w:pStyle w:val="Header"/>
      <w:tabs>
        <w:tab w:val="clear" w:pos="4680"/>
        <w:tab w:val="clear" w:pos="9360"/>
      </w:tabs>
      <w:jc w:val="center"/>
      <w:rPr>
        <w:rFonts w:ascii="Times New Roman" w:hAnsi="Times New Roman" w:cs="Times New Roman"/>
        <w:b/>
        <w:sz w:val="26"/>
        <w:szCs w:val="26"/>
      </w:rPr>
    </w:pPr>
    <w:r w:rsidRPr="008E2FF0">
      <w:rPr>
        <w:rFonts w:ascii="Times New Roman" w:hAnsi="Times New Roman" w:cs="Times New Roman"/>
        <w:b/>
        <w:sz w:val="26"/>
        <w:szCs w:val="26"/>
      </w:rPr>
      <w:t>PROTOCOL FOR ADULT/ADOLESCENT SANEs</w:t>
    </w:r>
    <w:r w:rsidR="00CB458F">
      <w:rPr>
        <w:rFonts w:ascii="Times New Roman" w:hAnsi="Times New Roman" w:cs="Times New Roman"/>
        <w:b/>
        <w:sz w:val="26"/>
        <w:szCs w:val="26"/>
      </w:rPr>
      <w:t xml:space="preserve"> and EMERGENCY DEPARTMENT CLINICIANS</w:t>
    </w:r>
  </w:p>
  <w:p w14:paraId="0BCB1728" w14:textId="77777777" w:rsidR="001B32B6" w:rsidRDefault="001B32B6" w:rsidP="001B32B6">
    <w:pPr>
      <w:pStyle w:val="Header"/>
      <w:tabs>
        <w:tab w:val="clear" w:pos="4680"/>
        <w:tab w:val="clear" w:pos="9360"/>
      </w:tabs>
      <w:jc w:val="center"/>
      <w:rPr>
        <w:rFonts w:ascii="Times New Roman" w:hAnsi="Times New Roman" w:cs="Times New Roman"/>
        <w:sz w:val="10"/>
        <w:szCs w:val="10"/>
      </w:rPr>
    </w:pPr>
    <w:r>
      <w:rPr>
        <w:rFonts w:ascii="Times New Roman" w:hAnsi="Times New Roman" w:cs="Times New Roman"/>
        <w:noProof/>
        <w:sz w:val="10"/>
        <w:szCs w:val="10"/>
      </w:rPr>
      <mc:AlternateContent>
        <mc:Choice Requires="wps">
          <w:drawing>
            <wp:anchor distT="0" distB="0" distL="114300" distR="114300" simplePos="0" relativeHeight="251659264" behindDoc="0" locked="0" layoutInCell="1" allowOverlap="1" wp14:anchorId="2CE8659A" wp14:editId="6A8E9C16">
              <wp:simplePos x="0" y="0"/>
              <wp:positionH relativeFrom="column">
                <wp:posOffset>66675</wp:posOffset>
              </wp:positionH>
              <wp:positionV relativeFrom="paragraph">
                <wp:posOffset>48895</wp:posOffset>
              </wp:positionV>
              <wp:extent cx="537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2EE19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" strokecolor="black [3213]" strokeweight="1pt"/>
          </w:pict>
        </mc:Fallback>
      </mc:AlternateContent>
    </w:r>
  </w:p>
  <w:p w14:paraId="094423A4" w14:textId="77777777" w:rsidR="001B32B6" w:rsidRPr="001B32B6" w:rsidRDefault="001B32B6" w:rsidP="001B32B6">
    <w:pPr>
      <w:pStyle w:val="Header"/>
      <w:tabs>
        <w:tab w:val="clear" w:pos="4680"/>
        <w:tab w:val="clear" w:pos="9360"/>
      </w:tabs>
      <w:jc w:val="center"/>
      <w:rPr>
        <w:rFonts w:ascii="Times New Roman" w:hAnsi="Times New Roman" w:cs="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8FE8" w14:textId="77777777" w:rsidR="00926CEE" w:rsidRDefault="00926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DA6"/>
    <w:multiLevelType w:val="hybridMultilevel"/>
    <w:tmpl w:val="F4167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E1327"/>
    <w:multiLevelType w:val="hybridMultilevel"/>
    <w:tmpl w:val="B8E23E0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80C1CF9"/>
    <w:multiLevelType w:val="hybridMultilevel"/>
    <w:tmpl w:val="1A325A7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4B389B"/>
    <w:multiLevelType w:val="hybridMultilevel"/>
    <w:tmpl w:val="A4C47C3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4B74BC"/>
    <w:multiLevelType w:val="hybridMultilevel"/>
    <w:tmpl w:val="3650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24F9"/>
    <w:multiLevelType w:val="hybridMultilevel"/>
    <w:tmpl w:val="108066E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442062"/>
    <w:multiLevelType w:val="hybridMultilevel"/>
    <w:tmpl w:val="49A015AA"/>
    <w:lvl w:ilvl="0" w:tplc="04090005">
      <w:start w:val="1"/>
      <w:numFmt w:val="bullet"/>
      <w:lvlText w:val=""/>
      <w:lvlJc w:val="left"/>
      <w:pPr>
        <w:tabs>
          <w:tab w:val="num" w:pos="720"/>
        </w:tabs>
        <w:ind w:left="720" w:hanging="360"/>
      </w:pPr>
      <w:rPr>
        <w:rFonts w:ascii="Wingdings" w:hAnsi="Wingdings" w:hint="default"/>
      </w:rPr>
    </w:lvl>
    <w:lvl w:ilvl="1" w:tplc="C5DACA96">
      <w:start w:val="1"/>
      <w:numFmt w:val="bullet"/>
      <w:lvlText w:val="o"/>
      <w:lvlJc w:val="left"/>
      <w:pPr>
        <w:tabs>
          <w:tab w:val="num" w:pos="1440"/>
        </w:tabs>
        <w:ind w:left="1440" w:hanging="360"/>
      </w:pPr>
      <w:rPr>
        <w:rFonts w:ascii="Courier New" w:hAnsi="Courier New" w:hint="default"/>
      </w:rPr>
    </w:lvl>
    <w:lvl w:ilvl="2" w:tplc="944CCEA2">
      <w:start w:val="1"/>
      <w:numFmt w:val="bullet"/>
      <w:lvlText w:val=""/>
      <w:lvlJc w:val="left"/>
      <w:pPr>
        <w:tabs>
          <w:tab w:val="num" w:pos="2160"/>
        </w:tabs>
        <w:ind w:left="2160" w:hanging="360"/>
      </w:pPr>
      <w:rPr>
        <w:rFonts w:ascii="Wingdings" w:hAnsi="Wingdings" w:hint="default"/>
      </w:rPr>
    </w:lvl>
    <w:lvl w:ilvl="3" w:tplc="9D9E57AA" w:tentative="1">
      <w:start w:val="1"/>
      <w:numFmt w:val="bullet"/>
      <w:lvlText w:val=""/>
      <w:lvlJc w:val="left"/>
      <w:pPr>
        <w:tabs>
          <w:tab w:val="num" w:pos="2880"/>
        </w:tabs>
        <w:ind w:left="2880" w:hanging="360"/>
      </w:pPr>
      <w:rPr>
        <w:rFonts w:ascii="Symbol" w:hAnsi="Symbol" w:hint="default"/>
      </w:rPr>
    </w:lvl>
    <w:lvl w:ilvl="4" w:tplc="7070FE8C" w:tentative="1">
      <w:start w:val="1"/>
      <w:numFmt w:val="bullet"/>
      <w:lvlText w:val="o"/>
      <w:lvlJc w:val="left"/>
      <w:pPr>
        <w:tabs>
          <w:tab w:val="num" w:pos="3600"/>
        </w:tabs>
        <w:ind w:left="3600" w:hanging="360"/>
      </w:pPr>
      <w:rPr>
        <w:rFonts w:ascii="Courier New" w:hAnsi="Courier New" w:hint="default"/>
      </w:rPr>
    </w:lvl>
    <w:lvl w:ilvl="5" w:tplc="CFA6B73A" w:tentative="1">
      <w:start w:val="1"/>
      <w:numFmt w:val="bullet"/>
      <w:lvlText w:val=""/>
      <w:lvlJc w:val="left"/>
      <w:pPr>
        <w:tabs>
          <w:tab w:val="num" w:pos="4320"/>
        </w:tabs>
        <w:ind w:left="4320" w:hanging="360"/>
      </w:pPr>
      <w:rPr>
        <w:rFonts w:ascii="Wingdings" w:hAnsi="Wingdings" w:hint="default"/>
      </w:rPr>
    </w:lvl>
    <w:lvl w:ilvl="6" w:tplc="9D2C2174" w:tentative="1">
      <w:start w:val="1"/>
      <w:numFmt w:val="bullet"/>
      <w:lvlText w:val=""/>
      <w:lvlJc w:val="left"/>
      <w:pPr>
        <w:tabs>
          <w:tab w:val="num" w:pos="5040"/>
        </w:tabs>
        <w:ind w:left="5040" w:hanging="360"/>
      </w:pPr>
      <w:rPr>
        <w:rFonts w:ascii="Symbol" w:hAnsi="Symbol" w:hint="default"/>
      </w:rPr>
    </w:lvl>
    <w:lvl w:ilvl="7" w:tplc="D650495A" w:tentative="1">
      <w:start w:val="1"/>
      <w:numFmt w:val="bullet"/>
      <w:lvlText w:val="o"/>
      <w:lvlJc w:val="left"/>
      <w:pPr>
        <w:tabs>
          <w:tab w:val="num" w:pos="5760"/>
        </w:tabs>
        <w:ind w:left="5760" w:hanging="360"/>
      </w:pPr>
      <w:rPr>
        <w:rFonts w:ascii="Courier New" w:hAnsi="Courier New" w:hint="default"/>
      </w:rPr>
    </w:lvl>
    <w:lvl w:ilvl="8" w:tplc="930238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D13F56"/>
    <w:multiLevelType w:val="hybridMultilevel"/>
    <w:tmpl w:val="E006E0E6"/>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BB38E5"/>
    <w:multiLevelType w:val="hybridMultilevel"/>
    <w:tmpl w:val="87FEC506"/>
    <w:lvl w:ilvl="0" w:tplc="F6BE84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85A3C"/>
    <w:multiLevelType w:val="hybridMultilevel"/>
    <w:tmpl w:val="F33A8B84"/>
    <w:lvl w:ilvl="0" w:tplc="04090005">
      <w:start w:val="1"/>
      <w:numFmt w:val="bullet"/>
      <w:lvlText w:val=""/>
      <w:lvlJc w:val="left"/>
      <w:pPr>
        <w:tabs>
          <w:tab w:val="num" w:pos="0"/>
        </w:tabs>
        <w:ind w:firstLine="144"/>
      </w:pPr>
      <w:rPr>
        <w:rFonts w:ascii="Wingdings" w:hAnsi="Wingdings" w:hint="default"/>
      </w:rPr>
    </w:lvl>
    <w:lvl w:ilvl="1" w:tplc="187C8B0E">
      <w:start w:val="1"/>
      <w:numFmt w:val="bullet"/>
      <w:lvlText w:val="o"/>
      <w:lvlJc w:val="left"/>
      <w:pPr>
        <w:tabs>
          <w:tab w:val="num" w:pos="1440"/>
        </w:tabs>
        <w:ind w:left="1440" w:hanging="360"/>
      </w:pPr>
      <w:rPr>
        <w:rFonts w:ascii="Courier New" w:hAnsi="Courier New" w:hint="default"/>
      </w:rPr>
    </w:lvl>
    <w:lvl w:ilvl="2" w:tplc="040465AA">
      <w:start w:val="1"/>
      <w:numFmt w:val="bullet"/>
      <w:lvlText w:val=""/>
      <w:lvlJc w:val="left"/>
      <w:pPr>
        <w:tabs>
          <w:tab w:val="num" w:pos="2160"/>
        </w:tabs>
        <w:ind w:left="2160" w:hanging="360"/>
      </w:pPr>
      <w:rPr>
        <w:rFonts w:ascii="Wingdings" w:hAnsi="Wingdings" w:hint="default"/>
      </w:rPr>
    </w:lvl>
    <w:lvl w:ilvl="3" w:tplc="B6382B4A" w:tentative="1">
      <w:start w:val="1"/>
      <w:numFmt w:val="bullet"/>
      <w:lvlText w:val=""/>
      <w:lvlJc w:val="left"/>
      <w:pPr>
        <w:tabs>
          <w:tab w:val="num" w:pos="2880"/>
        </w:tabs>
        <w:ind w:left="2880" w:hanging="360"/>
      </w:pPr>
      <w:rPr>
        <w:rFonts w:ascii="Symbol" w:hAnsi="Symbol" w:hint="default"/>
      </w:rPr>
    </w:lvl>
    <w:lvl w:ilvl="4" w:tplc="3A30A75E" w:tentative="1">
      <w:start w:val="1"/>
      <w:numFmt w:val="bullet"/>
      <w:lvlText w:val="o"/>
      <w:lvlJc w:val="left"/>
      <w:pPr>
        <w:tabs>
          <w:tab w:val="num" w:pos="3600"/>
        </w:tabs>
        <w:ind w:left="3600" w:hanging="360"/>
      </w:pPr>
      <w:rPr>
        <w:rFonts w:ascii="Courier New" w:hAnsi="Courier New" w:hint="default"/>
      </w:rPr>
    </w:lvl>
    <w:lvl w:ilvl="5" w:tplc="6040086E" w:tentative="1">
      <w:start w:val="1"/>
      <w:numFmt w:val="bullet"/>
      <w:lvlText w:val=""/>
      <w:lvlJc w:val="left"/>
      <w:pPr>
        <w:tabs>
          <w:tab w:val="num" w:pos="4320"/>
        </w:tabs>
        <w:ind w:left="4320" w:hanging="360"/>
      </w:pPr>
      <w:rPr>
        <w:rFonts w:ascii="Wingdings" w:hAnsi="Wingdings" w:hint="default"/>
      </w:rPr>
    </w:lvl>
    <w:lvl w:ilvl="6" w:tplc="E1EE2156" w:tentative="1">
      <w:start w:val="1"/>
      <w:numFmt w:val="bullet"/>
      <w:lvlText w:val=""/>
      <w:lvlJc w:val="left"/>
      <w:pPr>
        <w:tabs>
          <w:tab w:val="num" w:pos="5040"/>
        </w:tabs>
        <w:ind w:left="5040" w:hanging="360"/>
      </w:pPr>
      <w:rPr>
        <w:rFonts w:ascii="Symbol" w:hAnsi="Symbol" w:hint="default"/>
      </w:rPr>
    </w:lvl>
    <w:lvl w:ilvl="7" w:tplc="4D6482A8" w:tentative="1">
      <w:start w:val="1"/>
      <w:numFmt w:val="bullet"/>
      <w:lvlText w:val="o"/>
      <w:lvlJc w:val="left"/>
      <w:pPr>
        <w:tabs>
          <w:tab w:val="num" w:pos="5760"/>
        </w:tabs>
        <w:ind w:left="5760" w:hanging="360"/>
      </w:pPr>
      <w:rPr>
        <w:rFonts w:ascii="Courier New" w:hAnsi="Courier New" w:hint="default"/>
      </w:rPr>
    </w:lvl>
    <w:lvl w:ilvl="8" w:tplc="FFE8FF6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FE1BD2"/>
    <w:multiLevelType w:val="hybridMultilevel"/>
    <w:tmpl w:val="007CF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D456D"/>
    <w:multiLevelType w:val="hybridMultilevel"/>
    <w:tmpl w:val="6E88D0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B031AF5"/>
    <w:multiLevelType w:val="hybridMultilevel"/>
    <w:tmpl w:val="4776FB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CA83CE6"/>
    <w:multiLevelType w:val="hybridMultilevel"/>
    <w:tmpl w:val="E2B84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437A6"/>
    <w:multiLevelType w:val="hybridMultilevel"/>
    <w:tmpl w:val="400EB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B66F9"/>
    <w:multiLevelType w:val="hybridMultilevel"/>
    <w:tmpl w:val="58680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B14A3"/>
    <w:multiLevelType w:val="hybridMultilevel"/>
    <w:tmpl w:val="6DD02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12DBE"/>
    <w:multiLevelType w:val="hybridMultilevel"/>
    <w:tmpl w:val="AF909B8E"/>
    <w:lvl w:ilvl="0" w:tplc="7A96395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808932012">
    <w:abstractNumId w:val="6"/>
  </w:num>
  <w:num w:numId="2" w16cid:durableId="1471174216">
    <w:abstractNumId w:val="9"/>
  </w:num>
  <w:num w:numId="3" w16cid:durableId="2147384088">
    <w:abstractNumId w:val="16"/>
  </w:num>
  <w:num w:numId="4" w16cid:durableId="134032440">
    <w:abstractNumId w:val="17"/>
  </w:num>
  <w:num w:numId="5" w16cid:durableId="1613321737">
    <w:abstractNumId w:val="15"/>
  </w:num>
  <w:num w:numId="6" w16cid:durableId="704796335">
    <w:abstractNumId w:val="14"/>
  </w:num>
  <w:num w:numId="7" w16cid:durableId="263731062">
    <w:abstractNumId w:val="10"/>
  </w:num>
  <w:num w:numId="8" w16cid:durableId="1793211410">
    <w:abstractNumId w:val="0"/>
  </w:num>
  <w:num w:numId="9" w16cid:durableId="1123965019">
    <w:abstractNumId w:val="7"/>
  </w:num>
  <w:num w:numId="10" w16cid:durableId="437407680">
    <w:abstractNumId w:val="11"/>
  </w:num>
  <w:num w:numId="11" w16cid:durableId="1232423521">
    <w:abstractNumId w:val="1"/>
  </w:num>
  <w:num w:numId="12" w16cid:durableId="1849052320">
    <w:abstractNumId w:val="3"/>
  </w:num>
  <w:num w:numId="13" w16cid:durableId="2100103703">
    <w:abstractNumId w:val="5"/>
  </w:num>
  <w:num w:numId="14" w16cid:durableId="1359115957">
    <w:abstractNumId w:val="4"/>
  </w:num>
  <w:num w:numId="15" w16cid:durableId="1373842855">
    <w:abstractNumId w:val="2"/>
  </w:num>
  <w:num w:numId="16" w16cid:durableId="2123375189">
    <w:abstractNumId w:val="13"/>
  </w:num>
  <w:num w:numId="17" w16cid:durableId="2060472452">
    <w:abstractNumId w:val="8"/>
  </w:num>
  <w:num w:numId="18" w16cid:durableId="1330015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B6"/>
    <w:rsid w:val="00010DEC"/>
    <w:rsid w:val="0002673B"/>
    <w:rsid w:val="00041524"/>
    <w:rsid w:val="00054F66"/>
    <w:rsid w:val="000C19A7"/>
    <w:rsid w:val="000E093E"/>
    <w:rsid w:val="000F00FE"/>
    <w:rsid w:val="000F7E13"/>
    <w:rsid w:val="0013122F"/>
    <w:rsid w:val="00144575"/>
    <w:rsid w:val="0016554E"/>
    <w:rsid w:val="00165628"/>
    <w:rsid w:val="00167BD3"/>
    <w:rsid w:val="001809AA"/>
    <w:rsid w:val="001900F2"/>
    <w:rsid w:val="001A1814"/>
    <w:rsid w:val="001B1528"/>
    <w:rsid w:val="001B32B6"/>
    <w:rsid w:val="001E0C53"/>
    <w:rsid w:val="00231591"/>
    <w:rsid w:val="00261C65"/>
    <w:rsid w:val="00267D40"/>
    <w:rsid w:val="00270743"/>
    <w:rsid w:val="00281F0B"/>
    <w:rsid w:val="0028330F"/>
    <w:rsid w:val="002846C9"/>
    <w:rsid w:val="00284FDD"/>
    <w:rsid w:val="00293B26"/>
    <w:rsid w:val="002A06BB"/>
    <w:rsid w:val="00301D7E"/>
    <w:rsid w:val="0034212C"/>
    <w:rsid w:val="0035251C"/>
    <w:rsid w:val="00395F39"/>
    <w:rsid w:val="003B3850"/>
    <w:rsid w:val="003B3F73"/>
    <w:rsid w:val="003C1B3D"/>
    <w:rsid w:val="00470F24"/>
    <w:rsid w:val="00487C91"/>
    <w:rsid w:val="004B1914"/>
    <w:rsid w:val="004F22F5"/>
    <w:rsid w:val="004F32E4"/>
    <w:rsid w:val="00517C97"/>
    <w:rsid w:val="005221A5"/>
    <w:rsid w:val="0052706E"/>
    <w:rsid w:val="00531E00"/>
    <w:rsid w:val="00555D61"/>
    <w:rsid w:val="00562C1A"/>
    <w:rsid w:val="00585270"/>
    <w:rsid w:val="005A0673"/>
    <w:rsid w:val="005A37CA"/>
    <w:rsid w:val="005A7610"/>
    <w:rsid w:val="005D39F1"/>
    <w:rsid w:val="005E2FFB"/>
    <w:rsid w:val="005F5E60"/>
    <w:rsid w:val="00654FA4"/>
    <w:rsid w:val="0065729D"/>
    <w:rsid w:val="00664753"/>
    <w:rsid w:val="0069585D"/>
    <w:rsid w:val="006979A9"/>
    <w:rsid w:val="006E4570"/>
    <w:rsid w:val="006E604E"/>
    <w:rsid w:val="006E78CF"/>
    <w:rsid w:val="006F46FC"/>
    <w:rsid w:val="006F5E6D"/>
    <w:rsid w:val="00702324"/>
    <w:rsid w:val="00707672"/>
    <w:rsid w:val="00722EC6"/>
    <w:rsid w:val="007345F9"/>
    <w:rsid w:val="00781291"/>
    <w:rsid w:val="00793326"/>
    <w:rsid w:val="007E6847"/>
    <w:rsid w:val="00840E90"/>
    <w:rsid w:val="00854B1B"/>
    <w:rsid w:val="00855796"/>
    <w:rsid w:val="008D35C7"/>
    <w:rsid w:val="008D42F8"/>
    <w:rsid w:val="00900D37"/>
    <w:rsid w:val="00907BB7"/>
    <w:rsid w:val="00912EE2"/>
    <w:rsid w:val="00926CEE"/>
    <w:rsid w:val="00960947"/>
    <w:rsid w:val="0098651F"/>
    <w:rsid w:val="009907D3"/>
    <w:rsid w:val="00990D87"/>
    <w:rsid w:val="009A2D14"/>
    <w:rsid w:val="009C15C8"/>
    <w:rsid w:val="009E54EB"/>
    <w:rsid w:val="009E7FEE"/>
    <w:rsid w:val="00A167E0"/>
    <w:rsid w:val="00A3096E"/>
    <w:rsid w:val="00A36073"/>
    <w:rsid w:val="00A652A2"/>
    <w:rsid w:val="00A909C1"/>
    <w:rsid w:val="00A91C4C"/>
    <w:rsid w:val="00AC0EC0"/>
    <w:rsid w:val="00B03FF9"/>
    <w:rsid w:val="00B77A8A"/>
    <w:rsid w:val="00B82E43"/>
    <w:rsid w:val="00B852A0"/>
    <w:rsid w:val="00BB3120"/>
    <w:rsid w:val="00BC0D30"/>
    <w:rsid w:val="00BD7EAB"/>
    <w:rsid w:val="00C15038"/>
    <w:rsid w:val="00C84F64"/>
    <w:rsid w:val="00C867FE"/>
    <w:rsid w:val="00CB458F"/>
    <w:rsid w:val="00CC2C7A"/>
    <w:rsid w:val="00CD02FD"/>
    <w:rsid w:val="00CD3FC9"/>
    <w:rsid w:val="00D034C9"/>
    <w:rsid w:val="00D81D98"/>
    <w:rsid w:val="00D82355"/>
    <w:rsid w:val="00DD7FA3"/>
    <w:rsid w:val="00DF27CB"/>
    <w:rsid w:val="00E1168B"/>
    <w:rsid w:val="00E3259B"/>
    <w:rsid w:val="00E4232D"/>
    <w:rsid w:val="00E455FE"/>
    <w:rsid w:val="00E53163"/>
    <w:rsid w:val="00E661F3"/>
    <w:rsid w:val="00E72973"/>
    <w:rsid w:val="00E822D7"/>
    <w:rsid w:val="00E911BF"/>
    <w:rsid w:val="00EB6C19"/>
    <w:rsid w:val="00ED1978"/>
    <w:rsid w:val="00EE23D5"/>
    <w:rsid w:val="00EE4023"/>
    <w:rsid w:val="00EF43F9"/>
    <w:rsid w:val="00F0064A"/>
    <w:rsid w:val="00F379F6"/>
    <w:rsid w:val="00F503C5"/>
    <w:rsid w:val="00F72FAC"/>
    <w:rsid w:val="00F75E77"/>
    <w:rsid w:val="00FF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B9A1"/>
  <w15:docId w15:val="{8AB4436E-1734-4678-AE75-D42B1324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B6"/>
  </w:style>
  <w:style w:type="paragraph" w:styleId="Heading1">
    <w:name w:val="heading 1"/>
    <w:basedOn w:val="Normal"/>
    <w:next w:val="Normal"/>
    <w:link w:val="Heading1Char"/>
    <w:uiPriority w:val="9"/>
    <w:qFormat/>
    <w:rsid w:val="000267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6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2673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267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67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2673B"/>
    <w:pPr>
      <w:keepNext/>
      <w:spacing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uiPriority w:val="9"/>
    <w:semiHidden/>
    <w:unhideWhenUsed/>
    <w:qFormat/>
    <w:rsid w:val="000267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1F"/>
    <w:pPr>
      <w:spacing w:after="0" w:line="240" w:lineRule="auto"/>
    </w:pPr>
  </w:style>
  <w:style w:type="character" w:customStyle="1" w:styleId="Heading1Char">
    <w:name w:val="Heading 1 Char"/>
    <w:basedOn w:val="DefaultParagraphFont"/>
    <w:link w:val="Heading1"/>
    <w:uiPriority w:val="9"/>
    <w:rsid w:val="0002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67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2673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67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67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2673B"/>
    <w:rPr>
      <w:rFonts w:ascii="Times New Roman" w:eastAsia="Times New Roman" w:hAnsi="Times New Roman" w:cs="Times New Roman"/>
      <w:sz w:val="28"/>
      <w:szCs w:val="20"/>
    </w:rPr>
  </w:style>
  <w:style w:type="character" w:customStyle="1" w:styleId="Heading9Char">
    <w:name w:val="Heading 9 Char"/>
    <w:basedOn w:val="DefaultParagraphFont"/>
    <w:link w:val="Heading9"/>
    <w:uiPriority w:val="9"/>
    <w:semiHidden/>
    <w:rsid w:val="000267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26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73B"/>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TOC2"/>
    <w:qFormat/>
    <w:rsid w:val="001B32B6"/>
    <w:pPr>
      <w:tabs>
        <w:tab w:val="right" w:pos="8630"/>
      </w:tabs>
      <w:spacing w:after="200"/>
      <w:ind w:left="0"/>
    </w:pPr>
    <w:rPr>
      <w:rFonts w:asciiTheme="majorHAnsi" w:hAnsiTheme="majorHAnsi" w:cs="Times New Roman"/>
      <w:b/>
      <w:bCs/>
      <w:smallCaps/>
    </w:rPr>
  </w:style>
  <w:style w:type="paragraph" w:styleId="ListParagraph">
    <w:name w:val="List Paragraph"/>
    <w:basedOn w:val="Normal"/>
    <w:uiPriority w:val="34"/>
    <w:qFormat/>
    <w:rsid w:val="001B32B6"/>
    <w:pPr>
      <w:ind w:left="720"/>
      <w:contextualSpacing/>
    </w:pPr>
  </w:style>
  <w:style w:type="character" w:styleId="CommentReference">
    <w:name w:val="annotation reference"/>
    <w:basedOn w:val="DefaultParagraphFont"/>
    <w:semiHidden/>
    <w:unhideWhenUsed/>
    <w:rsid w:val="001B32B6"/>
    <w:rPr>
      <w:sz w:val="16"/>
      <w:szCs w:val="16"/>
    </w:rPr>
  </w:style>
  <w:style w:type="paragraph" w:styleId="CommentText">
    <w:name w:val="annotation text"/>
    <w:basedOn w:val="Normal"/>
    <w:link w:val="CommentTextChar"/>
    <w:semiHidden/>
    <w:unhideWhenUsed/>
    <w:rsid w:val="001B32B6"/>
    <w:pPr>
      <w:spacing w:line="240" w:lineRule="auto"/>
    </w:pPr>
    <w:rPr>
      <w:sz w:val="20"/>
      <w:szCs w:val="20"/>
    </w:rPr>
  </w:style>
  <w:style w:type="character" w:customStyle="1" w:styleId="CommentTextChar">
    <w:name w:val="Comment Text Char"/>
    <w:basedOn w:val="DefaultParagraphFont"/>
    <w:link w:val="CommentText"/>
    <w:semiHidden/>
    <w:rsid w:val="001B32B6"/>
    <w:rPr>
      <w:sz w:val="20"/>
      <w:szCs w:val="20"/>
    </w:rPr>
  </w:style>
  <w:style w:type="paragraph" w:customStyle="1" w:styleId="BlockQuotation">
    <w:name w:val="Block Quotation"/>
    <w:basedOn w:val="Normal"/>
    <w:rsid w:val="001B32B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styleId="TOC2">
    <w:name w:val="toc 2"/>
    <w:basedOn w:val="Normal"/>
    <w:next w:val="Normal"/>
    <w:autoRedefine/>
    <w:uiPriority w:val="39"/>
    <w:semiHidden/>
    <w:unhideWhenUsed/>
    <w:rsid w:val="001B32B6"/>
    <w:pPr>
      <w:spacing w:after="100"/>
      <w:ind w:left="220"/>
    </w:pPr>
  </w:style>
  <w:style w:type="paragraph" w:styleId="BalloonText">
    <w:name w:val="Balloon Text"/>
    <w:basedOn w:val="Normal"/>
    <w:link w:val="BalloonTextChar"/>
    <w:uiPriority w:val="99"/>
    <w:semiHidden/>
    <w:unhideWhenUsed/>
    <w:rsid w:val="001B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B6"/>
    <w:rPr>
      <w:rFonts w:ascii="Tahoma" w:hAnsi="Tahoma" w:cs="Tahoma"/>
      <w:sz w:val="16"/>
      <w:szCs w:val="16"/>
    </w:rPr>
  </w:style>
  <w:style w:type="paragraph" w:styleId="Header">
    <w:name w:val="header"/>
    <w:basedOn w:val="Normal"/>
    <w:link w:val="HeaderChar"/>
    <w:uiPriority w:val="99"/>
    <w:unhideWhenUsed/>
    <w:rsid w:val="001B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2B6"/>
  </w:style>
  <w:style w:type="paragraph" w:styleId="Footer">
    <w:name w:val="footer"/>
    <w:basedOn w:val="Normal"/>
    <w:link w:val="FooterChar"/>
    <w:uiPriority w:val="99"/>
    <w:unhideWhenUsed/>
    <w:rsid w:val="001B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B6"/>
  </w:style>
  <w:style w:type="paragraph" w:styleId="CommentSubject">
    <w:name w:val="annotation subject"/>
    <w:basedOn w:val="CommentText"/>
    <w:next w:val="CommentText"/>
    <w:link w:val="CommentSubjectChar"/>
    <w:uiPriority w:val="99"/>
    <w:semiHidden/>
    <w:unhideWhenUsed/>
    <w:rsid w:val="00F0064A"/>
    <w:rPr>
      <w:b/>
      <w:bCs/>
    </w:rPr>
  </w:style>
  <w:style w:type="character" w:customStyle="1" w:styleId="CommentSubjectChar">
    <w:name w:val="Comment Subject Char"/>
    <w:basedOn w:val="CommentTextChar"/>
    <w:link w:val="CommentSubject"/>
    <w:uiPriority w:val="99"/>
    <w:semiHidden/>
    <w:rsid w:val="00F0064A"/>
    <w:rPr>
      <w:b/>
      <w:bCs/>
      <w:sz w:val="20"/>
      <w:szCs w:val="20"/>
    </w:rPr>
  </w:style>
  <w:style w:type="character" w:styleId="Hyperlink">
    <w:name w:val="Hyperlink"/>
    <w:basedOn w:val="DefaultParagraphFont"/>
    <w:uiPriority w:val="99"/>
    <w:unhideWhenUsed/>
    <w:rsid w:val="00EB6C19"/>
    <w:rPr>
      <w:color w:val="0000FF"/>
      <w:u w:val="single"/>
    </w:rPr>
  </w:style>
  <w:style w:type="character" w:styleId="UnresolvedMention">
    <w:name w:val="Unresolved Mention"/>
    <w:basedOn w:val="DefaultParagraphFont"/>
    <w:uiPriority w:val="99"/>
    <w:semiHidden/>
    <w:unhideWhenUsed/>
    <w:rsid w:val="00562C1A"/>
    <w:rPr>
      <w:color w:val="605E5C"/>
      <w:shd w:val="clear" w:color="auto" w:fill="E1DFDD"/>
    </w:rPr>
  </w:style>
  <w:style w:type="character" w:styleId="FollowedHyperlink">
    <w:name w:val="FollowedHyperlink"/>
    <w:basedOn w:val="DefaultParagraphFont"/>
    <w:uiPriority w:val="99"/>
    <w:semiHidden/>
    <w:unhideWhenUsed/>
    <w:rsid w:val="00395F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3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ppendix-3-assessing-patient-readiness-for-adultadolescent-sane-examination/downloa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sane-section-vi-caring-for-special-patient-populations/downlo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ss.gov/doc/sane-section-vi-caring-for-special-patient-populations-0/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appendix-3-assessing-patient-readiness-for-adultadolescent-sane-examination-0/downlo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A4935-4FC5-427D-AB87-616051A1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PROTOCOL FOR ADULT/ADOLESCENT SANEs and EMERGENCY DEPARTMENT CLINICIANS - Section IV: Obtaining Patient Consent</vt:lpstr>
    </vt:vector>
  </TitlesOfParts>
  <Company>EOHHS</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ADULT/ADOLESCENT SANEs and EMERGENCY DEPARTMENT CLINICIANS - Section IV: Obtaining Patient Consent</dc:title>
  <dc:subject>PROTOCOL FOR ADULT/ADOLESCENT SANEs and EMERGENCY DEPARTMENT CLINICIANS - Section IV: Obtaining Patient Consent</dc:subject>
  <dc:creator>MDPH - SANE Program</dc:creator>
  <dc:description/>
  <cp:lastModifiedBy>Tocco, Greg (DPH)</cp:lastModifiedBy>
  <cp:revision>26</cp:revision>
  <cp:lastPrinted>2022-04-14T20:01:00Z</cp:lastPrinted>
  <dcterms:created xsi:type="dcterms:W3CDTF">2022-02-26T19:56:00Z</dcterms:created>
  <dcterms:modified xsi:type="dcterms:W3CDTF">2022-09-12T16:43:00Z</dcterms:modified>
</cp:coreProperties>
</file>