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B357" w14:textId="36BBD14E" w:rsidR="0016082B" w:rsidRPr="0016082B" w:rsidRDefault="0016082B" w:rsidP="0016082B">
      <w:pPr>
        <w:shd w:val="clear" w:color="auto" w:fill="000000" w:themeFill="text1"/>
        <w:spacing w:before="300"/>
        <w:rPr>
          <w:b/>
          <w:bCs/>
          <w:sz w:val="28"/>
          <w:szCs w:val="28"/>
        </w:rPr>
      </w:pPr>
      <w:r w:rsidRPr="0016082B">
        <w:rPr>
          <w:b/>
          <w:bCs/>
          <w:sz w:val="28"/>
          <w:szCs w:val="28"/>
        </w:rPr>
        <w:t>SECTION VII</w:t>
      </w:r>
    </w:p>
    <w:p w14:paraId="7C47391B" w14:textId="77777777" w:rsidR="0016082B" w:rsidRPr="0016082B" w:rsidRDefault="0016082B" w:rsidP="0016082B">
      <w:pPr>
        <w:autoSpaceDE w:val="0"/>
        <w:autoSpaceDN w:val="0"/>
        <w:adjustRightInd w:val="0"/>
        <w:spacing w:after="0" w:line="240" w:lineRule="auto"/>
        <w:rPr>
          <w:rFonts w:cs="Arial"/>
          <w:color w:val="000000"/>
          <w:kern w:val="0"/>
        </w:rPr>
      </w:pPr>
    </w:p>
    <w:p w14:paraId="5366BFA9" w14:textId="748F7337" w:rsidR="0016082B" w:rsidRPr="0016082B" w:rsidRDefault="0016082B" w:rsidP="0016082B">
      <w:pPr>
        <w:autoSpaceDE w:val="0"/>
        <w:autoSpaceDN w:val="0"/>
        <w:adjustRightInd w:val="0"/>
        <w:spacing w:after="0" w:line="240" w:lineRule="auto"/>
        <w:rPr>
          <w:rFonts w:cs="Arial"/>
          <w:color w:val="000000"/>
          <w:kern w:val="0"/>
          <w:sz w:val="24"/>
          <w:szCs w:val="24"/>
        </w:rPr>
      </w:pPr>
      <w:r w:rsidRPr="0016082B">
        <w:rPr>
          <w:rFonts w:cs="Arial"/>
          <w:b/>
          <w:bCs/>
          <w:color w:val="000000"/>
          <w:kern w:val="0"/>
          <w:sz w:val="24"/>
          <w:szCs w:val="24"/>
        </w:rPr>
        <w:t>SEXUALLY TRANSMITTED INFECTIONS (STI</w:t>
      </w:r>
      <w:r w:rsidR="00B436AE">
        <w:rPr>
          <w:rFonts w:cs="Arial"/>
          <w:b/>
          <w:bCs/>
          <w:color w:val="000000"/>
          <w:kern w:val="0"/>
          <w:sz w:val="24"/>
          <w:szCs w:val="24"/>
        </w:rPr>
        <w:t>s</w:t>
      </w:r>
      <w:r w:rsidRPr="0016082B">
        <w:rPr>
          <w:rFonts w:cs="Arial"/>
          <w:b/>
          <w:bCs/>
          <w:color w:val="000000"/>
          <w:kern w:val="0"/>
          <w:sz w:val="24"/>
          <w:szCs w:val="24"/>
        </w:rPr>
        <w:t xml:space="preserve">) </w:t>
      </w:r>
    </w:p>
    <w:p w14:paraId="28497604" w14:textId="0944654A" w:rsidR="0016082B" w:rsidRPr="00DF7B45" w:rsidRDefault="0016082B" w:rsidP="0016082B">
      <w:pPr>
        <w:spacing w:after="0" w:line="240" w:lineRule="auto"/>
        <w:rPr>
          <w:rFonts w:cs="Arial"/>
          <w:color w:val="000000"/>
          <w:kern w:val="0"/>
        </w:rPr>
      </w:pPr>
      <w:r w:rsidRPr="00DF7B45">
        <w:rPr>
          <w:rFonts w:cs="Arial"/>
          <w:color w:val="000000"/>
          <w:kern w:val="0"/>
        </w:rPr>
        <w:t>A primary concern for most patients who have experienced a sexual assault is contracting Sexually Transmitted Infections (STIs). SANEs should provide anticipatory guidance and education about testing and treatment for STIs as recommended by the MA Department of Public Health (MDPH), Center for Disease (CDC) STI 2021 guidelines, and the CDC nPEP 2025 recommendations.</w:t>
      </w:r>
    </w:p>
    <w:p w14:paraId="19A379BF" w14:textId="77777777" w:rsidR="0016082B" w:rsidRDefault="0016082B" w:rsidP="0016082B">
      <w:pPr>
        <w:spacing w:after="0" w:line="240" w:lineRule="auto"/>
        <w:rPr>
          <w:rFonts w:cs="Arial"/>
          <w:color w:val="000000"/>
          <w:kern w:val="0"/>
          <w:sz w:val="20"/>
          <w:szCs w:val="20"/>
        </w:rPr>
      </w:pPr>
    </w:p>
    <w:tbl>
      <w:tblPr>
        <w:tblStyle w:val="TableGrid"/>
        <w:tblW w:w="0" w:type="auto"/>
        <w:tblLook w:val="04A0" w:firstRow="1" w:lastRow="0" w:firstColumn="1" w:lastColumn="0" w:noHBand="0" w:noVBand="1"/>
      </w:tblPr>
      <w:tblGrid>
        <w:gridCol w:w="10790"/>
      </w:tblGrid>
      <w:tr w:rsidR="0016082B" w14:paraId="2298DFBC" w14:textId="77777777" w:rsidTr="00DF7B45">
        <w:tc>
          <w:tcPr>
            <w:tcW w:w="11016" w:type="dxa"/>
            <w:shd w:val="clear" w:color="auto" w:fill="FFFFCC"/>
          </w:tcPr>
          <w:p w14:paraId="4021EDED" w14:textId="77777777" w:rsidR="0016082B" w:rsidRPr="000E0C69" w:rsidRDefault="0016082B" w:rsidP="000E0C69">
            <w:pPr>
              <w:spacing w:before="100"/>
              <w:jc w:val="center"/>
              <w:rPr>
                <w:rFonts w:cs="Arial"/>
                <w:b/>
                <w:bCs/>
                <w:color w:val="000000"/>
                <w:kern w:val="0"/>
                <w:sz w:val="20"/>
                <w:szCs w:val="20"/>
                <w:u w:val="single"/>
              </w:rPr>
            </w:pPr>
            <w:r w:rsidRPr="000E0C69">
              <w:rPr>
                <w:rFonts w:cs="Arial"/>
                <w:b/>
                <w:bCs/>
                <w:color w:val="000000"/>
                <w:kern w:val="0"/>
                <w:sz w:val="20"/>
                <w:szCs w:val="20"/>
                <w:u w:val="single"/>
              </w:rPr>
              <w:t>Patient Education</w:t>
            </w:r>
          </w:p>
          <w:p w14:paraId="00C9898D" w14:textId="77777777" w:rsidR="0016082B" w:rsidRPr="0016082B" w:rsidRDefault="0016082B" w:rsidP="0016082B">
            <w:pPr>
              <w:autoSpaceDE w:val="0"/>
              <w:autoSpaceDN w:val="0"/>
              <w:adjustRightInd w:val="0"/>
              <w:rPr>
                <w:rFonts w:cs="Arial"/>
                <w:color w:val="000000"/>
                <w:kern w:val="0"/>
                <w:sz w:val="20"/>
                <w:szCs w:val="20"/>
              </w:rPr>
            </w:pPr>
          </w:p>
          <w:p w14:paraId="4EAE88EA" w14:textId="77A90C5B" w:rsidR="0016082B" w:rsidRPr="000E0C69" w:rsidRDefault="0016082B" w:rsidP="0016082B">
            <w:pPr>
              <w:pStyle w:val="ListParagraph"/>
              <w:numPr>
                <w:ilvl w:val="0"/>
                <w:numId w:val="1"/>
              </w:numPr>
              <w:autoSpaceDE w:val="0"/>
              <w:autoSpaceDN w:val="0"/>
              <w:adjustRightInd w:val="0"/>
              <w:rPr>
                <w:rFonts w:cs="Arial"/>
                <w:color w:val="000000"/>
                <w:kern w:val="0"/>
                <w:sz w:val="20"/>
                <w:szCs w:val="20"/>
              </w:rPr>
            </w:pPr>
            <w:r w:rsidRPr="000E0C69">
              <w:rPr>
                <w:rFonts w:cs="Arial"/>
                <w:color w:val="000000"/>
                <w:kern w:val="0"/>
                <w:sz w:val="20"/>
                <w:szCs w:val="20"/>
              </w:rPr>
              <w:t xml:space="preserve">Educate the patient about the possibility and risks of disease transmission as indicated by the specific details of the assault described by the patient. </w:t>
            </w:r>
          </w:p>
          <w:p w14:paraId="18C756AC" w14:textId="77FA63B7" w:rsidR="0016082B" w:rsidRPr="000E0C69" w:rsidRDefault="0016082B" w:rsidP="0016082B">
            <w:pPr>
              <w:pStyle w:val="ListParagraph"/>
              <w:numPr>
                <w:ilvl w:val="0"/>
                <w:numId w:val="1"/>
              </w:numPr>
              <w:autoSpaceDE w:val="0"/>
              <w:autoSpaceDN w:val="0"/>
              <w:adjustRightInd w:val="0"/>
              <w:rPr>
                <w:rFonts w:cs="Arial"/>
                <w:color w:val="000000"/>
                <w:kern w:val="0"/>
                <w:sz w:val="20"/>
                <w:szCs w:val="20"/>
              </w:rPr>
            </w:pPr>
            <w:r w:rsidRPr="000E0C69">
              <w:rPr>
                <w:rFonts w:cs="Arial"/>
                <w:color w:val="000000"/>
                <w:kern w:val="0"/>
                <w:sz w:val="20"/>
                <w:szCs w:val="20"/>
              </w:rPr>
              <w:t xml:space="preserve">STI testing within 5 days of a sexual assault may be testing for exposure to an STI that occurred </w:t>
            </w:r>
            <w:r w:rsidR="000805E6" w:rsidRPr="000805E6">
              <w:rPr>
                <w:rFonts w:cs="Arial"/>
                <w:color w:val="000000"/>
                <w:kern w:val="0"/>
                <w:sz w:val="20"/>
                <w:szCs w:val="20"/>
                <w:u w:val="single"/>
              </w:rPr>
              <w:t>before</w:t>
            </w:r>
            <w:r w:rsidR="000805E6" w:rsidRPr="000805E6">
              <w:rPr>
                <w:rFonts w:cs="Arial"/>
                <w:color w:val="000000"/>
                <w:kern w:val="0"/>
                <w:sz w:val="20"/>
                <w:szCs w:val="20"/>
              </w:rPr>
              <w:t xml:space="preserve"> </w:t>
            </w:r>
            <w:r w:rsidRPr="000E0C69">
              <w:rPr>
                <w:rFonts w:cs="Arial"/>
                <w:color w:val="000000"/>
                <w:kern w:val="0"/>
                <w:sz w:val="20"/>
                <w:szCs w:val="20"/>
              </w:rPr>
              <w:t xml:space="preserve">the incident of the assault. </w:t>
            </w:r>
          </w:p>
          <w:p w14:paraId="3254C560" w14:textId="77777777" w:rsidR="0016082B" w:rsidRPr="000E0C69" w:rsidRDefault="0016082B" w:rsidP="0016082B">
            <w:pPr>
              <w:pStyle w:val="ListParagraph"/>
              <w:numPr>
                <w:ilvl w:val="0"/>
                <w:numId w:val="1"/>
              </w:numPr>
              <w:autoSpaceDE w:val="0"/>
              <w:autoSpaceDN w:val="0"/>
              <w:adjustRightInd w:val="0"/>
              <w:rPr>
                <w:rFonts w:cs="Arial"/>
                <w:color w:val="000000"/>
                <w:kern w:val="0"/>
                <w:sz w:val="20"/>
                <w:szCs w:val="20"/>
              </w:rPr>
            </w:pPr>
            <w:r w:rsidRPr="000E0C69">
              <w:rPr>
                <w:rFonts w:cs="Arial"/>
                <w:color w:val="000000"/>
                <w:kern w:val="0"/>
                <w:sz w:val="20"/>
                <w:szCs w:val="20"/>
              </w:rPr>
              <w:t xml:space="preserve">STI testing is offered to all patients presenting post-sexual assault. </w:t>
            </w:r>
          </w:p>
          <w:p w14:paraId="58FDFB27" w14:textId="50318B5C" w:rsidR="0016082B" w:rsidRDefault="0016082B" w:rsidP="000E0C69">
            <w:pPr>
              <w:pStyle w:val="ListParagraph"/>
              <w:numPr>
                <w:ilvl w:val="0"/>
                <w:numId w:val="1"/>
              </w:numPr>
              <w:spacing w:after="100"/>
              <w:rPr>
                <w:rFonts w:cs="Arial"/>
                <w:color w:val="000000"/>
                <w:kern w:val="0"/>
                <w:sz w:val="20"/>
                <w:szCs w:val="20"/>
              </w:rPr>
            </w:pPr>
            <w:r w:rsidRPr="000E0C69">
              <w:rPr>
                <w:rFonts w:cs="Arial"/>
                <w:color w:val="000000"/>
                <w:kern w:val="0"/>
                <w:sz w:val="20"/>
                <w:szCs w:val="20"/>
              </w:rPr>
              <w:t>If a patient has signs and symptoms of STI infection, additional site-specific testing should be discussed with and conducted by the ED Medical Provider</w:t>
            </w:r>
            <w:r w:rsidR="00DF7B45" w:rsidRPr="000E0C69">
              <w:rPr>
                <w:rFonts w:cs="Arial"/>
                <w:color w:val="000000"/>
                <w:kern w:val="0"/>
                <w:sz w:val="20"/>
                <w:szCs w:val="20"/>
              </w:rPr>
              <w:t>.</w:t>
            </w:r>
          </w:p>
        </w:tc>
      </w:tr>
    </w:tbl>
    <w:p w14:paraId="33F79BDD" w14:textId="77777777" w:rsidR="0016082B" w:rsidRPr="00DF7B45" w:rsidRDefault="0016082B" w:rsidP="0016082B">
      <w:pPr>
        <w:spacing w:after="0" w:line="240" w:lineRule="auto"/>
        <w:rPr>
          <w:rFonts w:cs="Arial"/>
          <w:color w:val="000000"/>
          <w:kern w:val="0"/>
        </w:rPr>
      </w:pPr>
    </w:p>
    <w:p w14:paraId="47EA791D" w14:textId="0C407480" w:rsidR="00DF7B45" w:rsidRPr="00DF7B45" w:rsidRDefault="00DF7B45" w:rsidP="00DF7B45">
      <w:pPr>
        <w:autoSpaceDE w:val="0"/>
        <w:autoSpaceDN w:val="0"/>
        <w:adjustRightInd w:val="0"/>
        <w:spacing w:after="0" w:line="240" w:lineRule="auto"/>
        <w:rPr>
          <w:rFonts w:cs="Arial"/>
          <w:color w:val="000000"/>
          <w:kern w:val="0"/>
        </w:rPr>
      </w:pPr>
      <w:r w:rsidRPr="00DF7B45">
        <w:rPr>
          <w:rFonts w:cs="Arial"/>
          <w:b/>
          <w:bCs/>
          <w:color w:val="000000"/>
          <w:kern w:val="0"/>
        </w:rPr>
        <w:t xml:space="preserve">All Patients with Mucosal Exposure to Blood/Hazardous Bodily Fluids </w:t>
      </w:r>
    </w:p>
    <w:p w14:paraId="73044720" w14:textId="0E516A00" w:rsidR="00DF7B45" w:rsidRPr="00DF7B45" w:rsidRDefault="00DF7B45" w:rsidP="00DF7B45">
      <w:pPr>
        <w:autoSpaceDE w:val="0"/>
        <w:autoSpaceDN w:val="0"/>
        <w:adjustRightInd w:val="0"/>
        <w:spacing w:after="0" w:line="240" w:lineRule="auto"/>
        <w:rPr>
          <w:rFonts w:cs="Arial"/>
          <w:color w:val="000000"/>
          <w:kern w:val="0"/>
        </w:rPr>
      </w:pPr>
      <w:r w:rsidRPr="00DF7B45">
        <w:rPr>
          <w:rFonts w:cs="Arial"/>
          <w:color w:val="000000"/>
          <w:kern w:val="0"/>
        </w:rPr>
        <w:t xml:space="preserve">(Refer to 2025 CDC nPEP Recommendations: Algorithm Figure 2, page 7; </w:t>
      </w:r>
      <w:hyperlink r:id="rId8" w:history="1">
        <w:r w:rsidRPr="00DF7B45">
          <w:rPr>
            <w:rStyle w:val="Hyperlink"/>
            <w:rFonts w:cs="Arial"/>
            <w:kern w:val="0"/>
          </w:rPr>
          <w:t>https://www.cdc.gov/mmwr/volumes/74/rr/rr7401a1.htm</w:t>
        </w:r>
      </w:hyperlink>
      <w:r w:rsidRPr="00DF7B45">
        <w:rPr>
          <w:rFonts w:cs="Arial"/>
          <w:color w:val="000000"/>
          <w:kern w:val="0"/>
        </w:rPr>
        <w:t>)</w:t>
      </w:r>
    </w:p>
    <w:p w14:paraId="60B91851" w14:textId="77777777" w:rsidR="00DF7B45" w:rsidRPr="00DF7B45" w:rsidRDefault="00DF7B45" w:rsidP="00DF7B45">
      <w:pPr>
        <w:autoSpaceDE w:val="0"/>
        <w:autoSpaceDN w:val="0"/>
        <w:adjustRightInd w:val="0"/>
        <w:spacing w:after="11" w:line="240" w:lineRule="auto"/>
        <w:rPr>
          <w:rFonts w:cs="Arial"/>
          <w:color w:val="000000"/>
          <w:kern w:val="0"/>
        </w:rPr>
      </w:pPr>
    </w:p>
    <w:p w14:paraId="559C31E9" w14:textId="1A58EE42" w:rsidR="00DF7B45" w:rsidRPr="00DF7B45" w:rsidRDefault="00DF7B45" w:rsidP="00DF7B45">
      <w:pPr>
        <w:pStyle w:val="ListParagraph"/>
        <w:numPr>
          <w:ilvl w:val="0"/>
          <w:numId w:val="5"/>
        </w:numPr>
        <w:autoSpaceDE w:val="0"/>
        <w:autoSpaceDN w:val="0"/>
        <w:adjustRightInd w:val="0"/>
        <w:spacing w:after="11" w:line="240" w:lineRule="auto"/>
        <w:rPr>
          <w:rFonts w:cs="Arial"/>
          <w:color w:val="000000"/>
          <w:kern w:val="0"/>
        </w:rPr>
      </w:pPr>
      <w:r w:rsidRPr="00DF7B45">
        <w:rPr>
          <w:rFonts w:cs="Arial"/>
          <w:color w:val="000000"/>
          <w:kern w:val="0"/>
        </w:rPr>
        <w:t xml:space="preserve">STI prophylaxis is recommended </w:t>
      </w:r>
    </w:p>
    <w:p w14:paraId="64339AC6" w14:textId="77777777" w:rsidR="00DF7B45" w:rsidRPr="00DF7B45" w:rsidRDefault="00DF7B45" w:rsidP="00DF7B45">
      <w:pPr>
        <w:numPr>
          <w:ilvl w:val="0"/>
          <w:numId w:val="5"/>
        </w:numPr>
        <w:autoSpaceDE w:val="0"/>
        <w:autoSpaceDN w:val="0"/>
        <w:adjustRightInd w:val="0"/>
        <w:spacing w:after="11" w:line="240" w:lineRule="auto"/>
        <w:rPr>
          <w:rFonts w:cs="Arial"/>
          <w:color w:val="000000"/>
          <w:kern w:val="0"/>
        </w:rPr>
      </w:pPr>
      <w:r w:rsidRPr="00DF7B45">
        <w:rPr>
          <w:rFonts w:cs="Arial"/>
          <w:color w:val="000000"/>
          <w:kern w:val="0"/>
        </w:rPr>
        <w:t xml:space="preserve">Decisions to perform STI testing should be made on an individual basis </w:t>
      </w:r>
    </w:p>
    <w:p w14:paraId="2AC583AF" w14:textId="77777777" w:rsidR="00DF7B45" w:rsidRPr="00DF7B45" w:rsidRDefault="00DF7B45" w:rsidP="00DF7B45">
      <w:pPr>
        <w:numPr>
          <w:ilvl w:val="0"/>
          <w:numId w:val="5"/>
        </w:numPr>
        <w:autoSpaceDE w:val="0"/>
        <w:autoSpaceDN w:val="0"/>
        <w:adjustRightInd w:val="0"/>
        <w:spacing w:after="0" w:line="240" w:lineRule="auto"/>
        <w:rPr>
          <w:rFonts w:cs="Arial"/>
          <w:color w:val="000000"/>
          <w:kern w:val="0"/>
        </w:rPr>
      </w:pPr>
      <w:r w:rsidRPr="00DF7B45">
        <w:rPr>
          <w:rFonts w:cs="Arial"/>
          <w:color w:val="000000"/>
          <w:kern w:val="0"/>
        </w:rPr>
        <w:t xml:space="preserve">Verbal patient consent should be obtained </w:t>
      </w:r>
    </w:p>
    <w:p w14:paraId="195BA368" w14:textId="77777777" w:rsidR="00DF7B45" w:rsidRPr="00DF7B45" w:rsidRDefault="00DF7B45" w:rsidP="00DF7B45">
      <w:pPr>
        <w:autoSpaceDE w:val="0"/>
        <w:autoSpaceDN w:val="0"/>
        <w:adjustRightInd w:val="0"/>
        <w:spacing w:after="0" w:line="240" w:lineRule="auto"/>
        <w:rPr>
          <w:rFonts w:cs="Arial"/>
          <w:color w:val="000000"/>
          <w:kern w:val="0"/>
        </w:rPr>
      </w:pPr>
    </w:p>
    <w:p w14:paraId="7BC3B3B3" w14:textId="19D0CEF4" w:rsidR="00DF7B45" w:rsidRPr="00DF7B45" w:rsidRDefault="00DF7B45" w:rsidP="00DF7B45">
      <w:pPr>
        <w:autoSpaceDE w:val="0"/>
        <w:autoSpaceDN w:val="0"/>
        <w:adjustRightInd w:val="0"/>
        <w:spacing w:after="0" w:line="240" w:lineRule="auto"/>
        <w:rPr>
          <w:rFonts w:cs="Arial"/>
          <w:color w:val="000000"/>
          <w:kern w:val="0"/>
        </w:rPr>
      </w:pPr>
      <w:r w:rsidRPr="00DF7B45">
        <w:rPr>
          <w:rFonts w:cs="Arial"/>
          <w:b/>
          <w:bCs/>
          <w:color w:val="000000"/>
          <w:kern w:val="0"/>
        </w:rPr>
        <w:t>Patient with Signs and Symptoms of Genital Infection</w:t>
      </w:r>
      <w:r w:rsidRPr="00DF7B45">
        <w:rPr>
          <w:rFonts w:cs="Arial"/>
          <w:color w:val="000000"/>
          <w:kern w:val="0"/>
        </w:rPr>
        <w:t xml:space="preserve">: </w:t>
      </w:r>
    </w:p>
    <w:p w14:paraId="0BEE1980" w14:textId="1DD1E698" w:rsidR="0016082B" w:rsidRPr="00DF7B45" w:rsidRDefault="00DF7B45" w:rsidP="00DF7B45">
      <w:pPr>
        <w:spacing w:after="0" w:line="240" w:lineRule="auto"/>
      </w:pPr>
      <w:r w:rsidRPr="00DF7B45">
        <w:rPr>
          <w:rFonts w:cs="Arial"/>
          <w:color w:val="000000"/>
          <w:kern w:val="0"/>
        </w:rPr>
        <w:t>Management to be discussed with ED medical provider; recommend STI diagnostic testing be done, based on presenting signs and symptoms.</w:t>
      </w:r>
    </w:p>
    <w:p w14:paraId="354BC14F" w14:textId="11B7D906" w:rsidR="00DF7B45" w:rsidRPr="00DF7B45" w:rsidRDefault="00DF7B45" w:rsidP="00DF7B45">
      <w:pPr>
        <w:autoSpaceDE w:val="0"/>
        <w:autoSpaceDN w:val="0"/>
        <w:adjustRightInd w:val="0"/>
        <w:spacing w:after="0" w:line="240" w:lineRule="auto"/>
        <w:rPr>
          <w:rFonts w:cs="Arial"/>
          <w:color w:val="000000"/>
          <w:kern w:val="0"/>
        </w:rPr>
      </w:pPr>
    </w:p>
    <w:p w14:paraId="1DCD7BB3" w14:textId="77777777" w:rsidR="00DF7B45" w:rsidRPr="00DF7B45" w:rsidRDefault="00DF7B45" w:rsidP="00DF7B45">
      <w:pPr>
        <w:autoSpaceDE w:val="0"/>
        <w:autoSpaceDN w:val="0"/>
        <w:adjustRightInd w:val="0"/>
        <w:spacing w:after="0" w:line="240" w:lineRule="auto"/>
        <w:rPr>
          <w:rFonts w:cs="Arial"/>
          <w:color w:val="000000"/>
          <w:kern w:val="0"/>
        </w:rPr>
      </w:pPr>
      <w:r w:rsidRPr="00DF7B45">
        <w:rPr>
          <w:rFonts w:cs="Arial"/>
          <w:b/>
          <w:bCs/>
          <w:color w:val="000000"/>
          <w:kern w:val="0"/>
        </w:rPr>
        <w:t xml:space="preserve">Lab Testing Recommended: </w:t>
      </w:r>
    </w:p>
    <w:p w14:paraId="676ABC20" w14:textId="6F0F49CE" w:rsidR="00DF7B45" w:rsidRPr="00DF7B45" w:rsidRDefault="00DF7B45" w:rsidP="00DF7B45">
      <w:pPr>
        <w:spacing w:after="0" w:line="240" w:lineRule="auto"/>
        <w:ind w:left="720"/>
        <w:rPr>
          <w:u w:val="single"/>
        </w:rPr>
      </w:pPr>
      <w:r w:rsidRPr="00DF7B45">
        <w:rPr>
          <w:rFonts w:cs="Arial"/>
          <w:color w:val="000000"/>
          <w:kern w:val="0"/>
          <w:u w:val="single"/>
        </w:rPr>
        <w:t>Serology</w:t>
      </w:r>
    </w:p>
    <w:p w14:paraId="779453DF" w14:textId="0FCBDD9D" w:rsidR="00DF7B45" w:rsidRDefault="00DF7B45" w:rsidP="00DF7B45">
      <w:pPr>
        <w:pStyle w:val="ListParagraph"/>
        <w:numPr>
          <w:ilvl w:val="0"/>
          <w:numId w:val="6"/>
        </w:numPr>
        <w:spacing w:after="0" w:line="240" w:lineRule="auto"/>
      </w:pPr>
      <w:r>
        <w:t>HIV - a rapid (point-of-care – if available*) or laboratory-based antigen/antibody combination (Ag/Ab) HIV</w:t>
      </w:r>
    </w:p>
    <w:p w14:paraId="10627DC3" w14:textId="72173D37" w:rsidR="00DF7B45" w:rsidRDefault="00DF7B45" w:rsidP="00DF7B45">
      <w:pPr>
        <w:pStyle w:val="ListParagraph"/>
        <w:numPr>
          <w:ilvl w:val="0"/>
          <w:numId w:val="6"/>
        </w:numPr>
        <w:spacing w:after="0" w:line="240" w:lineRule="auto"/>
      </w:pPr>
      <w:r>
        <w:t>Hepatitis B virus: HBsAb, HBsAg, and HBcAb</w:t>
      </w:r>
    </w:p>
    <w:p w14:paraId="0A23C8A7" w14:textId="77777777" w:rsidR="00DF7B45" w:rsidRDefault="00DF7B45" w:rsidP="00DF7B45">
      <w:pPr>
        <w:pStyle w:val="ListParagraph"/>
        <w:numPr>
          <w:ilvl w:val="0"/>
          <w:numId w:val="6"/>
        </w:numPr>
        <w:spacing w:after="0" w:line="240" w:lineRule="auto"/>
      </w:pPr>
      <w:r>
        <w:t>Syphilis serology (as per individual hospital protocol)</w:t>
      </w:r>
    </w:p>
    <w:p w14:paraId="19D55B1A" w14:textId="2FC2706F" w:rsidR="00DF7B45" w:rsidRDefault="00DF7B45" w:rsidP="00DF7B45">
      <w:pPr>
        <w:pStyle w:val="ListParagraph"/>
        <w:numPr>
          <w:ilvl w:val="0"/>
          <w:numId w:val="6"/>
        </w:numPr>
        <w:spacing w:after="0" w:line="240" w:lineRule="auto"/>
      </w:pPr>
      <w:r>
        <w:t>Hepatitis C antibody (with reflex to HCV NAAT if HCV antibody is positive)</w:t>
      </w:r>
    </w:p>
    <w:p w14:paraId="45E03862" w14:textId="1C940B34" w:rsidR="00DF7B45" w:rsidRDefault="00DF7B45" w:rsidP="00DF7B45">
      <w:pPr>
        <w:pStyle w:val="ListParagraph"/>
        <w:numPr>
          <w:ilvl w:val="0"/>
          <w:numId w:val="6"/>
        </w:numPr>
        <w:spacing w:after="0" w:line="240" w:lineRule="auto"/>
      </w:pPr>
      <w:r w:rsidRPr="00C0445F">
        <w:rPr>
          <w:u w:val="single"/>
        </w:rPr>
        <w:t>If nPEP is administered</w:t>
      </w:r>
      <w:r>
        <w:t>: Serum creatinine and ALT/AST</w:t>
      </w:r>
    </w:p>
    <w:p w14:paraId="45BDF68C" w14:textId="77777777" w:rsidR="00DF7B45" w:rsidRPr="00DF7B45" w:rsidRDefault="00DF7B45" w:rsidP="00DF7B45">
      <w:pPr>
        <w:autoSpaceDE w:val="0"/>
        <w:autoSpaceDN w:val="0"/>
        <w:adjustRightInd w:val="0"/>
        <w:spacing w:after="0" w:line="240" w:lineRule="auto"/>
        <w:rPr>
          <w:rFonts w:cs="Arial"/>
          <w:color w:val="000000"/>
          <w:kern w:val="0"/>
          <w:sz w:val="24"/>
          <w:szCs w:val="24"/>
        </w:rPr>
      </w:pPr>
    </w:p>
    <w:p w14:paraId="1BB9F18A" w14:textId="1B5AF84E" w:rsidR="00DF7B45" w:rsidRPr="00C0445F" w:rsidRDefault="00DF7B45" w:rsidP="00DF7B45">
      <w:pPr>
        <w:spacing w:after="0" w:line="240" w:lineRule="auto"/>
        <w:ind w:left="720"/>
        <w:rPr>
          <w:rFonts w:cs="Arial"/>
          <w:color w:val="000000"/>
          <w:kern w:val="0"/>
          <w:u w:val="single"/>
        </w:rPr>
      </w:pPr>
      <w:r w:rsidRPr="00C0445F">
        <w:rPr>
          <w:rFonts w:cs="Arial"/>
          <w:color w:val="000000"/>
          <w:kern w:val="0"/>
          <w:u w:val="single"/>
        </w:rPr>
        <w:t>Urine Nucleic Acid Amplification Test (NAAT)</w:t>
      </w:r>
    </w:p>
    <w:p w14:paraId="10496B38" w14:textId="77777777" w:rsidR="00DF7B45" w:rsidRPr="00C0445F" w:rsidRDefault="00DF7B45" w:rsidP="00DF7B45">
      <w:pPr>
        <w:pStyle w:val="ListParagraph"/>
        <w:numPr>
          <w:ilvl w:val="0"/>
          <w:numId w:val="7"/>
        </w:numPr>
        <w:spacing w:after="0" w:line="240" w:lineRule="auto"/>
        <w:rPr>
          <w:rFonts w:cs="Arial"/>
          <w:color w:val="000000"/>
          <w:kern w:val="0"/>
        </w:rPr>
      </w:pPr>
      <w:r w:rsidRPr="00C0445F">
        <w:rPr>
          <w:rFonts w:cs="Arial"/>
          <w:color w:val="000000"/>
          <w:kern w:val="0"/>
        </w:rPr>
        <w:t>Gonorrhea</w:t>
      </w:r>
    </w:p>
    <w:p w14:paraId="67DAB154" w14:textId="77777777" w:rsidR="00DF7B45" w:rsidRPr="00C0445F" w:rsidRDefault="00DF7B45" w:rsidP="00DF7B45">
      <w:pPr>
        <w:pStyle w:val="ListParagraph"/>
        <w:numPr>
          <w:ilvl w:val="0"/>
          <w:numId w:val="7"/>
        </w:numPr>
        <w:spacing w:after="0" w:line="240" w:lineRule="auto"/>
        <w:rPr>
          <w:rFonts w:cs="Arial"/>
          <w:color w:val="000000"/>
          <w:kern w:val="0"/>
        </w:rPr>
      </w:pPr>
      <w:r w:rsidRPr="00C0445F">
        <w:rPr>
          <w:rFonts w:cs="Arial"/>
          <w:color w:val="000000"/>
          <w:kern w:val="0"/>
        </w:rPr>
        <w:t>Chlamydia</w:t>
      </w:r>
    </w:p>
    <w:p w14:paraId="3F2A361F" w14:textId="1B01822A" w:rsidR="00DF7B45" w:rsidRPr="00C0445F" w:rsidRDefault="00DF7B45" w:rsidP="00DF7B45">
      <w:pPr>
        <w:pStyle w:val="ListParagraph"/>
        <w:numPr>
          <w:ilvl w:val="0"/>
          <w:numId w:val="7"/>
        </w:numPr>
        <w:spacing w:after="0" w:line="240" w:lineRule="auto"/>
        <w:rPr>
          <w:rFonts w:cs="Arial"/>
          <w:color w:val="000000"/>
          <w:kern w:val="0"/>
        </w:rPr>
      </w:pPr>
      <w:r w:rsidRPr="00C0445F">
        <w:rPr>
          <w:rFonts w:cs="Arial"/>
          <w:color w:val="000000"/>
          <w:kern w:val="0"/>
        </w:rPr>
        <w:t>Trichomoniasis*</w:t>
      </w:r>
      <w:r w:rsidR="00763929">
        <w:rPr>
          <w:rFonts w:cs="Arial"/>
          <w:color w:val="000000"/>
          <w:kern w:val="0"/>
        </w:rPr>
        <w:t>*</w:t>
      </w:r>
    </w:p>
    <w:p w14:paraId="1317B957" w14:textId="77777777" w:rsidR="00DF7B45" w:rsidRPr="00192702" w:rsidRDefault="00DF7B45" w:rsidP="00DF7B45">
      <w:pPr>
        <w:spacing w:after="0" w:line="240" w:lineRule="auto"/>
        <w:rPr>
          <w:sz w:val="20"/>
          <w:szCs w:val="20"/>
        </w:rPr>
      </w:pPr>
    </w:p>
    <w:p w14:paraId="4CD18BE0" w14:textId="77777777" w:rsidR="00763929" w:rsidRDefault="00763929" w:rsidP="00DF7B45">
      <w:pPr>
        <w:spacing w:after="0" w:line="240" w:lineRule="auto"/>
        <w:rPr>
          <w:sz w:val="18"/>
          <w:szCs w:val="18"/>
        </w:rPr>
      </w:pPr>
      <w:r w:rsidRPr="00282C90">
        <w:rPr>
          <w:sz w:val="18"/>
          <w:szCs w:val="18"/>
        </w:rPr>
        <w:t>*For persons with long-acting injectable PrEP ARV exposure during the past 6 months, a diagnostic HIV nucleic acid test (NAT) is recommended at the initial medical evaluation, in addition to an Ag/Ab HIV test</w:t>
      </w:r>
      <w:r>
        <w:rPr>
          <w:sz w:val="18"/>
          <w:szCs w:val="18"/>
        </w:rPr>
        <w:t xml:space="preserve"> </w:t>
      </w:r>
    </w:p>
    <w:p w14:paraId="3C5EA12F" w14:textId="7C867208" w:rsidR="00DF7B45" w:rsidRPr="00282C90" w:rsidRDefault="00763929" w:rsidP="00DF7B45">
      <w:pPr>
        <w:spacing w:after="0" w:line="240" w:lineRule="auto"/>
        <w:rPr>
          <w:sz w:val="18"/>
          <w:szCs w:val="18"/>
        </w:rPr>
      </w:pPr>
      <w:r>
        <w:rPr>
          <w:sz w:val="18"/>
          <w:szCs w:val="18"/>
        </w:rPr>
        <w:t>*</w:t>
      </w:r>
      <w:r w:rsidR="00192702" w:rsidRPr="00282C90">
        <w:rPr>
          <w:sz w:val="18"/>
          <w:szCs w:val="18"/>
        </w:rPr>
        <w:t xml:space="preserve">*Testing not recommended for patients with a penis. </w:t>
      </w:r>
      <w:r w:rsidR="00192702" w:rsidRPr="00282C90">
        <w:rPr>
          <w:sz w:val="18"/>
          <w:szCs w:val="18"/>
        </w:rPr>
        <w:br/>
      </w:r>
    </w:p>
    <w:p w14:paraId="0C79860D" w14:textId="5595ADD4" w:rsidR="00EB33FC" w:rsidRDefault="00EB33FC">
      <w:r>
        <w:br w:type="page"/>
      </w:r>
    </w:p>
    <w:p w14:paraId="1951BAFA" w14:textId="77777777" w:rsidR="00192702" w:rsidRPr="00EB33FC" w:rsidRDefault="00192702" w:rsidP="00DF7B45">
      <w:pPr>
        <w:spacing w:after="0" w:line="240" w:lineRule="auto"/>
      </w:pPr>
    </w:p>
    <w:p w14:paraId="7E98911D" w14:textId="77777777" w:rsidR="00192702" w:rsidRPr="00EB33FC" w:rsidRDefault="00192702" w:rsidP="00192702">
      <w:pPr>
        <w:spacing w:after="0" w:line="240" w:lineRule="auto"/>
        <w:rPr>
          <w:b/>
          <w:bCs/>
        </w:rPr>
      </w:pPr>
      <w:r w:rsidRPr="00EB33FC">
        <w:rPr>
          <w:b/>
          <w:bCs/>
        </w:rPr>
        <w:t>Site-Specific Testing (Oral, Anal, Vaginal):</w:t>
      </w:r>
    </w:p>
    <w:p w14:paraId="66E9AAB4" w14:textId="237BED3E" w:rsidR="00192702" w:rsidRPr="00EB33FC" w:rsidRDefault="00192702" w:rsidP="00192702">
      <w:pPr>
        <w:spacing w:after="0" w:line="240" w:lineRule="auto"/>
      </w:pPr>
      <w:r w:rsidRPr="00EB33FC">
        <w:t>In an effort to eliminate additional trauma to the patient, the MA DPH SANE Program does not routinely recommend site specific testing. If STI symptoms are present, site-specific testing should be considered and determined by the ED medical provider. Additionally due to the clinical alert from the MA DPH Bureau of Infectious Disease and Laboratories from 09/2025 (</w:t>
      </w:r>
      <w:hyperlink r:id="rId9" w:anchor="std-clinical-advisories" w:history="1">
        <w:r w:rsidR="002C16C5" w:rsidRPr="00F14949">
          <w:rPr>
            <w:rStyle w:val="Hyperlink"/>
          </w:rPr>
          <w:t>https://www.mass.gov/lists/std-treatment-guidelines-and-clinical-advisories#std-clinical-advisories</w:t>
        </w:r>
      </w:hyperlink>
      <w:r w:rsidR="002C16C5">
        <w:t xml:space="preserve"> </w:t>
      </w:r>
      <w:r w:rsidRPr="00EB33FC">
        <w:t>) related to gonococcal drug-resistant infections, the ED medical provider should consider site-specific testing and this should include gonococcal culture(s) from genital and extragenital sites, in addition to routine NAAT.</w:t>
      </w:r>
    </w:p>
    <w:p w14:paraId="020025AD" w14:textId="77777777" w:rsidR="00192702" w:rsidRPr="00EB33FC" w:rsidRDefault="00192702" w:rsidP="00192702">
      <w:pPr>
        <w:spacing w:after="0" w:line="240" w:lineRule="auto"/>
      </w:pPr>
    </w:p>
    <w:p w14:paraId="0FB12FDE" w14:textId="77777777" w:rsidR="00472B82" w:rsidRPr="002C16C5" w:rsidRDefault="00472B82" w:rsidP="00472B82">
      <w:pPr>
        <w:spacing w:after="0" w:line="240" w:lineRule="auto"/>
        <w:rPr>
          <w:b/>
          <w:bCs/>
          <w:u w:val="single"/>
        </w:rPr>
      </w:pPr>
      <w:r w:rsidRPr="002C16C5">
        <w:rPr>
          <w:b/>
          <w:bCs/>
          <w:u w:val="single"/>
        </w:rPr>
        <w:t>Medication Recommendations for STI Prophylaxis</w:t>
      </w:r>
    </w:p>
    <w:p w14:paraId="1B86098E" w14:textId="77777777" w:rsidR="00472B82" w:rsidRDefault="00472B82" w:rsidP="00472B82">
      <w:pPr>
        <w:spacing w:after="0" w:line="240" w:lineRule="auto"/>
      </w:pPr>
      <w:r w:rsidRPr="00EB33FC">
        <w:t>The SANE should ensure that the patient has been educated about STIs and prophylaxis, assessed for any allergies and has been advised of the signs and symptoms of medication side effects. The SANE should collaborate with the ED medical provider and make recommendations for STI testing and STI prophylaxis based on the patient’s assault and the associated risk factors of the assault. The SANE should communicate their recommendations to the provider. The ED medical provider is responsible for ordering medication(s) and the patient’s primary nurse is responsible for obtaining and administering the medication(s) in a timely manner. The ED staff is responsible for providing follow-up medical referrals.</w:t>
      </w:r>
    </w:p>
    <w:p w14:paraId="092B906A" w14:textId="77777777" w:rsidR="00EB33FC" w:rsidRPr="00EB33FC" w:rsidRDefault="00EB33FC" w:rsidP="00472B82">
      <w:pPr>
        <w:spacing w:after="0" w:line="240" w:lineRule="auto"/>
      </w:pPr>
    </w:p>
    <w:p w14:paraId="7CC269A6" w14:textId="19C4DED2" w:rsidR="00192702" w:rsidRDefault="00472B82" w:rsidP="00472B82">
      <w:pPr>
        <w:spacing w:after="0" w:line="240" w:lineRule="auto"/>
      </w:pPr>
      <w:r w:rsidRPr="00EB33FC">
        <w:t>This document is intended to serve as a recommendation and is not intended to be a comprehensive list of all effective treatment regimens. These medications may not be appropriate for all patients and the choice of medications may differ depending on the patient’s needs and the most updated CDC guidelines. This information does not replace, and is not intended to replace, the full description of these medications. Consult with</w:t>
      </w:r>
      <w:r w:rsidR="00EB33FC" w:rsidRPr="00EB33FC">
        <w:t xml:space="preserve"> the Emergency Department medical provider about indications and contraindications of these medications.</w:t>
      </w:r>
    </w:p>
    <w:p w14:paraId="01C068FF" w14:textId="77777777" w:rsidR="00EB33FC" w:rsidRDefault="00EB33FC" w:rsidP="00472B82">
      <w:pPr>
        <w:spacing w:after="0" w:line="240" w:lineRule="auto"/>
      </w:pPr>
    </w:p>
    <w:tbl>
      <w:tblPr>
        <w:tblStyle w:val="TableGrid"/>
        <w:tblW w:w="0" w:type="auto"/>
        <w:tblLook w:val="04A0" w:firstRow="1" w:lastRow="0" w:firstColumn="1" w:lastColumn="0" w:noHBand="0" w:noVBand="1"/>
      </w:tblPr>
      <w:tblGrid>
        <w:gridCol w:w="10790"/>
      </w:tblGrid>
      <w:tr w:rsidR="00EB33FC" w14:paraId="548995B5" w14:textId="77777777" w:rsidTr="000E0C69">
        <w:tc>
          <w:tcPr>
            <w:tcW w:w="10790" w:type="dxa"/>
            <w:shd w:val="clear" w:color="auto" w:fill="FFFFCC"/>
          </w:tcPr>
          <w:p w14:paraId="2A4D53B4" w14:textId="77777777" w:rsidR="00FD2704" w:rsidRPr="000E0C69" w:rsidRDefault="00FD2704" w:rsidP="003921A8">
            <w:pPr>
              <w:spacing w:before="100"/>
              <w:rPr>
                <w:b/>
                <w:bCs/>
                <w:sz w:val="20"/>
                <w:szCs w:val="20"/>
              </w:rPr>
            </w:pPr>
            <w:r w:rsidRPr="000E0C69">
              <w:rPr>
                <w:b/>
                <w:bCs/>
                <w:sz w:val="20"/>
                <w:szCs w:val="20"/>
              </w:rPr>
              <w:t>MDPH SANE Protocol for Gonorrhea, Chlamydia, and Trichomonas Prophylaxis*</w:t>
            </w:r>
          </w:p>
          <w:p w14:paraId="7390E911" w14:textId="2AA266AD" w:rsidR="00FD2704" w:rsidRPr="000E0C69" w:rsidRDefault="00FD2704" w:rsidP="00FD2704">
            <w:pPr>
              <w:rPr>
                <w:sz w:val="20"/>
                <w:szCs w:val="20"/>
              </w:rPr>
            </w:pPr>
          </w:p>
          <w:p w14:paraId="194A38B9" w14:textId="77777777" w:rsidR="00FD2704" w:rsidRPr="000E0C69" w:rsidRDefault="00FD2704" w:rsidP="00195A69">
            <w:pPr>
              <w:pStyle w:val="ListParagraph"/>
              <w:numPr>
                <w:ilvl w:val="0"/>
                <w:numId w:val="8"/>
              </w:numPr>
              <w:rPr>
                <w:sz w:val="20"/>
                <w:szCs w:val="20"/>
              </w:rPr>
            </w:pPr>
            <w:r w:rsidRPr="000E0C69">
              <w:rPr>
                <w:sz w:val="20"/>
                <w:szCs w:val="20"/>
              </w:rPr>
              <w:t>Ceftriaxone 500 mg IM x 1 dose (1g for patients &gt; 150kg)</w:t>
            </w:r>
          </w:p>
          <w:p w14:paraId="6AE05830" w14:textId="3944D6A3" w:rsidR="00FD2704" w:rsidRPr="000E0C69" w:rsidRDefault="00FD2704" w:rsidP="00195A69">
            <w:pPr>
              <w:pStyle w:val="ListParagraph"/>
              <w:numPr>
                <w:ilvl w:val="0"/>
                <w:numId w:val="8"/>
              </w:numPr>
              <w:rPr>
                <w:sz w:val="20"/>
                <w:szCs w:val="20"/>
              </w:rPr>
            </w:pPr>
            <w:r w:rsidRPr="000E0C69">
              <w:rPr>
                <w:sz w:val="20"/>
                <w:szCs w:val="20"/>
              </w:rPr>
              <w:t>Doxycycline 100 mg orally twice a day for 7 days</w:t>
            </w:r>
          </w:p>
          <w:p w14:paraId="21436855" w14:textId="77777777" w:rsidR="00FD2704" w:rsidRPr="000E0C69" w:rsidRDefault="00FD2704" w:rsidP="00195A69">
            <w:pPr>
              <w:pStyle w:val="ListParagraph"/>
              <w:numPr>
                <w:ilvl w:val="0"/>
                <w:numId w:val="8"/>
              </w:numPr>
              <w:rPr>
                <w:sz w:val="20"/>
                <w:szCs w:val="20"/>
              </w:rPr>
            </w:pPr>
            <w:r w:rsidRPr="000E0C69">
              <w:rPr>
                <w:sz w:val="20"/>
                <w:szCs w:val="20"/>
              </w:rPr>
              <w:t>Metronidazole 500 mg orally twice a day for 7 days**</w:t>
            </w:r>
          </w:p>
          <w:p w14:paraId="70BA04B2" w14:textId="77777777" w:rsidR="00195A69" w:rsidRPr="000E0C69" w:rsidRDefault="00195A69" w:rsidP="00FD2704">
            <w:pPr>
              <w:rPr>
                <w:sz w:val="20"/>
                <w:szCs w:val="20"/>
              </w:rPr>
            </w:pPr>
          </w:p>
          <w:p w14:paraId="32063BE1" w14:textId="77777777" w:rsidR="00FD2704" w:rsidRPr="000E0C69" w:rsidRDefault="00FD2704" w:rsidP="003921A8">
            <w:pPr>
              <w:ind w:left="360"/>
              <w:rPr>
                <w:b/>
                <w:bCs/>
                <w:sz w:val="20"/>
                <w:szCs w:val="20"/>
              </w:rPr>
            </w:pPr>
            <w:r w:rsidRPr="000E0C69">
              <w:rPr>
                <w:b/>
                <w:bCs/>
                <w:sz w:val="20"/>
                <w:szCs w:val="20"/>
              </w:rPr>
              <w:t>(Consider using lidocaine as a diluent for ceftriaxone for patient comfort. Consider administration of anti-emetic 30 minutes before administration of STI prophylaxis medications. See below for additional medication information)</w:t>
            </w:r>
          </w:p>
          <w:p w14:paraId="389861D9" w14:textId="77777777" w:rsidR="00195A69" w:rsidRPr="000E0C69" w:rsidRDefault="00195A69" w:rsidP="00FD2704">
            <w:pPr>
              <w:rPr>
                <w:sz w:val="20"/>
                <w:szCs w:val="20"/>
              </w:rPr>
            </w:pPr>
          </w:p>
          <w:p w14:paraId="3433E6A7" w14:textId="77777777" w:rsidR="00FD2704" w:rsidRPr="000E0C69" w:rsidRDefault="00FD2704" w:rsidP="00FD2704">
            <w:pPr>
              <w:rPr>
                <w:sz w:val="20"/>
                <w:szCs w:val="20"/>
              </w:rPr>
            </w:pPr>
            <w:r w:rsidRPr="000E0C69">
              <w:rPr>
                <w:sz w:val="20"/>
                <w:szCs w:val="20"/>
              </w:rPr>
              <w:t>Depending on the patient circumstances, prophylaxis may also include</w:t>
            </w:r>
          </w:p>
          <w:p w14:paraId="46246C2F" w14:textId="48EEA590" w:rsidR="00FD2704" w:rsidRPr="000E0C69" w:rsidRDefault="00FD2704" w:rsidP="00FD2704">
            <w:pPr>
              <w:rPr>
                <w:sz w:val="20"/>
                <w:szCs w:val="20"/>
              </w:rPr>
            </w:pPr>
          </w:p>
          <w:p w14:paraId="7E5726E7" w14:textId="77777777" w:rsidR="00FD2704" w:rsidRPr="000E0C69" w:rsidRDefault="00FD2704" w:rsidP="003921A8">
            <w:pPr>
              <w:pStyle w:val="ListParagraph"/>
              <w:numPr>
                <w:ilvl w:val="0"/>
                <w:numId w:val="9"/>
              </w:numPr>
              <w:rPr>
                <w:sz w:val="20"/>
                <w:szCs w:val="20"/>
              </w:rPr>
            </w:pPr>
            <w:r w:rsidRPr="000E0C69">
              <w:rPr>
                <w:sz w:val="20"/>
                <w:szCs w:val="20"/>
              </w:rPr>
              <w:t>HIV Prophylaxis</w:t>
            </w:r>
          </w:p>
          <w:p w14:paraId="72213E00" w14:textId="77777777" w:rsidR="00FD2704" w:rsidRPr="000E0C69" w:rsidRDefault="00FD2704" w:rsidP="003921A8">
            <w:pPr>
              <w:pStyle w:val="ListParagraph"/>
              <w:numPr>
                <w:ilvl w:val="0"/>
                <w:numId w:val="9"/>
              </w:numPr>
              <w:rPr>
                <w:sz w:val="20"/>
                <w:szCs w:val="20"/>
              </w:rPr>
            </w:pPr>
            <w:r w:rsidRPr="000E0C69">
              <w:rPr>
                <w:sz w:val="20"/>
                <w:szCs w:val="20"/>
              </w:rPr>
              <w:t>Human Papilloma virus (HPV) vaccine</w:t>
            </w:r>
          </w:p>
          <w:p w14:paraId="44C754FC" w14:textId="77777777" w:rsidR="00FD2704" w:rsidRPr="000E0C69" w:rsidRDefault="00FD2704" w:rsidP="003921A8">
            <w:pPr>
              <w:pStyle w:val="ListParagraph"/>
              <w:numPr>
                <w:ilvl w:val="0"/>
                <w:numId w:val="9"/>
              </w:numPr>
              <w:rPr>
                <w:sz w:val="20"/>
                <w:szCs w:val="20"/>
              </w:rPr>
            </w:pPr>
            <w:r w:rsidRPr="000E0C69">
              <w:rPr>
                <w:sz w:val="20"/>
                <w:szCs w:val="20"/>
              </w:rPr>
              <w:t>Hepatitis B vaccine</w:t>
            </w:r>
          </w:p>
          <w:p w14:paraId="62D70B11" w14:textId="77777777" w:rsidR="003921A8" w:rsidRPr="000E0C69" w:rsidRDefault="003921A8" w:rsidP="00FD2704">
            <w:pPr>
              <w:rPr>
                <w:sz w:val="20"/>
                <w:szCs w:val="20"/>
              </w:rPr>
            </w:pPr>
          </w:p>
          <w:p w14:paraId="2E141853" w14:textId="77777777" w:rsidR="00FD2704" w:rsidRPr="00D763C6" w:rsidRDefault="00FD2704" w:rsidP="00FD2704">
            <w:pPr>
              <w:rPr>
                <w:sz w:val="18"/>
                <w:szCs w:val="18"/>
              </w:rPr>
            </w:pPr>
            <w:r w:rsidRPr="00D763C6">
              <w:rPr>
                <w:sz w:val="18"/>
                <w:szCs w:val="18"/>
              </w:rPr>
              <w:t>*These regimens are standard choices but do not take into considerations allergies, pregnancy status or ages other than adolescents/adults.</w:t>
            </w:r>
          </w:p>
          <w:p w14:paraId="03FB2365" w14:textId="53F5E2AC" w:rsidR="00EB33FC" w:rsidRDefault="00FD2704" w:rsidP="003921A8">
            <w:pPr>
              <w:spacing w:after="100"/>
            </w:pPr>
            <w:r w:rsidRPr="00D763C6">
              <w:rPr>
                <w:sz w:val="18"/>
                <w:szCs w:val="18"/>
              </w:rPr>
              <w:t>**Recommended for patients with a vagina only.</w:t>
            </w:r>
          </w:p>
        </w:tc>
      </w:tr>
    </w:tbl>
    <w:p w14:paraId="0E7C675A" w14:textId="77777777" w:rsidR="00EB33FC" w:rsidRPr="000E0C69" w:rsidRDefault="00EB33FC" w:rsidP="00472B82">
      <w:pPr>
        <w:spacing w:after="0" w:line="240" w:lineRule="auto"/>
      </w:pPr>
    </w:p>
    <w:p w14:paraId="74E70C75" w14:textId="77777777" w:rsidR="000E0C69" w:rsidRPr="000E0C69" w:rsidRDefault="000E0C69" w:rsidP="000E0C69">
      <w:pPr>
        <w:autoSpaceDE w:val="0"/>
        <w:autoSpaceDN w:val="0"/>
        <w:adjustRightInd w:val="0"/>
        <w:spacing w:after="0" w:line="240" w:lineRule="auto"/>
        <w:rPr>
          <w:rFonts w:cs="Arial"/>
          <w:color w:val="000000"/>
          <w:kern w:val="0"/>
        </w:rPr>
      </w:pPr>
      <w:r w:rsidRPr="000E0C69">
        <w:rPr>
          <w:rFonts w:cs="Arial"/>
          <w:b/>
          <w:bCs/>
          <w:color w:val="000000"/>
          <w:kern w:val="0"/>
        </w:rPr>
        <w:t xml:space="preserve">Antiemetic Medication </w:t>
      </w:r>
    </w:p>
    <w:p w14:paraId="3FD3CAC1" w14:textId="5ED5C99E" w:rsidR="00192702" w:rsidRPr="000E0C69" w:rsidRDefault="000E0C69" w:rsidP="000E0C69">
      <w:pPr>
        <w:spacing w:after="0" w:line="240" w:lineRule="auto"/>
      </w:pPr>
      <w:r w:rsidRPr="000E0C69">
        <w:rPr>
          <w:rFonts w:cs="Arial"/>
          <w:color w:val="000000"/>
          <w:kern w:val="0"/>
        </w:rPr>
        <w:t>The combined administration of multiple STI medications may cause patients to become nauseous. The SANE and the Primary Nurse should consider the need for an antiemetic, to be provided 30 minutes prior to 1st medication administration, to minimize nausea and the risk of vomiting.</w:t>
      </w:r>
    </w:p>
    <w:p w14:paraId="4F151E60" w14:textId="7A8DD600" w:rsidR="00DF7B45" w:rsidRDefault="00192702" w:rsidP="00EB33FC">
      <w:r>
        <w:br w:type="page"/>
      </w:r>
    </w:p>
    <w:p w14:paraId="4FCE4BFC" w14:textId="03E16FD5" w:rsidR="000E0C69" w:rsidRPr="00F16525" w:rsidRDefault="00FB15E5" w:rsidP="00FB15E5">
      <w:pPr>
        <w:spacing w:before="200" w:after="0" w:line="240" w:lineRule="auto"/>
        <w:rPr>
          <w:b/>
          <w:bCs/>
          <w:u w:val="single"/>
        </w:rPr>
      </w:pPr>
      <w:r>
        <w:rPr>
          <w:b/>
          <w:bCs/>
          <w:u w:val="single"/>
        </w:rPr>
        <w:lastRenderedPageBreak/>
        <w:br/>
      </w:r>
      <w:r w:rsidR="00F16525" w:rsidRPr="00F16525">
        <w:rPr>
          <w:b/>
          <w:bCs/>
          <w:u w:val="single"/>
        </w:rPr>
        <w:t>Additional Medication Prophylaxis Information</w:t>
      </w:r>
    </w:p>
    <w:p w14:paraId="5AD5B331" w14:textId="77777777" w:rsidR="00F16525" w:rsidRPr="007B556D" w:rsidRDefault="00F16525" w:rsidP="00F16525">
      <w:pPr>
        <w:spacing w:after="0" w:line="240" w:lineRule="auto"/>
        <w:rPr>
          <w:sz w:val="16"/>
          <w:szCs w:val="16"/>
        </w:rPr>
      </w:pPr>
    </w:p>
    <w:p w14:paraId="1A4869BE" w14:textId="4937A300" w:rsidR="00F16525" w:rsidRPr="00972B8A" w:rsidRDefault="00061440" w:rsidP="00F16525">
      <w:pPr>
        <w:spacing w:after="0" w:line="240" w:lineRule="auto"/>
        <w:rPr>
          <w:b/>
          <w:bCs/>
          <w:sz w:val="20"/>
          <w:szCs w:val="20"/>
        </w:rPr>
      </w:pPr>
      <w:r w:rsidRPr="00972B8A">
        <w:rPr>
          <w:b/>
          <w:bCs/>
          <w:sz w:val="20"/>
          <w:szCs w:val="20"/>
        </w:rPr>
        <w:t>Gonorrhea Prophylaxis</w:t>
      </w:r>
    </w:p>
    <w:tbl>
      <w:tblPr>
        <w:tblStyle w:val="TableGrid"/>
        <w:tblW w:w="0" w:type="auto"/>
        <w:tblLook w:val="04A0" w:firstRow="1" w:lastRow="0" w:firstColumn="1" w:lastColumn="0" w:noHBand="0" w:noVBand="1"/>
      </w:tblPr>
      <w:tblGrid>
        <w:gridCol w:w="2335"/>
        <w:gridCol w:w="8455"/>
      </w:tblGrid>
      <w:tr w:rsidR="00E133AC" w:rsidRPr="00972B8A" w14:paraId="1803FA69" w14:textId="77777777" w:rsidTr="007474A0">
        <w:tc>
          <w:tcPr>
            <w:tcW w:w="2335" w:type="dxa"/>
            <w:tcBorders>
              <w:right w:val="nil"/>
            </w:tcBorders>
          </w:tcPr>
          <w:p w14:paraId="547ABE2E" w14:textId="11DACA4A" w:rsidR="00E133AC" w:rsidRPr="00972B8A" w:rsidRDefault="00E133AC" w:rsidP="00F16525">
            <w:pPr>
              <w:rPr>
                <w:sz w:val="20"/>
                <w:szCs w:val="20"/>
              </w:rPr>
            </w:pPr>
            <w:r w:rsidRPr="00972B8A">
              <w:rPr>
                <w:sz w:val="20"/>
                <w:szCs w:val="20"/>
              </w:rPr>
              <w:t>Medications:</w:t>
            </w:r>
          </w:p>
        </w:tc>
        <w:tc>
          <w:tcPr>
            <w:tcW w:w="8455" w:type="dxa"/>
            <w:tcBorders>
              <w:left w:val="nil"/>
            </w:tcBorders>
          </w:tcPr>
          <w:p w14:paraId="03DEDE54" w14:textId="2A4B8CD3" w:rsidR="00E133AC" w:rsidRPr="00972B8A" w:rsidRDefault="001F2A1C" w:rsidP="00F16525">
            <w:pPr>
              <w:rPr>
                <w:sz w:val="20"/>
                <w:szCs w:val="20"/>
              </w:rPr>
            </w:pPr>
            <w:r w:rsidRPr="00972B8A">
              <w:rPr>
                <w:sz w:val="20"/>
                <w:szCs w:val="20"/>
              </w:rPr>
              <w:t>Ceftriaxone</w:t>
            </w:r>
          </w:p>
        </w:tc>
      </w:tr>
      <w:tr w:rsidR="00E133AC" w:rsidRPr="00972B8A" w14:paraId="2C8C1D1E" w14:textId="77777777" w:rsidTr="007474A0">
        <w:tc>
          <w:tcPr>
            <w:tcW w:w="2335" w:type="dxa"/>
            <w:tcBorders>
              <w:right w:val="nil"/>
            </w:tcBorders>
          </w:tcPr>
          <w:p w14:paraId="256C4293" w14:textId="648E789A" w:rsidR="00E133AC" w:rsidRPr="00972B8A" w:rsidRDefault="00E133AC" w:rsidP="00F16525">
            <w:pPr>
              <w:rPr>
                <w:sz w:val="20"/>
                <w:szCs w:val="20"/>
              </w:rPr>
            </w:pPr>
            <w:r w:rsidRPr="00972B8A">
              <w:rPr>
                <w:sz w:val="20"/>
                <w:szCs w:val="20"/>
              </w:rPr>
              <w:t>Dosage:</w:t>
            </w:r>
          </w:p>
        </w:tc>
        <w:tc>
          <w:tcPr>
            <w:tcW w:w="8455" w:type="dxa"/>
            <w:tcBorders>
              <w:left w:val="nil"/>
            </w:tcBorders>
          </w:tcPr>
          <w:p w14:paraId="4542BE52" w14:textId="1BFD8422" w:rsidR="00E133AC" w:rsidRPr="00972B8A" w:rsidRDefault="001F2A1C" w:rsidP="00F16525">
            <w:pPr>
              <w:rPr>
                <w:sz w:val="20"/>
                <w:szCs w:val="20"/>
              </w:rPr>
            </w:pPr>
            <w:r w:rsidRPr="00972B8A">
              <w:rPr>
                <w:sz w:val="20"/>
                <w:szCs w:val="20"/>
              </w:rPr>
              <w:t>500 mg IM, single dose (1g for patients ≥ 150kg)</w:t>
            </w:r>
          </w:p>
        </w:tc>
      </w:tr>
      <w:tr w:rsidR="00E133AC" w:rsidRPr="00972B8A" w14:paraId="4B193FB8" w14:textId="77777777" w:rsidTr="007474A0">
        <w:tc>
          <w:tcPr>
            <w:tcW w:w="2335" w:type="dxa"/>
            <w:tcBorders>
              <w:right w:val="nil"/>
            </w:tcBorders>
          </w:tcPr>
          <w:p w14:paraId="7055C140" w14:textId="59A24B63" w:rsidR="00E133AC" w:rsidRPr="00972B8A" w:rsidRDefault="00E133AC" w:rsidP="00F16525">
            <w:pPr>
              <w:rPr>
                <w:sz w:val="20"/>
                <w:szCs w:val="20"/>
              </w:rPr>
            </w:pPr>
            <w:r w:rsidRPr="00972B8A">
              <w:rPr>
                <w:sz w:val="20"/>
                <w:szCs w:val="20"/>
              </w:rPr>
              <w:t>Indicated for Rx of</w:t>
            </w:r>
            <w:r w:rsidR="001F2A1C" w:rsidRPr="00972B8A">
              <w:rPr>
                <w:sz w:val="20"/>
                <w:szCs w:val="20"/>
              </w:rPr>
              <w:t>:</w:t>
            </w:r>
          </w:p>
        </w:tc>
        <w:tc>
          <w:tcPr>
            <w:tcW w:w="8455" w:type="dxa"/>
            <w:tcBorders>
              <w:left w:val="nil"/>
            </w:tcBorders>
          </w:tcPr>
          <w:p w14:paraId="24E39D60" w14:textId="3A0D137E" w:rsidR="00E133AC" w:rsidRPr="00972B8A" w:rsidRDefault="001F2A1C" w:rsidP="00F16525">
            <w:pPr>
              <w:rPr>
                <w:sz w:val="20"/>
                <w:szCs w:val="20"/>
              </w:rPr>
            </w:pPr>
            <w:r w:rsidRPr="00972B8A">
              <w:rPr>
                <w:sz w:val="20"/>
                <w:szCs w:val="20"/>
              </w:rPr>
              <w:t>Uncomplicated gonococcal infections at all sites (genital, anal, and pharyngeal)</w:t>
            </w:r>
          </w:p>
        </w:tc>
      </w:tr>
      <w:tr w:rsidR="00E133AC" w:rsidRPr="00972B8A" w14:paraId="3750171C" w14:textId="77777777" w:rsidTr="007474A0">
        <w:tc>
          <w:tcPr>
            <w:tcW w:w="2335" w:type="dxa"/>
            <w:tcBorders>
              <w:right w:val="nil"/>
            </w:tcBorders>
          </w:tcPr>
          <w:p w14:paraId="4F79E9E4" w14:textId="4232ED15" w:rsidR="00E133AC" w:rsidRPr="00972B8A" w:rsidRDefault="00E133AC" w:rsidP="00F16525">
            <w:pPr>
              <w:rPr>
                <w:sz w:val="20"/>
                <w:szCs w:val="20"/>
              </w:rPr>
            </w:pPr>
            <w:r w:rsidRPr="00972B8A">
              <w:rPr>
                <w:sz w:val="20"/>
                <w:szCs w:val="20"/>
              </w:rPr>
              <w:t>Safe for</w:t>
            </w:r>
            <w:r w:rsidR="001F2A1C" w:rsidRPr="00972B8A">
              <w:rPr>
                <w:sz w:val="20"/>
                <w:szCs w:val="20"/>
              </w:rPr>
              <w:t>:</w:t>
            </w:r>
          </w:p>
        </w:tc>
        <w:tc>
          <w:tcPr>
            <w:tcW w:w="8455" w:type="dxa"/>
            <w:tcBorders>
              <w:left w:val="nil"/>
            </w:tcBorders>
          </w:tcPr>
          <w:p w14:paraId="130EBC07" w14:textId="5D3F2E5B" w:rsidR="00E133AC" w:rsidRPr="00972B8A" w:rsidRDefault="001F2A1C" w:rsidP="00F16525">
            <w:pPr>
              <w:rPr>
                <w:sz w:val="20"/>
                <w:szCs w:val="20"/>
              </w:rPr>
            </w:pPr>
            <w:r w:rsidRPr="00972B8A">
              <w:rPr>
                <w:sz w:val="20"/>
                <w:szCs w:val="20"/>
              </w:rPr>
              <w:t>Adults, pregnant persons, and adolescents</w:t>
            </w:r>
          </w:p>
        </w:tc>
      </w:tr>
      <w:tr w:rsidR="00E133AC" w:rsidRPr="00972B8A" w14:paraId="64FCD58A" w14:textId="77777777" w:rsidTr="007474A0">
        <w:tc>
          <w:tcPr>
            <w:tcW w:w="2335" w:type="dxa"/>
            <w:tcBorders>
              <w:right w:val="nil"/>
            </w:tcBorders>
          </w:tcPr>
          <w:p w14:paraId="4474D011" w14:textId="47507D65" w:rsidR="00E133AC" w:rsidRPr="00972B8A" w:rsidRDefault="00E133AC" w:rsidP="00F16525">
            <w:pPr>
              <w:rPr>
                <w:sz w:val="20"/>
                <w:szCs w:val="20"/>
              </w:rPr>
            </w:pPr>
            <w:r w:rsidRPr="00972B8A">
              <w:rPr>
                <w:sz w:val="20"/>
                <w:szCs w:val="20"/>
              </w:rPr>
              <w:t>Contraindications:</w:t>
            </w:r>
          </w:p>
        </w:tc>
        <w:tc>
          <w:tcPr>
            <w:tcW w:w="8455" w:type="dxa"/>
            <w:tcBorders>
              <w:left w:val="nil"/>
            </w:tcBorders>
          </w:tcPr>
          <w:p w14:paraId="505EEED2" w14:textId="6E4445EC" w:rsidR="00E133AC" w:rsidRPr="00972B8A" w:rsidRDefault="001F2A1C" w:rsidP="00F16525">
            <w:pPr>
              <w:rPr>
                <w:sz w:val="20"/>
                <w:szCs w:val="20"/>
              </w:rPr>
            </w:pPr>
            <w:r w:rsidRPr="00972B8A">
              <w:rPr>
                <w:sz w:val="20"/>
                <w:szCs w:val="20"/>
              </w:rPr>
              <w:t>Allergy to cephalosporins</w:t>
            </w:r>
          </w:p>
        </w:tc>
      </w:tr>
      <w:tr w:rsidR="001F2A1C" w:rsidRPr="00972B8A" w14:paraId="54D24696" w14:textId="77777777" w:rsidTr="007474A0">
        <w:tc>
          <w:tcPr>
            <w:tcW w:w="2335" w:type="dxa"/>
            <w:tcBorders>
              <w:right w:val="nil"/>
            </w:tcBorders>
          </w:tcPr>
          <w:p w14:paraId="663774A6" w14:textId="682E7744" w:rsidR="001F2A1C" w:rsidRPr="00972B8A" w:rsidRDefault="001F2A1C" w:rsidP="00F16525">
            <w:pPr>
              <w:rPr>
                <w:sz w:val="20"/>
                <w:szCs w:val="20"/>
              </w:rPr>
            </w:pPr>
            <w:r w:rsidRPr="00972B8A">
              <w:rPr>
                <w:sz w:val="20"/>
                <w:szCs w:val="20"/>
              </w:rPr>
              <w:t>Notes:</w:t>
            </w:r>
          </w:p>
        </w:tc>
        <w:tc>
          <w:tcPr>
            <w:tcW w:w="8455" w:type="dxa"/>
            <w:tcBorders>
              <w:left w:val="nil"/>
            </w:tcBorders>
          </w:tcPr>
          <w:p w14:paraId="78830135" w14:textId="35517A82" w:rsidR="001F2A1C" w:rsidRPr="00972B8A" w:rsidRDefault="001F2A1C" w:rsidP="00F16525">
            <w:pPr>
              <w:rPr>
                <w:sz w:val="20"/>
                <w:szCs w:val="20"/>
              </w:rPr>
            </w:pPr>
            <w:r w:rsidRPr="00972B8A">
              <w:rPr>
                <w:sz w:val="20"/>
                <w:szCs w:val="20"/>
              </w:rPr>
              <w:t>Consider using lidocaine as a diluent for ceftriaxone for patient comfort</w:t>
            </w:r>
          </w:p>
        </w:tc>
      </w:tr>
    </w:tbl>
    <w:p w14:paraId="75B19061" w14:textId="77777777" w:rsidR="00E133AC" w:rsidRPr="007B556D" w:rsidRDefault="00E133AC" w:rsidP="00F16525">
      <w:pPr>
        <w:spacing w:after="0" w:line="240" w:lineRule="auto"/>
        <w:rPr>
          <w:sz w:val="16"/>
          <w:szCs w:val="16"/>
        </w:rPr>
      </w:pPr>
    </w:p>
    <w:p w14:paraId="0B265FE3" w14:textId="557A7465" w:rsidR="009E259A" w:rsidRPr="00972B8A" w:rsidRDefault="00B800C1" w:rsidP="009E259A">
      <w:pPr>
        <w:spacing w:after="0" w:line="240" w:lineRule="auto"/>
        <w:rPr>
          <w:b/>
          <w:bCs/>
          <w:sz w:val="20"/>
          <w:szCs w:val="20"/>
        </w:rPr>
      </w:pPr>
      <w:r w:rsidRPr="00972B8A">
        <w:rPr>
          <w:b/>
          <w:bCs/>
          <w:sz w:val="20"/>
          <w:szCs w:val="20"/>
        </w:rPr>
        <w:t>Chlamydia</w:t>
      </w:r>
      <w:r w:rsidR="009E259A" w:rsidRPr="00972B8A">
        <w:rPr>
          <w:b/>
          <w:bCs/>
          <w:sz w:val="20"/>
          <w:szCs w:val="20"/>
        </w:rPr>
        <w:t xml:space="preserve"> Prophylaxis</w:t>
      </w:r>
    </w:p>
    <w:tbl>
      <w:tblPr>
        <w:tblStyle w:val="TableGrid"/>
        <w:tblW w:w="0" w:type="auto"/>
        <w:tblLook w:val="04A0" w:firstRow="1" w:lastRow="0" w:firstColumn="1" w:lastColumn="0" w:noHBand="0" w:noVBand="1"/>
      </w:tblPr>
      <w:tblGrid>
        <w:gridCol w:w="2335"/>
        <w:gridCol w:w="8455"/>
      </w:tblGrid>
      <w:tr w:rsidR="009E259A" w:rsidRPr="00972B8A" w14:paraId="554F85C4" w14:textId="77777777" w:rsidTr="00C110E7">
        <w:tc>
          <w:tcPr>
            <w:tcW w:w="2335" w:type="dxa"/>
            <w:tcBorders>
              <w:right w:val="nil"/>
            </w:tcBorders>
          </w:tcPr>
          <w:p w14:paraId="5A39365E" w14:textId="77777777" w:rsidR="009E259A" w:rsidRPr="00972B8A" w:rsidRDefault="009E259A" w:rsidP="004C7DF3">
            <w:pPr>
              <w:rPr>
                <w:sz w:val="20"/>
                <w:szCs w:val="20"/>
              </w:rPr>
            </w:pPr>
            <w:r w:rsidRPr="00972B8A">
              <w:rPr>
                <w:sz w:val="20"/>
                <w:szCs w:val="20"/>
              </w:rPr>
              <w:t>Medications:</w:t>
            </w:r>
          </w:p>
        </w:tc>
        <w:tc>
          <w:tcPr>
            <w:tcW w:w="8455" w:type="dxa"/>
            <w:tcBorders>
              <w:left w:val="nil"/>
            </w:tcBorders>
          </w:tcPr>
          <w:p w14:paraId="5FE7A91C" w14:textId="414C3258" w:rsidR="009E259A" w:rsidRPr="00972B8A" w:rsidRDefault="00C110E7" w:rsidP="004C7DF3">
            <w:pPr>
              <w:rPr>
                <w:sz w:val="20"/>
                <w:szCs w:val="20"/>
              </w:rPr>
            </w:pPr>
            <w:r w:rsidRPr="00972B8A">
              <w:rPr>
                <w:sz w:val="20"/>
                <w:szCs w:val="20"/>
              </w:rPr>
              <w:t>Doxycycline</w:t>
            </w:r>
          </w:p>
        </w:tc>
      </w:tr>
      <w:tr w:rsidR="009E259A" w:rsidRPr="00972B8A" w14:paraId="6C1090D3" w14:textId="77777777" w:rsidTr="00C110E7">
        <w:tc>
          <w:tcPr>
            <w:tcW w:w="2335" w:type="dxa"/>
            <w:tcBorders>
              <w:right w:val="nil"/>
            </w:tcBorders>
          </w:tcPr>
          <w:p w14:paraId="66CB8DF0" w14:textId="77777777" w:rsidR="009E259A" w:rsidRPr="00972B8A" w:rsidRDefault="009E259A" w:rsidP="004C7DF3">
            <w:pPr>
              <w:rPr>
                <w:sz w:val="20"/>
                <w:szCs w:val="20"/>
              </w:rPr>
            </w:pPr>
            <w:r w:rsidRPr="00972B8A">
              <w:rPr>
                <w:sz w:val="20"/>
                <w:szCs w:val="20"/>
              </w:rPr>
              <w:t>Dosage:</w:t>
            </w:r>
          </w:p>
        </w:tc>
        <w:tc>
          <w:tcPr>
            <w:tcW w:w="8455" w:type="dxa"/>
            <w:tcBorders>
              <w:left w:val="nil"/>
            </w:tcBorders>
          </w:tcPr>
          <w:p w14:paraId="2A1112F2" w14:textId="6C289DFC" w:rsidR="009E259A" w:rsidRPr="00972B8A" w:rsidRDefault="00C110E7" w:rsidP="004C7DF3">
            <w:pPr>
              <w:rPr>
                <w:sz w:val="20"/>
                <w:szCs w:val="20"/>
              </w:rPr>
            </w:pPr>
            <w:r w:rsidRPr="00972B8A">
              <w:rPr>
                <w:sz w:val="20"/>
                <w:szCs w:val="20"/>
              </w:rPr>
              <w:t>100 mg orally twice a day for 7 days</w:t>
            </w:r>
          </w:p>
        </w:tc>
      </w:tr>
      <w:tr w:rsidR="009E259A" w:rsidRPr="00972B8A" w14:paraId="546A6C52" w14:textId="77777777" w:rsidTr="00C110E7">
        <w:tc>
          <w:tcPr>
            <w:tcW w:w="2335" w:type="dxa"/>
            <w:tcBorders>
              <w:right w:val="nil"/>
            </w:tcBorders>
          </w:tcPr>
          <w:p w14:paraId="5290D05C" w14:textId="77777777" w:rsidR="009E259A" w:rsidRPr="00972B8A" w:rsidRDefault="009E259A" w:rsidP="004C7DF3">
            <w:pPr>
              <w:rPr>
                <w:sz w:val="20"/>
                <w:szCs w:val="20"/>
              </w:rPr>
            </w:pPr>
            <w:r w:rsidRPr="00972B8A">
              <w:rPr>
                <w:sz w:val="20"/>
                <w:szCs w:val="20"/>
              </w:rPr>
              <w:t>Indicated for Rx of:</w:t>
            </w:r>
          </w:p>
        </w:tc>
        <w:tc>
          <w:tcPr>
            <w:tcW w:w="8455" w:type="dxa"/>
            <w:tcBorders>
              <w:left w:val="nil"/>
            </w:tcBorders>
          </w:tcPr>
          <w:p w14:paraId="18962DDE" w14:textId="75D21DA6" w:rsidR="009E259A" w:rsidRPr="00972B8A" w:rsidRDefault="00DA751A" w:rsidP="004C7DF3">
            <w:pPr>
              <w:rPr>
                <w:sz w:val="20"/>
                <w:szCs w:val="20"/>
              </w:rPr>
            </w:pPr>
            <w:r w:rsidRPr="00972B8A">
              <w:rPr>
                <w:sz w:val="20"/>
                <w:szCs w:val="20"/>
              </w:rPr>
              <w:t>Chlamydial infection at all sites</w:t>
            </w:r>
          </w:p>
        </w:tc>
      </w:tr>
      <w:tr w:rsidR="009E259A" w:rsidRPr="00972B8A" w14:paraId="16378AD5" w14:textId="77777777" w:rsidTr="00C110E7">
        <w:tc>
          <w:tcPr>
            <w:tcW w:w="2335" w:type="dxa"/>
            <w:tcBorders>
              <w:right w:val="nil"/>
            </w:tcBorders>
          </w:tcPr>
          <w:p w14:paraId="11CA7B5B" w14:textId="77777777" w:rsidR="009E259A" w:rsidRPr="00972B8A" w:rsidRDefault="009E259A" w:rsidP="004C7DF3">
            <w:pPr>
              <w:rPr>
                <w:sz w:val="20"/>
                <w:szCs w:val="20"/>
              </w:rPr>
            </w:pPr>
            <w:r w:rsidRPr="00972B8A">
              <w:rPr>
                <w:sz w:val="20"/>
                <w:szCs w:val="20"/>
              </w:rPr>
              <w:t>Safe for:</w:t>
            </w:r>
          </w:p>
        </w:tc>
        <w:tc>
          <w:tcPr>
            <w:tcW w:w="8455" w:type="dxa"/>
            <w:tcBorders>
              <w:left w:val="nil"/>
            </w:tcBorders>
          </w:tcPr>
          <w:p w14:paraId="1FEB0550" w14:textId="4EFCFCA1" w:rsidR="009E259A" w:rsidRPr="00972B8A" w:rsidRDefault="00DA751A" w:rsidP="004C7DF3">
            <w:pPr>
              <w:rPr>
                <w:sz w:val="20"/>
                <w:szCs w:val="20"/>
              </w:rPr>
            </w:pPr>
            <w:r w:rsidRPr="00972B8A">
              <w:rPr>
                <w:sz w:val="20"/>
                <w:szCs w:val="20"/>
              </w:rPr>
              <w:t>Adults and adolescents</w:t>
            </w:r>
          </w:p>
        </w:tc>
      </w:tr>
      <w:tr w:rsidR="009E259A" w:rsidRPr="00972B8A" w14:paraId="782B6C83" w14:textId="77777777" w:rsidTr="00C110E7">
        <w:tc>
          <w:tcPr>
            <w:tcW w:w="2335" w:type="dxa"/>
            <w:tcBorders>
              <w:right w:val="nil"/>
            </w:tcBorders>
          </w:tcPr>
          <w:p w14:paraId="6BD5CCC4" w14:textId="77777777" w:rsidR="009E259A" w:rsidRPr="00972B8A" w:rsidRDefault="009E259A" w:rsidP="004C7DF3">
            <w:pPr>
              <w:rPr>
                <w:sz w:val="20"/>
                <w:szCs w:val="20"/>
              </w:rPr>
            </w:pPr>
            <w:r w:rsidRPr="00972B8A">
              <w:rPr>
                <w:sz w:val="20"/>
                <w:szCs w:val="20"/>
              </w:rPr>
              <w:t>Contraindications:</w:t>
            </w:r>
          </w:p>
        </w:tc>
        <w:tc>
          <w:tcPr>
            <w:tcW w:w="8455" w:type="dxa"/>
            <w:tcBorders>
              <w:left w:val="nil"/>
            </w:tcBorders>
          </w:tcPr>
          <w:p w14:paraId="041D6EAC" w14:textId="61071FF7" w:rsidR="009E259A" w:rsidRPr="00972B8A" w:rsidRDefault="00972B8A" w:rsidP="004C7DF3">
            <w:pPr>
              <w:rPr>
                <w:sz w:val="20"/>
                <w:szCs w:val="20"/>
              </w:rPr>
            </w:pPr>
            <w:r w:rsidRPr="00972B8A">
              <w:rPr>
                <w:sz w:val="20"/>
                <w:szCs w:val="20"/>
              </w:rPr>
              <w:t>Allergy to tetracyclines; pregnancy, chest/breastfeeding</w:t>
            </w:r>
          </w:p>
        </w:tc>
      </w:tr>
      <w:tr w:rsidR="009E259A" w:rsidRPr="00972B8A" w14:paraId="568A3214" w14:textId="77777777" w:rsidTr="00C110E7">
        <w:tc>
          <w:tcPr>
            <w:tcW w:w="2335" w:type="dxa"/>
            <w:tcBorders>
              <w:right w:val="nil"/>
            </w:tcBorders>
          </w:tcPr>
          <w:p w14:paraId="34EEC7FD" w14:textId="77777777" w:rsidR="009E259A" w:rsidRPr="00972B8A" w:rsidRDefault="009E259A" w:rsidP="004C7DF3">
            <w:pPr>
              <w:rPr>
                <w:sz w:val="20"/>
                <w:szCs w:val="20"/>
              </w:rPr>
            </w:pPr>
            <w:r w:rsidRPr="00972B8A">
              <w:rPr>
                <w:sz w:val="20"/>
                <w:szCs w:val="20"/>
              </w:rPr>
              <w:t>Notes:</w:t>
            </w:r>
          </w:p>
        </w:tc>
        <w:tc>
          <w:tcPr>
            <w:tcW w:w="8455" w:type="dxa"/>
            <w:tcBorders>
              <w:left w:val="nil"/>
            </w:tcBorders>
          </w:tcPr>
          <w:p w14:paraId="477B0C0D" w14:textId="5F77F443" w:rsidR="009E259A" w:rsidRPr="00972B8A" w:rsidRDefault="00972B8A" w:rsidP="004C7DF3">
            <w:pPr>
              <w:rPr>
                <w:sz w:val="20"/>
                <w:szCs w:val="20"/>
              </w:rPr>
            </w:pPr>
            <w:r w:rsidRPr="00972B8A">
              <w:rPr>
                <w:sz w:val="20"/>
                <w:szCs w:val="20"/>
              </w:rPr>
              <w:t>Azithromycin, single dose 1 g orally should be used in pregnant patients and may be considered in patients in whom nonadherence to doxycycline regimen is a substantial concern. Azithromycin is significantly less effective in patients with possible oral or rectal infection. Chlamydia is detected at the anorectal site among 33%–83% of women who had urogenital chlamydia infection, and its detection was not associated with report of receptive anorectal sexual activity.</w:t>
            </w:r>
          </w:p>
        </w:tc>
      </w:tr>
    </w:tbl>
    <w:p w14:paraId="7B176B3E" w14:textId="77777777" w:rsidR="00E133AC" w:rsidRPr="007B556D" w:rsidRDefault="00E133AC" w:rsidP="00F16525">
      <w:pPr>
        <w:spacing w:after="0" w:line="240" w:lineRule="auto"/>
        <w:rPr>
          <w:sz w:val="16"/>
          <w:szCs w:val="16"/>
        </w:rPr>
      </w:pPr>
    </w:p>
    <w:p w14:paraId="40D4FC5A" w14:textId="632520E2" w:rsidR="00972B8A" w:rsidRPr="00972B8A" w:rsidRDefault="00E17267" w:rsidP="00972B8A">
      <w:pPr>
        <w:spacing w:after="0" w:line="240" w:lineRule="auto"/>
        <w:rPr>
          <w:b/>
          <w:bCs/>
          <w:sz w:val="20"/>
          <w:szCs w:val="20"/>
        </w:rPr>
      </w:pPr>
      <w:r>
        <w:rPr>
          <w:b/>
          <w:bCs/>
          <w:sz w:val="20"/>
          <w:szCs w:val="20"/>
        </w:rPr>
        <w:t>Trichomoniasis Prophylaxis (</w:t>
      </w:r>
      <w:r>
        <w:rPr>
          <w:sz w:val="20"/>
          <w:szCs w:val="20"/>
        </w:rPr>
        <w:t>Recommended for patients with a vagina only)</w:t>
      </w:r>
    </w:p>
    <w:tbl>
      <w:tblPr>
        <w:tblStyle w:val="TableGrid"/>
        <w:tblW w:w="0" w:type="auto"/>
        <w:tblLook w:val="04A0" w:firstRow="1" w:lastRow="0" w:firstColumn="1" w:lastColumn="0" w:noHBand="0" w:noVBand="1"/>
      </w:tblPr>
      <w:tblGrid>
        <w:gridCol w:w="2335"/>
        <w:gridCol w:w="8455"/>
      </w:tblGrid>
      <w:tr w:rsidR="00972B8A" w:rsidRPr="00972B8A" w14:paraId="72D02342" w14:textId="77777777" w:rsidTr="004C7DF3">
        <w:tc>
          <w:tcPr>
            <w:tcW w:w="2335" w:type="dxa"/>
            <w:tcBorders>
              <w:right w:val="nil"/>
            </w:tcBorders>
          </w:tcPr>
          <w:p w14:paraId="45E1D652" w14:textId="77777777" w:rsidR="00972B8A" w:rsidRPr="00AD6F66" w:rsidRDefault="00972B8A" w:rsidP="004C7DF3">
            <w:pPr>
              <w:rPr>
                <w:sz w:val="20"/>
                <w:szCs w:val="20"/>
              </w:rPr>
            </w:pPr>
            <w:r w:rsidRPr="00AD6F66">
              <w:rPr>
                <w:sz w:val="20"/>
                <w:szCs w:val="20"/>
              </w:rPr>
              <w:t>Medications:</w:t>
            </w:r>
          </w:p>
        </w:tc>
        <w:tc>
          <w:tcPr>
            <w:tcW w:w="8455" w:type="dxa"/>
            <w:tcBorders>
              <w:left w:val="nil"/>
            </w:tcBorders>
          </w:tcPr>
          <w:p w14:paraId="03E7E887" w14:textId="659BCDC5" w:rsidR="00972B8A" w:rsidRPr="00AD6F66" w:rsidRDefault="00E17267" w:rsidP="004C7DF3">
            <w:pPr>
              <w:rPr>
                <w:sz w:val="20"/>
                <w:szCs w:val="20"/>
              </w:rPr>
            </w:pPr>
            <w:r w:rsidRPr="00AD6F66">
              <w:rPr>
                <w:sz w:val="20"/>
                <w:szCs w:val="20"/>
              </w:rPr>
              <w:t>Metronidazole</w:t>
            </w:r>
          </w:p>
        </w:tc>
      </w:tr>
      <w:tr w:rsidR="00972B8A" w:rsidRPr="00972B8A" w14:paraId="1ADB8FF6" w14:textId="77777777" w:rsidTr="004C7DF3">
        <w:tc>
          <w:tcPr>
            <w:tcW w:w="2335" w:type="dxa"/>
            <w:tcBorders>
              <w:right w:val="nil"/>
            </w:tcBorders>
          </w:tcPr>
          <w:p w14:paraId="35E59F3A" w14:textId="77777777" w:rsidR="00972B8A" w:rsidRPr="00AD6F66" w:rsidRDefault="00972B8A" w:rsidP="004C7DF3">
            <w:pPr>
              <w:rPr>
                <w:sz w:val="20"/>
                <w:szCs w:val="20"/>
              </w:rPr>
            </w:pPr>
            <w:r w:rsidRPr="00AD6F66">
              <w:rPr>
                <w:sz w:val="20"/>
                <w:szCs w:val="20"/>
              </w:rPr>
              <w:t>Dosage:</w:t>
            </w:r>
          </w:p>
        </w:tc>
        <w:tc>
          <w:tcPr>
            <w:tcW w:w="8455" w:type="dxa"/>
            <w:tcBorders>
              <w:left w:val="nil"/>
            </w:tcBorders>
          </w:tcPr>
          <w:p w14:paraId="451A3E79" w14:textId="63DA073E" w:rsidR="00972B8A" w:rsidRPr="00AD6F66" w:rsidRDefault="00933AE9" w:rsidP="004C7DF3">
            <w:pPr>
              <w:rPr>
                <w:sz w:val="20"/>
                <w:szCs w:val="20"/>
              </w:rPr>
            </w:pPr>
            <w:r w:rsidRPr="00AD6F66">
              <w:rPr>
                <w:sz w:val="20"/>
                <w:szCs w:val="20"/>
              </w:rPr>
              <w:t>500 mg orally twice a day for 7 days</w:t>
            </w:r>
          </w:p>
        </w:tc>
      </w:tr>
      <w:tr w:rsidR="00972B8A" w:rsidRPr="00972B8A" w14:paraId="54595B0E" w14:textId="77777777" w:rsidTr="004C7DF3">
        <w:tc>
          <w:tcPr>
            <w:tcW w:w="2335" w:type="dxa"/>
            <w:tcBorders>
              <w:right w:val="nil"/>
            </w:tcBorders>
          </w:tcPr>
          <w:p w14:paraId="742E8856" w14:textId="77777777" w:rsidR="00972B8A" w:rsidRPr="00AD6F66" w:rsidRDefault="00972B8A" w:rsidP="004C7DF3">
            <w:pPr>
              <w:rPr>
                <w:sz w:val="20"/>
                <w:szCs w:val="20"/>
              </w:rPr>
            </w:pPr>
            <w:r w:rsidRPr="00AD6F66">
              <w:rPr>
                <w:sz w:val="20"/>
                <w:szCs w:val="20"/>
              </w:rPr>
              <w:t>Indicated for Rx of:</w:t>
            </w:r>
          </w:p>
        </w:tc>
        <w:tc>
          <w:tcPr>
            <w:tcW w:w="8455" w:type="dxa"/>
            <w:tcBorders>
              <w:left w:val="nil"/>
            </w:tcBorders>
          </w:tcPr>
          <w:p w14:paraId="38313F62" w14:textId="3F807A28" w:rsidR="00972B8A" w:rsidRPr="00AD6F66" w:rsidRDefault="004837D7" w:rsidP="004C7DF3">
            <w:pPr>
              <w:rPr>
                <w:sz w:val="20"/>
                <w:szCs w:val="20"/>
              </w:rPr>
            </w:pPr>
            <w:r w:rsidRPr="00AD6F66">
              <w:rPr>
                <w:sz w:val="20"/>
                <w:szCs w:val="20"/>
              </w:rPr>
              <w:t>Trichomoniasis</w:t>
            </w:r>
          </w:p>
        </w:tc>
      </w:tr>
      <w:tr w:rsidR="00972B8A" w:rsidRPr="00972B8A" w14:paraId="089EF2C5" w14:textId="77777777" w:rsidTr="004C7DF3">
        <w:tc>
          <w:tcPr>
            <w:tcW w:w="2335" w:type="dxa"/>
            <w:tcBorders>
              <w:right w:val="nil"/>
            </w:tcBorders>
          </w:tcPr>
          <w:p w14:paraId="03071ABB" w14:textId="77777777" w:rsidR="00972B8A" w:rsidRPr="00AD6F66" w:rsidRDefault="00972B8A" w:rsidP="004C7DF3">
            <w:pPr>
              <w:rPr>
                <w:sz w:val="20"/>
                <w:szCs w:val="20"/>
              </w:rPr>
            </w:pPr>
            <w:r w:rsidRPr="00AD6F66">
              <w:rPr>
                <w:sz w:val="20"/>
                <w:szCs w:val="20"/>
              </w:rPr>
              <w:t>Safe for:</w:t>
            </w:r>
          </w:p>
        </w:tc>
        <w:tc>
          <w:tcPr>
            <w:tcW w:w="8455" w:type="dxa"/>
            <w:tcBorders>
              <w:left w:val="nil"/>
            </w:tcBorders>
          </w:tcPr>
          <w:p w14:paraId="429927F6" w14:textId="2AD55B6B" w:rsidR="00972B8A" w:rsidRPr="00AD6F66" w:rsidRDefault="004837D7" w:rsidP="004C7DF3">
            <w:pPr>
              <w:rPr>
                <w:sz w:val="20"/>
                <w:szCs w:val="20"/>
              </w:rPr>
            </w:pPr>
            <w:r w:rsidRPr="00AD6F66">
              <w:rPr>
                <w:sz w:val="20"/>
                <w:szCs w:val="20"/>
              </w:rPr>
              <w:t>Adults, pregnant persons, and adolescents</w:t>
            </w:r>
          </w:p>
        </w:tc>
      </w:tr>
      <w:tr w:rsidR="00972B8A" w:rsidRPr="00972B8A" w14:paraId="270247E2" w14:textId="77777777" w:rsidTr="004C7DF3">
        <w:tc>
          <w:tcPr>
            <w:tcW w:w="2335" w:type="dxa"/>
            <w:tcBorders>
              <w:right w:val="nil"/>
            </w:tcBorders>
          </w:tcPr>
          <w:p w14:paraId="54D43759" w14:textId="77777777" w:rsidR="00972B8A" w:rsidRPr="00AD6F66" w:rsidRDefault="00972B8A" w:rsidP="004C7DF3">
            <w:pPr>
              <w:rPr>
                <w:sz w:val="20"/>
                <w:szCs w:val="20"/>
              </w:rPr>
            </w:pPr>
            <w:r w:rsidRPr="00AD6F66">
              <w:rPr>
                <w:sz w:val="20"/>
                <w:szCs w:val="20"/>
              </w:rPr>
              <w:t>Contraindications:</w:t>
            </w:r>
          </w:p>
        </w:tc>
        <w:tc>
          <w:tcPr>
            <w:tcW w:w="8455" w:type="dxa"/>
            <w:tcBorders>
              <w:left w:val="nil"/>
            </w:tcBorders>
          </w:tcPr>
          <w:p w14:paraId="6C5C2B9E" w14:textId="17D755F6" w:rsidR="00972B8A" w:rsidRPr="00AD6F66" w:rsidRDefault="00DB4146" w:rsidP="004C7DF3">
            <w:pPr>
              <w:rPr>
                <w:sz w:val="20"/>
                <w:szCs w:val="20"/>
              </w:rPr>
            </w:pPr>
            <w:r w:rsidRPr="00AD6F66">
              <w:rPr>
                <w:sz w:val="20"/>
                <w:szCs w:val="20"/>
              </w:rPr>
              <w:t>Allergy to metronidazole</w:t>
            </w:r>
          </w:p>
        </w:tc>
      </w:tr>
      <w:tr w:rsidR="00972B8A" w:rsidRPr="00972B8A" w14:paraId="70374DD5" w14:textId="77777777" w:rsidTr="004C7DF3">
        <w:tc>
          <w:tcPr>
            <w:tcW w:w="2335" w:type="dxa"/>
            <w:tcBorders>
              <w:right w:val="nil"/>
            </w:tcBorders>
          </w:tcPr>
          <w:p w14:paraId="1D8C69C4" w14:textId="77777777" w:rsidR="00972B8A" w:rsidRPr="00AD6F66" w:rsidRDefault="00972B8A" w:rsidP="004C7DF3">
            <w:pPr>
              <w:rPr>
                <w:sz w:val="20"/>
                <w:szCs w:val="20"/>
              </w:rPr>
            </w:pPr>
            <w:r w:rsidRPr="00AD6F66">
              <w:rPr>
                <w:sz w:val="20"/>
                <w:szCs w:val="20"/>
              </w:rPr>
              <w:t>Notes:</w:t>
            </w:r>
          </w:p>
        </w:tc>
        <w:tc>
          <w:tcPr>
            <w:tcW w:w="8455" w:type="dxa"/>
            <w:tcBorders>
              <w:left w:val="nil"/>
            </w:tcBorders>
          </w:tcPr>
          <w:p w14:paraId="2EC254AD" w14:textId="49E986AF" w:rsidR="00972B8A" w:rsidRPr="00AD6F66" w:rsidRDefault="00DB4146" w:rsidP="004C7DF3">
            <w:pPr>
              <w:rPr>
                <w:sz w:val="20"/>
                <w:szCs w:val="20"/>
              </w:rPr>
            </w:pPr>
            <w:r w:rsidRPr="00AD6F66">
              <w:rPr>
                <w:sz w:val="20"/>
                <w:szCs w:val="20"/>
              </w:rPr>
              <w:t>Per 2021 CDC guidelines refraining from alcohol use while taking metronidazole is</w:t>
            </w:r>
            <w:r w:rsidR="00B6141D" w:rsidRPr="00AD6F66">
              <w:rPr>
                <w:sz w:val="20"/>
                <w:szCs w:val="20"/>
              </w:rPr>
              <w:t xml:space="preserve"> unnecessary.</w:t>
            </w:r>
          </w:p>
        </w:tc>
      </w:tr>
    </w:tbl>
    <w:p w14:paraId="0524AB5D" w14:textId="77777777" w:rsidR="00F16525" w:rsidRPr="007B556D" w:rsidRDefault="00F16525" w:rsidP="00F16525">
      <w:pPr>
        <w:spacing w:after="0" w:line="240" w:lineRule="auto"/>
        <w:rPr>
          <w:sz w:val="16"/>
          <w:szCs w:val="16"/>
        </w:rPr>
      </w:pPr>
    </w:p>
    <w:p w14:paraId="53A45F62" w14:textId="1094860F" w:rsidR="00F315A6" w:rsidRPr="00972B8A" w:rsidRDefault="009B29F4" w:rsidP="00F315A6">
      <w:pPr>
        <w:spacing w:after="0" w:line="240" w:lineRule="auto"/>
        <w:rPr>
          <w:b/>
          <w:bCs/>
          <w:sz w:val="20"/>
          <w:szCs w:val="20"/>
        </w:rPr>
      </w:pPr>
      <w:bookmarkStart w:id="0" w:name="_Hlk216431204"/>
      <w:r>
        <w:rPr>
          <w:b/>
          <w:bCs/>
          <w:sz w:val="20"/>
          <w:szCs w:val="20"/>
        </w:rPr>
        <w:t xml:space="preserve">Hepatitis B Prophylaxis </w:t>
      </w:r>
      <w:r>
        <w:rPr>
          <w:sz w:val="20"/>
          <w:szCs w:val="20"/>
        </w:rPr>
        <w:t>(for patients aged 11-19 years)</w:t>
      </w:r>
    </w:p>
    <w:tbl>
      <w:tblPr>
        <w:tblStyle w:val="TableGrid"/>
        <w:tblW w:w="0" w:type="auto"/>
        <w:tblLook w:val="04A0" w:firstRow="1" w:lastRow="0" w:firstColumn="1" w:lastColumn="0" w:noHBand="0" w:noVBand="1"/>
      </w:tblPr>
      <w:tblGrid>
        <w:gridCol w:w="2335"/>
        <w:gridCol w:w="8455"/>
      </w:tblGrid>
      <w:tr w:rsidR="00F315A6" w:rsidRPr="00972B8A" w14:paraId="7C97D255" w14:textId="77777777" w:rsidTr="004C7DF3">
        <w:tc>
          <w:tcPr>
            <w:tcW w:w="2335" w:type="dxa"/>
            <w:tcBorders>
              <w:right w:val="nil"/>
            </w:tcBorders>
          </w:tcPr>
          <w:p w14:paraId="63EC18F4" w14:textId="77777777" w:rsidR="00F315A6" w:rsidRPr="00AD6F66" w:rsidRDefault="00F315A6" w:rsidP="004C7DF3">
            <w:pPr>
              <w:rPr>
                <w:sz w:val="20"/>
                <w:szCs w:val="20"/>
              </w:rPr>
            </w:pPr>
            <w:r w:rsidRPr="00AD6F66">
              <w:rPr>
                <w:sz w:val="20"/>
                <w:szCs w:val="20"/>
              </w:rPr>
              <w:t>Medications:</w:t>
            </w:r>
          </w:p>
        </w:tc>
        <w:tc>
          <w:tcPr>
            <w:tcW w:w="8455" w:type="dxa"/>
            <w:tcBorders>
              <w:left w:val="nil"/>
            </w:tcBorders>
          </w:tcPr>
          <w:p w14:paraId="7386271F" w14:textId="203AD5A1" w:rsidR="00F315A6" w:rsidRPr="00AD6F66" w:rsidRDefault="000364AF" w:rsidP="004C7DF3">
            <w:pPr>
              <w:rPr>
                <w:sz w:val="20"/>
                <w:szCs w:val="20"/>
              </w:rPr>
            </w:pPr>
            <w:r w:rsidRPr="00AD6F66">
              <w:rPr>
                <w:sz w:val="20"/>
                <w:szCs w:val="20"/>
              </w:rPr>
              <w:t>Hepatitis B Vaccine (or HBIG if indicated)</w:t>
            </w:r>
          </w:p>
        </w:tc>
      </w:tr>
      <w:tr w:rsidR="00F315A6" w:rsidRPr="00972B8A" w14:paraId="5D81AF18" w14:textId="77777777" w:rsidTr="004C7DF3">
        <w:tc>
          <w:tcPr>
            <w:tcW w:w="2335" w:type="dxa"/>
            <w:tcBorders>
              <w:right w:val="nil"/>
            </w:tcBorders>
          </w:tcPr>
          <w:p w14:paraId="7380D2F7" w14:textId="77777777" w:rsidR="00F315A6" w:rsidRPr="00AD6F66" w:rsidRDefault="00F315A6" w:rsidP="004C7DF3">
            <w:pPr>
              <w:rPr>
                <w:sz w:val="20"/>
                <w:szCs w:val="20"/>
              </w:rPr>
            </w:pPr>
            <w:r w:rsidRPr="00AD6F66">
              <w:rPr>
                <w:sz w:val="20"/>
                <w:szCs w:val="20"/>
              </w:rPr>
              <w:t>Indicated for Rx of:</w:t>
            </w:r>
          </w:p>
        </w:tc>
        <w:tc>
          <w:tcPr>
            <w:tcW w:w="8455" w:type="dxa"/>
            <w:tcBorders>
              <w:left w:val="nil"/>
            </w:tcBorders>
          </w:tcPr>
          <w:p w14:paraId="302A300A" w14:textId="66D72AA4" w:rsidR="00F315A6" w:rsidRPr="00AD6F66" w:rsidRDefault="00601DCD" w:rsidP="004C7DF3">
            <w:pPr>
              <w:rPr>
                <w:sz w:val="20"/>
                <w:szCs w:val="20"/>
              </w:rPr>
            </w:pPr>
            <w:r w:rsidRPr="00AD6F66">
              <w:rPr>
                <w:sz w:val="20"/>
                <w:szCs w:val="20"/>
              </w:rPr>
              <w:t>Hepatitis B prophylaxis after potential exposure d/t sexual assault</w:t>
            </w:r>
          </w:p>
        </w:tc>
      </w:tr>
      <w:tr w:rsidR="00F315A6" w:rsidRPr="00972B8A" w14:paraId="40E96B97" w14:textId="77777777" w:rsidTr="004C7DF3">
        <w:tc>
          <w:tcPr>
            <w:tcW w:w="2335" w:type="dxa"/>
            <w:tcBorders>
              <w:right w:val="nil"/>
            </w:tcBorders>
          </w:tcPr>
          <w:p w14:paraId="53272627" w14:textId="77777777" w:rsidR="00F315A6" w:rsidRPr="00AD6F66" w:rsidRDefault="00F315A6" w:rsidP="004C7DF3">
            <w:pPr>
              <w:rPr>
                <w:sz w:val="20"/>
                <w:szCs w:val="20"/>
              </w:rPr>
            </w:pPr>
            <w:r w:rsidRPr="00AD6F66">
              <w:rPr>
                <w:sz w:val="20"/>
                <w:szCs w:val="20"/>
              </w:rPr>
              <w:t>Safe for:</w:t>
            </w:r>
          </w:p>
        </w:tc>
        <w:tc>
          <w:tcPr>
            <w:tcW w:w="8455" w:type="dxa"/>
            <w:tcBorders>
              <w:left w:val="nil"/>
            </w:tcBorders>
          </w:tcPr>
          <w:p w14:paraId="1FEF785E" w14:textId="3DA8EE14" w:rsidR="00F315A6" w:rsidRPr="00AD6F66" w:rsidRDefault="003E7066" w:rsidP="004C7DF3">
            <w:pPr>
              <w:rPr>
                <w:sz w:val="20"/>
                <w:szCs w:val="20"/>
              </w:rPr>
            </w:pPr>
            <w:r w:rsidRPr="00AD6F66">
              <w:rPr>
                <w:sz w:val="20"/>
                <w:szCs w:val="20"/>
              </w:rPr>
              <w:t>Adults, pregnant persons, and adolescents</w:t>
            </w:r>
          </w:p>
        </w:tc>
      </w:tr>
      <w:tr w:rsidR="00F315A6" w:rsidRPr="00972B8A" w14:paraId="1C86CEB2" w14:textId="77777777" w:rsidTr="004C7DF3">
        <w:tc>
          <w:tcPr>
            <w:tcW w:w="2335" w:type="dxa"/>
            <w:tcBorders>
              <w:right w:val="nil"/>
            </w:tcBorders>
          </w:tcPr>
          <w:p w14:paraId="55D15798" w14:textId="77777777" w:rsidR="00F315A6" w:rsidRPr="00AD6F66" w:rsidRDefault="00F315A6" w:rsidP="004C7DF3">
            <w:pPr>
              <w:rPr>
                <w:sz w:val="20"/>
                <w:szCs w:val="20"/>
              </w:rPr>
            </w:pPr>
            <w:r w:rsidRPr="00AD6F66">
              <w:rPr>
                <w:sz w:val="20"/>
                <w:szCs w:val="20"/>
              </w:rPr>
              <w:t>Contraindications:</w:t>
            </w:r>
          </w:p>
        </w:tc>
        <w:tc>
          <w:tcPr>
            <w:tcW w:w="8455" w:type="dxa"/>
            <w:tcBorders>
              <w:left w:val="nil"/>
            </w:tcBorders>
          </w:tcPr>
          <w:p w14:paraId="5B1A56F5" w14:textId="38E272BD" w:rsidR="00F315A6" w:rsidRPr="00AD6F66" w:rsidRDefault="003E7066" w:rsidP="004C7DF3">
            <w:pPr>
              <w:rPr>
                <w:sz w:val="20"/>
                <w:szCs w:val="20"/>
              </w:rPr>
            </w:pPr>
            <w:r w:rsidRPr="00AD6F66">
              <w:rPr>
                <w:sz w:val="20"/>
                <w:szCs w:val="20"/>
              </w:rPr>
              <w:t>Allergy to yeast (very rare)</w:t>
            </w:r>
          </w:p>
        </w:tc>
      </w:tr>
      <w:tr w:rsidR="00F315A6" w:rsidRPr="00972B8A" w14:paraId="4BD7657D" w14:textId="77777777" w:rsidTr="004C7DF3">
        <w:tc>
          <w:tcPr>
            <w:tcW w:w="2335" w:type="dxa"/>
            <w:tcBorders>
              <w:right w:val="nil"/>
            </w:tcBorders>
          </w:tcPr>
          <w:p w14:paraId="7AB44665" w14:textId="77777777" w:rsidR="00F315A6" w:rsidRPr="00AD6F66" w:rsidRDefault="00F315A6" w:rsidP="004C7DF3">
            <w:pPr>
              <w:rPr>
                <w:sz w:val="20"/>
                <w:szCs w:val="20"/>
              </w:rPr>
            </w:pPr>
            <w:r w:rsidRPr="00AD6F66">
              <w:rPr>
                <w:sz w:val="20"/>
                <w:szCs w:val="20"/>
              </w:rPr>
              <w:t>Notes:</w:t>
            </w:r>
          </w:p>
        </w:tc>
        <w:tc>
          <w:tcPr>
            <w:tcW w:w="8455" w:type="dxa"/>
            <w:tcBorders>
              <w:left w:val="nil"/>
            </w:tcBorders>
          </w:tcPr>
          <w:p w14:paraId="70FD98AF" w14:textId="587188D0" w:rsidR="00F315A6" w:rsidRPr="00AD6F66" w:rsidRDefault="007668B1" w:rsidP="004C7DF3">
            <w:pPr>
              <w:rPr>
                <w:sz w:val="20"/>
                <w:szCs w:val="20"/>
              </w:rPr>
            </w:pPr>
            <w:r w:rsidRPr="00AD6F66">
              <w:rPr>
                <w:sz w:val="20"/>
                <w:szCs w:val="20"/>
              </w:rPr>
              <w:t>Administer if hepatitis status of assailant is unknown and patient has NOT been previously vaccinated; patients should be informed of the need for follow-up for completion of the vaccination series for Hepatitis B immunization.</w:t>
            </w:r>
          </w:p>
        </w:tc>
      </w:tr>
      <w:bookmarkEnd w:id="0"/>
    </w:tbl>
    <w:p w14:paraId="215D4640" w14:textId="77777777" w:rsidR="00F315A6" w:rsidRPr="007B556D" w:rsidRDefault="00F315A6" w:rsidP="00F315A6">
      <w:pPr>
        <w:spacing w:after="0" w:line="240" w:lineRule="auto"/>
        <w:rPr>
          <w:sz w:val="16"/>
          <w:szCs w:val="16"/>
        </w:rPr>
      </w:pPr>
    </w:p>
    <w:p w14:paraId="760DF768" w14:textId="26ABF4F6" w:rsidR="007668B1" w:rsidRPr="00972B8A" w:rsidRDefault="00FB15E5" w:rsidP="007668B1">
      <w:pPr>
        <w:spacing w:after="0" w:line="240" w:lineRule="auto"/>
        <w:rPr>
          <w:b/>
          <w:bCs/>
          <w:sz w:val="20"/>
          <w:szCs w:val="20"/>
        </w:rPr>
      </w:pPr>
      <w:r>
        <w:rPr>
          <w:b/>
          <w:bCs/>
          <w:sz w:val="20"/>
          <w:szCs w:val="20"/>
        </w:rPr>
        <w:t xml:space="preserve">Human Papillomavirus (HPV) Prophylaxis </w:t>
      </w:r>
      <w:r>
        <w:rPr>
          <w:sz w:val="20"/>
          <w:szCs w:val="20"/>
        </w:rPr>
        <w:t>(for patients aged 9-45 years</w:t>
      </w:r>
      <w:r w:rsidR="007668B1">
        <w:rPr>
          <w:sz w:val="20"/>
          <w:szCs w:val="20"/>
        </w:rPr>
        <w:t>)</w:t>
      </w:r>
    </w:p>
    <w:tbl>
      <w:tblPr>
        <w:tblStyle w:val="TableGrid"/>
        <w:tblW w:w="0" w:type="auto"/>
        <w:tblLook w:val="04A0" w:firstRow="1" w:lastRow="0" w:firstColumn="1" w:lastColumn="0" w:noHBand="0" w:noVBand="1"/>
      </w:tblPr>
      <w:tblGrid>
        <w:gridCol w:w="2335"/>
        <w:gridCol w:w="8455"/>
      </w:tblGrid>
      <w:tr w:rsidR="007668B1" w:rsidRPr="00972B8A" w14:paraId="551DCF06" w14:textId="77777777" w:rsidTr="004C7DF3">
        <w:tc>
          <w:tcPr>
            <w:tcW w:w="2335" w:type="dxa"/>
            <w:tcBorders>
              <w:right w:val="nil"/>
            </w:tcBorders>
          </w:tcPr>
          <w:p w14:paraId="10D95A34" w14:textId="77777777" w:rsidR="007668B1" w:rsidRPr="00AD6F66" w:rsidRDefault="007668B1" w:rsidP="004C7DF3">
            <w:pPr>
              <w:rPr>
                <w:sz w:val="20"/>
                <w:szCs w:val="20"/>
              </w:rPr>
            </w:pPr>
            <w:r w:rsidRPr="00AD6F66">
              <w:rPr>
                <w:sz w:val="20"/>
                <w:szCs w:val="20"/>
              </w:rPr>
              <w:t>Medications:</w:t>
            </w:r>
          </w:p>
        </w:tc>
        <w:tc>
          <w:tcPr>
            <w:tcW w:w="8455" w:type="dxa"/>
            <w:tcBorders>
              <w:left w:val="nil"/>
            </w:tcBorders>
          </w:tcPr>
          <w:p w14:paraId="7D663575" w14:textId="7E2B892A" w:rsidR="007668B1" w:rsidRPr="00AD6F66" w:rsidRDefault="004348E5" w:rsidP="004C7DF3">
            <w:pPr>
              <w:rPr>
                <w:sz w:val="20"/>
                <w:szCs w:val="20"/>
              </w:rPr>
            </w:pPr>
            <w:r w:rsidRPr="00AD6F66">
              <w:rPr>
                <w:sz w:val="20"/>
                <w:szCs w:val="20"/>
              </w:rPr>
              <w:t>HPV vaccine</w:t>
            </w:r>
          </w:p>
        </w:tc>
      </w:tr>
      <w:tr w:rsidR="007668B1" w:rsidRPr="00972B8A" w14:paraId="483DA676" w14:textId="77777777" w:rsidTr="004C7DF3">
        <w:tc>
          <w:tcPr>
            <w:tcW w:w="2335" w:type="dxa"/>
            <w:tcBorders>
              <w:right w:val="nil"/>
            </w:tcBorders>
          </w:tcPr>
          <w:p w14:paraId="739C0D64" w14:textId="3BDC7192" w:rsidR="007668B1" w:rsidRPr="00AD6F66" w:rsidRDefault="007668B1" w:rsidP="004C7DF3">
            <w:pPr>
              <w:rPr>
                <w:sz w:val="20"/>
                <w:szCs w:val="20"/>
              </w:rPr>
            </w:pPr>
            <w:r w:rsidRPr="00AD6F66">
              <w:rPr>
                <w:sz w:val="20"/>
                <w:szCs w:val="20"/>
              </w:rPr>
              <w:t>Dosage</w:t>
            </w:r>
            <w:r w:rsidR="00C65F4B" w:rsidRPr="00AD6F66">
              <w:rPr>
                <w:sz w:val="20"/>
                <w:szCs w:val="20"/>
              </w:rPr>
              <w:t xml:space="preserve"> (ages 9-14): </w:t>
            </w:r>
            <w:r w:rsidRPr="00AD6F66">
              <w:rPr>
                <w:sz w:val="20"/>
                <w:szCs w:val="20"/>
              </w:rPr>
              <w:t>:</w:t>
            </w:r>
          </w:p>
        </w:tc>
        <w:tc>
          <w:tcPr>
            <w:tcW w:w="8455" w:type="dxa"/>
            <w:tcBorders>
              <w:left w:val="nil"/>
            </w:tcBorders>
          </w:tcPr>
          <w:p w14:paraId="44BAAAF7" w14:textId="7395D389" w:rsidR="007668B1" w:rsidRPr="00AD6F66" w:rsidRDefault="00CC1C0B" w:rsidP="004C7DF3">
            <w:pPr>
              <w:rPr>
                <w:sz w:val="20"/>
                <w:szCs w:val="20"/>
              </w:rPr>
            </w:pPr>
            <w:r w:rsidRPr="00AD6F66">
              <w:rPr>
                <w:sz w:val="20"/>
                <w:szCs w:val="20"/>
              </w:rPr>
              <w:t>Single dose 0.5ml IM in ER; 2 dose series, subsequent dosing per follow-up provider</w:t>
            </w:r>
          </w:p>
        </w:tc>
      </w:tr>
      <w:tr w:rsidR="00070170" w:rsidRPr="00972B8A" w14:paraId="26329173" w14:textId="77777777" w:rsidTr="004C7DF3">
        <w:tc>
          <w:tcPr>
            <w:tcW w:w="2335" w:type="dxa"/>
            <w:tcBorders>
              <w:right w:val="nil"/>
            </w:tcBorders>
          </w:tcPr>
          <w:p w14:paraId="3B479259" w14:textId="0F9603CB" w:rsidR="00070170" w:rsidRPr="00AD6F66" w:rsidRDefault="00070170" w:rsidP="004C7DF3">
            <w:pPr>
              <w:rPr>
                <w:sz w:val="20"/>
                <w:szCs w:val="20"/>
              </w:rPr>
            </w:pPr>
            <w:r w:rsidRPr="00AD6F66">
              <w:rPr>
                <w:sz w:val="20"/>
                <w:szCs w:val="20"/>
              </w:rPr>
              <w:t>Dosage</w:t>
            </w:r>
            <w:r w:rsidR="00C65F4B" w:rsidRPr="00AD6F66">
              <w:rPr>
                <w:sz w:val="20"/>
                <w:szCs w:val="20"/>
              </w:rPr>
              <w:t xml:space="preserve"> (ages 15-45):  </w:t>
            </w:r>
          </w:p>
        </w:tc>
        <w:tc>
          <w:tcPr>
            <w:tcW w:w="8455" w:type="dxa"/>
            <w:tcBorders>
              <w:left w:val="nil"/>
            </w:tcBorders>
          </w:tcPr>
          <w:p w14:paraId="43C636D6" w14:textId="4861B361" w:rsidR="00070170" w:rsidRPr="00AD6F66" w:rsidRDefault="00CC1C0B" w:rsidP="004C7DF3">
            <w:pPr>
              <w:rPr>
                <w:sz w:val="20"/>
                <w:szCs w:val="20"/>
              </w:rPr>
            </w:pPr>
            <w:r w:rsidRPr="00AD6F66">
              <w:rPr>
                <w:sz w:val="20"/>
                <w:szCs w:val="20"/>
              </w:rPr>
              <w:t>Single dose 0.5ml IM in ER; 3 dose series, subsequent dosing per follow-up provider</w:t>
            </w:r>
          </w:p>
        </w:tc>
      </w:tr>
      <w:tr w:rsidR="007668B1" w:rsidRPr="00972B8A" w14:paraId="70CE3C1B" w14:textId="77777777" w:rsidTr="004C7DF3">
        <w:tc>
          <w:tcPr>
            <w:tcW w:w="2335" w:type="dxa"/>
            <w:tcBorders>
              <w:right w:val="nil"/>
            </w:tcBorders>
          </w:tcPr>
          <w:p w14:paraId="0027E9D1" w14:textId="77777777" w:rsidR="007668B1" w:rsidRPr="00AD6F66" w:rsidRDefault="007668B1" w:rsidP="004C7DF3">
            <w:pPr>
              <w:rPr>
                <w:sz w:val="20"/>
                <w:szCs w:val="20"/>
              </w:rPr>
            </w:pPr>
            <w:r w:rsidRPr="00AD6F66">
              <w:rPr>
                <w:sz w:val="20"/>
                <w:szCs w:val="20"/>
              </w:rPr>
              <w:t>Indicated for Rx of:</w:t>
            </w:r>
          </w:p>
        </w:tc>
        <w:tc>
          <w:tcPr>
            <w:tcW w:w="8455" w:type="dxa"/>
            <w:tcBorders>
              <w:left w:val="nil"/>
            </w:tcBorders>
          </w:tcPr>
          <w:p w14:paraId="1641AE73" w14:textId="3727BE94" w:rsidR="007668B1" w:rsidRPr="00AD6F66" w:rsidRDefault="00DD5EC3" w:rsidP="004C7DF3">
            <w:pPr>
              <w:rPr>
                <w:sz w:val="20"/>
                <w:szCs w:val="20"/>
              </w:rPr>
            </w:pPr>
            <w:r w:rsidRPr="00AD6F66">
              <w:rPr>
                <w:sz w:val="20"/>
                <w:szCs w:val="20"/>
              </w:rPr>
              <w:t>HPV prophylaxis after potential exposure d/t sexual assault</w:t>
            </w:r>
          </w:p>
        </w:tc>
      </w:tr>
      <w:tr w:rsidR="007668B1" w:rsidRPr="00972B8A" w14:paraId="5F0BD437" w14:textId="77777777" w:rsidTr="004C7DF3">
        <w:tc>
          <w:tcPr>
            <w:tcW w:w="2335" w:type="dxa"/>
            <w:tcBorders>
              <w:right w:val="nil"/>
            </w:tcBorders>
          </w:tcPr>
          <w:p w14:paraId="32E4C736" w14:textId="77777777" w:rsidR="007668B1" w:rsidRPr="00AD6F66" w:rsidRDefault="007668B1" w:rsidP="004C7DF3">
            <w:pPr>
              <w:rPr>
                <w:sz w:val="20"/>
                <w:szCs w:val="20"/>
              </w:rPr>
            </w:pPr>
            <w:r w:rsidRPr="00AD6F66">
              <w:rPr>
                <w:sz w:val="20"/>
                <w:szCs w:val="20"/>
              </w:rPr>
              <w:t>Safe for:</w:t>
            </w:r>
          </w:p>
        </w:tc>
        <w:tc>
          <w:tcPr>
            <w:tcW w:w="8455" w:type="dxa"/>
            <w:tcBorders>
              <w:left w:val="nil"/>
            </w:tcBorders>
          </w:tcPr>
          <w:p w14:paraId="0DBB21C9" w14:textId="6732EB8B" w:rsidR="007668B1" w:rsidRPr="00AD6F66" w:rsidRDefault="00DD5EC3" w:rsidP="004C7DF3">
            <w:pPr>
              <w:rPr>
                <w:sz w:val="20"/>
                <w:szCs w:val="20"/>
              </w:rPr>
            </w:pPr>
            <w:r w:rsidRPr="00AD6F66">
              <w:rPr>
                <w:sz w:val="20"/>
                <w:szCs w:val="20"/>
              </w:rPr>
              <w:t>Adults and adolescents</w:t>
            </w:r>
          </w:p>
        </w:tc>
      </w:tr>
      <w:tr w:rsidR="007668B1" w:rsidRPr="00972B8A" w14:paraId="34F83DDB" w14:textId="77777777" w:rsidTr="004C7DF3">
        <w:tc>
          <w:tcPr>
            <w:tcW w:w="2335" w:type="dxa"/>
            <w:tcBorders>
              <w:right w:val="nil"/>
            </w:tcBorders>
          </w:tcPr>
          <w:p w14:paraId="63D924A9" w14:textId="77777777" w:rsidR="007668B1" w:rsidRPr="00AD6F66" w:rsidRDefault="007668B1" w:rsidP="004C7DF3">
            <w:pPr>
              <w:rPr>
                <w:sz w:val="20"/>
                <w:szCs w:val="20"/>
              </w:rPr>
            </w:pPr>
            <w:r w:rsidRPr="00AD6F66">
              <w:rPr>
                <w:sz w:val="20"/>
                <w:szCs w:val="20"/>
              </w:rPr>
              <w:t>Contraindications:</w:t>
            </w:r>
          </w:p>
        </w:tc>
        <w:tc>
          <w:tcPr>
            <w:tcW w:w="8455" w:type="dxa"/>
            <w:tcBorders>
              <w:left w:val="nil"/>
            </w:tcBorders>
          </w:tcPr>
          <w:p w14:paraId="1C6049B4" w14:textId="69537A2F" w:rsidR="007668B1" w:rsidRPr="00AD6F66" w:rsidRDefault="00DD5EC3" w:rsidP="004C7DF3">
            <w:pPr>
              <w:rPr>
                <w:sz w:val="20"/>
                <w:szCs w:val="20"/>
              </w:rPr>
            </w:pPr>
            <w:r w:rsidRPr="00AD6F66">
              <w:rPr>
                <w:sz w:val="20"/>
                <w:szCs w:val="20"/>
              </w:rPr>
              <w:t>Hypersensitivity to vaccine, pregnancy</w:t>
            </w:r>
          </w:p>
        </w:tc>
      </w:tr>
      <w:tr w:rsidR="007668B1" w:rsidRPr="00972B8A" w14:paraId="57A7C561" w14:textId="77777777" w:rsidTr="004C7DF3">
        <w:tc>
          <w:tcPr>
            <w:tcW w:w="2335" w:type="dxa"/>
            <w:tcBorders>
              <w:right w:val="nil"/>
            </w:tcBorders>
          </w:tcPr>
          <w:p w14:paraId="3269CEA1" w14:textId="77777777" w:rsidR="007668B1" w:rsidRPr="00AD6F66" w:rsidRDefault="007668B1" w:rsidP="004C7DF3">
            <w:pPr>
              <w:rPr>
                <w:sz w:val="20"/>
                <w:szCs w:val="20"/>
              </w:rPr>
            </w:pPr>
            <w:r w:rsidRPr="00AD6F66">
              <w:rPr>
                <w:sz w:val="20"/>
                <w:szCs w:val="20"/>
              </w:rPr>
              <w:t>Notes:</w:t>
            </w:r>
          </w:p>
        </w:tc>
        <w:tc>
          <w:tcPr>
            <w:tcW w:w="8455" w:type="dxa"/>
            <w:tcBorders>
              <w:left w:val="nil"/>
            </w:tcBorders>
          </w:tcPr>
          <w:p w14:paraId="2028C8B0" w14:textId="1F3CED90" w:rsidR="007668B1" w:rsidRPr="00AD6F66" w:rsidRDefault="0047026C" w:rsidP="004C7DF3">
            <w:pPr>
              <w:rPr>
                <w:sz w:val="20"/>
                <w:szCs w:val="20"/>
              </w:rPr>
            </w:pPr>
            <w:r w:rsidRPr="00AD6F66">
              <w:rPr>
                <w:sz w:val="20"/>
                <w:szCs w:val="20"/>
              </w:rPr>
              <w:t>Administer if patient has NOT been vaccinated or is incompletely vaccinated</w:t>
            </w:r>
          </w:p>
        </w:tc>
      </w:tr>
    </w:tbl>
    <w:p w14:paraId="153039D5" w14:textId="77777777" w:rsidR="0047026C" w:rsidRDefault="0047026C" w:rsidP="00F16525">
      <w:pPr>
        <w:spacing w:after="0" w:line="240" w:lineRule="auto"/>
        <w:rPr>
          <w:sz w:val="20"/>
          <w:szCs w:val="20"/>
        </w:rPr>
      </w:pPr>
    </w:p>
    <w:p w14:paraId="156BDD95" w14:textId="19ACCC8F" w:rsidR="00972B8A" w:rsidRDefault="007A1685" w:rsidP="00F16525">
      <w:pPr>
        <w:spacing w:after="0" w:line="240" w:lineRule="auto"/>
        <w:rPr>
          <w:sz w:val="20"/>
          <w:szCs w:val="20"/>
        </w:rPr>
      </w:pPr>
      <w:r>
        <w:rPr>
          <w:sz w:val="20"/>
          <w:szCs w:val="20"/>
        </w:rPr>
        <w:t xml:space="preserve">For full STI treatment guidelines please see link: </w:t>
      </w:r>
      <w:r>
        <w:rPr>
          <w:color w:val="0000FF"/>
          <w:sz w:val="20"/>
          <w:szCs w:val="20"/>
        </w:rPr>
        <w:t>https://www.cdc.gov/std/treatment-guidelines/STI-Guidelines-2021.pdf</w:t>
      </w:r>
    </w:p>
    <w:p w14:paraId="016AB45B" w14:textId="76275679" w:rsidR="0047026C" w:rsidRDefault="0047026C">
      <w:pPr>
        <w:rPr>
          <w:sz w:val="20"/>
          <w:szCs w:val="20"/>
        </w:rPr>
      </w:pPr>
      <w:r>
        <w:rPr>
          <w:sz w:val="20"/>
          <w:szCs w:val="20"/>
        </w:rPr>
        <w:br w:type="page"/>
      </w:r>
    </w:p>
    <w:p w14:paraId="5E2D65B4" w14:textId="77777777" w:rsidR="00972B8A" w:rsidRDefault="00972B8A" w:rsidP="00F16525">
      <w:pPr>
        <w:spacing w:after="0" w:line="240" w:lineRule="auto"/>
        <w:rPr>
          <w:sz w:val="20"/>
          <w:szCs w:val="20"/>
        </w:rPr>
      </w:pPr>
    </w:p>
    <w:tbl>
      <w:tblPr>
        <w:tblStyle w:val="TableGrid"/>
        <w:tblW w:w="0" w:type="auto"/>
        <w:tblLook w:val="04A0" w:firstRow="1" w:lastRow="0" w:firstColumn="1" w:lastColumn="0" w:noHBand="0" w:noVBand="1"/>
      </w:tblPr>
      <w:tblGrid>
        <w:gridCol w:w="10790"/>
      </w:tblGrid>
      <w:tr w:rsidR="0047026C" w14:paraId="695865CC" w14:textId="77777777" w:rsidTr="003A4EF5">
        <w:tc>
          <w:tcPr>
            <w:tcW w:w="10790" w:type="dxa"/>
            <w:shd w:val="clear" w:color="auto" w:fill="FFFFCC"/>
          </w:tcPr>
          <w:p w14:paraId="4E84B401" w14:textId="77777777" w:rsidR="0047026C" w:rsidRPr="00F42053" w:rsidRDefault="0047026C" w:rsidP="00F42053">
            <w:pPr>
              <w:spacing w:before="100"/>
              <w:jc w:val="center"/>
              <w:rPr>
                <w:b/>
                <w:bCs/>
                <w:sz w:val="24"/>
                <w:szCs w:val="24"/>
                <w:u w:val="single"/>
              </w:rPr>
            </w:pPr>
            <w:r w:rsidRPr="00F42053">
              <w:rPr>
                <w:b/>
                <w:bCs/>
                <w:sz w:val="24"/>
                <w:szCs w:val="24"/>
                <w:u w:val="single"/>
              </w:rPr>
              <w:t>Patient Education</w:t>
            </w:r>
          </w:p>
          <w:p w14:paraId="48EB64AA" w14:textId="77777777" w:rsidR="0047026C" w:rsidRDefault="0047026C" w:rsidP="00F16525">
            <w:pPr>
              <w:rPr>
                <w:sz w:val="20"/>
                <w:szCs w:val="20"/>
              </w:rPr>
            </w:pPr>
          </w:p>
          <w:p w14:paraId="1FAA9421" w14:textId="77777777" w:rsidR="00F42053" w:rsidRPr="00FD349B" w:rsidRDefault="00F42053" w:rsidP="00FD349B">
            <w:pPr>
              <w:pStyle w:val="ListParagraph"/>
              <w:numPr>
                <w:ilvl w:val="0"/>
                <w:numId w:val="11"/>
              </w:numPr>
              <w:autoSpaceDE w:val="0"/>
              <w:autoSpaceDN w:val="0"/>
              <w:adjustRightInd w:val="0"/>
              <w:spacing w:after="11"/>
              <w:rPr>
                <w:rFonts w:cs="Arial"/>
                <w:color w:val="000000"/>
                <w:kern w:val="0"/>
                <w:sz w:val="20"/>
                <w:szCs w:val="20"/>
              </w:rPr>
            </w:pPr>
            <w:r w:rsidRPr="00FD349B">
              <w:rPr>
                <w:rFonts w:cs="Arial"/>
                <w:color w:val="000000"/>
                <w:kern w:val="0"/>
                <w:sz w:val="20"/>
                <w:szCs w:val="20"/>
              </w:rPr>
              <w:t xml:space="preserve">In collaboration with ED medical provider, inform patient about estimated risk for acquiring HIV from an infected source (See Table 2 below). </w:t>
            </w:r>
          </w:p>
          <w:p w14:paraId="6120099D" w14:textId="77777777" w:rsidR="00FD349B" w:rsidRPr="00F42053" w:rsidRDefault="00FD349B" w:rsidP="00F42053">
            <w:pPr>
              <w:autoSpaceDE w:val="0"/>
              <w:autoSpaceDN w:val="0"/>
              <w:adjustRightInd w:val="0"/>
              <w:spacing w:after="11"/>
              <w:rPr>
                <w:rFonts w:cs="Arial"/>
                <w:color w:val="000000"/>
                <w:kern w:val="0"/>
                <w:sz w:val="20"/>
                <w:szCs w:val="20"/>
              </w:rPr>
            </w:pPr>
          </w:p>
          <w:p w14:paraId="6E017201" w14:textId="7C199549" w:rsidR="00F42053" w:rsidRPr="00FD349B" w:rsidRDefault="00F42053" w:rsidP="00FD349B">
            <w:pPr>
              <w:pStyle w:val="ListParagraph"/>
              <w:numPr>
                <w:ilvl w:val="0"/>
                <w:numId w:val="11"/>
              </w:numPr>
              <w:autoSpaceDE w:val="0"/>
              <w:autoSpaceDN w:val="0"/>
              <w:adjustRightInd w:val="0"/>
              <w:spacing w:after="11"/>
              <w:rPr>
                <w:rFonts w:cs="Arial"/>
                <w:color w:val="000000"/>
                <w:kern w:val="0"/>
                <w:sz w:val="20"/>
                <w:szCs w:val="20"/>
              </w:rPr>
            </w:pPr>
            <w:r w:rsidRPr="00FD349B">
              <w:rPr>
                <w:rFonts w:cs="Arial"/>
                <w:color w:val="000000"/>
                <w:kern w:val="0"/>
                <w:sz w:val="20"/>
                <w:szCs w:val="20"/>
              </w:rPr>
              <w:t xml:space="preserve">Provide patient with information so that they may make an informed choice about HIV testing and prophylaxis in the ED. </w:t>
            </w:r>
          </w:p>
          <w:p w14:paraId="7DE72EBE" w14:textId="77777777" w:rsidR="00FD349B" w:rsidRPr="00F42053" w:rsidRDefault="00FD349B" w:rsidP="00F42053">
            <w:pPr>
              <w:autoSpaceDE w:val="0"/>
              <w:autoSpaceDN w:val="0"/>
              <w:adjustRightInd w:val="0"/>
              <w:spacing w:after="11"/>
              <w:rPr>
                <w:rFonts w:cs="Arial"/>
                <w:color w:val="000000"/>
                <w:kern w:val="0"/>
                <w:sz w:val="20"/>
                <w:szCs w:val="20"/>
              </w:rPr>
            </w:pPr>
          </w:p>
          <w:p w14:paraId="550EDD23" w14:textId="77777777" w:rsidR="00FD349B" w:rsidRPr="00FD349B" w:rsidRDefault="00F42053" w:rsidP="00FD349B">
            <w:pPr>
              <w:pStyle w:val="ListParagraph"/>
              <w:numPr>
                <w:ilvl w:val="0"/>
                <w:numId w:val="11"/>
              </w:numPr>
              <w:autoSpaceDE w:val="0"/>
              <w:autoSpaceDN w:val="0"/>
              <w:adjustRightInd w:val="0"/>
              <w:spacing w:after="37"/>
              <w:rPr>
                <w:rFonts w:cs="Arial"/>
                <w:color w:val="000000"/>
                <w:kern w:val="0"/>
                <w:sz w:val="20"/>
                <w:szCs w:val="20"/>
              </w:rPr>
            </w:pPr>
            <w:r w:rsidRPr="00FD349B">
              <w:rPr>
                <w:rFonts w:cs="Arial"/>
                <w:color w:val="000000"/>
                <w:kern w:val="0"/>
                <w:sz w:val="20"/>
                <w:szCs w:val="20"/>
              </w:rPr>
              <w:t xml:space="preserve">Explain that the seroconversion period (the time it takes a person to develop HIV antibodies that may show up on an HIV test after exposure to HIV) varies from person to person: </w:t>
            </w:r>
          </w:p>
          <w:p w14:paraId="1C8FE74E" w14:textId="77777777" w:rsidR="00FD349B" w:rsidRDefault="00FD349B" w:rsidP="00FD349B">
            <w:pPr>
              <w:numPr>
                <w:ilvl w:val="3"/>
                <w:numId w:val="10"/>
              </w:numPr>
              <w:autoSpaceDE w:val="0"/>
              <w:autoSpaceDN w:val="0"/>
              <w:adjustRightInd w:val="0"/>
              <w:spacing w:after="37"/>
              <w:rPr>
                <w:rFonts w:cs="Arial"/>
                <w:color w:val="000000"/>
                <w:kern w:val="0"/>
                <w:sz w:val="20"/>
                <w:szCs w:val="20"/>
              </w:rPr>
            </w:pPr>
          </w:p>
          <w:p w14:paraId="487F7D29" w14:textId="65E87EC9" w:rsidR="00F42053" w:rsidRPr="00C73E96" w:rsidRDefault="00F42053" w:rsidP="00C73E96">
            <w:pPr>
              <w:pStyle w:val="ListParagraph"/>
              <w:numPr>
                <w:ilvl w:val="0"/>
                <w:numId w:val="21"/>
              </w:numPr>
              <w:autoSpaceDE w:val="0"/>
              <w:autoSpaceDN w:val="0"/>
              <w:adjustRightInd w:val="0"/>
              <w:spacing w:after="37"/>
              <w:rPr>
                <w:rFonts w:cs="Arial"/>
                <w:color w:val="000000"/>
                <w:kern w:val="0"/>
                <w:sz w:val="20"/>
                <w:szCs w:val="20"/>
              </w:rPr>
            </w:pPr>
            <w:r w:rsidRPr="00C73E96">
              <w:rPr>
                <w:rFonts w:cs="Arial"/>
                <w:color w:val="000000"/>
                <w:kern w:val="0"/>
                <w:sz w:val="20"/>
                <w:szCs w:val="20"/>
              </w:rPr>
              <w:t xml:space="preserve">Some people seroconvert as early as one to three weeks after exposure, with greater than 80% of the infected individuals testing positive for HIV antibodies by six weeks. </w:t>
            </w:r>
            <w:r w:rsidR="00FD349B" w:rsidRPr="00C73E96">
              <w:rPr>
                <w:rFonts w:cs="Arial"/>
                <w:color w:val="000000"/>
                <w:kern w:val="0"/>
                <w:sz w:val="20"/>
                <w:szCs w:val="20"/>
              </w:rPr>
              <w:br/>
            </w:r>
          </w:p>
          <w:p w14:paraId="7F513482" w14:textId="09A6B2C9" w:rsidR="0047026C" w:rsidRPr="00C73E96" w:rsidRDefault="00F42053" w:rsidP="00C73E96">
            <w:pPr>
              <w:pStyle w:val="ListParagraph"/>
              <w:numPr>
                <w:ilvl w:val="0"/>
                <w:numId w:val="21"/>
              </w:numPr>
              <w:autoSpaceDE w:val="0"/>
              <w:autoSpaceDN w:val="0"/>
              <w:adjustRightInd w:val="0"/>
              <w:spacing w:after="100"/>
              <w:rPr>
                <w:rFonts w:cs="Arial"/>
                <w:color w:val="000000"/>
                <w:kern w:val="0"/>
                <w:sz w:val="20"/>
                <w:szCs w:val="20"/>
              </w:rPr>
            </w:pPr>
            <w:r w:rsidRPr="00C73E96">
              <w:rPr>
                <w:rFonts w:cs="Arial"/>
                <w:color w:val="000000"/>
                <w:kern w:val="0"/>
                <w:sz w:val="20"/>
                <w:szCs w:val="20"/>
              </w:rPr>
              <w:t xml:space="preserve">It could take as long as 3 months for seroconversion to occur in some people. Therefore, patients should be informed that the results of HIV testing in the ED indicate the </w:t>
            </w:r>
            <w:r w:rsidRPr="000E2E11">
              <w:rPr>
                <w:rFonts w:cs="Arial"/>
                <w:b/>
                <w:bCs/>
                <w:color w:val="000000"/>
                <w:kern w:val="0"/>
                <w:sz w:val="20"/>
                <w:szCs w:val="20"/>
                <w:u w:val="single"/>
              </w:rPr>
              <w:t>baseline</w:t>
            </w:r>
            <w:r w:rsidRPr="00C73E96">
              <w:rPr>
                <w:rFonts w:cs="Arial"/>
                <w:b/>
                <w:bCs/>
                <w:color w:val="000000"/>
                <w:kern w:val="0"/>
                <w:sz w:val="20"/>
                <w:szCs w:val="20"/>
              </w:rPr>
              <w:t xml:space="preserve"> </w:t>
            </w:r>
            <w:r w:rsidRPr="00C73E96">
              <w:rPr>
                <w:rFonts w:cs="Arial"/>
                <w:color w:val="000000"/>
                <w:kern w:val="0"/>
                <w:sz w:val="20"/>
                <w:szCs w:val="20"/>
              </w:rPr>
              <w:t xml:space="preserve">status of HIV infection, </w:t>
            </w:r>
            <w:r w:rsidRPr="000E2E11">
              <w:rPr>
                <w:rFonts w:cs="Arial"/>
                <w:b/>
                <w:bCs/>
                <w:color w:val="000000"/>
                <w:kern w:val="0"/>
                <w:sz w:val="20"/>
                <w:szCs w:val="20"/>
                <w:u w:val="single"/>
              </w:rPr>
              <w:t>not</w:t>
            </w:r>
            <w:r w:rsidRPr="00C73E96">
              <w:rPr>
                <w:rFonts w:cs="Arial"/>
                <w:b/>
                <w:bCs/>
                <w:color w:val="000000"/>
                <w:kern w:val="0"/>
                <w:sz w:val="20"/>
                <w:szCs w:val="20"/>
              </w:rPr>
              <w:t xml:space="preserve"> </w:t>
            </w:r>
            <w:r w:rsidRPr="00C73E96">
              <w:rPr>
                <w:rFonts w:cs="Arial"/>
                <w:color w:val="000000"/>
                <w:kern w:val="0"/>
                <w:sz w:val="20"/>
                <w:szCs w:val="20"/>
              </w:rPr>
              <w:t xml:space="preserve">the HIV status resulting from the sexual assault. </w:t>
            </w:r>
          </w:p>
        </w:tc>
      </w:tr>
    </w:tbl>
    <w:p w14:paraId="3367CDD9" w14:textId="77777777" w:rsidR="0047026C" w:rsidRDefault="0047026C" w:rsidP="00F16525">
      <w:pPr>
        <w:spacing w:after="0" w:line="240" w:lineRule="auto"/>
        <w:rPr>
          <w:sz w:val="20"/>
          <w:szCs w:val="20"/>
        </w:rPr>
      </w:pPr>
    </w:p>
    <w:p w14:paraId="247AE0AE" w14:textId="04A7E650" w:rsidR="0047026C" w:rsidRPr="00F6466A" w:rsidRDefault="003F71D4" w:rsidP="003F71D4">
      <w:pPr>
        <w:shd w:val="clear" w:color="auto" w:fill="D9D9D9" w:themeFill="background1" w:themeFillShade="D9"/>
        <w:spacing w:before="40" w:after="40" w:line="240" w:lineRule="auto"/>
        <w:rPr>
          <w:sz w:val="28"/>
          <w:szCs w:val="28"/>
        </w:rPr>
      </w:pPr>
      <w:r w:rsidRPr="00F6466A">
        <w:rPr>
          <w:b/>
          <w:bCs/>
          <w:sz w:val="28"/>
          <w:szCs w:val="28"/>
        </w:rPr>
        <w:t>HUMAN IMMUNODEFICIENCY VIRUS (HIV)</w:t>
      </w:r>
    </w:p>
    <w:p w14:paraId="3A158A96" w14:textId="77777777" w:rsidR="0047026C" w:rsidRPr="00F6466A" w:rsidRDefault="0047026C" w:rsidP="00F16525">
      <w:pPr>
        <w:spacing w:after="0" w:line="240" w:lineRule="auto"/>
      </w:pPr>
    </w:p>
    <w:p w14:paraId="2CE1F02C" w14:textId="76204E25" w:rsidR="0047026C" w:rsidRDefault="00F6466A" w:rsidP="00F16525">
      <w:pPr>
        <w:spacing w:after="0" w:line="240" w:lineRule="auto"/>
        <w:rPr>
          <w:sz w:val="20"/>
          <w:szCs w:val="20"/>
        </w:rPr>
      </w:pPr>
      <w:r>
        <w:rPr>
          <w:sz w:val="20"/>
          <w:szCs w:val="20"/>
        </w:rPr>
        <w:t xml:space="preserve">Sexual assault patients often have concern about their risk of contracting HIV from the assault. SANEs/clinicians should provide patients with information to help them make informed choices regarding HIV prophylaxis and testing. All patients presenting within 72 hours (3 days) following a sexual assault should be offered </w:t>
      </w:r>
      <w:r>
        <w:rPr>
          <w:b/>
          <w:bCs/>
          <w:sz w:val="20"/>
          <w:szCs w:val="20"/>
        </w:rPr>
        <w:t xml:space="preserve">prompt </w:t>
      </w:r>
      <w:r>
        <w:rPr>
          <w:sz w:val="20"/>
          <w:szCs w:val="20"/>
        </w:rPr>
        <w:t>HIV/STI testing and prophylaxis.</w:t>
      </w:r>
    </w:p>
    <w:p w14:paraId="17614529" w14:textId="77777777" w:rsidR="00F6466A" w:rsidRDefault="00F6466A" w:rsidP="00F16525">
      <w:pPr>
        <w:spacing w:after="0" w:line="240" w:lineRule="auto"/>
        <w:rPr>
          <w:sz w:val="20"/>
          <w:szCs w:val="20"/>
        </w:rPr>
      </w:pPr>
    </w:p>
    <w:p w14:paraId="0631AC04" w14:textId="2712A130" w:rsidR="00CC6788" w:rsidRPr="00CC6788" w:rsidRDefault="00CC6788" w:rsidP="00F16525">
      <w:pPr>
        <w:spacing w:after="0" w:line="240" w:lineRule="auto"/>
        <w:rPr>
          <w:b/>
          <w:bCs/>
          <w:u w:val="single"/>
        </w:rPr>
      </w:pPr>
      <w:r w:rsidRPr="00CC6788">
        <w:rPr>
          <w:b/>
          <w:bCs/>
          <w:u w:val="single"/>
        </w:rPr>
        <w:t>Risk of Seroconversion</w:t>
      </w:r>
    </w:p>
    <w:p w14:paraId="4551C3BF" w14:textId="77777777" w:rsidR="00CC6788" w:rsidRDefault="00CC6788" w:rsidP="00F16525">
      <w:pPr>
        <w:spacing w:after="0" w:line="240" w:lineRule="auto"/>
        <w:rPr>
          <w:sz w:val="20"/>
          <w:szCs w:val="20"/>
        </w:rPr>
      </w:pPr>
    </w:p>
    <w:p w14:paraId="278DE703" w14:textId="5D6187BA" w:rsidR="00CC6788" w:rsidRPr="001525A6" w:rsidRDefault="00CC6788" w:rsidP="00F16525">
      <w:pPr>
        <w:spacing w:after="0" w:line="240" w:lineRule="auto"/>
        <w:rPr>
          <w:b/>
          <w:bCs/>
          <w:sz w:val="20"/>
          <w:szCs w:val="20"/>
        </w:rPr>
      </w:pPr>
      <w:r w:rsidRPr="001525A6">
        <w:rPr>
          <w:b/>
          <w:bCs/>
          <w:sz w:val="20"/>
          <w:szCs w:val="20"/>
        </w:rPr>
        <w:t>TABLE 2. Estimated per-act probability of acquiring HIV from an infected source, by exposure act.</w:t>
      </w:r>
    </w:p>
    <w:p w14:paraId="1410EE7A" w14:textId="77777777" w:rsidR="00CC6788" w:rsidRDefault="00CC6788" w:rsidP="00F16525">
      <w:pPr>
        <w:spacing w:after="0" w:line="240" w:lineRule="auto"/>
        <w:rPr>
          <w:sz w:val="20"/>
          <w:szCs w:val="20"/>
        </w:rPr>
      </w:pPr>
    </w:p>
    <w:tbl>
      <w:tblPr>
        <w:tblStyle w:val="TableGrid"/>
        <w:tblW w:w="0" w:type="auto"/>
        <w:tblLook w:val="04A0" w:firstRow="1" w:lastRow="0" w:firstColumn="1" w:lastColumn="0" w:noHBand="0" w:noVBand="1"/>
      </w:tblPr>
      <w:tblGrid>
        <w:gridCol w:w="5395"/>
        <w:gridCol w:w="5395"/>
      </w:tblGrid>
      <w:tr w:rsidR="007216DC" w14:paraId="4C21BA0D" w14:textId="77777777" w:rsidTr="00DE0762">
        <w:tc>
          <w:tcPr>
            <w:tcW w:w="5395" w:type="dxa"/>
            <w:tcBorders>
              <w:top w:val="nil"/>
              <w:left w:val="nil"/>
              <w:bottom w:val="single" w:sz="4" w:space="0" w:color="auto"/>
              <w:right w:val="nil"/>
            </w:tcBorders>
          </w:tcPr>
          <w:p w14:paraId="7E32AFEF" w14:textId="5B6F6642" w:rsidR="007216DC" w:rsidRPr="003C7721" w:rsidRDefault="005C08DA" w:rsidP="00F16525">
            <w:pPr>
              <w:rPr>
                <w:b/>
                <w:bCs/>
                <w:sz w:val="20"/>
                <w:szCs w:val="20"/>
              </w:rPr>
            </w:pPr>
            <w:r w:rsidRPr="003C7721">
              <w:rPr>
                <w:b/>
                <w:bCs/>
                <w:sz w:val="20"/>
                <w:szCs w:val="20"/>
              </w:rPr>
              <w:t>Type of exposure</w:t>
            </w:r>
          </w:p>
        </w:tc>
        <w:tc>
          <w:tcPr>
            <w:tcW w:w="5395" w:type="dxa"/>
            <w:tcBorders>
              <w:top w:val="nil"/>
              <w:left w:val="nil"/>
              <w:bottom w:val="single" w:sz="4" w:space="0" w:color="auto"/>
              <w:right w:val="nil"/>
            </w:tcBorders>
          </w:tcPr>
          <w:p w14:paraId="79945F87" w14:textId="46BA1272" w:rsidR="007216DC" w:rsidRPr="003C7721" w:rsidRDefault="005C08DA" w:rsidP="00F16525">
            <w:pPr>
              <w:rPr>
                <w:b/>
                <w:bCs/>
                <w:sz w:val="20"/>
                <w:szCs w:val="20"/>
              </w:rPr>
            </w:pPr>
            <w:r w:rsidRPr="003C7721">
              <w:rPr>
                <w:b/>
                <w:bCs/>
                <w:sz w:val="20"/>
                <w:szCs w:val="20"/>
              </w:rPr>
              <w:t>Risk for HIV acquisition (per 10,000 exposures)*</w:t>
            </w:r>
          </w:p>
        </w:tc>
      </w:tr>
      <w:tr w:rsidR="005C08DA" w14:paraId="0D6ADD75" w14:textId="77777777" w:rsidTr="00DE0762">
        <w:tc>
          <w:tcPr>
            <w:tcW w:w="5395" w:type="dxa"/>
            <w:tcBorders>
              <w:top w:val="single" w:sz="4" w:space="0" w:color="auto"/>
            </w:tcBorders>
          </w:tcPr>
          <w:p w14:paraId="64E9E0D0" w14:textId="353960E0" w:rsidR="005C08DA" w:rsidRPr="003C7721" w:rsidRDefault="003C7721" w:rsidP="00F16525">
            <w:pPr>
              <w:rPr>
                <w:b/>
                <w:bCs/>
                <w:sz w:val="20"/>
                <w:szCs w:val="20"/>
              </w:rPr>
            </w:pPr>
            <w:r w:rsidRPr="003C7721">
              <w:rPr>
                <w:b/>
                <w:bCs/>
                <w:sz w:val="20"/>
                <w:szCs w:val="20"/>
              </w:rPr>
              <w:t>Sexual</w:t>
            </w:r>
          </w:p>
        </w:tc>
        <w:tc>
          <w:tcPr>
            <w:tcW w:w="5395" w:type="dxa"/>
            <w:tcBorders>
              <w:top w:val="single" w:sz="4" w:space="0" w:color="auto"/>
            </w:tcBorders>
          </w:tcPr>
          <w:p w14:paraId="7B6283E5" w14:textId="77777777" w:rsidR="005C08DA" w:rsidRPr="003C7721" w:rsidRDefault="005C08DA" w:rsidP="00F16525">
            <w:pPr>
              <w:rPr>
                <w:b/>
                <w:bCs/>
                <w:sz w:val="20"/>
                <w:szCs w:val="20"/>
              </w:rPr>
            </w:pPr>
          </w:p>
        </w:tc>
      </w:tr>
      <w:tr w:rsidR="003C7721" w14:paraId="2E1B95C2" w14:textId="77777777" w:rsidTr="007216DC">
        <w:tc>
          <w:tcPr>
            <w:tcW w:w="5395" w:type="dxa"/>
          </w:tcPr>
          <w:p w14:paraId="677F49FB" w14:textId="156E4F65" w:rsidR="003C7721" w:rsidRPr="00D93F8C" w:rsidRDefault="00DE0762" w:rsidP="00F16525">
            <w:pPr>
              <w:rPr>
                <w:rFonts w:cs="Arial"/>
                <w:sz w:val="20"/>
                <w:szCs w:val="20"/>
              </w:rPr>
            </w:pPr>
            <w:r w:rsidRPr="00D93F8C">
              <w:rPr>
                <w:rFonts w:cs="Arial"/>
                <w:sz w:val="20"/>
                <w:szCs w:val="20"/>
              </w:rPr>
              <w:t>Receptive anal intercourse</w:t>
            </w:r>
          </w:p>
        </w:tc>
        <w:tc>
          <w:tcPr>
            <w:tcW w:w="5395" w:type="dxa"/>
          </w:tcPr>
          <w:p w14:paraId="19460431" w14:textId="7B7743DD" w:rsidR="003C7721" w:rsidRPr="00D93F8C" w:rsidRDefault="00D93F8C" w:rsidP="00F16525">
            <w:pPr>
              <w:rPr>
                <w:rFonts w:cs="Arial"/>
                <w:sz w:val="20"/>
                <w:szCs w:val="20"/>
              </w:rPr>
            </w:pPr>
            <w:r w:rsidRPr="00D93F8C">
              <w:rPr>
                <w:rFonts w:cs="Arial"/>
                <w:sz w:val="20"/>
                <w:szCs w:val="20"/>
              </w:rPr>
              <w:t>138</w:t>
            </w:r>
          </w:p>
        </w:tc>
      </w:tr>
      <w:tr w:rsidR="00D93F8C" w14:paraId="4E530E9F" w14:textId="77777777" w:rsidTr="007216DC">
        <w:tc>
          <w:tcPr>
            <w:tcW w:w="5395" w:type="dxa"/>
          </w:tcPr>
          <w:p w14:paraId="3B777245" w14:textId="350D3C38" w:rsidR="00D93F8C" w:rsidRPr="00D93F8C" w:rsidRDefault="00D93F8C" w:rsidP="00F16525">
            <w:pPr>
              <w:rPr>
                <w:rFonts w:cs="Arial"/>
                <w:sz w:val="20"/>
                <w:szCs w:val="20"/>
              </w:rPr>
            </w:pPr>
            <w:r w:rsidRPr="00D93F8C">
              <w:rPr>
                <w:rFonts w:cs="Arial"/>
                <w:sz w:val="20"/>
                <w:szCs w:val="20"/>
              </w:rPr>
              <w:t>Insertive anal intercourse</w:t>
            </w:r>
          </w:p>
        </w:tc>
        <w:tc>
          <w:tcPr>
            <w:tcW w:w="5395" w:type="dxa"/>
          </w:tcPr>
          <w:p w14:paraId="70678480" w14:textId="7586B4C5" w:rsidR="00D93F8C" w:rsidRPr="00D93F8C" w:rsidRDefault="00A34166" w:rsidP="00F16525">
            <w:pPr>
              <w:rPr>
                <w:rFonts w:cs="Arial"/>
                <w:sz w:val="20"/>
                <w:szCs w:val="20"/>
              </w:rPr>
            </w:pPr>
            <w:r w:rsidRPr="00A34166">
              <w:rPr>
                <w:rFonts w:cs="Arial"/>
                <w:sz w:val="20"/>
                <w:szCs w:val="20"/>
              </w:rPr>
              <w:t>11</w:t>
            </w:r>
          </w:p>
        </w:tc>
      </w:tr>
      <w:tr w:rsidR="00D93F8C" w14:paraId="73BA1216" w14:textId="77777777" w:rsidTr="007216DC">
        <w:tc>
          <w:tcPr>
            <w:tcW w:w="5395" w:type="dxa"/>
          </w:tcPr>
          <w:p w14:paraId="55A7FCAA" w14:textId="02F88D23" w:rsidR="00D93F8C" w:rsidRPr="00D93F8C" w:rsidRDefault="000F39BD" w:rsidP="00F16525">
            <w:pPr>
              <w:rPr>
                <w:rFonts w:cs="Arial"/>
                <w:sz w:val="20"/>
                <w:szCs w:val="20"/>
              </w:rPr>
            </w:pPr>
            <w:r w:rsidRPr="000F39BD">
              <w:rPr>
                <w:rFonts w:cs="Arial"/>
                <w:sz w:val="20"/>
                <w:szCs w:val="20"/>
              </w:rPr>
              <w:t>Receptive penile-vaginal intercourse</w:t>
            </w:r>
          </w:p>
        </w:tc>
        <w:tc>
          <w:tcPr>
            <w:tcW w:w="5395" w:type="dxa"/>
          </w:tcPr>
          <w:p w14:paraId="2894E8F7" w14:textId="07A448F3" w:rsidR="00D93F8C" w:rsidRPr="00D93F8C" w:rsidRDefault="00A34166" w:rsidP="00F16525">
            <w:pPr>
              <w:rPr>
                <w:rFonts w:cs="Arial"/>
                <w:sz w:val="20"/>
                <w:szCs w:val="20"/>
              </w:rPr>
            </w:pPr>
            <w:r w:rsidRPr="00A34166">
              <w:rPr>
                <w:rFonts w:cs="Arial"/>
                <w:sz w:val="20"/>
                <w:szCs w:val="20"/>
              </w:rPr>
              <w:t>8</w:t>
            </w:r>
          </w:p>
        </w:tc>
      </w:tr>
      <w:tr w:rsidR="00D93F8C" w14:paraId="4E40B8E7" w14:textId="77777777" w:rsidTr="007216DC">
        <w:tc>
          <w:tcPr>
            <w:tcW w:w="5395" w:type="dxa"/>
          </w:tcPr>
          <w:p w14:paraId="7C045278" w14:textId="39F93A4E" w:rsidR="00D93F8C" w:rsidRPr="00D93F8C" w:rsidRDefault="000F39BD" w:rsidP="00F16525">
            <w:pPr>
              <w:rPr>
                <w:rFonts w:cs="Arial"/>
                <w:sz w:val="20"/>
                <w:szCs w:val="20"/>
              </w:rPr>
            </w:pPr>
            <w:r w:rsidRPr="000F39BD">
              <w:rPr>
                <w:rFonts w:cs="Arial"/>
                <w:sz w:val="20"/>
                <w:szCs w:val="20"/>
              </w:rPr>
              <w:t>Insertive penile-vaginal intercourse</w:t>
            </w:r>
          </w:p>
        </w:tc>
        <w:tc>
          <w:tcPr>
            <w:tcW w:w="5395" w:type="dxa"/>
          </w:tcPr>
          <w:p w14:paraId="4CDCD0BD" w14:textId="515B7CA8" w:rsidR="00D93F8C" w:rsidRPr="00D93F8C" w:rsidRDefault="00F07E1E" w:rsidP="00F16525">
            <w:pPr>
              <w:rPr>
                <w:rFonts w:cs="Arial"/>
                <w:sz w:val="20"/>
                <w:szCs w:val="20"/>
              </w:rPr>
            </w:pPr>
            <w:r w:rsidRPr="00F07E1E">
              <w:rPr>
                <w:rFonts w:cs="Arial"/>
                <w:sz w:val="20"/>
                <w:szCs w:val="20"/>
              </w:rPr>
              <w:t>4</w:t>
            </w:r>
          </w:p>
        </w:tc>
      </w:tr>
      <w:tr w:rsidR="00D93F8C" w14:paraId="658BEBFE" w14:textId="77777777" w:rsidTr="007216DC">
        <w:tc>
          <w:tcPr>
            <w:tcW w:w="5395" w:type="dxa"/>
          </w:tcPr>
          <w:p w14:paraId="2FE5E05E" w14:textId="7450D330" w:rsidR="00D93F8C" w:rsidRPr="00D93F8C" w:rsidRDefault="000F39BD" w:rsidP="00F16525">
            <w:pPr>
              <w:rPr>
                <w:rFonts w:cs="Arial"/>
                <w:sz w:val="20"/>
                <w:szCs w:val="20"/>
              </w:rPr>
            </w:pPr>
            <w:r w:rsidRPr="000F39BD">
              <w:rPr>
                <w:rFonts w:cs="Arial"/>
                <w:sz w:val="20"/>
                <w:szCs w:val="20"/>
              </w:rPr>
              <w:t>Receptive oral intercourse</w:t>
            </w:r>
          </w:p>
        </w:tc>
        <w:tc>
          <w:tcPr>
            <w:tcW w:w="5395" w:type="dxa"/>
          </w:tcPr>
          <w:p w14:paraId="20DD517D" w14:textId="11BB2314" w:rsidR="00D93F8C" w:rsidRPr="00D93F8C" w:rsidRDefault="00F07E1E" w:rsidP="00F16525">
            <w:pPr>
              <w:rPr>
                <w:rFonts w:cs="Arial"/>
                <w:sz w:val="20"/>
                <w:szCs w:val="20"/>
              </w:rPr>
            </w:pPr>
            <w:r w:rsidRPr="00F07E1E">
              <w:rPr>
                <w:rFonts w:cs="Arial"/>
                <w:sz w:val="20"/>
                <w:szCs w:val="20"/>
              </w:rPr>
              <w:t>Low§</w:t>
            </w:r>
          </w:p>
        </w:tc>
      </w:tr>
      <w:tr w:rsidR="00D93F8C" w14:paraId="7A804AE9" w14:textId="77777777" w:rsidTr="007216DC">
        <w:tc>
          <w:tcPr>
            <w:tcW w:w="5395" w:type="dxa"/>
          </w:tcPr>
          <w:p w14:paraId="3AE23AA1" w14:textId="571C70AB" w:rsidR="00D93F8C" w:rsidRPr="00D93F8C" w:rsidRDefault="00A34166" w:rsidP="00F16525">
            <w:pPr>
              <w:rPr>
                <w:rFonts w:cs="Arial"/>
                <w:sz w:val="20"/>
                <w:szCs w:val="20"/>
              </w:rPr>
            </w:pPr>
            <w:r w:rsidRPr="00A34166">
              <w:rPr>
                <w:rFonts w:cs="Arial"/>
                <w:sz w:val="20"/>
                <w:szCs w:val="20"/>
              </w:rPr>
              <w:t>Insertive oral intercourse</w:t>
            </w:r>
          </w:p>
        </w:tc>
        <w:tc>
          <w:tcPr>
            <w:tcW w:w="5395" w:type="dxa"/>
          </w:tcPr>
          <w:p w14:paraId="13F0086F" w14:textId="7BB08ECF" w:rsidR="00D93F8C" w:rsidRPr="00D93F8C" w:rsidRDefault="00034FC2" w:rsidP="00F16525">
            <w:pPr>
              <w:rPr>
                <w:rFonts w:cs="Arial"/>
                <w:sz w:val="20"/>
                <w:szCs w:val="20"/>
              </w:rPr>
            </w:pPr>
            <w:r w:rsidRPr="00034FC2">
              <w:rPr>
                <w:rFonts w:cs="Arial"/>
                <w:sz w:val="20"/>
                <w:szCs w:val="20"/>
              </w:rPr>
              <w:t>Low§</w:t>
            </w:r>
          </w:p>
        </w:tc>
      </w:tr>
      <w:tr w:rsidR="00034FC2" w14:paraId="611C48CC" w14:textId="77777777" w:rsidTr="007216DC">
        <w:tc>
          <w:tcPr>
            <w:tcW w:w="5395" w:type="dxa"/>
          </w:tcPr>
          <w:p w14:paraId="47384F05" w14:textId="169467C8" w:rsidR="00034FC2" w:rsidRPr="00034FC2" w:rsidRDefault="00034FC2" w:rsidP="00F16525">
            <w:pPr>
              <w:rPr>
                <w:rFonts w:cs="Arial"/>
                <w:b/>
                <w:bCs/>
                <w:sz w:val="20"/>
                <w:szCs w:val="20"/>
              </w:rPr>
            </w:pPr>
            <w:r w:rsidRPr="00034FC2">
              <w:rPr>
                <w:rFonts w:cs="Arial"/>
                <w:b/>
                <w:bCs/>
                <w:sz w:val="20"/>
                <w:szCs w:val="20"/>
              </w:rPr>
              <w:t>Parenteral</w:t>
            </w:r>
          </w:p>
        </w:tc>
        <w:tc>
          <w:tcPr>
            <w:tcW w:w="5395" w:type="dxa"/>
          </w:tcPr>
          <w:p w14:paraId="563C447D" w14:textId="77777777" w:rsidR="00034FC2" w:rsidRPr="00034FC2" w:rsidRDefault="00034FC2" w:rsidP="00F16525">
            <w:pPr>
              <w:rPr>
                <w:rFonts w:cs="Arial"/>
                <w:sz w:val="20"/>
                <w:szCs w:val="20"/>
              </w:rPr>
            </w:pPr>
          </w:p>
        </w:tc>
      </w:tr>
      <w:tr w:rsidR="00034FC2" w14:paraId="27741653" w14:textId="77777777" w:rsidTr="007216DC">
        <w:tc>
          <w:tcPr>
            <w:tcW w:w="5395" w:type="dxa"/>
          </w:tcPr>
          <w:p w14:paraId="4AA16E57" w14:textId="073F8ADE" w:rsidR="00034FC2" w:rsidRPr="00034FC2" w:rsidRDefault="00A51A10" w:rsidP="00F16525">
            <w:pPr>
              <w:rPr>
                <w:rFonts w:cs="Arial"/>
                <w:sz w:val="20"/>
                <w:szCs w:val="20"/>
              </w:rPr>
            </w:pPr>
            <w:r w:rsidRPr="00A51A10">
              <w:rPr>
                <w:rFonts w:cs="Arial"/>
                <w:sz w:val="20"/>
                <w:szCs w:val="20"/>
              </w:rPr>
              <w:t>Blood transfusion</w:t>
            </w:r>
          </w:p>
        </w:tc>
        <w:tc>
          <w:tcPr>
            <w:tcW w:w="5395" w:type="dxa"/>
          </w:tcPr>
          <w:p w14:paraId="2E12EF53" w14:textId="14E0E5DB" w:rsidR="00034FC2" w:rsidRPr="00034FC2" w:rsidRDefault="004A030A" w:rsidP="00F16525">
            <w:pPr>
              <w:rPr>
                <w:rFonts w:cs="Arial"/>
                <w:sz w:val="20"/>
                <w:szCs w:val="20"/>
              </w:rPr>
            </w:pPr>
            <w:r w:rsidRPr="004A030A">
              <w:rPr>
                <w:rFonts w:cs="Arial"/>
                <w:sz w:val="20"/>
                <w:szCs w:val="20"/>
              </w:rPr>
              <w:t>9,250</w:t>
            </w:r>
          </w:p>
        </w:tc>
      </w:tr>
      <w:tr w:rsidR="004A030A" w14:paraId="249CC542" w14:textId="77777777" w:rsidTr="007216DC">
        <w:tc>
          <w:tcPr>
            <w:tcW w:w="5395" w:type="dxa"/>
          </w:tcPr>
          <w:p w14:paraId="3282C1A1" w14:textId="450C8BE7" w:rsidR="004A030A" w:rsidRPr="00A51A10" w:rsidRDefault="007C0527" w:rsidP="00F16525">
            <w:pPr>
              <w:rPr>
                <w:rFonts w:cs="Arial"/>
                <w:sz w:val="20"/>
                <w:szCs w:val="20"/>
              </w:rPr>
            </w:pPr>
            <w:r w:rsidRPr="007C0527">
              <w:rPr>
                <w:rFonts w:cs="Arial"/>
                <w:sz w:val="20"/>
                <w:szCs w:val="20"/>
              </w:rPr>
              <w:t>Needle sharing during injection drug use</w:t>
            </w:r>
          </w:p>
        </w:tc>
        <w:tc>
          <w:tcPr>
            <w:tcW w:w="5395" w:type="dxa"/>
          </w:tcPr>
          <w:p w14:paraId="5D4B1621" w14:textId="10F8B903" w:rsidR="004A030A" w:rsidRPr="004A030A" w:rsidRDefault="007C0527" w:rsidP="00F16525">
            <w:pPr>
              <w:rPr>
                <w:rFonts w:cs="Arial"/>
                <w:sz w:val="20"/>
                <w:szCs w:val="20"/>
              </w:rPr>
            </w:pPr>
            <w:r w:rsidRPr="007C0527">
              <w:rPr>
                <w:rFonts w:cs="Arial"/>
                <w:sz w:val="20"/>
                <w:szCs w:val="20"/>
              </w:rPr>
              <w:t>63</w:t>
            </w:r>
          </w:p>
        </w:tc>
      </w:tr>
      <w:tr w:rsidR="007C0527" w14:paraId="058B9EA5" w14:textId="77777777" w:rsidTr="007216DC">
        <w:tc>
          <w:tcPr>
            <w:tcW w:w="5395" w:type="dxa"/>
          </w:tcPr>
          <w:p w14:paraId="5F882693" w14:textId="02A817D7" w:rsidR="007C0527" w:rsidRPr="007C0527" w:rsidRDefault="007C0527" w:rsidP="00F16525">
            <w:pPr>
              <w:rPr>
                <w:rFonts w:cs="Arial"/>
                <w:sz w:val="20"/>
                <w:szCs w:val="20"/>
              </w:rPr>
            </w:pPr>
            <w:r w:rsidRPr="007C0527">
              <w:rPr>
                <w:rFonts w:cs="Arial"/>
                <w:sz w:val="20"/>
                <w:szCs w:val="20"/>
              </w:rPr>
              <w:t>Percutaneous (needle stick)</w:t>
            </w:r>
          </w:p>
        </w:tc>
        <w:tc>
          <w:tcPr>
            <w:tcW w:w="5395" w:type="dxa"/>
          </w:tcPr>
          <w:p w14:paraId="053CB8D6" w14:textId="2685345B" w:rsidR="007C0527" w:rsidRPr="007C0527" w:rsidRDefault="00482820" w:rsidP="00F16525">
            <w:pPr>
              <w:rPr>
                <w:rFonts w:cs="Arial"/>
                <w:sz w:val="20"/>
                <w:szCs w:val="20"/>
              </w:rPr>
            </w:pPr>
            <w:r w:rsidRPr="00482820">
              <w:rPr>
                <w:rFonts w:cs="Arial"/>
                <w:sz w:val="20"/>
                <w:szCs w:val="20"/>
              </w:rPr>
              <w:t>23</w:t>
            </w:r>
          </w:p>
        </w:tc>
      </w:tr>
      <w:tr w:rsidR="00482820" w14:paraId="2808B322" w14:textId="77777777" w:rsidTr="007216DC">
        <w:tc>
          <w:tcPr>
            <w:tcW w:w="5395" w:type="dxa"/>
          </w:tcPr>
          <w:p w14:paraId="041184A6" w14:textId="01E2CADA" w:rsidR="00482820" w:rsidRPr="00482820" w:rsidRDefault="00482820" w:rsidP="00F16525">
            <w:pPr>
              <w:rPr>
                <w:rFonts w:cs="Arial"/>
                <w:b/>
                <w:bCs/>
                <w:sz w:val="20"/>
                <w:szCs w:val="20"/>
              </w:rPr>
            </w:pPr>
            <w:r w:rsidRPr="00482820">
              <w:rPr>
                <w:rFonts w:cs="Arial"/>
                <w:b/>
                <w:bCs/>
                <w:sz w:val="20"/>
                <w:szCs w:val="20"/>
              </w:rPr>
              <w:t>Other†</w:t>
            </w:r>
          </w:p>
        </w:tc>
        <w:tc>
          <w:tcPr>
            <w:tcW w:w="5395" w:type="dxa"/>
          </w:tcPr>
          <w:p w14:paraId="2F1A890E" w14:textId="77777777" w:rsidR="00482820" w:rsidRPr="00482820" w:rsidRDefault="00482820" w:rsidP="00F16525">
            <w:pPr>
              <w:rPr>
                <w:rFonts w:cs="Arial"/>
                <w:sz w:val="20"/>
                <w:szCs w:val="20"/>
              </w:rPr>
            </w:pPr>
          </w:p>
        </w:tc>
      </w:tr>
      <w:tr w:rsidR="00482820" w14:paraId="1C4C3FE0" w14:textId="77777777" w:rsidTr="007216DC">
        <w:tc>
          <w:tcPr>
            <w:tcW w:w="5395" w:type="dxa"/>
          </w:tcPr>
          <w:p w14:paraId="048A103D" w14:textId="2E4D45DA" w:rsidR="00482820" w:rsidRPr="00482820" w:rsidRDefault="00FE1F0F" w:rsidP="00F16525">
            <w:pPr>
              <w:rPr>
                <w:rFonts w:cs="Arial"/>
                <w:sz w:val="20"/>
                <w:szCs w:val="20"/>
              </w:rPr>
            </w:pPr>
            <w:r w:rsidRPr="00FE1F0F">
              <w:rPr>
                <w:rFonts w:cs="Arial"/>
                <w:sz w:val="20"/>
                <w:szCs w:val="20"/>
              </w:rPr>
              <w:t>Biting</w:t>
            </w:r>
          </w:p>
        </w:tc>
        <w:tc>
          <w:tcPr>
            <w:tcW w:w="5395" w:type="dxa"/>
          </w:tcPr>
          <w:p w14:paraId="3F9D9AE6" w14:textId="70BB40D2" w:rsidR="00482820" w:rsidRPr="00482820" w:rsidRDefault="00671FD5" w:rsidP="00F16525">
            <w:pPr>
              <w:rPr>
                <w:rFonts w:cs="Arial"/>
                <w:sz w:val="20"/>
                <w:szCs w:val="20"/>
              </w:rPr>
            </w:pPr>
            <w:r w:rsidRPr="00671FD5">
              <w:rPr>
                <w:rFonts w:cs="Arial"/>
                <w:sz w:val="20"/>
                <w:szCs w:val="20"/>
              </w:rPr>
              <w:t>Negligible</w:t>
            </w:r>
          </w:p>
        </w:tc>
      </w:tr>
      <w:tr w:rsidR="00671FD5" w14:paraId="745627A6" w14:textId="77777777" w:rsidTr="007216DC">
        <w:tc>
          <w:tcPr>
            <w:tcW w:w="5395" w:type="dxa"/>
          </w:tcPr>
          <w:p w14:paraId="30B5D1E8" w14:textId="6FFDB3D9" w:rsidR="00671FD5" w:rsidRPr="00FE1F0F" w:rsidRDefault="00CB5423" w:rsidP="00F16525">
            <w:pPr>
              <w:rPr>
                <w:rFonts w:cs="Arial"/>
                <w:sz w:val="20"/>
                <w:szCs w:val="20"/>
              </w:rPr>
            </w:pPr>
            <w:r w:rsidRPr="00CB5423">
              <w:rPr>
                <w:rFonts w:cs="Arial"/>
                <w:sz w:val="20"/>
                <w:szCs w:val="20"/>
              </w:rPr>
              <w:t>Spitting</w:t>
            </w:r>
          </w:p>
        </w:tc>
        <w:tc>
          <w:tcPr>
            <w:tcW w:w="5395" w:type="dxa"/>
          </w:tcPr>
          <w:p w14:paraId="4A4280DB" w14:textId="257F71C1" w:rsidR="00671FD5" w:rsidRPr="00671FD5" w:rsidRDefault="00CB5423" w:rsidP="00F16525">
            <w:pPr>
              <w:rPr>
                <w:rFonts w:cs="Arial"/>
                <w:sz w:val="20"/>
                <w:szCs w:val="20"/>
              </w:rPr>
            </w:pPr>
            <w:r w:rsidRPr="00CB5423">
              <w:rPr>
                <w:rFonts w:cs="Arial"/>
                <w:sz w:val="20"/>
                <w:szCs w:val="20"/>
              </w:rPr>
              <w:t>Negligible</w:t>
            </w:r>
          </w:p>
        </w:tc>
      </w:tr>
      <w:tr w:rsidR="00CB5423" w14:paraId="411BFEE4" w14:textId="77777777" w:rsidTr="007216DC">
        <w:tc>
          <w:tcPr>
            <w:tcW w:w="5395" w:type="dxa"/>
          </w:tcPr>
          <w:p w14:paraId="34249C5C" w14:textId="15899C1F" w:rsidR="00CB5423" w:rsidRPr="00CB5423" w:rsidRDefault="00BC662F" w:rsidP="00F16525">
            <w:pPr>
              <w:rPr>
                <w:rFonts w:cs="Arial"/>
                <w:sz w:val="20"/>
                <w:szCs w:val="20"/>
              </w:rPr>
            </w:pPr>
            <w:r w:rsidRPr="00BC662F">
              <w:rPr>
                <w:rFonts w:cs="Arial"/>
                <w:sz w:val="20"/>
                <w:szCs w:val="20"/>
              </w:rPr>
              <w:t>Sharing sex toys</w:t>
            </w:r>
          </w:p>
        </w:tc>
        <w:tc>
          <w:tcPr>
            <w:tcW w:w="5395" w:type="dxa"/>
          </w:tcPr>
          <w:p w14:paraId="7B8F3CCA" w14:textId="253B2AB0" w:rsidR="00CB5423" w:rsidRPr="00CB5423" w:rsidRDefault="00BC662F" w:rsidP="00F16525">
            <w:pPr>
              <w:rPr>
                <w:rFonts w:cs="Arial"/>
                <w:sz w:val="20"/>
                <w:szCs w:val="20"/>
              </w:rPr>
            </w:pPr>
            <w:r w:rsidRPr="00BC662F">
              <w:rPr>
                <w:rFonts w:cs="Arial"/>
                <w:sz w:val="20"/>
                <w:szCs w:val="20"/>
              </w:rPr>
              <w:t>Negligible</w:t>
            </w:r>
          </w:p>
        </w:tc>
      </w:tr>
    </w:tbl>
    <w:p w14:paraId="63A685A6" w14:textId="77777777" w:rsidR="00CC6788" w:rsidRDefault="00CC6788" w:rsidP="00F16525">
      <w:pPr>
        <w:spacing w:after="0" w:line="240" w:lineRule="auto"/>
        <w:rPr>
          <w:sz w:val="20"/>
          <w:szCs w:val="20"/>
        </w:rPr>
      </w:pPr>
    </w:p>
    <w:p w14:paraId="1073F923" w14:textId="7602ECC5" w:rsidR="004B1F5B" w:rsidRPr="004B1F5B" w:rsidRDefault="004B1F5B" w:rsidP="004B1F5B">
      <w:pPr>
        <w:autoSpaceDE w:val="0"/>
        <w:autoSpaceDN w:val="0"/>
        <w:adjustRightInd w:val="0"/>
        <w:spacing w:after="0" w:line="240" w:lineRule="auto"/>
        <w:rPr>
          <w:rFonts w:cs="Arial"/>
          <w:color w:val="000000"/>
          <w:kern w:val="0"/>
          <w:sz w:val="14"/>
          <w:szCs w:val="14"/>
        </w:rPr>
      </w:pPr>
      <w:r>
        <w:rPr>
          <w:rFonts w:cs="Arial"/>
          <w:color w:val="221F1F"/>
          <w:kern w:val="0"/>
          <w:sz w:val="14"/>
          <w:szCs w:val="14"/>
        </w:rPr>
        <w:t>*</w:t>
      </w:r>
      <w:r w:rsidRPr="004B1F5B">
        <w:rPr>
          <w:rFonts w:cs="Arial"/>
          <w:color w:val="221F1F"/>
          <w:kern w:val="0"/>
          <w:sz w:val="14"/>
          <w:szCs w:val="14"/>
        </w:rPr>
        <w:t xml:space="preserve">Factors that might increase the risk for HIV acquisition include sexually transmitted infections, acute and late-stage HIV infection, and high viral load. </w:t>
      </w:r>
    </w:p>
    <w:p w14:paraId="103A5A0E" w14:textId="1904D7FC" w:rsidR="00CC6788" w:rsidRDefault="004B1F5B" w:rsidP="004B1F5B">
      <w:pPr>
        <w:spacing w:after="0" w:line="240" w:lineRule="auto"/>
        <w:rPr>
          <w:color w:val="221F1F"/>
          <w:sz w:val="14"/>
          <w:szCs w:val="14"/>
        </w:rPr>
      </w:pPr>
      <w:r w:rsidRPr="004B1F5B">
        <w:rPr>
          <w:rFonts w:cs="Arial"/>
          <w:color w:val="221F1F"/>
          <w:kern w:val="0"/>
          <w:sz w:val="14"/>
          <w:szCs w:val="14"/>
        </w:rPr>
        <w:t>Factors that might decrease the risk include condom use, male circumcision, antiretroviral treatment, and pre-exposure prophylaxis. Condomless sex is</w:t>
      </w:r>
      <w:r w:rsidR="00CF0CA3">
        <w:rPr>
          <w:rFonts w:cs="Arial"/>
          <w:color w:val="221F1F"/>
          <w:kern w:val="0"/>
          <w:sz w:val="14"/>
          <w:szCs w:val="14"/>
        </w:rPr>
        <w:t xml:space="preserve"> </w:t>
      </w:r>
      <w:r w:rsidR="00CF0CA3">
        <w:rPr>
          <w:color w:val="221F1F"/>
          <w:sz w:val="14"/>
          <w:szCs w:val="14"/>
        </w:rPr>
        <w:t>the only factor accounted for in the estimates presented.</w:t>
      </w:r>
    </w:p>
    <w:p w14:paraId="733ECAF6" w14:textId="77777777" w:rsidR="007A5551" w:rsidRPr="007A5551" w:rsidRDefault="007A5551" w:rsidP="007A5551">
      <w:pPr>
        <w:autoSpaceDE w:val="0"/>
        <w:autoSpaceDN w:val="0"/>
        <w:adjustRightInd w:val="0"/>
        <w:spacing w:after="0" w:line="240" w:lineRule="auto"/>
        <w:rPr>
          <w:rFonts w:cs="Arial"/>
          <w:color w:val="000000"/>
          <w:kern w:val="0"/>
          <w:sz w:val="14"/>
          <w:szCs w:val="14"/>
        </w:rPr>
      </w:pPr>
      <w:r w:rsidRPr="007A5551">
        <w:rPr>
          <w:rFonts w:cs="Arial"/>
          <w:color w:val="221F1F"/>
          <w:kern w:val="0"/>
          <w:sz w:val="14"/>
          <w:szCs w:val="14"/>
        </w:rPr>
        <w:t xml:space="preserve">† HIV transmission through these exposure routes is technically possible but unlikely and has not been definitively demonstrated in a circumstance </w:t>
      </w:r>
    </w:p>
    <w:p w14:paraId="515E3B0D" w14:textId="4AFD3468" w:rsidR="007A5551" w:rsidRDefault="007A5551" w:rsidP="007A5551">
      <w:pPr>
        <w:spacing w:after="0" w:line="240" w:lineRule="auto"/>
        <w:rPr>
          <w:sz w:val="20"/>
          <w:szCs w:val="20"/>
        </w:rPr>
      </w:pPr>
      <w:r w:rsidRPr="007A5551">
        <w:rPr>
          <w:rFonts w:cs="Arial"/>
          <w:color w:val="221F1F"/>
          <w:kern w:val="0"/>
          <w:sz w:val="14"/>
          <w:szCs w:val="14"/>
        </w:rPr>
        <w:t>when contaminated body fluids (e.g., blood or sexual fluids) were absent and the exposed person’s exposure was limited to intact skin.</w:t>
      </w:r>
    </w:p>
    <w:p w14:paraId="3EFC3DA6" w14:textId="77777777" w:rsidR="00C438AC" w:rsidRPr="00C438AC" w:rsidRDefault="00C438AC" w:rsidP="00C438AC">
      <w:pPr>
        <w:autoSpaceDE w:val="0"/>
        <w:autoSpaceDN w:val="0"/>
        <w:adjustRightInd w:val="0"/>
        <w:spacing w:after="0" w:line="240" w:lineRule="auto"/>
        <w:rPr>
          <w:rFonts w:cs="Arial"/>
          <w:color w:val="000000"/>
          <w:kern w:val="0"/>
          <w:sz w:val="14"/>
          <w:szCs w:val="14"/>
        </w:rPr>
      </w:pPr>
      <w:r w:rsidRPr="00C438AC">
        <w:rPr>
          <w:rFonts w:cs="Arial"/>
          <w:color w:val="221F1F"/>
          <w:kern w:val="0"/>
          <w:sz w:val="14"/>
          <w:szCs w:val="14"/>
        </w:rPr>
        <w:t xml:space="preserve">§ Risk is considered low relative to the other sexual exposures, but it is not zero; sample size in the study was too small to generate a precise point estimate. </w:t>
      </w:r>
    </w:p>
    <w:p w14:paraId="1A01AC81" w14:textId="54C9A859" w:rsidR="00CC6788" w:rsidRDefault="00C438AC" w:rsidP="00C438AC">
      <w:pPr>
        <w:spacing w:after="0" w:line="240" w:lineRule="auto"/>
        <w:rPr>
          <w:rFonts w:cs="Arial"/>
          <w:color w:val="000000"/>
          <w:kern w:val="0"/>
          <w:sz w:val="14"/>
          <w:szCs w:val="14"/>
        </w:rPr>
      </w:pPr>
      <w:r w:rsidRPr="00C438AC">
        <w:rPr>
          <w:rFonts w:cs="Arial"/>
          <w:color w:val="000000"/>
          <w:kern w:val="0"/>
          <w:sz w:val="14"/>
          <w:szCs w:val="14"/>
        </w:rPr>
        <w:t xml:space="preserve">Source: </w:t>
      </w:r>
      <w:r w:rsidRPr="00C438AC">
        <w:rPr>
          <w:rFonts w:cs="Arial"/>
          <w:color w:val="0000FF"/>
          <w:kern w:val="0"/>
          <w:sz w:val="14"/>
          <w:szCs w:val="14"/>
        </w:rPr>
        <w:t>https://www.cdc.gov/mmwr/volumes/74/rr/pdfs/rr7401a1-H.pdf</w:t>
      </w:r>
      <w:r w:rsidRPr="00C438AC">
        <w:rPr>
          <w:rFonts w:cs="Arial"/>
          <w:color w:val="000000"/>
          <w:kern w:val="0"/>
          <w:sz w:val="14"/>
          <w:szCs w:val="14"/>
        </w:rPr>
        <w:t xml:space="preserve">; (Erratum: </w:t>
      </w:r>
      <w:hyperlink r:id="rId10" w:history="1">
        <w:r w:rsidRPr="00F14949">
          <w:rPr>
            <w:rStyle w:val="Hyperlink"/>
            <w:rFonts w:cs="Arial"/>
            <w:kern w:val="0"/>
            <w:sz w:val="14"/>
            <w:szCs w:val="14"/>
          </w:rPr>
          <w:t>https://www.cdc.gov/mmwr/volumes/74/wr/pdfs/mm7435a3-H.pdf</w:t>
        </w:r>
      </w:hyperlink>
      <w:r w:rsidRPr="00C438AC">
        <w:rPr>
          <w:rFonts w:cs="Arial"/>
          <w:color w:val="000000"/>
          <w:kern w:val="0"/>
          <w:sz w:val="14"/>
          <w:szCs w:val="14"/>
        </w:rPr>
        <w:t>)</w:t>
      </w:r>
    </w:p>
    <w:p w14:paraId="6868D706" w14:textId="4EE6EC5F" w:rsidR="00C438AC" w:rsidRDefault="00C438AC">
      <w:pPr>
        <w:rPr>
          <w:rFonts w:cs="Arial"/>
          <w:color w:val="000000"/>
          <w:kern w:val="0"/>
          <w:sz w:val="14"/>
          <w:szCs w:val="14"/>
        </w:rPr>
      </w:pPr>
      <w:r>
        <w:rPr>
          <w:rFonts w:cs="Arial"/>
          <w:color w:val="000000"/>
          <w:kern w:val="0"/>
          <w:sz w:val="14"/>
          <w:szCs w:val="14"/>
        </w:rPr>
        <w:br w:type="page"/>
      </w:r>
    </w:p>
    <w:p w14:paraId="0C06E22A" w14:textId="77777777" w:rsidR="00C438AC" w:rsidRDefault="00C438AC" w:rsidP="00C438AC">
      <w:pPr>
        <w:spacing w:after="0" w:line="240" w:lineRule="auto"/>
        <w:rPr>
          <w:sz w:val="20"/>
          <w:szCs w:val="20"/>
        </w:rPr>
      </w:pPr>
    </w:p>
    <w:p w14:paraId="67AB6E77" w14:textId="269998EF" w:rsidR="00C438AC" w:rsidRDefault="000A257B" w:rsidP="00C438AC">
      <w:pPr>
        <w:spacing w:after="0" w:line="240" w:lineRule="auto"/>
        <w:rPr>
          <w:b/>
          <w:bCs/>
        </w:rPr>
      </w:pPr>
      <w:r>
        <w:rPr>
          <w:b/>
          <w:bCs/>
        </w:rPr>
        <w:t>Limits of Confidentiality</w:t>
      </w:r>
    </w:p>
    <w:p w14:paraId="569D180E" w14:textId="77777777" w:rsidR="000A257B" w:rsidRPr="001A0C6A" w:rsidRDefault="000A257B" w:rsidP="00C438AC">
      <w:pPr>
        <w:spacing w:after="0" w:line="240" w:lineRule="auto"/>
        <w:rPr>
          <w:sz w:val="20"/>
          <w:szCs w:val="20"/>
        </w:rPr>
      </w:pPr>
    </w:p>
    <w:p w14:paraId="0E68B771" w14:textId="1A88176C" w:rsidR="000A257B" w:rsidRDefault="004721E9" w:rsidP="00C438AC">
      <w:pPr>
        <w:spacing w:after="0" w:line="240" w:lineRule="auto"/>
        <w:rPr>
          <w:sz w:val="20"/>
          <w:szCs w:val="20"/>
        </w:rPr>
      </w:pPr>
      <w:r>
        <w:rPr>
          <w:sz w:val="20"/>
          <w:szCs w:val="20"/>
        </w:rPr>
        <w:t xml:space="preserve">The limits of confidentiality of the HIV antibody test must also be discussed before the patient chooses to be tested in the ED setting. Patients should be informed the results of HIV testing in the ED indicate the </w:t>
      </w:r>
      <w:r w:rsidRPr="007C14A9">
        <w:rPr>
          <w:b/>
          <w:bCs/>
          <w:sz w:val="20"/>
          <w:szCs w:val="20"/>
          <w:u w:val="single"/>
        </w:rPr>
        <w:t>present</w:t>
      </w:r>
      <w:r>
        <w:rPr>
          <w:b/>
          <w:bCs/>
          <w:sz w:val="20"/>
          <w:szCs w:val="20"/>
        </w:rPr>
        <w:t xml:space="preserve"> </w:t>
      </w:r>
      <w:r>
        <w:rPr>
          <w:sz w:val="20"/>
          <w:szCs w:val="20"/>
        </w:rPr>
        <w:t xml:space="preserve">status of HIV infection, </w:t>
      </w:r>
      <w:r w:rsidRPr="007C14A9">
        <w:rPr>
          <w:b/>
          <w:bCs/>
          <w:sz w:val="20"/>
          <w:szCs w:val="20"/>
          <w:u w:val="single"/>
        </w:rPr>
        <w:t>not</w:t>
      </w:r>
      <w:r>
        <w:rPr>
          <w:b/>
          <w:bCs/>
          <w:sz w:val="20"/>
          <w:szCs w:val="20"/>
        </w:rPr>
        <w:t xml:space="preserve"> </w:t>
      </w:r>
      <w:r>
        <w:rPr>
          <w:sz w:val="20"/>
          <w:szCs w:val="20"/>
        </w:rPr>
        <w:t>the HIV status resulting from the sexual assault. Although conducted in a “confidential manner” according to hospital procedures, the results of the HIV test become a part of the medical record and may be subpoenaed in court proceedings.</w:t>
      </w:r>
    </w:p>
    <w:p w14:paraId="2AEEBCFA" w14:textId="77777777" w:rsidR="004721E9" w:rsidRDefault="004721E9" w:rsidP="00C438AC">
      <w:pPr>
        <w:spacing w:after="0" w:line="240" w:lineRule="auto"/>
        <w:rPr>
          <w:sz w:val="20"/>
          <w:szCs w:val="20"/>
        </w:rPr>
      </w:pPr>
    </w:p>
    <w:p w14:paraId="2E069704" w14:textId="4FBB0B88" w:rsidR="004721E9" w:rsidRDefault="007C14A9" w:rsidP="00C438AC">
      <w:pPr>
        <w:spacing w:after="0" w:line="240" w:lineRule="auto"/>
        <w:rPr>
          <w:sz w:val="20"/>
          <w:szCs w:val="20"/>
        </w:rPr>
      </w:pPr>
      <w:r>
        <w:rPr>
          <w:sz w:val="20"/>
          <w:szCs w:val="20"/>
        </w:rPr>
        <w:t xml:space="preserve">The MDPH </w:t>
      </w:r>
      <w:r w:rsidRPr="00DC043D">
        <w:rPr>
          <w:b/>
          <w:bCs/>
          <w:sz w:val="20"/>
          <w:szCs w:val="20"/>
          <w:u w:val="single"/>
        </w:rPr>
        <w:t>strongly</w:t>
      </w:r>
      <w:r>
        <w:rPr>
          <w:b/>
          <w:bCs/>
          <w:sz w:val="20"/>
          <w:szCs w:val="20"/>
        </w:rPr>
        <w:t xml:space="preserve"> recommends </w:t>
      </w:r>
      <w:r>
        <w:rPr>
          <w:sz w:val="20"/>
          <w:szCs w:val="20"/>
        </w:rPr>
        <w:t>that patients receive pre-test and post-test education and counseling</w:t>
      </w:r>
    </w:p>
    <w:p w14:paraId="0F59C309" w14:textId="77777777" w:rsidR="00C438AC" w:rsidRDefault="00C438AC" w:rsidP="00C438AC">
      <w:pPr>
        <w:spacing w:after="0" w:line="240" w:lineRule="auto"/>
        <w:rPr>
          <w:sz w:val="20"/>
          <w:szCs w:val="20"/>
        </w:rPr>
      </w:pPr>
    </w:p>
    <w:p w14:paraId="0C773575" w14:textId="77777777" w:rsidR="00D77F52" w:rsidRPr="00AD6F66" w:rsidRDefault="00D77F52" w:rsidP="00D77F52">
      <w:pPr>
        <w:autoSpaceDE w:val="0"/>
        <w:autoSpaceDN w:val="0"/>
        <w:adjustRightInd w:val="0"/>
        <w:spacing w:after="0" w:line="240" w:lineRule="auto"/>
        <w:rPr>
          <w:rFonts w:cs="Arial"/>
          <w:b/>
          <w:bCs/>
          <w:color w:val="000000"/>
          <w:kern w:val="0"/>
        </w:rPr>
      </w:pPr>
      <w:r w:rsidRPr="00D77F52">
        <w:rPr>
          <w:rFonts w:cs="Arial"/>
          <w:b/>
          <w:bCs/>
          <w:color w:val="000000"/>
          <w:kern w:val="0"/>
        </w:rPr>
        <w:t xml:space="preserve">Additional Information Regarding ED-based HIV Testing </w:t>
      </w:r>
    </w:p>
    <w:p w14:paraId="329FB3E8" w14:textId="77777777" w:rsidR="00D77F52" w:rsidRPr="00D77F52" w:rsidRDefault="00D77F52" w:rsidP="00D77F52">
      <w:pPr>
        <w:autoSpaceDE w:val="0"/>
        <w:autoSpaceDN w:val="0"/>
        <w:adjustRightInd w:val="0"/>
        <w:spacing w:after="0" w:line="240" w:lineRule="auto"/>
        <w:rPr>
          <w:rFonts w:cs="Arial"/>
          <w:color w:val="000000"/>
          <w:kern w:val="0"/>
          <w:sz w:val="20"/>
          <w:szCs w:val="20"/>
        </w:rPr>
      </w:pPr>
    </w:p>
    <w:p w14:paraId="544A7017" w14:textId="77777777" w:rsidR="00D77F52" w:rsidRDefault="00D77F52" w:rsidP="00D77F52">
      <w:pPr>
        <w:numPr>
          <w:ilvl w:val="0"/>
          <w:numId w:val="12"/>
        </w:numPr>
        <w:autoSpaceDE w:val="0"/>
        <w:autoSpaceDN w:val="0"/>
        <w:adjustRightInd w:val="0"/>
        <w:spacing w:after="47" w:line="240" w:lineRule="auto"/>
        <w:ind w:left="360"/>
        <w:rPr>
          <w:rFonts w:cs="Arial"/>
          <w:color w:val="000000"/>
          <w:kern w:val="0"/>
          <w:sz w:val="20"/>
          <w:szCs w:val="20"/>
        </w:rPr>
      </w:pPr>
      <w:r w:rsidRPr="00D77F52">
        <w:rPr>
          <w:rFonts w:cs="Arial"/>
          <w:color w:val="000000"/>
          <w:kern w:val="0"/>
          <w:sz w:val="20"/>
          <w:szCs w:val="20"/>
        </w:rPr>
        <w:t xml:space="preserve">For all patients tested for HIV in a hospital: the hospital is responsible for compliance with Mass. General Laws c. 111, §70F and related policies in obtaining informed patient consent for HIV testing and for providing mechanisms for appropriate counseling, follow-up, and maintenance of HIV-related information contained in their records. </w:t>
      </w:r>
    </w:p>
    <w:p w14:paraId="46BB1119" w14:textId="77777777" w:rsidR="00D77F52" w:rsidRPr="00D77F52" w:rsidRDefault="00D77F52" w:rsidP="00D77F52">
      <w:pPr>
        <w:numPr>
          <w:ilvl w:val="0"/>
          <w:numId w:val="12"/>
        </w:numPr>
        <w:autoSpaceDE w:val="0"/>
        <w:autoSpaceDN w:val="0"/>
        <w:adjustRightInd w:val="0"/>
        <w:spacing w:after="0" w:line="240" w:lineRule="auto"/>
        <w:ind w:left="360"/>
        <w:rPr>
          <w:rFonts w:cs="Arial"/>
          <w:color w:val="000000"/>
          <w:kern w:val="0"/>
          <w:sz w:val="20"/>
          <w:szCs w:val="20"/>
        </w:rPr>
      </w:pPr>
      <w:r w:rsidRPr="00D77F52">
        <w:rPr>
          <w:rFonts w:cs="Arial"/>
          <w:color w:val="000000"/>
          <w:kern w:val="0"/>
          <w:sz w:val="20"/>
          <w:szCs w:val="20"/>
        </w:rPr>
        <w:t xml:space="preserve">HIV testing is offered to all patients at the time of the sexual assault examination in the ED. If HIV post-exposure prophylaxis is started, baseline testing for HIV should be performed soon after the sexual assault examination. Patients who choose not to be tested but continue to have questions about their baseline HIV status may be referred to their primary care provider or to the AIDS Action Committee at 617-437-6200 (Mon-Fri) 9 AM-5PM to obtain HIV testing any time after the ED evaluation. </w:t>
      </w:r>
    </w:p>
    <w:p w14:paraId="2401943D" w14:textId="77777777" w:rsidR="00DC043D" w:rsidRDefault="00DC043D" w:rsidP="00C438AC">
      <w:pPr>
        <w:spacing w:after="0" w:line="240" w:lineRule="auto"/>
        <w:rPr>
          <w:sz w:val="20"/>
          <w:szCs w:val="20"/>
        </w:rPr>
      </w:pPr>
    </w:p>
    <w:p w14:paraId="0C264664" w14:textId="68B4E1E2" w:rsidR="00DC043D" w:rsidRDefault="00AE4520" w:rsidP="00C438AC">
      <w:pPr>
        <w:spacing w:after="0" w:line="240" w:lineRule="auto"/>
        <w:rPr>
          <w:b/>
          <w:bCs/>
        </w:rPr>
      </w:pPr>
      <w:r>
        <w:rPr>
          <w:b/>
          <w:bCs/>
        </w:rPr>
        <w:t>Laboratory Testing associated with HIV nPEP Administration</w:t>
      </w:r>
    </w:p>
    <w:p w14:paraId="26569C4F" w14:textId="77777777" w:rsidR="00AE4520" w:rsidRPr="001A0C6A" w:rsidRDefault="00AE4520" w:rsidP="00C438AC">
      <w:pPr>
        <w:spacing w:after="0" w:line="240" w:lineRule="auto"/>
        <w:rPr>
          <w:sz w:val="20"/>
          <w:szCs w:val="20"/>
        </w:rPr>
      </w:pPr>
    </w:p>
    <w:p w14:paraId="091BB1B3" w14:textId="2E0E964D" w:rsidR="00AE4520" w:rsidRDefault="00AE4520" w:rsidP="00C438AC">
      <w:pPr>
        <w:spacing w:after="0" w:line="240" w:lineRule="auto"/>
        <w:rPr>
          <w:b/>
          <w:bCs/>
          <w:sz w:val="20"/>
          <w:szCs w:val="20"/>
        </w:rPr>
      </w:pPr>
      <w:r w:rsidRPr="00AE4520">
        <w:rPr>
          <w:b/>
          <w:bCs/>
          <w:sz w:val="20"/>
          <w:szCs w:val="20"/>
        </w:rPr>
        <w:t>TABLE 3. Recommended schedule of laboratory evaluations of source and persons exposed to HIV who are evaluated for HIV nonoccupational postexposure prophylaxis — CDC recommendations, United States, 2025</w:t>
      </w:r>
    </w:p>
    <w:p w14:paraId="765C15EA" w14:textId="77777777" w:rsidR="000E2E11" w:rsidRDefault="000E2E11" w:rsidP="00C438AC">
      <w:pPr>
        <w:spacing w:after="0" w:line="240" w:lineRule="auto"/>
        <w:rPr>
          <w:b/>
          <w:bCs/>
          <w:sz w:val="20"/>
          <w:szCs w:val="20"/>
        </w:rPr>
      </w:pPr>
    </w:p>
    <w:tbl>
      <w:tblPr>
        <w:tblStyle w:val="TableGrid"/>
        <w:tblW w:w="0" w:type="auto"/>
        <w:tblLook w:val="04A0" w:firstRow="1" w:lastRow="0" w:firstColumn="1" w:lastColumn="0" w:noHBand="0" w:noVBand="1"/>
      </w:tblPr>
      <w:tblGrid>
        <w:gridCol w:w="3415"/>
        <w:gridCol w:w="1080"/>
        <w:gridCol w:w="1080"/>
        <w:gridCol w:w="1617"/>
        <w:gridCol w:w="1799"/>
        <w:gridCol w:w="1799"/>
      </w:tblGrid>
      <w:tr w:rsidR="005F069F" w14:paraId="50377E30" w14:textId="77777777" w:rsidTr="007A7317">
        <w:tc>
          <w:tcPr>
            <w:tcW w:w="3415" w:type="dxa"/>
            <w:tcBorders>
              <w:bottom w:val="nil"/>
            </w:tcBorders>
          </w:tcPr>
          <w:p w14:paraId="4A0BCC72" w14:textId="77777777" w:rsidR="005F069F" w:rsidRDefault="005F069F" w:rsidP="00C438AC">
            <w:pPr>
              <w:rPr>
                <w:b/>
                <w:bCs/>
                <w:sz w:val="20"/>
                <w:szCs w:val="20"/>
              </w:rPr>
            </w:pPr>
          </w:p>
        </w:tc>
        <w:tc>
          <w:tcPr>
            <w:tcW w:w="1080" w:type="dxa"/>
          </w:tcPr>
          <w:p w14:paraId="41AF0436" w14:textId="6B89AA74" w:rsidR="005F069F" w:rsidRDefault="005F069F" w:rsidP="00C438AC">
            <w:pPr>
              <w:rPr>
                <w:b/>
                <w:bCs/>
                <w:sz w:val="20"/>
                <w:szCs w:val="20"/>
              </w:rPr>
            </w:pPr>
            <w:r>
              <w:rPr>
                <w:b/>
                <w:bCs/>
                <w:sz w:val="20"/>
                <w:szCs w:val="20"/>
              </w:rPr>
              <w:t>Source</w:t>
            </w:r>
          </w:p>
        </w:tc>
        <w:tc>
          <w:tcPr>
            <w:tcW w:w="6295" w:type="dxa"/>
            <w:gridSpan w:val="4"/>
          </w:tcPr>
          <w:p w14:paraId="72415A70" w14:textId="64495AEE" w:rsidR="005F069F" w:rsidRDefault="0019552B" w:rsidP="00C438AC">
            <w:pPr>
              <w:rPr>
                <w:b/>
                <w:bCs/>
                <w:sz w:val="20"/>
                <w:szCs w:val="20"/>
              </w:rPr>
            </w:pPr>
            <w:r>
              <w:rPr>
                <w:b/>
                <w:bCs/>
                <w:sz w:val="20"/>
                <w:szCs w:val="20"/>
              </w:rPr>
              <w:t>Exposed Persons</w:t>
            </w:r>
          </w:p>
        </w:tc>
      </w:tr>
      <w:tr w:rsidR="00567AC1" w14:paraId="3FC97C7E" w14:textId="77777777" w:rsidTr="007A7317">
        <w:tc>
          <w:tcPr>
            <w:tcW w:w="3415" w:type="dxa"/>
            <w:tcBorders>
              <w:top w:val="nil"/>
            </w:tcBorders>
          </w:tcPr>
          <w:p w14:paraId="188300AB" w14:textId="41C4B67F" w:rsidR="00567AC1" w:rsidRPr="00932882" w:rsidRDefault="00EE3BC8" w:rsidP="001A0C6A">
            <w:pPr>
              <w:spacing w:before="40" w:after="40"/>
              <w:rPr>
                <w:b/>
                <w:bCs/>
                <w:sz w:val="20"/>
                <w:szCs w:val="20"/>
              </w:rPr>
            </w:pPr>
            <w:r w:rsidRPr="00932882">
              <w:rPr>
                <w:b/>
                <w:bCs/>
                <w:sz w:val="20"/>
                <w:szCs w:val="20"/>
              </w:rPr>
              <w:t>Test</w:t>
            </w:r>
            <w:r w:rsidR="00932882" w:rsidRPr="00932882">
              <w:rPr>
                <w:b/>
                <w:bCs/>
                <w:sz w:val="20"/>
                <w:szCs w:val="20"/>
              </w:rPr>
              <w:t>*</w:t>
            </w:r>
          </w:p>
        </w:tc>
        <w:tc>
          <w:tcPr>
            <w:tcW w:w="1080" w:type="dxa"/>
          </w:tcPr>
          <w:p w14:paraId="74BD6580" w14:textId="71594382" w:rsidR="00567AC1" w:rsidRPr="00932882" w:rsidRDefault="00EE3BC8" w:rsidP="001A0C6A">
            <w:pPr>
              <w:spacing w:before="40" w:after="40"/>
              <w:jc w:val="center"/>
              <w:rPr>
                <w:b/>
                <w:bCs/>
                <w:sz w:val="20"/>
                <w:szCs w:val="20"/>
              </w:rPr>
            </w:pPr>
            <w:r w:rsidRPr="00932882">
              <w:rPr>
                <w:b/>
                <w:bCs/>
                <w:sz w:val="20"/>
                <w:szCs w:val="20"/>
              </w:rPr>
              <w:t>Baseline</w:t>
            </w:r>
          </w:p>
        </w:tc>
        <w:tc>
          <w:tcPr>
            <w:tcW w:w="1080" w:type="dxa"/>
          </w:tcPr>
          <w:p w14:paraId="20EBE759" w14:textId="001644C7" w:rsidR="00567AC1" w:rsidRPr="00932882" w:rsidRDefault="00EE3BC8" w:rsidP="001A0C6A">
            <w:pPr>
              <w:spacing w:before="40" w:after="40"/>
              <w:jc w:val="center"/>
              <w:rPr>
                <w:b/>
                <w:bCs/>
                <w:sz w:val="20"/>
                <w:szCs w:val="20"/>
              </w:rPr>
            </w:pPr>
            <w:r w:rsidRPr="00932882">
              <w:rPr>
                <w:b/>
                <w:bCs/>
                <w:sz w:val="20"/>
                <w:szCs w:val="20"/>
              </w:rPr>
              <w:t>Baseline</w:t>
            </w:r>
          </w:p>
        </w:tc>
        <w:tc>
          <w:tcPr>
            <w:tcW w:w="1617" w:type="dxa"/>
          </w:tcPr>
          <w:p w14:paraId="151700F3" w14:textId="3CE98672" w:rsidR="00567AC1" w:rsidRPr="00932882" w:rsidRDefault="00EE3BC8" w:rsidP="001A0C6A">
            <w:pPr>
              <w:spacing w:before="40" w:after="40"/>
              <w:jc w:val="center"/>
              <w:rPr>
                <w:b/>
                <w:bCs/>
                <w:sz w:val="20"/>
                <w:szCs w:val="20"/>
              </w:rPr>
            </w:pPr>
            <w:r w:rsidRPr="00932882">
              <w:rPr>
                <w:b/>
                <w:bCs/>
                <w:sz w:val="20"/>
                <w:szCs w:val="20"/>
              </w:rPr>
              <w:t>4 – 6 weeks after exposure</w:t>
            </w:r>
          </w:p>
        </w:tc>
        <w:tc>
          <w:tcPr>
            <w:tcW w:w="1799" w:type="dxa"/>
          </w:tcPr>
          <w:p w14:paraId="2E8C25EC" w14:textId="20155010" w:rsidR="00567AC1" w:rsidRPr="00932882" w:rsidRDefault="00EE3BC8" w:rsidP="001A0C6A">
            <w:pPr>
              <w:spacing w:before="40" w:after="40"/>
              <w:jc w:val="center"/>
              <w:rPr>
                <w:b/>
                <w:bCs/>
                <w:sz w:val="20"/>
                <w:szCs w:val="20"/>
              </w:rPr>
            </w:pPr>
            <w:r w:rsidRPr="00932882">
              <w:rPr>
                <w:b/>
                <w:bCs/>
                <w:sz w:val="20"/>
                <w:szCs w:val="20"/>
              </w:rPr>
              <w:t>12 weeks after exposure</w:t>
            </w:r>
          </w:p>
        </w:tc>
        <w:tc>
          <w:tcPr>
            <w:tcW w:w="1799" w:type="dxa"/>
          </w:tcPr>
          <w:p w14:paraId="519798B0" w14:textId="3F265E29" w:rsidR="00567AC1" w:rsidRPr="00932882" w:rsidRDefault="00EE3BC8" w:rsidP="001A0C6A">
            <w:pPr>
              <w:spacing w:before="40" w:after="40"/>
              <w:jc w:val="center"/>
              <w:rPr>
                <w:b/>
                <w:bCs/>
                <w:sz w:val="20"/>
                <w:szCs w:val="20"/>
              </w:rPr>
            </w:pPr>
            <w:r w:rsidRPr="00932882">
              <w:rPr>
                <w:b/>
                <w:bCs/>
                <w:sz w:val="20"/>
                <w:szCs w:val="20"/>
              </w:rPr>
              <w:t>6 months after exposure</w:t>
            </w:r>
          </w:p>
        </w:tc>
      </w:tr>
      <w:tr w:rsidR="003A4B94" w14:paraId="10DA3B70" w14:textId="77777777" w:rsidTr="003A4B94">
        <w:tc>
          <w:tcPr>
            <w:tcW w:w="10790" w:type="dxa"/>
            <w:gridSpan w:val="6"/>
          </w:tcPr>
          <w:p w14:paraId="3F2F3392" w14:textId="6EB8F139" w:rsidR="003A4B94" w:rsidRPr="006510CC" w:rsidRDefault="003A4B94" w:rsidP="0018086F">
            <w:pPr>
              <w:jc w:val="center"/>
              <w:rPr>
                <w:b/>
                <w:bCs/>
                <w:sz w:val="20"/>
                <w:szCs w:val="20"/>
              </w:rPr>
            </w:pPr>
            <w:r w:rsidRPr="006510CC">
              <w:rPr>
                <w:b/>
                <w:bCs/>
                <w:sz w:val="20"/>
                <w:szCs w:val="20"/>
              </w:rPr>
              <w:t>All persons evaluation for nPEP</w:t>
            </w:r>
          </w:p>
        </w:tc>
      </w:tr>
      <w:tr w:rsidR="00932882" w14:paraId="0C6AEA0B" w14:textId="77777777" w:rsidTr="00932882">
        <w:tc>
          <w:tcPr>
            <w:tcW w:w="3415" w:type="dxa"/>
          </w:tcPr>
          <w:p w14:paraId="216045EB" w14:textId="20300A42" w:rsidR="00932882" w:rsidRDefault="00D850E5" w:rsidP="001A0C6A">
            <w:pPr>
              <w:spacing w:before="40" w:after="40"/>
              <w:rPr>
                <w:sz w:val="20"/>
                <w:szCs w:val="20"/>
              </w:rPr>
            </w:pPr>
            <w:r w:rsidRPr="00D850E5">
              <w:rPr>
                <w:sz w:val="20"/>
                <w:szCs w:val="20"/>
              </w:rPr>
              <w:t>Rapid (point-of-care) or laboratory-based HIV Ag/Ab test</w:t>
            </w:r>
            <w:r w:rsidRPr="0018086F">
              <w:rPr>
                <w:sz w:val="20"/>
                <w:szCs w:val="20"/>
                <w:vertAlign w:val="superscript"/>
              </w:rPr>
              <w:t>†</w:t>
            </w:r>
          </w:p>
        </w:tc>
        <w:tc>
          <w:tcPr>
            <w:tcW w:w="1080" w:type="dxa"/>
          </w:tcPr>
          <w:p w14:paraId="056715D0" w14:textId="2FB55EBA" w:rsidR="00932882" w:rsidRDefault="00BE1016" w:rsidP="001A0C6A">
            <w:pPr>
              <w:spacing w:before="40" w:after="40"/>
              <w:jc w:val="center"/>
              <w:rPr>
                <w:sz w:val="20"/>
                <w:szCs w:val="20"/>
              </w:rPr>
            </w:pPr>
            <w:r>
              <w:rPr>
                <w:sz w:val="20"/>
                <w:szCs w:val="20"/>
              </w:rPr>
              <w:t>X</w:t>
            </w:r>
          </w:p>
        </w:tc>
        <w:tc>
          <w:tcPr>
            <w:tcW w:w="1080" w:type="dxa"/>
          </w:tcPr>
          <w:p w14:paraId="5EBC88B1" w14:textId="5BFFCDBA" w:rsidR="00932882" w:rsidRDefault="00BE1016" w:rsidP="001A0C6A">
            <w:pPr>
              <w:spacing w:before="40" w:after="40"/>
              <w:jc w:val="center"/>
              <w:rPr>
                <w:sz w:val="20"/>
                <w:szCs w:val="20"/>
              </w:rPr>
            </w:pPr>
            <w:r>
              <w:rPr>
                <w:sz w:val="20"/>
                <w:szCs w:val="20"/>
              </w:rPr>
              <w:t>X</w:t>
            </w:r>
          </w:p>
        </w:tc>
        <w:tc>
          <w:tcPr>
            <w:tcW w:w="1617" w:type="dxa"/>
          </w:tcPr>
          <w:p w14:paraId="01D4D25F" w14:textId="46DA8DB9" w:rsidR="00932882" w:rsidRDefault="001E03EC" w:rsidP="001A0C6A">
            <w:pPr>
              <w:spacing w:before="40" w:after="40"/>
              <w:jc w:val="center"/>
              <w:rPr>
                <w:sz w:val="20"/>
                <w:szCs w:val="20"/>
              </w:rPr>
            </w:pPr>
            <w:r w:rsidRPr="001E03EC">
              <w:rPr>
                <w:sz w:val="20"/>
                <w:szCs w:val="20"/>
              </w:rPr>
              <w:t>X</w:t>
            </w:r>
            <w:r w:rsidRPr="0018086F">
              <w:rPr>
                <w:sz w:val="20"/>
                <w:szCs w:val="20"/>
                <w:vertAlign w:val="superscript"/>
              </w:rPr>
              <w:t>§</w:t>
            </w:r>
          </w:p>
        </w:tc>
        <w:tc>
          <w:tcPr>
            <w:tcW w:w="1799" w:type="dxa"/>
          </w:tcPr>
          <w:p w14:paraId="5C973D0F" w14:textId="497BBC89" w:rsidR="00932882" w:rsidRDefault="001E03EC" w:rsidP="001A0C6A">
            <w:pPr>
              <w:spacing w:before="40" w:after="40"/>
              <w:jc w:val="center"/>
              <w:rPr>
                <w:sz w:val="20"/>
                <w:szCs w:val="20"/>
              </w:rPr>
            </w:pPr>
            <w:r>
              <w:rPr>
                <w:sz w:val="20"/>
                <w:szCs w:val="20"/>
              </w:rPr>
              <w:t>X</w:t>
            </w:r>
          </w:p>
        </w:tc>
        <w:tc>
          <w:tcPr>
            <w:tcW w:w="1799" w:type="dxa"/>
          </w:tcPr>
          <w:p w14:paraId="310E4B49" w14:textId="3DBEF2A7" w:rsidR="00932882" w:rsidRDefault="003176F4" w:rsidP="001A0C6A">
            <w:pPr>
              <w:spacing w:before="40" w:after="40"/>
              <w:jc w:val="center"/>
              <w:rPr>
                <w:sz w:val="20"/>
                <w:szCs w:val="20"/>
              </w:rPr>
            </w:pPr>
            <w:r>
              <w:rPr>
                <w:sz w:val="20"/>
                <w:szCs w:val="20"/>
              </w:rPr>
              <w:t>-----</w:t>
            </w:r>
          </w:p>
        </w:tc>
      </w:tr>
      <w:tr w:rsidR="00932882" w14:paraId="5C16C5E0" w14:textId="77777777" w:rsidTr="00CC6C64">
        <w:tc>
          <w:tcPr>
            <w:tcW w:w="3415" w:type="dxa"/>
          </w:tcPr>
          <w:p w14:paraId="47A6B356" w14:textId="1801F7BC" w:rsidR="00932882" w:rsidRDefault="00D850E5" w:rsidP="001A0C6A">
            <w:pPr>
              <w:spacing w:before="40" w:after="40"/>
              <w:rPr>
                <w:sz w:val="20"/>
                <w:szCs w:val="20"/>
              </w:rPr>
            </w:pPr>
            <w:r w:rsidRPr="00D850E5">
              <w:rPr>
                <w:sz w:val="20"/>
                <w:szCs w:val="20"/>
              </w:rPr>
              <w:t>HIV diagnostic NAT</w:t>
            </w:r>
            <w:r w:rsidR="00DE2F28" w:rsidRPr="0018086F">
              <w:rPr>
                <w:rFonts w:cs="Arial"/>
                <w:color w:val="171717" w:themeColor="background2" w:themeShade="1A"/>
                <w:kern w:val="0"/>
                <w:sz w:val="16"/>
                <w:szCs w:val="18"/>
                <w:vertAlign w:val="superscript"/>
              </w:rPr>
              <w:t>¶</w:t>
            </w:r>
            <w:r w:rsidR="00517959" w:rsidRPr="0018086F">
              <w:rPr>
                <w:rFonts w:cs="Arial"/>
                <w:color w:val="171717" w:themeColor="background2" w:themeShade="1A"/>
                <w:kern w:val="0"/>
                <w:sz w:val="16"/>
                <w:szCs w:val="10"/>
                <w:vertAlign w:val="superscript"/>
              </w:rPr>
              <w:t xml:space="preserve"> </w:t>
            </w:r>
          </w:p>
        </w:tc>
        <w:tc>
          <w:tcPr>
            <w:tcW w:w="1080" w:type="dxa"/>
          </w:tcPr>
          <w:p w14:paraId="613ABC96" w14:textId="561D978F" w:rsidR="00932882" w:rsidRDefault="00CC6C64" w:rsidP="001A0C6A">
            <w:pPr>
              <w:spacing w:before="40" w:after="40"/>
              <w:jc w:val="center"/>
              <w:rPr>
                <w:sz w:val="20"/>
                <w:szCs w:val="20"/>
              </w:rPr>
            </w:pPr>
            <w:r w:rsidRPr="00CC6C64">
              <w:rPr>
                <w:sz w:val="20"/>
                <w:szCs w:val="20"/>
              </w:rPr>
              <w:t>X**</w:t>
            </w:r>
          </w:p>
        </w:tc>
        <w:tc>
          <w:tcPr>
            <w:tcW w:w="1080" w:type="dxa"/>
          </w:tcPr>
          <w:p w14:paraId="2561B83C" w14:textId="52055FC0" w:rsidR="00932882" w:rsidRDefault="00CC6C64" w:rsidP="001A0C6A">
            <w:pPr>
              <w:spacing w:before="40" w:after="40"/>
              <w:jc w:val="center"/>
              <w:rPr>
                <w:sz w:val="20"/>
                <w:szCs w:val="20"/>
              </w:rPr>
            </w:pPr>
            <w:r w:rsidRPr="00CC6C64">
              <w:rPr>
                <w:sz w:val="20"/>
                <w:szCs w:val="20"/>
              </w:rPr>
              <w:t>X**</w:t>
            </w:r>
          </w:p>
        </w:tc>
        <w:tc>
          <w:tcPr>
            <w:tcW w:w="1617" w:type="dxa"/>
          </w:tcPr>
          <w:p w14:paraId="30E5A54C" w14:textId="3BD15214" w:rsidR="00932882" w:rsidRDefault="00CC6C64" w:rsidP="001A0C6A">
            <w:pPr>
              <w:spacing w:before="40" w:after="40"/>
              <w:jc w:val="center"/>
              <w:rPr>
                <w:sz w:val="20"/>
                <w:szCs w:val="20"/>
              </w:rPr>
            </w:pPr>
            <w:r w:rsidRPr="00CC6C64">
              <w:rPr>
                <w:sz w:val="20"/>
                <w:szCs w:val="20"/>
              </w:rPr>
              <w:t>X</w:t>
            </w:r>
            <w:r w:rsidRPr="0018086F">
              <w:rPr>
                <w:sz w:val="20"/>
                <w:szCs w:val="20"/>
                <w:vertAlign w:val="superscript"/>
              </w:rPr>
              <w:t>§</w:t>
            </w:r>
          </w:p>
        </w:tc>
        <w:tc>
          <w:tcPr>
            <w:tcW w:w="1799" w:type="dxa"/>
          </w:tcPr>
          <w:p w14:paraId="750323BB" w14:textId="771D494D" w:rsidR="00932882" w:rsidRDefault="00CC6C64" w:rsidP="001A0C6A">
            <w:pPr>
              <w:spacing w:before="40" w:after="40"/>
              <w:jc w:val="center"/>
              <w:rPr>
                <w:sz w:val="20"/>
                <w:szCs w:val="20"/>
              </w:rPr>
            </w:pPr>
            <w:r>
              <w:rPr>
                <w:sz w:val="20"/>
                <w:szCs w:val="20"/>
              </w:rPr>
              <w:t>X</w:t>
            </w:r>
          </w:p>
        </w:tc>
        <w:tc>
          <w:tcPr>
            <w:tcW w:w="1799" w:type="dxa"/>
            <w:vAlign w:val="center"/>
          </w:tcPr>
          <w:p w14:paraId="147EB5F2" w14:textId="14941EE0" w:rsidR="00932882" w:rsidRDefault="003176F4" w:rsidP="001A0C6A">
            <w:pPr>
              <w:spacing w:before="40" w:after="40"/>
              <w:jc w:val="center"/>
              <w:rPr>
                <w:sz w:val="20"/>
                <w:szCs w:val="20"/>
              </w:rPr>
            </w:pPr>
            <w:r>
              <w:rPr>
                <w:sz w:val="20"/>
                <w:szCs w:val="20"/>
              </w:rPr>
              <w:t>-----</w:t>
            </w:r>
          </w:p>
        </w:tc>
      </w:tr>
      <w:tr w:rsidR="00932882" w14:paraId="737E63EC" w14:textId="77777777" w:rsidTr="00932882">
        <w:tc>
          <w:tcPr>
            <w:tcW w:w="3415" w:type="dxa"/>
          </w:tcPr>
          <w:p w14:paraId="71A6E756" w14:textId="0F62BABA" w:rsidR="00932882" w:rsidRDefault="00BA21AA" w:rsidP="001A0C6A">
            <w:pPr>
              <w:spacing w:before="40" w:after="40"/>
              <w:rPr>
                <w:sz w:val="20"/>
                <w:szCs w:val="20"/>
              </w:rPr>
            </w:pPr>
            <w:r w:rsidRPr="00BA21AA">
              <w:rPr>
                <w:sz w:val="20"/>
                <w:szCs w:val="20"/>
              </w:rPr>
              <w:t>HBV serology, including HBsAg, HBsAb, and HBcAb</w:t>
            </w:r>
          </w:p>
        </w:tc>
        <w:tc>
          <w:tcPr>
            <w:tcW w:w="1080" w:type="dxa"/>
          </w:tcPr>
          <w:p w14:paraId="2B05C933" w14:textId="172FFCB8" w:rsidR="00932882" w:rsidRDefault="000E4044" w:rsidP="001A0C6A">
            <w:pPr>
              <w:spacing w:before="40" w:after="40"/>
              <w:jc w:val="center"/>
              <w:rPr>
                <w:sz w:val="20"/>
                <w:szCs w:val="20"/>
              </w:rPr>
            </w:pPr>
            <w:r>
              <w:rPr>
                <w:sz w:val="20"/>
                <w:szCs w:val="20"/>
              </w:rPr>
              <w:t>X</w:t>
            </w:r>
          </w:p>
        </w:tc>
        <w:tc>
          <w:tcPr>
            <w:tcW w:w="1080" w:type="dxa"/>
          </w:tcPr>
          <w:p w14:paraId="18048637" w14:textId="6858F23B" w:rsidR="00932882" w:rsidRDefault="00E747DC" w:rsidP="001A0C6A">
            <w:pPr>
              <w:spacing w:before="40" w:after="40"/>
              <w:jc w:val="center"/>
              <w:rPr>
                <w:sz w:val="20"/>
                <w:szCs w:val="20"/>
              </w:rPr>
            </w:pPr>
            <w:r w:rsidRPr="00E747DC">
              <w:rPr>
                <w:sz w:val="20"/>
                <w:szCs w:val="20"/>
              </w:rPr>
              <w:t>X</w:t>
            </w:r>
            <w:r w:rsidRPr="0018086F">
              <w:rPr>
                <w:sz w:val="20"/>
                <w:szCs w:val="20"/>
                <w:vertAlign w:val="superscript"/>
              </w:rPr>
              <w:t>††</w:t>
            </w:r>
          </w:p>
        </w:tc>
        <w:tc>
          <w:tcPr>
            <w:tcW w:w="1617" w:type="dxa"/>
          </w:tcPr>
          <w:p w14:paraId="009DB9E9" w14:textId="7BA3F644" w:rsidR="00932882" w:rsidRDefault="003176F4" w:rsidP="001A0C6A">
            <w:pPr>
              <w:spacing w:before="40" w:after="40"/>
              <w:jc w:val="center"/>
              <w:rPr>
                <w:sz w:val="20"/>
                <w:szCs w:val="20"/>
              </w:rPr>
            </w:pPr>
            <w:r>
              <w:rPr>
                <w:sz w:val="20"/>
                <w:szCs w:val="20"/>
              </w:rPr>
              <w:t>-----</w:t>
            </w:r>
          </w:p>
        </w:tc>
        <w:tc>
          <w:tcPr>
            <w:tcW w:w="1799" w:type="dxa"/>
          </w:tcPr>
          <w:p w14:paraId="3DF1CF86" w14:textId="40CE13A9" w:rsidR="00932882" w:rsidRDefault="003176F4" w:rsidP="001A0C6A">
            <w:pPr>
              <w:spacing w:before="40" w:after="40"/>
              <w:jc w:val="center"/>
              <w:rPr>
                <w:sz w:val="20"/>
                <w:szCs w:val="20"/>
              </w:rPr>
            </w:pPr>
            <w:r>
              <w:rPr>
                <w:sz w:val="20"/>
                <w:szCs w:val="20"/>
              </w:rPr>
              <w:t>-----</w:t>
            </w:r>
          </w:p>
        </w:tc>
        <w:tc>
          <w:tcPr>
            <w:tcW w:w="1799" w:type="dxa"/>
          </w:tcPr>
          <w:p w14:paraId="00B32426" w14:textId="137C9AD0" w:rsidR="00932882" w:rsidRPr="0025448C" w:rsidRDefault="00E747DC" w:rsidP="001A0C6A">
            <w:pPr>
              <w:spacing w:before="40" w:after="40"/>
              <w:jc w:val="center"/>
              <w:rPr>
                <w:sz w:val="16"/>
                <w:szCs w:val="16"/>
              </w:rPr>
            </w:pPr>
            <w:r w:rsidRPr="0025448C">
              <w:rPr>
                <w:sz w:val="16"/>
                <w:szCs w:val="16"/>
              </w:rPr>
              <w:t>If HBV nonimmune at baseline</w:t>
            </w:r>
          </w:p>
        </w:tc>
      </w:tr>
      <w:tr w:rsidR="00BA21AA" w14:paraId="77BAB9F3" w14:textId="77777777" w:rsidTr="00932882">
        <w:tc>
          <w:tcPr>
            <w:tcW w:w="3415" w:type="dxa"/>
          </w:tcPr>
          <w:p w14:paraId="1FD5DA2A" w14:textId="57C06C3E" w:rsidR="00BA21AA" w:rsidRPr="00BA21AA" w:rsidRDefault="00BA21AA" w:rsidP="001A0C6A">
            <w:pPr>
              <w:spacing w:before="40" w:after="40"/>
              <w:rPr>
                <w:sz w:val="20"/>
                <w:szCs w:val="20"/>
              </w:rPr>
            </w:pPr>
            <w:r w:rsidRPr="00BA21AA">
              <w:rPr>
                <w:sz w:val="20"/>
                <w:szCs w:val="20"/>
              </w:rPr>
              <w:t>HCV antibody testing</w:t>
            </w:r>
          </w:p>
        </w:tc>
        <w:tc>
          <w:tcPr>
            <w:tcW w:w="1080" w:type="dxa"/>
          </w:tcPr>
          <w:p w14:paraId="6A1F3B39" w14:textId="5E6E2279" w:rsidR="00BA21AA" w:rsidRDefault="003176F4" w:rsidP="001A0C6A">
            <w:pPr>
              <w:spacing w:before="40" w:after="40"/>
              <w:jc w:val="center"/>
              <w:rPr>
                <w:sz w:val="20"/>
                <w:szCs w:val="20"/>
              </w:rPr>
            </w:pPr>
            <w:r>
              <w:rPr>
                <w:sz w:val="20"/>
                <w:szCs w:val="20"/>
              </w:rPr>
              <w:t>-----</w:t>
            </w:r>
          </w:p>
        </w:tc>
        <w:tc>
          <w:tcPr>
            <w:tcW w:w="1080" w:type="dxa"/>
          </w:tcPr>
          <w:p w14:paraId="4B2FDBDD" w14:textId="26AF22ED" w:rsidR="00BA21AA" w:rsidRDefault="008708DE" w:rsidP="001A0C6A">
            <w:pPr>
              <w:spacing w:before="40" w:after="40"/>
              <w:jc w:val="center"/>
              <w:rPr>
                <w:sz w:val="20"/>
                <w:szCs w:val="20"/>
              </w:rPr>
            </w:pPr>
            <w:r w:rsidRPr="008708DE">
              <w:rPr>
                <w:sz w:val="20"/>
                <w:szCs w:val="20"/>
              </w:rPr>
              <w:t>X</w:t>
            </w:r>
            <w:r w:rsidRPr="0018086F">
              <w:rPr>
                <w:sz w:val="20"/>
                <w:szCs w:val="20"/>
                <w:vertAlign w:val="superscript"/>
              </w:rPr>
              <w:t>§§</w:t>
            </w:r>
          </w:p>
        </w:tc>
        <w:tc>
          <w:tcPr>
            <w:tcW w:w="1617" w:type="dxa"/>
          </w:tcPr>
          <w:p w14:paraId="0612852E" w14:textId="7425F16F" w:rsidR="00BA21AA" w:rsidRDefault="003176F4" w:rsidP="001A0C6A">
            <w:pPr>
              <w:spacing w:before="40" w:after="40"/>
              <w:jc w:val="center"/>
              <w:rPr>
                <w:sz w:val="20"/>
                <w:szCs w:val="20"/>
              </w:rPr>
            </w:pPr>
            <w:r>
              <w:rPr>
                <w:sz w:val="20"/>
                <w:szCs w:val="20"/>
              </w:rPr>
              <w:t>-----</w:t>
            </w:r>
          </w:p>
        </w:tc>
        <w:tc>
          <w:tcPr>
            <w:tcW w:w="1799" w:type="dxa"/>
          </w:tcPr>
          <w:p w14:paraId="0F8BEBAA" w14:textId="449CCF83" w:rsidR="00BA21AA" w:rsidRDefault="003176F4" w:rsidP="001A0C6A">
            <w:pPr>
              <w:spacing w:before="40" w:after="40"/>
              <w:jc w:val="center"/>
              <w:rPr>
                <w:sz w:val="20"/>
                <w:szCs w:val="20"/>
              </w:rPr>
            </w:pPr>
            <w:r>
              <w:rPr>
                <w:sz w:val="20"/>
                <w:szCs w:val="20"/>
              </w:rPr>
              <w:t>-----</w:t>
            </w:r>
          </w:p>
        </w:tc>
        <w:tc>
          <w:tcPr>
            <w:tcW w:w="1799" w:type="dxa"/>
          </w:tcPr>
          <w:p w14:paraId="05DC83D8" w14:textId="63403D52" w:rsidR="00BA21AA" w:rsidRPr="0025448C" w:rsidRDefault="008708DE" w:rsidP="001A0C6A">
            <w:pPr>
              <w:spacing w:before="40" w:after="40"/>
              <w:jc w:val="center"/>
              <w:rPr>
                <w:sz w:val="16"/>
                <w:szCs w:val="16"/>
              </w:rPr>
            </w:pPr>
            <w:r w:rsidRPr="0025448C">
              <w:rPr>
                <w:sz w:val="16"/>
                <w:szCs w:val="16"/>
              </w:rPr>
              <w:t>If follow-up testing recommended</w:t>
            </w:r>
            <w:r w:rsidR="00794BBD">
              <w:rPr>
                <w:sz w:val="16"/>
                <w:szCs w:val="16"/>
              </w:rPr>
              <w:t xml:space="preserve"> </w:t>
            </w:r>
            <w:r w:rsidR="00794BBD" w:rsidRPr="00665DC9">
              <w:rPr>
                <w:rFonts w:cs="Arial"/>
                <w:color w:val="171717" w:themeColor="background2" w:themeShade="1A"/>
                <w:kern w:val="0"/>
                <w:sz w:val="16"/>
                <w:szCs w:val="18"/>
                <w:vertAlign w:val="superscript"/>
              </w:rPr>
              <w:t>¶</w:t>
            </w:r>
            <w:r w:rsidR="00794BBD" w:rsidRPr="00665DC9">
              <w:rPr>
                <w:rFonts w:cs="Arial"/>
                <w:color w:val="171717" w:themeColor="background2" w:themeShade="1A"/>
                <w:kern w:val="0"/>
                <w:sz w:val="16"/>
                <w:szCs w:val="10"/>
                <w:vertAlign w:val="superscript"/>
              </w:rPr>
              <w:t xml:space="preserve"> </w:t>
            </w:r>
            <w:r w:rsidR="00794BBD" w:rsidRPr="00665DC9">
              <w:rPr>
                <w:rFonts w:cs="Arial"/>
                <w:color w:val="171717" w:themeColor="background2" w:themeShade="1A"/>
                <w:kern w:val="0"/>
                <w:sz w:val="16"/>
                <w:szCs w:val="18"/>
                <w:vertAlign w:val="superscript"/>
              </w:rPr>
              <w:t>¶</w:t>
            </w:r>
          </w:p>
        </w:tc>
      </w:tr>
      <w:tr w:rsidR="00BA21AA" w14:paraId="1FCB3A62" w14:textId="77777777" w:rsidTr="00932882">
        <w:tc>
          <w:tcPr>
            <w:tcW w:w="3415" w:type="dxa"/>
          </w:tcPr>
          <w:p w14:paraId="58AF4FB5" w14:textId="47203E0E" w:rsidR="00BA21AA" w:rsidRPr="00BA21AA" w:rsidRDefault="001C2854" w:rsidP="001A0C6A">
            <w:pPr>
              <w:spacing w:before="40" w:after="40"/>
              <w:rPr>
                <w:sz w:val="20"/>
                <w:szCs w:val="20"/>
              </w:rPr>
            </w:pPr>
            <w:r w:rsidRPr="001C2854">
              <w:rPr>
                <w:sz w:val="20"/>
                <w:szCs w:val="20"/>
              </w:rPr>
              <w:t>HCV RNA NAT</w:t>
            </w:r>
          </w:p>
        </w:tc>
        <w:tc>
          <w:tcPr>
            <w:tcW w:w="1080" w:type="dxa"/>
          </w:tcPr>
          <w:p w14:paraId="5891B8E1" w14:textId="301AA832" w:rsidR="00BA21AA" w:rsidRDefault="00D763BD" w:rsidP="001A0C6A">
            <w:pPr>
              <w:spacing w:before="40" w:after="40"/>
              <w:jc w:val="center"/>
              <w:rPr>
                <w:sz w:val="20"/>
                <w:szCs w:val="20"/>
              </w:rPr>
            </w:pPr>
            <w:r w:rsidRPr="00D763BD">
              <w:rPr>
                <w:sz w:val="20"/>
                <w:szCs w:val="20"/>
              </w:rPr>
              <w:t>X***</w:t>
            </w:r>
          </w:p>
        </w:tc>
        <w:tc>
          <w:tcPr>
            <w:tcW w:w="1080" w:type="dxa"/>
          </w:tcPr>
          <w:p w14:paraId="696E7FAE" w14:textId="43B5C531" w:rsidR="00BA21AA" w:rsidRDefault="003176F4" w:rsidP="001A0C6A">
            <w:pPr>
              <w:spacing w:before="40" w:after="40"/>
              <w:jc w:val="center"/>
              <w:rPr>
                <w:sz w:val="20"/>
                <w:szCs w:val="20"/>
              </w:rPr>
            </w:pPr>
            <w:r>
              <w:rPr>
                <w:sz w:val="20"/>
                <w:szCs w:val="20"/>
              </w:rPr>
              <w:t>-----</w:t>
            </w:r>
          </w:p>
        </w:tc>
        <w:tc>
          <w:tcPr>
            <w:tcW w:w="1617" w:type="dxa"/>
          </w:tcPr>
          <w:p w14:paraId="4F251E49" w14:textId="65D18611" w:rsidR="00BA21AA" w:rsidRPr="0025448C" w:rsidRDefault="0025448C" w:rsidP="001A0C6A">
            <w:pPr>
              <w:spacing w:before="40" w:after="40"/>
              <w:jc w:val="center"/>
              <w:rPr>
                <w:sz w:val="16"/>
                <w:szCs w:val="16"/>
              </w:rPr>
            </w:pPr>
            <w:r w:rsidRPr="0025448C">
              <w:rPr>
                <w:sz w:val="16"/>
                <w:szCs w:val="16"/>
              </w:rPr>
              <w:t>If follow-up testing recommended</w:t>
            </w:r>
            <w:r w:rsidRPr="0018086F">
              <w:rPr>
                <w:sz w:val="16"/>
                <w:szCs w:val="16"/>
                <w:vertAlign w:val="superscript"/>
              </w:rPr>
              <w:t>†††</w:t>
            </w:r>
          </w:p>
        </w:tc>
        <w:tc>
          <w:tcPr>
            <w:tcW w:w="1799" w:type="dxa"/>
          </w:tcPr>
          <w:p w14:paraId="5E07BBD2" w14:textId="6932027A" w:rsidR="00BA21AA" w:rsidRDefault="0025448C" w:rsidP="001A0C6A">
            <w:pPr>
              <w:spacing w:before="40" w:after="40"/>
              <w:jc w:val="center"/>
              <w:rPr>
                <w:sz w:val="20"/>
                <w:szCs w:val="20"/>
              </w:rPr>
            </w:pPr>
            <w:r>
              <w:rPr>
                <w:sz w:val="20"/>
                <w:szCs w:val="20"/>
              </w:rPr>
              <w:t>-----</w:t>
            </w:r>
          </w:p>
        </w:tc>
        <w:tc>
          <w:tcPr>
            <w:tcW w:w="1799" w:type="dxa"/>
          </w:tcPr>
          <w:p w14:paraId="69BD574E" w14:textId="0F5A707C" w:rsidR="00BA21AA" w:rsidRDefault="0025448C" w:rsidP="001A0C6A">
            <w:pPr>
              <w:spacing w:before="40" w:after="40"/>
              <w:jc w:val="center"/>
              <w:rPr>
                <w:sz w:val="20"/>
                <w:szCs w:val="20"/>
              </w:rPr>
            </w:pPr>
            <w:r>
              <w:rPr>
                <w:sz w:val="20"/>
                <w:szCs w:val="20"/>
              </w:rPr>
              <w:t>-----</w:t>
            </w:r>
          </w:p>
        </w:tc>
      </w:tr>
      <w:tr w:rsidR="00BA21AA" w14:paraId="2E37D4AD" w14:textId="77777777" w:rsidTr="00932882">
        <w:tc>
          <w:tcPr>
            <w:tcW w:w="3415" w:type="dxa"/>
          </w:tcPr>
          <w:p w14:paraId="6BE74655" w14:textId="47B10933" w:rsidR="00BA21AA" w:rsidRPr="00BA21AA" w:rsidRDefault="001C2854" w:rsidP="001A0C6A">
            <w:pPr>
              <w:spacing w:before="40" w:after="40"/>
              <w:rPr>
                <w:sz w:val="20"/>
                <w:szCs w:val="20"/>
              </w:rPr>
            </w:pPr>
            <w:r w:rsidRPr="001C2854">
              <w:rPr>
                <w:sz w:val="20"/>
                <w:szCs w:val="20"/>
              </w:rPr>
              <w:t>Syphilis serology</w:t>
            </w:r>
            <w:r w:rsidRPr="0018086F">
              <w:rPr>
                <w:sz w:val="20"/>
                <w:szCs w:val="20"/>
                <w:vertAlign w:val="superscript"/>
              </w:rPr>
              <w:t>§§§</w:t>
            </w:r>
          </w:p>
        </w:tc>
        <w:tc>
          <w:tcPr>
            <w:tcW w:w="1080" w:type="dxa"/>
          </w:tcPr>
          <w:p w14:paraId="22822683" w14:textId="1B99F90D" w:rsidR="00BA21AA" w:rsidRDefault="0025448C" w:rsidP="001A0C6A">
            <w:pPr>
              <w:spacing w:before="40" w:after="40"/>
              <w:jc w:val="center"/>
              <w:rPr>
                <w:sz w:val="20"/>
                <w:szCs w:val="20"/>
              </w:rPr>
            </w:pPr>
            <w:r>
              <w:rPr>
                <w:sz w:val="20"/>
                <w:szCs w:val="20"/>
              </w:rPr>
              <w:t>X</w:t>
            </w:r>
          </w:p>
        </w:tc>
        <w:tc>
          <w:tcPr>
            <w:tcW w:w="1080" w:type="dxa"/>
          </w:tcPr>
          <w:p w14:paraId="760C3E56" w14:textId="0A157209" w:rsidR="00BA21AA" w:rsidRDefault="00515026" w:rsidP="001A0C6A">
            <w:pPr>
              <w:spacing w:before="40" w:after="40"/>
              <w:jc w:val="center"/>
              <w:rPr>
                <w:sz w:val="20"/>
                <w:szCs w:val="20"/>
              </w:rPr>
            </w:pPr>
            <w:r>
              <w:rPr>
                <w:sz w:val="20"/>
                <w:szCs w:val="20"/>
              </w:rPr>
              <w:t>X</w:t>
            </w:r>
          </w:p>
        </w:tc>
        <w:tc>
          <w:tcPr>
            <w:tcW w:w="1617" w:type="dxa"/>
          </w:tcPr>
          <w:p w14:paraId="4EC065C6" w14:textId="1696E986" w:rsidR="00BA21AA" w:rsidRDefault="00515026" w:rsidP="001A0C6A">
            <w:pPr>
              <w:spacing w:before="40" w:after="40"/>
              <w:jc w:val="center"/>
              <w:rPr>
                <w:sz w:val="20"/>
                <w:szCs w:val="20"/>
              </w:rPr>
            </w:pPr>
            <w:r>
              <w:rPr>
                <w:sz w:val="20"/>
                <w:szCs w:val="20"/>
              </w:rPr>
              <w:t>X</w:t>
            </w:r>
            <w:r w:rsidR="009F765D" w:rsidRPr="00665DC9">
              <w:rPr>
                <w:rFonts w:cs="Arial"/>
                <w:color w:val="171717" w:themeColor="background2" w:themeShade="1A"/>
                <w:kern w:val="0"/>
                <w:sz w:val="16"/>
                <w:szCs w:val="18"/>
                <w:vertAlign w:val="superscript"/>
              </w:rPr>
              <w:t>¶¶¶</w:t>
            </w:r>
          </w:p>
        </w:tc>
        <w:tc>
          <w:tcPr>
            <w:tcW w:w="1799" w:type="dxa"/>
          </w:tcPr>
          <w:p w14:paraId="460D3293" w14:textId="7F72EEC8" w:rsidR="00BA21AA" w:rsidRDefault="00515026" w:rsidP="001A0C6A">
            <w:pPr>
              <w:spacing w:before="40" w:after="40"/>
              <w:jc w:val="center"/>
              <w:rPr>
                <w:sz w:val="20"/>
                <w:szCs w:val="20"/>
              </w:rPr>
            </w:pPr>
            <w:r>
              <w:rPr>
                <w:sz w:val="20"/>
                <w:szCs w:val="20"/>
              </w:rPr>
              <w:t>X</w:t>
            </w:r>
            <w:r w:rsidR="00B30D19" w:rsidRPr="00665DC9">
              <w:rPr>
                <w:rFonts w:cs="Arial"/>
                <w:color w:val="171717" w:themeColor="background2" w:themeShade="1A"/>
                <w:kern w:val="0"/>
                <w:sz w:val="16"/>
                <w:szCs w:val="18"/>
                <w:vertAlign w:val="superscript"/>
              </w:rPr>
              <w:t>¶¶¶</w:t>
            </w:r>
          </w:p>
        </w:tc>
        <w:tc>
          <w:tcPr>
            <w:tcW w:w="1799" w:type="dxa"/>
          </w:tcPr>
          <w:p w14:paraId="0359FC7C" w14:textId="50FE8614" w:rsidR="00BA21AA" w:rsidRDefault="00515026" w:rsidP="001A0C6A">
            <w:pPr>
              <w:spacing w:before="40" w:after="40"/>
              <w:jc w:val="center"/>
              <w:rPr>
                <w:sz w:val="20"/>
                <w:szCs w:val="20"/>
              </w:rPr>
            </w:pPr>
            <w:r>
              <w:rPr>
                <w:sz w:val="20"/>
                <w:szCs w:val="20"/>
              </w:rPr>
              <w:t>-----</w:t>
            </w:r>
          </w:p>
        </w:tc>
      </w:tr>
      <w:tr w:rsidR="001C2854" w14:paraId="2D88EAFB" w14:textId="77777777" w:rsidTr="00932882">
        <w:tc>
          <w:tcPr>
            <w:tcW w:w="3415" w:type="dxa"/>
          </w:tcPr>
          <w:p w14:paraId="4BD15703" w14:textId="04AF8ED9" w:rsidR="001C2854" w:rsidRPr="001C2854" w:rsidRDefault="0019665E" w:rsidP="001A0C6A">
            <w:pPr>
              <w:spacing w:before="40" w:after="40"/>
              <w:rPr>
                <w:sz w:val="20"/>
                <w:szCs w:val="20"/>
              </w:rPr>
            </w:pPr>
            <w:r w:rsidRPr="0019665E">
              <w:rPr>
                <w:sz w:val="20"/>
                <w:szCs w:val="20"/>
              </w:rPr>
              <w:t>Gonorrhea NAAT****</w:t>
            </w:r>
          </w:p>
        </w:tc>
        <w:tc>
          <w:tcPr>
            <w:tcW w:w="1080" w:type="dxa"/>
          </w:tcPr>
          <w:p w14:paraId="3903F9D6" w14:textId="3838B57A" w:rsidR="001C2854" w:rsidRDefault="00515026" w:rsidP="001A0C6A">
            <w:pPr>
              <w:spacing w:before="40" w:after="40"/>
              <w:jc w:val="center"/>
              <w:rPr>
                <w:sz w:val="20"/>
                <w:szCs w:val="20"/>
              </w:rPr>
            </w:pPr>
            <w:r w:rsidRPr="00515026">
              <w:rPr>
                <w:sz w:val="20"/>
                <w:szCs w:val="20"/>
              </w:rPr>
              <w:t>X****</w:t>
            </w:r>
          </w:p>
        </w:tc>
        <w:tc>
          <w:tcPr>
            <w:tcW w:w="1080" w:type="dxa"/>
          </w:tcPr>
          <w:p w14:paraId="68946839" w14:textId="1070FAF9" w:rsidR="001C2854" w:rsidRDefault="00660141" w:rsidP="001A0C6A">
            <w:pPr>
              <w:spacing w:before="40" w:after="40"/>
              <w:jc w:val="center"/>
              <w:rPr>
                <w:sz w:val="20"/>
                <w:szCs w:val="20"/>
              </w:rPr>
            </w:pPr>
            <w:r w:rsidRPr="00660141">
              <w:rPr>
                <w:sz w:val="20"/>
                <w:szCs w:val="20"/>
              </w:rPr>
              <w:t>X****</w:t>
            </w:r>
          </w:p>
        </w:tc>
        <w:tc>
          <w:tcPr>
            <w:tcW w:w="1617" w:type="dxa"/>
          </w:tcPr>
          <w:p w14:paraId="206F389D" w14:textId="1DCF4AE6" w:rsidR="001C2854" w:rsidRDefault="00660141" w:rsidP="001A0C6A">
            <w:pPr>
              <w:spacing w:before="40" w:after="40"/>
              <w:jc w:val="center"/>
              <w:rPr>
                <w:sz w:val="20"/>
                <w:szCs w:val="20"/>
              </w:rPr>
            </w:pPr>
            <w:r>
              <w:rPr>
                <w:sz w:val="20"/>
                <w:szCs w:val="20"/>
              </w:rPr>
              <w:t>-----</w:t>
            </w:r>
          </w:p>
        </w:tc>
        <w:tc>
          <w:tcPr>
            <w:tcW w:w="1799" w:type="dxa"/>
          </w:tcPr>
          <w:p w14:paraId="65DB93B5" w14:textId="2868B851" w:rsidR="001C2854" w:rsidRDefault="00660141" w:rsidP="001A0C6A">
            <w:pPr>
              <w:spacing w:before="40" w:after="40"/>
              <w:jc w:val="center"/>
              <w:rPr>
                <w:sz w:val="20"/>
                <w:szCs w:val="20"/>
              </w:rPr>
            </w:pPr>
            <w:r>
              <w:rPr>
                <w:sz w:val="20"/>
                <w:szCs w:val="20"/>
              </w:rPr>
              <w:t>-----</w:t>
            </w:r>
          </w:p>
        </w:tc>
        <w:tc>
          <w:tcPr>
            <w:tcW w:w="1799" w:type="dxa"/>
          </w:tcPr>
          <w:p w14:paraId="33BE7B32" w14:textId="63445CD0" w:rsidR="001C2854" w:rsidRDefault="00660141" w:rsidP="001A0C6A">
            <w:pPr>
              <w:spacing w:before="40" w:after="40"/>
              <w:jc w:val="center"/>
              <w:rPr>
                <w:sz w:val="20"/>
                <w:szCs w:val="20"/>
              </w:rPr>
            </w:pPr>
            <w:r>
              <w:rPr>
                <w:sz w:val="20"/>
                <w:szCs w:val="20"/>
              </w:rPr>
              <w:t>-----</w:t>
            </w:r>
          </w:p>
        </w:tc>
      </w:tr>
      <w:tr w:rsidR="0019665E" w14:paraId="7A7FC2F4" w14:textId="77777777" w:rsidTr="00932882">
        <w:tc>
          <w:tcPr>
            <w:tcW w:w="3415" w:type="dxa"/>
          </w:tcPr>
          <w:p w14:paraId="7C6BBD9A" w14:textId="38EAFB48" w:rsidR="0019665E" w:rsidRPr="0019665E" w:rsidRDefault="0019665E" w:rsidP="001A0C6A">
            <w:pPr>
              <w:spacing w:before="40" w:after="40"/>
              <w:rPr>
                <w:sz w:val="20"/>
                <w:szCs w:val="20"/>
              </w:rPr>
            </w:pPr>
            <w:r w:rsidRPr="0019665E">
              <w:rPr>
                <w:sz w:val="20"/>
                <w:szCs w:val="20"/>
              </w:rPr>
              <w:t>Chlamydia NAAT****</w:t>
            </w:r>
          </w:p>
        </w:tc>
        <w:tc>
          <w:tcPr>
            <w:tcW w:w="1080" w:type="dxa"/>
          </w:tcPr>
          <w:p w14:paraId="4C55A518" w14:textId="6A565C0B" w:rsidR="0019665E" w:rsidRDefault="00660141" w:rsidP="001A0C6A">
            <w:pPr>
              <w:spacing w:before="40" w:after="40"/>
              <w:jc w:val="center"/>
              <w:rPr>
                <w:sz w:val="20"/>
                <w:szCs w:val="20"/>
              </w:rPr>
            </w:pPr>
            <w:r w:rsidRPr="00660141">
              <w:rPr>
                <w:sz w:val="20"/>
                <w:szCs w:val="20"/>
              </w:rPr>
              <w:t>X****</w:t>
            </w:r>
          </w:p>
        </w:tc>
        <w:tc>
          <w:tcPr>
            <w:tcW w:w="1080" w:type="dxa"/>
          </w:tcPr>
          <w:p w14:paraId="0CAB7625" w14:textId="3CCDD195" w:rsidR="0019665E" w:rsidRDefault="001C3292" w:rsidP="001A0C6A">
            <w:pPr>
              <w:spacing w:before="40" w:after="40"/>
              <w:jc w:val="center"/>
              <w:rPr>
                <w:sz w:val="20"/>
                <w:szCs w:val="20"/>
              </w:rPr>
            </w:pPr>
            <w:r w:rsidRPr="001C3292">
              <w:rPr>
                <w:sz w:val="20"/>
                <w:szCs w:val="20"/>
              </w:rPr>
              <w:t>X****</w:t>
            </w:r>
          </w:p>
        </w:tc>
        <w:tc>
          <w:tcPr>
            <w:tcW w:w="1617" w:type="dxa"/>
          </w:tcPr>
          <w:p w14:paraId="28E0168D" w14:textId="074B22C2" w:rsidR="0019665E" w:rsidRDefault="001C3292" w:rsidP="001A0C6A">
            <w:pPr>
              <w:spacing w:before="40" w:after="40"/>
              <w:jc w:val="center"/>
              <w:rPr>
                <w:sz w:val="20"/>
                <w:szCs w:val="20"/>
              </w:rPr>
            </w:pPr>
            <w:r>
              <w:rPr>
                <w:sz w:val="20"/>
                <w:szCs w:val="20"/>
              </w:rPr>
              <w:t>-----</w:t>
            </w:r>
          </w:p>
        </w:tc>
        <w:tc>
          <w:tcPr>
            <w:tcW w:w="1799" w:type="dxa"/>
          </w:tcPr>
          <w:p w14:paraId="37CDE009" w14:textId="65DF9D1D" w:rsidR="0019665E" w:rsidRDefault="001C3292" w:rsidP="001A0C6A">
            <w:pPr>
              <w:spacing w:before="40" w:after="40"/>
              <w:jc w:val="center"/>
              <w:rPr>
                <w:sz w:val="20"/>
                <w:szCs w:val="20"/>
              </w:rPr>
            </w:pPr>
            <w:r>
              <w:rPr>
                <w:sz w:val="20"/>
                <w:szCs w:val="20"/>
              </w:rPr>
              <w:t>-----</w:t>
            </w:r>
          </w:p>
        </w:tc>
        <w:tc>
          <w:tcPr>
            <w:tcW w:w="1799" w:type="dxa"/>
          </w:tcPr>
          <w:p w14:paraId="701897AD" w14:textId="61C699AB" w:rsidR="0019665E" w:rsidRDefault="001C3292" w:rsidP="001A0C6A">
            <w:pPr>
              <w:spacing w:before="40" w:after="40"/>
              <w:jc w:val="center"/>
              <w:rPr>
                <w:sz w:val="20"/>
                <w:szCs w:val="20"/>
              </w:rPr>
            </w:pPr>
            <w:r>
              <w:rPr>
                <w:sz w:val="20"/>
                <w:szCs w:val="20"/>
              </w:rPr>
              <w:t>-----</w:t>
            </w:r>
          </w:p>
        </w:tc>
      </w:tr>
      <w:tr w:rsidR="0019665E" w14:paraId="41EED5E9" w14:textId="77777777" w:rsidTr="00932882">
        <w:tc>
          <w:tcPr>
            <w:tcW w:w="3415" w:type="dxa"/>
          </w:tcPr>
          <w:p w14:paraId="34BD7C93" w14:textId="35EEDA2B" w:rsidR="0019665E" w:rsidRPr="0019665E" w:rsidRDefault="0019665E" w:rsidP="001A0C6A">
            <w:pPr>
              <w:spacing w:before="40" w:after="40"/>
              <w:rPr>
                <w:sz w:val="20"/>
                <w:szCs w:val="20"/>
              </w:rPr>
            </w:pPr>
            <w:r w:rsidRPr="0019665E">
              <w:rPr>
                <w:sz w:val="20"/>
                <w:szCs w:val="20"/>
              </w:rPr>
              <w:t>Pregnancy test</w:t>
            </w:r>
            <w:r w:rsidRPr="0018086F">
              <w:rPr>
                <w:sz w:val="20"/>
                <w:szCs w:val="20"/>
                <w:vertAlign w:val="superscript"/>
              </w:rPr>
              <w:t>††††</w:t>
            </w:r>
          </w:p>
        </w:tc>
        <w:tc>
          <w:tcPr>
            <w:tcW w:w="1080" w:type="dxa"/>
          </w:tcPr>
          <w:p w14:paraId="6460D184" w14:textId="062C73D1" w:rsidR="0019665E" w:rsidRDefault="001C3292" w:rsidP="001A0C6A">
            <w:pPr>
              <w:spacing w:before="40" w:after="40"/>
              <w:jc w:val="center"/>
              <w:rPr>
                <w:sz w:val="20"/>
                <w:szCs w:val="20"/>
              </w:rPr>
            </w:pPr>
            <w:r>
              <w:rPr>
                <w:sz w:val="20"/>
                <w:szCs w:val="20"/>
              </w:rPr>
              <w:t>-----</w:t>
            </w:r>
          </w:p>
        </w:tc>
        <w:tc>
          <w:tcPr>
            <w:tcW w:w="1080" w:type="dxa"/>
          </w:tcPr>
          <w:p w14:paraId="7152A50B" w14:textId="7263D384" w:rsidR="0019665E" w:rsidRDefault="001C3292" w:rsidP="001A0C6A">
            <w:pPr>
              <w:spacing w:before="40" w:after="40"/>
              <w:jc w:val="center"/>
              <w:rPr>
                <w:sz w:val="20"/>
                <w:szCs w:val="20"/>
              </w:rPr>
            </w:pPr>
            <w:r>
              <w:rPr>
                <w:sz w:val="20"/>
                <w:szCs w:val="20"/>
              </w:rPr>
              <w:t>X</w:t>
            </w:r>
          </w:p>
        </w:tc>
        <w:tc>
          <w:tcPr>
            <w:tcW w:w="1617" w:type="dxa"/>
          </w:tcPr>
          <w:p w14:paraId="0A928D03" w14:textId="06750A39" w:rsidR="0019665E" w:rsidRDefault="008F08CB" w:rsidP="001A0C6A">
            <w:pPr>
              <w:spacing w:before="40" w:after="40"/>
              <w:jc w:val="center"/>
              <w:rPr>
                <w:sz w:val="20"/>
                <w:szCs w:val="20"/>
              </w:rPr>
            </w:pPr>
            <w:r>
              <w:rPr>
                <w:sz w:val="20"/>
                <w:szCs w:val="20"/>
              </w:rPr>
              <w:t>X</w:t>
            </w:r>
          </w:p>
        </w:tc>
        <w:tc>
          <w:tcPr>
            <w:tcW w:w="1799" w:type="dxa"/>
          </w:tcPr>
          <w:p w14:paraId="333862DD" w14:textId="601E6EB1" w:rsidR="0019665E" w:rsidRDefault="008F08CB" w:rsidP="001A0C6A">
            <w:pPr>
              <w:spacing w:before="40" w:after="40"/>
              <w:jc w:val="center"/>
              <w:rPr>
                <w:sz w:val="20"/>
                <w:szCs w:val="20"/>
              </w:rPr>
            </w:pPr>
            <w:r>
              <w:rPr>
                <w:sz w:val="20"/>
                <w:szCs w:val="20"/>
              </w:rPr>
              <w:t>-----</w:t>
            </w:r>
          </w:p>
        </w:tc>
        <w:tc>
          <w:tcPr>
            <w:tcW w:w="1799" w:type="dxa"/>
          </w:tcPr>
          <w:p w14:paraId="153589A9" w14:textId="0D0B0AE3" w:rsidR="0019665E" w:rsidRDefault="008F08CB" w:rsidP="001A0C6A">
            <w:pPr>
              <w:spacing w:before="40" w:after="40"/>
              <w:jc w:val="center"/>
              <w:rPr>
                <w:sz w:val="20"/>
                <w:szCs w:val="20"/>
              </w:rPr>
            </w:pPr>
            <w:r>
              <w:rPr>
                <w:sz w:val="20"/>
                <w:szCs w:val="20"/>
              </w:rPr>
              <w:t>-----</w:t>
            </w:r>
          </w:p>
        </w:tc>
      </w:tr>
      <w:tr w:rsidR="003A4B94" w14:paraId="79B93EB2" w14:textId="77777777" w:rsidTr="0018086F">
        <w:tc>
          <w:tcPr>
            <w:tcW w:w="10790" w:type="dxa"/>
            <w:gridSpan w:val="6"/>
            <w:shd w:val="clear" w:color="auto" w:fill="FFFFFF" w:themeFill="background1"/>
          </w:tcPr>
          <w:p w14:paraId="5682F9E2" w14:textId="01DFE346" w:rsidR="003A4B94" w:rsidRPr="006510CC" w:rsidRDefault="003A4B94" w:rsidP="0018086F">
            <w:pPr>
              <w:jc w:val="center"/>
              <w:rPr>
                <w:b/>
                <w:bCs/>
                <w:sz w:val="20"/>
                <w:szCs w:val="20"/>
              </w:rPr>
            </w:pPr>
            <w:r w:rsidRPr="006510CC">
              <w:rPr>
                <w:b/>
                <w:bCs/>
                <w:sz w:val="20"/>
                <w:szCs w:val="20"/>
              </w:rPr>
              <w:t>All persons prescribed nPEP</w:t>
            </w:r>
          </w:p>
        </w:tc>
      </w:tr>
      <w:tr w:rsidR="0018798C" w14:paraId="65D24600" w14:textId="77777777" w:rsidTr="00932882">
        <w:tc>
          <w:tcPr>
            <w:tcW w:w="3415" w:type="dxa"/>
          </w:tcPr>
          <w:p w14:paraId="58BE1BE0" w14:textId="16259F49" w:rsidR="0018798C" w:rsidRPr="0019665E" w:rsidRDefault="0018798C" w:rsidP="001A0C6A">
            <w:pPr>
              <w:spacing w:before="40" w:after="40"/>
              <w:rPr>
                <w:sz w:val="20"/>
                <w:szCs w:val="20"/>
              </w:rPr>
            </w:pPr>
            <w:r w:rsidRPr="0018798C">
              <w:rPr>
                <w:sz w:val="20"/>
                <w:szCs w:val="20"/>
              </w:rPr>
              <w:t>Serum creatinine</w:t>
            </w:r>
          </w:p>
        </w:tc>
        <w:tc>
          <w:tcPr>
            <w:tcW w:w="1080" w:type="dxa"/>
          </w:tcPr>
          <w:p w14:paraId="10404C93" w14:textId="77777777" w:rsidR="0018798C" w:rsidRDefault="0018798C" w:rsidP="001A0C6A">
            <w:pPr>
              <w:spacing w:before="40" w:after="40"/>
              <w:jc w:val="center"/>
              <w:rPr>
                <w:sz w:val="20"/>
                <w:szCs w:val="20"/>
              </w:rPr>
            </w:pPr>
          </w:p>
        </w:tc>
        <w:tc>
          <w:tcPr>
            <w:tcW w:w="1080" w:type="dxa"/>
          </w:tcPr>
          <w:p w14:paraId="0DC661F9" w14:textId="7BAD5DC2" w:rsidR="0018798C" w:rsidRDefault="008F08CB" w:rsidP="001A0C6A">
            <w:pPr>
              <w:spacing w:before="40" w:after="40"/>
              <w:jc w:val="center"/>
              <w:rPr>
                <w:sz w:val="20"/>
                <w:szCs w:val="20"/>
              </w:rPr>
            </w:pPr>
            <w:r>
              <w:rPr>
                <w:sz w:val="20"/>
                <w:szCs w:val="20"/>
              </w:rPr>
              <w:t>X</w:t>
            </w:r>
          </w:p>
        </w:tc>
        <w:tc>
          <w:tcPr>
            <w:tcW w:w="1617" w:type="dxa"/>
          </w:tcPr>
          <w:p w14:paraId="0EA93446" w14:textId="3BC5922B" w:rsidR="0018798C" w:rsidRPr="00BC6F94" w:rsidRDefault="00BC6F94" w:rsidP="001A0C6A">
            <w:pPr>
              <w:spacing w:before="40" w:after="40"/>
              <w:jc w:val="center"/>
              <w:rPr>
                <w:sz w:val="16"/>
                <w:szCs w:val="16"/>
              </w:rPr>
            </w:pPr>
            <w:r w:rsidRPr="00BC6F94">
              <w:rPr>
                <w:sz w:val="16"/>
                <w:szCs w:val="16"/>
              </w:rPr>
              <w:t>Only if abnormalities at baseline</w:t>
            </w:r>
          </w:p>
        </w:tc>
        <w:tc>
          <w:tcPr>
            <w:tcW w:w="1799" w:type="dxa"/>
          </w:tcPr>
          <w:p w14:paraId="0C47185B" w14:textId="691979A9" w:rsidR="0018798C" w:rsidRDefault="00744A26" w:rsidP="001A0C6A">
            <w:pPr>
              <w:spacing w:before="40" w:after="40"/>
              <w:jc w:val="center"/>
              <w:rPr>
                <w:sz w:val="20"/>
                <w:szCs w:val="20"/>
              </w:rPr>
            </w:pPr>
            <w:r>
              <w:rPr>
                <w:sz w:val="20"/>
                <w:szCs w:val="20"/>
              </w:rPr>
              <w:t>-----</w:t>
            </w:r>
          </w:p>
        </w:tc>
        <w:tc>
          <w:tcPr>
            <w:tcW w:w="1799" w:type="dxa"/>
          </w:tcPr>
          <w:p w14:paraId="1E7E1402" w14:textId="2D70CBA2" w:rsidR="0018798C" w:rsidRDefault="00744A26" w:rsidP="001A0C6A">
            <w:pPr>
              <w:spacing w:before="40" w:after="40"/>
              <w:jc w:val="center"/>
              <w:rPr>
                <w:sz w:val="20"/>
                <w:szCs w:val="20"/>
              </w:rPr>
            </w:pPr>
            <w:r>
              <w:rPr>
                <w:sz w:val="20"/>
                <w:szCs w:val="20"/>
              </w:rPr>
              <w:t>-----</w:t>
            </w:r>
          </w:p>
        </w:tc>
      </w:tr>
      <w:tr w:rsidR="0018798C" w14:paraId="1FB92C51" w14:textId="77777777" w:rsidTr="00932882">
        <w:tc>
          <w:tcPr>
            <w:tcW w:w="3415" w:type="dxa"/>
          </w:tcPr>
          <w:p w14:paraId="734A4878" w14:textId="4E916268" w:rsidR="0018798C" w:rsidRPr="0018798C" w:rsidRDefault="0018798C" w:rsidP="001A0C6A">
            <w:pPr>
              <w:spacing w:before="40" w:after="40"/>
              <w:rPr>
                <w:sz w:val="20"/>
                <w:szCs w:val="20"/>
              </w:rPr>
            </w:pPr>
            <w:r w:rsidRPr="0018798C">
              <w:rPr>
                <w:sz w:val="20"/>
                <w:szCs w:val="20"/>
              </w:rPr>
              <w:t>Alanine transaminase and aspartate aminotransferase</w:t>
            </w:r>
          </w:p>
        </w:tc>
        <w:tc>
          <w:tcPr>
            <w:tcW w:w="1080" w:type="dxa"/>
          </w:tcPr>
          <w:p w14:paraId="03CB139E" w14:textId="77777777" w:rsidR="0018798C" w:rsidRDefault="0018798C" w:rsidP="001A0C6A">
            <w:pPr>
              <w:spacing w:before="40" w:after="40"/>
              <w:jc w:val="center"/>
              <w:rPr>
                <w:sz w:val="20"/>
                <w:szCs w:val="20"/>
              </w:rPr>
            </w:pPr>
          </w:p>
        </w:tc>
        <w:tc>
          <w:tcPr>
            <w:tcW w:w="1080" w:type="dxa"/>
          </w:tcPr>
          <w:p w14:paraId="20BC36CB" w14:textId="01EB0781" w:rsidR="0018798C" w:rsidRDefault="00431CC3" w:rsidP="001A0C6A">
            <w:pPr>
              <w:spacing w:before="40" w:after="40"/>
              <w:jc w:val="center"/>
              <w:rPr>
                <w:sz w:val="20"/>
                <w:szCs w:val="20"/>
              </w:rPr>
            </w:pPr>
            <w:r>
              <w:rPr>
                <w:sz w:val="20"/>
                <w:szCs w:val="20"/>
              </w:rPr>
              <w:t>X</w:t>
            </w:r>
          </w:p>
        </w:tc>
        <w:tc>
          <w:tcPr>
            <w:tcW w:w="1617" w:type="dxa"/>
          </w:tcPr>
          <w:p w14:paraId="6F8ECB88" w14:textId="43D8E0D7" w:rsidR="0018798C" w:rsidRPr="00C66F93" w:rsidRDefault="00C66F93" w:rsidP="001A0C6A">
            <w:pPr>
              <w:pStyle w:val="Default"/>
              <w:spacing w:before="40" w:after="40"/>
              <w:jc w:val="center"/>
              <w:rPr>
                <w:rFonts w:ascii="Arial" w:hAnsi="Arial" w:cs="Arial"/>
                <w:sz w:val="16"/>
                <w:szCs w:val="16"/>
              </w:rPr>
            </w:pPr>
            <w:r w:rsidRPr="00C66F93">
              <w:rPr>
                <w:rFonts w:ascii="Arial" w:hAnsi="Arial" w:cs="Arial"/>
                <w:color w:val="221F1F"/>
                <w:sz w:val="16"/>
                <w:szCs w:val="16"/>
              </w:rPr>
              <w:t xml:space="preserve">Only if abnormalities at baseline or symptomatic </w:t>
            </w:r>
          </w:p>
        </w:tc>
        <w:tc>
          <w:tcPr>
            <w:tcW w:w="1799" w:type="dxa"/>
          </w:tcPr>
          <w:p w14:paraId="54230CAD" w14:textId="76D96514" w:rsidR="0018798C" w:rsidRDefault="00C66F93" w:rsidP="001A0C6A">
            <w:pPr>
              <w:spacing w:before="40" w:after="40"/>
              <w:jc w:val="center"/>
              <w:rPr>
                <w:sz w:val="20"/>
                <w:szCs w:val="20"/>
              </w:rPr>
            </w:pPr>
            <w:r>
              <w:rPr>
                <w:sz w:val="20"/>
                <w:szCs w:val="20"/>
              </w:rPr>
              <w:t>-----</w:t>
            </w:r>
          </w:p>
        </w:tc>
        <w:tc>
          <w:tcPr>
            <w:tcW w:w="1799" w:type="dxa"/>
          </w:tcPr>
          <w:p w14:paraId="5FAA34D1" w14:textId="7D3B7E5E" w:rsidR="0018798C" w:rsidRDefault="00C66F93" w:rsidP="001A0C6A">
            <w:pPr>
              <w:spacing w:before="40" w:after="40"/>
              <w:jc w:val="center"/>
              <w:rPr>
                <w:sz w:val="20"/>
                <w:szCs w:val="20"/>
              </w:rPr>
            </w:pPr>
            <w:r>
              <w:rPr>
                <w:sz w:val="20"/>
                <w:szCs w:val="20"/>
              </w:rPr>
              <w:t>-----</w:t>
            </w:r>
          </w:p>
        </w:tc>
      </w:tr>
    </w:tbl>
    <w:p w14:paraId="2DE12F12" w14:textId="77777777" w:rsidR="002A70D9" w:rsidRDefault="002A70D9" w:rsidP="00EA14AF">
      <w:pPr>
        <w:autoSpaceDE w:val="0"/>
        <w:autoSpaceDN w:val="0"/>
        <w:adjustRightInd w:val="0"/>
        <w:spacing w:after="0" w:line="240" w:lineRule="auto"/>
        <w:rPr>
          <w:rFonts w:cs="Arial"/>
          <w:b/>
          <w:bCs/>
          <w:color w:val="000000"/>
          <w:kern w:val="0"/>
          <w:sz w:val="16"/>
          <w:szCs w:val="16"/>
        </w:rPr>
      </w:pPr>
    </w:p>
    <w:p w14:paraId="12A5D976" w14:textId="42808CE1" w:rsidR="002A70D9" w:rsidRDefault="002A70D9">
      <w:pPr>
        <w:rPr>
          <w:rFonts w:cs="Arial"/>
          <w:b/>
          <w:bCs/>
          <w:color w:val="000000"/>
          <w:kern w:val="0"/>
          <w:sz w:val="16"/>
          <w:szCs w:val="16"/>
        </w:rPr>
      </w:pPr>
      <w:r>
        <w:rPr>
          <w:rFonts w:cs="Arial"/>
          <w:b/>
          <w:bCs/>
          <w:color w:val="000000"/>
          <w:kern w:val="0"/>
          <w:sz w:val="16"/>
          <w:szCs w:val="16"/>
        </w:rPr>
        <w:br w:type="page"/>
      </w:r>
    </w:p>
    <w:p w14:paraId="46D708FC" w14:textId="77777777" w:rsidR="002A70D9" w:rsidRDefault="002A70D9" w:rsidP="00EA14AF">
      <w:pPr>
        <w:autoSpaceDE w:val="0"/>
        <w:autoSpaceDN w:val="0"/>
        <w:adjustRightInd w:val="0"/>
        <w:spacing w:after="0" w:line="240" w:lineRule="auto"/>
        <w:rPr>
          <w:rFonts w:cs="Arial"/>
          <w:b/>
          <w:bCs/>
          <w:color w:val="000000"/>
          <w:kern w:val="0"/>
          <w:sz w:val="16"/>
          <w:szCs w:val="16"/>
        </w:rPr>
      </w:pPr>
    </w:p>
    <w:p w14:paraId="3BEDED20" w14:textId="73CAD194" w:rsidR="00EA14AF" w:rsidRPr="00EA14AF" w:rsidRDefault="00EA14AF" w:rsidP="00EA14AF">
      <w:pPr>
        <w:autoSpaceDE w:val="0"/>
        <w:autoSpaceDN w:val="0"/>
        <w:adjustRightInd w:val="0"/>
        <w:spacing w:after="0" w:line="240" w:lineRule="auto"/>
        <w:rPr>
          <w:rFonts w:cs="Arial"/>
          <w:color w:val="000000"/>
          <w:kern w:val="0"/>
          <w:sz w:val="16"/>
          <w:szCs w:val="16"/>
        </w:rPr>
      </w:pPr>
      <w:r w:rsidRPr="00EA14AF">
        <w:rPr>
          <w:rFonts w:cs="Arial"/>
          <w:b/>
          <w:bCs/>
          <w:color w:val="000000"/>
          <w:kern w:val="0"/>
          <w:sz w:val="16"/>
          <w:szCs w:val="16"/>
        </w:rPr>
        <w:t xml:space="preserve">Abbreviations: </w:t>
      </w:r>
      <w:r w:rsidRPr="00EA14AF">
        <w:rPr>
          <w:rFonts w:cs="Arial"/>
          <w:color w:val="000000"/>
          <w:kern w:val="0"/>
          <w:sz w:val="16"/>
          <w:szCs w:val="16"/>
        </w:rPr>
        <w:t xml:space="preserve">Ag/Ab= antigen/antibody combination test; ARV= antiretroviral; HBcAb= hepatitis B core antibody; HBsAb= hepatitis B surface antibody; HBsAg= hepatitis B surface antigen; HBV= hepatitis B virus; HCV= hepatitis C virus; NAT= nucleic acid test; NAAT= nucleic acid </w:t>
      </w:r>
    </w:p>
    <w:p w14:paraId="7A898C87" w14:textId="31AEC249" w:rsidR="00AE4520" w:rsidRDefault="00EA14AF" w:rsidP="00EA14AF">
      <w:pPr>
        <w:spacing w:after="0" w:line="240" w:lineRule="auto"/>
        <w:rPr>
          <w:rFonts w:cs="Arial"/>
          <w:color w:val="000000"/>
          <w:kern w:val="0"/>
          <w:sz w:val="16"/>
          <w:szCs w:val="16"/>
        </w:rPr>
      </w:pPr>
      <w:r w:rsidRPr="00EA14AF">
        <w:rPr>
          <w:rFonts w:cs="Arial"/>
          <w:color w:val="000000"/>
          <w:kern w:val="0"/>
          <w:sz w:val="16"/>
          <w:szCs w:val="16"/>
        </w:rPr>
        <w:t>amplification test; nPEP= nonoccupational postexposure prophylaxis; PEP= postexposure prophylaxis; STI= sexually transmitted infection.</w:t>
      </w:r>
    </w:p>
    <w:p w14:paraId="3555ADA4" w14:textId="77777777" w:rsidR="003E581E" w:rsidRDefault="003E581E" w:rsidP="00EA14AF">
      <w:pPr>
        <w:spacing w:after="0" w:line="240" w:lineRule="auto"/>
        <w:rPr>
          <w:rFonts w:cs="Arial"/>
          <w:color w:val="000000"/>
          <w:kern w:val="0"/>
          <w:sz w:val="16"/>
          <w:szCs w:val="16"/>
        </w:rPr>
      </w:pPr>
    </w:p>
    <w:p w14:paraId="15FE11BC"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6"/>
          <w:szCs w:val="16"/>
        </w:rPr>
        <w:t xml:space="preserve">*Any person diagnosed with an infection or condition through testing should be informed and treated or referred for treatment as needed. </w:t>
      </w:r>
    </w:p>
    <w:p w14:paraId="13255713" w14:textId="34793125" w:rsidR="002A70D9" w:rsidRDefault="002A70D9" w:rsidP="007E4FEE">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6"/>
          <w:szCs w:val="16"/>
        </w:rPr>
        <w:t xml:space="preserve">Recommendations are available for treatment of HIV. If a rapid (point-of-care) HIV Ag/Ab test is used, a laboratory-based HIV Ag/Ab test obtained at the same time will increase diagnostic sensitivity. PEP should not be delayed awaiting laboratory results. If the preferred HIV diagnostic test is not accessible, the most sensitive available test should be used. </w:t>
      </w:r>
    </w:p>
    <w:p w14:paraId="1FA50E37" w14:textId="50167506" w:rsidR="00D572EE" w:rsidRPr="002A70D9" w:rsidRDefault="0090636E" w:rsidP="0018086F">
      <w:pPr>
        <w:autoSpaceDE w:val="0"/>
        <w:autoSpaceDN w:val="0"/>
        <w:adjustRightInd w:val="0"/>
        <w:spacing w:after="0" w:line="240" w:lineRule="auto"/>
        <w:ind w:left="720"/>
        <w:rPr>
          <w:rFonts w:cs="Arial"/>
          <w:color w:val="000000"/>
          <w:kern w:val="0"/>
          <w:sz w:val="16"/>
          <w:szCs w:val="16"/>
        </w:rPr>
      </w:pPr>
      <w:r w:rsidRPr="002A70D9">
        <w:rPr>
          <w:rFonts w:ascii="Wingdings 2" w:hAnsi="Wingdings 2" w:cs="Wingdings 2"/>
          <w:color w:val="000000"/>
          <w:kern w:val="0"/>
          <w:sz w:val="10"/>
          <w:szCs w:val="10"/>
        </w:rPr>
        <w:t></w:t>
      </w:r>
      <w:r w:rsidR="008D46CA">
        <w:rPr>
          <w:rFonts w:cs="Arial"/>
          <w:color w:val="000000"/>
          <w:kern w:val="0"/>
          <w:sz w:val="16"/>
          <w:szCs w:val="16"/>
        </w:rPr>
        <w:t xml:space="preserve">If a rapid (point of care) HIV Ag/Ab test is used, a laboratory based HIV Ag/Ab </w:t>
      </w:r>
      <w:r w:rsidR="008C3F04">
        <w:rPr>
          <w:rFonts w:cs="Arial"/>
          <w:color w:val="000000"/>
          <w:kern w:val="0"/>
          <w:sz w:val="16"/>
          <w:szCs w:val="16"/>
        </w:rPr>
        <w:t xml:space="preserve">test obtained at the same time will increase diagnostic sensitivity.  PEP should not be delayed awaiting laboratory results.  If the preferred HIV diagnostic test is not accessible, </w:t>
      </w:r>
      <w:r>
        <w:rPr>
          <w:rFonts w:cs="Arial"/>
          <w:color w:val="000000"/>
          <w:kern w:val="0"/>
          <w:sz w:val="16"/>
          <w:szCs w:val="16"/>
        </w:rPr>
        <w:t>the most sensitive available test should be used.</w:t>
      </w:r>
    </w:p>
    <w:p w14:paraId="1A8A3325"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0"/>
          <w:szCs w:val="10"/>
        </w:rPr>
        <w:t>§</w:t>
      </w:r>
      <w:r w:rsidRPr="002A70D9">
        <w:rPr>
          <w:rFonts w:cs="Arial"/>
          <w:color w:val="000000"/>
          <w:kern w:val="0"/>
          <w:sz w:val="16"/>
          <w:szCs w:val="16"/>
        </w:rPr>
        <w:t xml:space="preserve">HIV testing 4-6 weeks post-nPEP initiation can be deferred for persons who started nPEP within 24 hours of exposure, completed the full PEP course, and are not starting PrEP at this time. </w:t>
      </w:r>
    </w:p>
    <w:p w14:paraId="42D8D19B"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0"/>
          <w:szCs w:val="10"/>
        </w:rPr>
        <w:t>¶</w:t>
      </w:r>
      <w:r w:rsidRPr="002A70D9">
        <w:rPr>
          <w:rFonts w:cs="Arial"/>
          <w:color w:val="000000"/>
          <w:kern w:val="0"/>
          <w:sz w:val="16"/>
          <w:szCs w:val="16"/>
        </w:rPr>
        <w:t xml:space="preserve">NATs that detect HIV RNA include qualitative tests for diagnosis (e.g., HIV-1 RNA assay) and quantitative tests for disease monitoring (e.g, viral load). Diagnostic HIV NATs are recommended because they are more likely than viral load tests to detect very low levels of HIV. If the </w:t>
      </w:r>
    </w:p>
    <w:p w14:paraId="12EE05DF"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6"/>
          <w:szCs w:val="16"/>
        </w:rPr>
        <w:t xml:space="preserve">preferred HIV diagnostic test is not accessible, the most sensitive available test should be used; inability to access HIV NAT should not prevent provision of HIV nPEP to persons with indications. </w:t>
      </w:r>
    </w:p>
    <w:p w14:paraId="5063F854"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6"/>
          <w:szCs w:val="16"/>
        </w:rPr>
        <w:t xml:space="preserve">**HIV NAT recommended at baseline assessment for persons with injectable ARV exposure during the past 6 months. </w:t>
      </w:r>
    </w:p>
    <w:p w14:paraId="263A90D3"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ascii="Wingdings 2" w:hAnsi="Wingdings 2" w:cs="Wingdings 2"/>
          <w:color w:val="000000"/>
          <w:kern w:val="0"/>
          <w:sz w:val="10"/>
          <w:szCs w:val="10"/>
        </w:rPr>
        <w:t></w:t>
      </w:r>
      <w:r w:rsidRPr="002A70D9">
        <w:rPr>
          <w:rFonts w:ascii="Wingdings 2" w:hAnsi="Wingdings 2" w:cs="Wingdings 2"/>
          <w:color w:val="000000"/>
          <w:kern w:val="0"/>
          <w:sz w:val="10"/>
          <w:szCs w:val="10"/>
        </w:rPr>
        <w:t></w:t>
      </w:r>
      <w:r w:rsidRPr="002A70D9">
        <w:rPr>
          <w:rFonts w:cs="Arial"/>
          <w:color w:val="000000"/>
          <w:kern w:val="0"/>
          <w:sz w:val="16"/>
          <w:szCs w:val="16"/>
        </w:rPr>
        <w:t xml:space="preserve">HBV PEP recommendations vary by the exposed person’s HBV immune status, and by the source’s HBV status (when information is available). Recommendations are available for HBV postexposure management. </w:t>
      </w:r>
    </w:p>
    <w:p w14:paraId="2FD2AE1E"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0"/>
          <w:szCs w:val="10"/>
        </w:rPr>
        <w:t>§§</w:t>
      </w:r>
      <w:r w:rsidRPr="002A70D9">
        <w:rPr>
          <w:rFonts w:cs="Arial"/>
          <w:color w:val="000000"/>
          <w:kern w:val="0"/>
          <w:sz w:val="16"/>
          <w:szCs w:val="16"/>
        </w:rPr>
        <w:t xml:space="preserve">Reflex to HCV RNA NAT if HCV antibody test is positive. Add HCV RNA NAT to original order if signs and symptoms of acute HCV infection are present (e.g., hepatic enzyme elevation). </w:t>
      </w:r>
    </w:p>
    <w:p w14:paraId="406E88F8"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0"/>
          <w:szCs w:val="10"/>
        </w:rPr>
        <w:t>¶¶</w:t>
      </w:r>
      <w:r w:rsidRPr="002A70D9">
        <w:rPr>
          <w:rFonts w:cs="Arial"/>
          <w:color w:val="000000"/>
          <w:kern w:val="0"/>
          <w:sz w:val="16"/>
          <w:szCs w:val="16"/>
        </w:rPr>
        <w:t xml:space="preserve">If follow-up testing is recommended based on the source’s status (e.g., HCV RNA positive or HCV antibody test is positive with unavailable HCV RNA, or if the HCV infection status is unknown), and HCV RNA NAT is negative 3-6 weeks postexposure, a final test for HCV antibodies </w:t>
      </w:r>
    </w:p>
    <w:p w14:paraId="6B89644A"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6"/>
          <w:szCs w:val="16"/>
        </w:rPr>
        <w:t xml:space="preserve">4-6 months postexposure is recommended. </w:t>
      </w:r>
    </w:p>
    <w:p w14:paraId="10D94EB1"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6"/>
          <w:szCs w:val="16"/>
        </w:rPr>
        <w:t xml:space="preserve">***HCV RNA NAT is preferred for testing of the source, but if not accessible, HCV antibody testing with reflex HCV RNA NAT if positive is an alternative strategy. </w:t>
      </w:r>
    </w:p>
    <w:p w14:paraId="7BAC8DAD"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0"/>
          <w:szCs w:val="10"/>
        </w:rPr>
        <w:t>+++</w:t>
      </w:r>
      <w:r w:rsidRPr="002A70D9">
        <w:rPr>
          <w:rFonts w:cs="Arial"/>
          <w:color w:val="000000"/>
          <w:kern w:val="0"/>
          <w:sz w:val="16"/>
          <w:szCs w:val="16"/>
        </w:rPr>
        <w:t xml:space="preserve">If follow-up testing is recommended based on the source’s status (e.g. HCV RNA positive or positive HCV antibody with unavailable HCV RNA, or if the HCV infection status is unknown), HCV RNA NAT is recommended for the exposed persons 3-6 weeks postexposure. </w:t>
      </w:r>
    </w:p>
    <w:p w14:paraId="25C41A96"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0"/>
          <w:szCs w:val="10"/>
        </w:rPr>
        <w:t>§§§</w:t>
      </w:r>
      <w:r w:rsidRPr="002A70D9">
        <w:rPr>
          <w:rFonts w:cs="Arial"/>
          <w:color w:val="000000"/>
          <w:kern w:val="0"/>
          <w:sz w:val="16"/>
          <w:szCs w:val="16"/>
        </w:rPr>
        <w:t xml:space="preserve">STI decision should be made on an individual basis. Recommendations are available for presumptive STI treatment, testing, and management after assault or possible acute STI exposure. </w:t>
      </w:r>
    </w:p>
    <w:p w14:paraId="6F3CC654"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0"/>
          <w:szCs w:val="10"/>
        </w:rPr>
        <w:t xml:space="preserve">¶¶¶ </w:t>
      </w:r>
      <w:r w:rsidRPr="002A70D9">
        <w:rPr>
          <w:rFonts w:cs="Arial"/>
          <w:color w:val="000000"/>
          <w:kern w:val="0"/>
          <w:sz w:val="16"/>
          <w:szCs w:val="16"/>
        </w:rPr>
        <w:t xml:space="preserve">If initial syphilis testing is negative and infection in the source cannot be ruled out, follow-up testing may be performed 4-6 weeks and 3 months postexposure. </w:t>
      </w:r>
    </w:p>
    <w:p w14:paraId="09917C8E"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6"/>
          <w:szCs w:val="16"/>
        </w:rPr>
        <w:t xml:space="preserve">****NAATs are recommended for </w:t>
      </w:r>
      <w:r w:rsidRPr="002A70D9">
        <w:rPr>
          <w:rFonts w:cs="Arial"/>
          <w:i/>
          <w:iCs/>
          <w:color w:val="000000"/>
          <w:kern w:val="0"/>
          <w:sz w:val="16"/>
          <w:szCs w:val="16"/>
        </w:rPr>
        <w:t xml:space="preserve">Chlamydia trachomatis </w:t>
      </w:r>
      <w:r w:rsidRPr="002A70D9">
        <w:rPr>
          <w:rFonts w:cs="Arial"/>
          <w:color w:val="000000"/>
          <w:kern w:val="0"/>
          <w:sz w:val="16"/>
          <w:szCs w:val="16"/>
        </w:rPr>
        <w:t xml:space="preserve">and </w:t>
      </w:r>
      <w:r w:rsidRPr="002A70D9">
        <w:rPr>
          <w:rFonts w:cs="Arial"/>
          <w:i/>
          <w:iCs/>
          <w:color w:val="000000"/>
          <w:kern w:val="0"/>
          <w:sz w:val="16"/>
          <w:szCs w:val="16"/>
        </w:rPr>
        <w:t xml:space="preserve">Neisseria gonorrhea </w:t>
      </w:r>
      <w:r w:rsidRPr="002A70D9">
        <w:rPr>
          <w:rFonts w:cs="Arial"/>
          <w:color w:val="000000"/>
          <w:kern w:val="0"/>
          <w:sz w:val="16"/>
          <w:szCs w:val="16"/>
        </w:rPr>
        <w:t xml:space="preserve">at exposure sites (e.g., pharynx, rectum, or vagina) at initial visit and can be repeated 1-2 weeks postexposure if no presumptive treatment was provided and initial test results were negative. Repeat </w:t>
      </w:r>
    </w:p>
    <w:p w14:paraId="2D6406C3" w14:textId="77777777" w:rsidR="002A70D9" w:rsidRPr="002A70D9" w:rsidRDefault="002A70D9" w:rsidP="0018086F">
      <w:pPr>
        <w:autoSpaceDE w:val="0"/>
        <w:autoSpaceDN w:val="0"/>
        <w:adjustRightInd w:val="0"/>
        <w:spacing w:after="0" w:line="240" w:lineRule="auto"/>
        <w:ind w:left="720"/>
        <w:rPr>
          <w:rFonts w:cs="Arial"/>
          <w:color w:val="000000"/>
          <w:kern w:val="0"/>
          <w:sz w:val="16"/>
          <w:szCs w:val="16"/>
        </w:rPr>
      </w:pPr>
      <w:r w:rsidRPr="002A70D9">
        <w:rPr>
          <w:rFonts w:cs="Arial"/>
          <w:color w:val="000000"/>
          <w:kern w:val="0"/>
          <w:sz w:val="16"/>
          <w:szCs w:val="16"/>
        </w:rPr>
        <w:t xml:space="preserve">testing can also be done if the person reports symptoms concerning for STIs. Certain experts could also perform a NAAT for </w:t>
      </w:r>
      <w:r w:rsidRPr="002A70D9">
        <w:rPr>
          <w:rFonts w:cs="Arial"/>
          <w:i/>
          <w:iCs/>
          <w:color w:val="000000"/>
          <w:kern w:val="0"/>
          <w:sz w:val="16"/>
          <w:szCs w:val="16"/>
        </w:rPr>
        <w:t xml:space="preserve">trichomonas vaginalis </w:t>
      </w:r>
      <w:r w:rsidRPr="002A70D9">
        <w:rPr>
          <w:rFonts w:cs="Arial"/>
          <w:color w:val="000000"/>
          <w:kern w:val="0"/>
          <w:sz w:val="16"/>
          <w:szCs w:val="16"/>
        </w:rPr>
        <w:t xml:space="preserve">from a urine or vaginal specimen for persons with vaginas. </w:t>
      </w:r>
    </w:p>
    <w:p w14:paraId="486F1D8E" w14:textId="71644300" w:rsidR="002A70D9" w:rsidRDefault="002A70D9" w:rsidP="00804F51">
      <w:pPr>
        <w:spacing w:after="0" w:line="240" w:lineRule="auto"/>
        <w:ind w:left="720"/>
        <w:rPr>
          <w:rFonts w:cs="Arial"/>
          <w:color w:val="000000"/>
          <w:kern w:val="0"/>
          <w:sz w:val="16"/>
          <w:szCs w:val="16"/>
        </w:rPr>
      </w:pPr>
      <w:r w:rsidRPr="002A70D9">
        <w:rPr>
          <w:rFonts w:ascii="Wingdings 2" w:hAnsi="Wingdings 2" w:cs="Wingdings 2"/>
          <w:color w:val="000000"/>
          <w:kern w:val="0"/>
          <w:sz w:val="10"/>
          <w:szCs w:val="10"/>
        </w:rPr>
        <w:t></w:t>
      </w:r>
      <w:r w:rsidRPr="002A70D9">
        <w:rPr>
          <w:rFonts w:ascii="Wingdings 2" w:hAnsi="Wingdings 2" w:cs="Wingdings 2"/>
          <w:color w:val="000000"/>
          <w:kern w:val="0"/>
          <w:sz w:val="10"/>
          <w:szCs w:val="10"/>
        </w:rPr>
        <w:t></w:t>
      </w:r>
      <w:r w:rsidRPr="002A70D9">
        <w:rPr>
          <w:rFonts w:ascii="Wingdings 2" w:hAnsi="Wingdings 2" w:cs="Wingdings 2"/>
          <w:color w:val="000000"/>
          <w:kern w:val="0"/>
          <w:sz w:val="10"/>
          <w:szCs w:val="10"/>
        </w:rPr>
        <w:t></w:t>
      </w:r>
      <w:r w:rsidRPr="002A70D9">
        <w:rPr>
          <w:rFonts w:ascii="Wingdings 2" w:hAnsi="Wingdings 2" w:cs="Wingdings 2"/>
          <w:color w:val="000000"/>
          <w:kern w:val="0"/>
          <w:sz w:val="10"/>
          <w:szCs w:val="10"/>
        </w:rPr>
        <w:t></w:t>
      </w:r>
      <w:r w:rsidRPr="002A70D9">
        <w:rPr>
          <w:rFonts w:cs="Arial"/>
          <w:color w:val="000000"/>
          <w:kern w:val="0"/>
          <w:sz w:val="16"/>
          <w:szCs w:val="16"/>
        </w:rPr>
        <w:t>For all women of child-bearing potential who are not known to be pregnant.</w:t>
      </w:r>
    </w:p>
    <w:p w14:paraId="3C76B6BD" w14:textId="77777777" w:rsidR="002862A0" w:rsidRDefault="002862A0" w:rsidP="00804F51">
      <w:pPr>
        <w:spacing w:after="0" w:line="240" w:lineRule="auto"/>
        <w:ind w:left="720"/>
        <w:rPr>
          <w:rFonts w:cs="Arial"/>
          <w:color w:val="000000"/>
          <w:kern w:val="0"/>
          <w:sz w:val="16"/>
          <w:szCs w:val="16"/>
        </w:rPr>
      </w:pPr>
    </w:p>
    <w:p w14:paraId="4AEA8E7F" w14:textId="3CCFDAE1" w:rsidR="002862A0" w:rsidRDefault="002862A0" w:rsidP="00804F51">
      <w:pPr>
        <w:spacing w:after="0" w:line="240" w:lineRule="auto"/>
        <w:ind w:left="720"/>
        <w:rPr>
          <w:rFonts w:cs="Arial"/>
          <w:color w:val="000000"/>
          <w:kern w:val="0"/>
          <w:sz w:val="14"/>
          <w:szCs w:val="14"/>
        </w:rPr>
      </w:pPr>
      <w:r w:rsidRPr="00401A08">
        <w:rPr>
          <w:rFonts w:cs="Arial"/>
          <w:color w:val="000000"/>
          <w:kern w:val="0"/>
          <w:sz w:val="16"/>
          <w:szCs w:val="16"/>
        </w:rPr>
        <w:t>For specific source information</w:t>
      </w:r>
      <w:r w:rsidR="00850293" w:rsidRPr="00401A08">
        <w:rPr>
          <w:rFonts w:cs="Arial"/>
          <w:color w:val="000000"/>
          <w:kern w:val="0"/>
          <w:sz w:val="16"/>
          <w:szCs w:val="16"/>
        </w:rPr>
        <w:t xml:space="preserve">, refer to Table 3, page 31, </w:t>
      </w:r>
      <w:hyperlink r:id="rId11" w:history="1">
        <w:r w:rsidR="00401A08" w:rsidRPr="0018086F">
          <w:rPr>
            <w:rStyle w:val="Hyperlink"/>
            <w:rFonts w:cs="Arial"/>
            <w:kern w:val="0"/>
            <w:sz w:val="16"/>
            <w:szCs w:val="16"/>
          </w:rPr>
          <w:t>https://www.cdc.gov/mmwr/volumes/74/rr/pdfs/rr7401a1-H.pdf</w:t>
        </w:r>
      </w:hyperlink>
      <w:r w:rsidR="00850293" w:rsidRPr="00C438AC">
        <w:rPr>
          <w:rFonts w:cs="Arial"/>
          <w:color w:val="000000"/>
          <w:kern w:val="0"/>
          <w:sz w:val="14"/>
          <w:szCs w:val="14"/>
        </w:rPr>
        <w:t>;</w:t>
      </w:r>
    </w:p>
    <w:p w14:paraId="3B27DCCB" w14:textId="77777777" w:rsidR="00401A08" w:rsidRDefault="00401A08" w:rsidP="0018086F">
      <w:pPr>
        <w:spacing w:after="0" w:line="240" w:lineRule="auto"/>
        <w:ind w:left="720"/>
        <w:rPr>
          <w:rFonts w:cs="Arial"/>
          <w:color w:val="000000"/>
          <w:kern w:val="0"/>
          <w:sz w:val="16"/>
          <w:szCs w:val="16"/>
        </w:rPr>
      </w:pPr>
    </w:p>
    <w:p w14:paraId="15010764" w14:textId="77777777" w:rsidR="002A70D9" w:rsidRDefault="002A70D9" w:rsidP="00EA14AF">
      <w:pPr>
        <w:spacing w:after="0" w:line="240" w:lineRule="auto"/>
        <w:rPr>
          <w:rFonts w:cs="Arial"/>
          <w:color w:val="000000"/>
          <w:kern w:val="0"/>
          <w:sz w:val="16"/>
          <w:szCs w:val="16"/>
        </w:rPr>
      </w:pPr>
    </w:p>
    <w:p w14:paraId="0847CCDC" w14:textId="77777777" w:rsidR="002A70D9" w:rsidRDefault="002A70D9" w:rsidP="00EA14AF">
      <w:pPr>
        <w:spacing w:after="0" w:line="240" w:lineRule="auto"/>
        <w:rPr>
          <w:rFonts w:cs="Arial"/>
          <w:color w:val="000000"/>
          <w:kern w:val="0"/>
          <w:sz w:val="16"/>
          <w:szCs w:val="16"/>
        </w:rPr>
      </w:pPr>
    </w:p>
    <w:p w14:paraId="75A94166" w14:textId="77777777" w:rsidR="002A70D9" w:rsidRDefault="002A70D9" w:rsidP="00EA14AF">
      <w:pPr>
        <w:spacing w:after="0" w:line="240" w:lineRule="auto"/>
        <w:rPr>
          <w:rFonts w:cs="Arial"/>
          <w:color w:val="000000"/>
          <w:kern w:val="0"/>
          <w:sz w:val="16"/>
          <w:szCs w:val="16"/>
        </w:rPr>
      </w:pPr>
    </w:p>
    <w:p w14:paraId="7CF1C546" w14:textId="77777777" w:rsidR="002A70D9" w:rsidRDefault="002A70D9" w:rsidP="00EA14AF">
      <w:pPr>
        <w:spacing w:after="0" w:line="240" w:lineRule="auto"/>
        <w:rPr>
          <w:rFonts w:cs="Arial"/>
          <w:color w:val="000000"/>
          <w:kern w:val="0"/>
          <w:sz w:val="16"/>
          <w:szCs w:val="16"/>
        </w:rPr>
      </w:pPr>
    </w:p>
    <w:p w14:paraId="7F66D24A" w14:textId="77777777" w:rsidR="002A70D9" w:rsidRDefault="002A70D9" w:rsidP="00EA14AF">
      <w:pPr>
        <w:spacing w:after="0" w:line="240" w:lineRule="auto"/>
        <w:rPr>
          <w:rFonts w:cs="Arial"/>
          <w:color w:val="000000"/>
          <w:kern w:val="0"/>
          <w:sz w:val="16"/>
          <w:szCs w:val="16"/>
        </w:rPr>
      </w:pPr>
    </w:p>
    <w:p w14:paraId="23F406D8" w14:textId="77777777" w:rsidR="002A70D9" w:rsidRDefault="002A70D9" w:rsidP="00EA14AF">
      <w:pPr>
        <w:spacing w:after="0" w:line="240" w:lineRule="auto"/>
        <w:rPr>
          <w:rFonts w:cs="Arial"/>
          <w:color w:val="000000"/>
          <w:kern w:val="0"/>
          <w:sz w:val="16"/>
          <w:szCs w:val="16"/>
        </w:rPr>
      </w:pPr>
    </w:p>
    <w:p w14:paraId="0A1401F5" w14:textId="77777777" w:rsidR="002A70D9" w:rsidRDefault="002A70D9" w:rsidP="00EA14AF">
      <w:pPr>
        <w:spacing w:after="0" w:line="240" w:lineRule="auto"/>
        <w:rPr>
          <w:rFonts w:cs="Arial"/>
          <w:color w:val="000000"/>
          <w:kern w:val="0"/>
          <w:sz w:val="16"/>
          <w:szCs w:val="16"/>
        </w:rPr>
      </w:pPr>
    </w:p>
    <w:p w14:paraId="40575ED0" w14:textId="77777777" w:rsidR="002A70D9" w:rsidRDefault="002A70D9" w:rsidP="00EA14AF">
      <w:pPr>
        <w:spacing w:after="0" w:line="240" w:lineRule="auto"/>
        <w:rPr>
          <w:sz w:val="20"/>
          <w:szCs w:val="20"/>
        </w:rPr>
      </w:pPr>
    </w:p>
    <w:p w14:paraId="7644C790" w14:textId="6180AE31" w:rsidR="001A0C6A" w:rsidRDefault="001A0C6A">
      <w:pPr>
        <w:rPr>
          <w:sz w:val="20"/>
          <w:szCs w:val="20"/>
        </w:rPr>
      </w:pPr>
      <w:r>
        <w:rPr>
          <w:sz w:val="20"/>
          <w:szCs w:val="20"/>
        </w:rPr>
        <w:br w:type="page"/>
      </w:r>
    </w:p>
    <w:p w14:paraId="20A76B77" w14:textId="77777777" w:rsidR="00EA14AF" w:rsidRDefault="00EA14AF" w:rsidP="00C438AC">
      <w:pPr>
        <w:spacing w:after="0" w:line="240" w:lineRule="auto"/>
        <w:rPr>
          <w:sz w:val="20"/>
          <w:szCs w:val="20"/>
        </w:rPr>
      </w:pPr>
    </w:p>
    <w:tbl>
      <w:tblPr>
        <w:tblStyle w:val="TableGrid"/>
        <w:tblW w:w="0" w:type="auto"/>
        <w:tblLook w:val="04A0" w:firstRow="1" w:lastRow="0" w:firstColumn="1" w:lastColumn="0" w:noHBand="0" w:noVBand="1"/>
      </w:tblPr>
      <w:tblGrid>
        <w:gridCol w:w="10790"/>
      </w:tblGrid>
      <w:tr w:rsidR="002A70D9" w14:paraId="21E3FE82" w14:textId="77777777" w:rsidTr="00604611">
        <w:tc>
          <w:tcPr>
            <w:tcW w:w="10790" w:type="dxa"/>
            <w:shd w:val="clear" w:color="auto" w:fill="FFFFCC"/>
          </w:tcPr>
          <w:p w14:paraId="0FC4E072" w14:textId="77777777" w:rsidR="002A70D9" w:rsidRPr="004A0491" w:rsidRDefault="001D47B5" w:rsidP="004A0491">
            <w:pPr>
              <w:spacing w:before="100"/>
              <w:jc w:val="center"/>
              <w:rPr>
                <w:b/>
                <w:bCs/>
                <w:u w:val="single"/>
              </w:rPr>
            </w:pPr>
            <w:r w:rsidRPr="004A0491">
              <w:rPr>
                <w:b/>
                <w:bCs/>
                <w:u w:val="single"/>
              </w:rPr>
              <w:t>HIV Non-Occupational Post-Exposure Prophylaxis (nPEP)</w:t>
            </w:r>
          </w:p>
          <w:p w14:paraId="3BB8A398" w14:textId="77777777" w:rsidR="001D47B5" w:rsidRPr="004A0491" w:rsidRDefault="001D47B5" w:rsidP="004A0491">
            <w:pPr>
              <w:spacing w:before="100"/>
              <w:jc w:val="center"/>
              <w:rPr>
                <w:b/>
                <w:bCs/>
                <w:u w:val="single"/>
              </w:rPr>
            </w:pPr>
          </w:p>
          <w:p w14:paraId="2D2B620C" w14:textId="77777777" w:rsidR="004A0491" w:rsidRPr="004A0491" w:rsidRDefault="004A0491" w:rsidP="004A0491">
            <w:pPr>
              <w:autoSpaceDE w:val="0"/>
              <w:autoSpaceDN w:val="0"/>
              <w:adjustRightInd w:val="0"/>
              <w:rPr>
                <w:rFonts w:cs="Arial"/>
                <w:color w:val="000000"/>
                <w:kern w:val="0"/>
                <w:sz w:val="20"/>
                <w:szCs w:val="20"/>
              </w:rPr>
            </w:pPr>
            <w:r w:rsidRPr="004A0491">
              <w:rPr>
                <w:rFonts w:cs="Arial"/>
                <w:color w:val="000000"/>
                <w:kern w:val="0"/>
                <w:sz w:val="20"/>
                <w:szCs w:val="20"/>
              </w:rPr>
              <w:t xml:space="preserve">MA SANE Program Protocol recommends HIV nPEP be initiated </w:t>
            </w:r>
            <w:r w:rsidRPr="004A0491">
              <w:rPr>
                <w:rFonts w:cs="Arial"/>
                <w:b/>
                <w:bCs/>
                <w:color w:val="000000"/>
                <w:kern w:val="0"/>
                <w:sz w:val="20"/>
                <w:szCs w:val="20"/>
                <w:u w:val="single"/>
              </w:rPr>
              <w:t>as soon as possible</w:t>
            </w:r>
            <w:r w:rsidRPr="004A0491">
              <w:rPr>
                <w:rFonts w:cs="Arial"/>
                <w:b/>
                <w:bCs/>
                <w:color w:val="000000"/>
                <w:kern w:val="0"/>
                <w:sz w:val="20"/>
                <w:szCs w:val="20"/>
              </w:rPr>
              <w:t xml:space="preserve"> </w:t>
            </w:r>
            <w:r w:rsidRPr="004A0491">
              <w:rPr>
                <w:rFonts w:cs="Arial"/>
                <w:color w:val="000000"/>
                <w:kern w:val="0"/>
                <w:sz w:val="20"/>
                <w:szCs w:val="20"/>
              </w:rPr>
              <w:t xml:space="preserve">following sexual assault with </w:t>
            </w:r>
          </w:p>
          <w:p w14:paraId="745D4331" w14:textId="77777777" w:rsidR="004A0491" w:rsidRPr="004A0491" w:rsidRDefault="004A0491" w:rsidP="004A0491">
            <w:pPr>
              <w:autoSpaceDE w:val="0"/>
              <w:autoSpaceDN w:val="0"/>
              <w:adjustRightInd w:val="0"/>
              <w:rPr>
                <w:rFonts w:cs="Arial"/>
                <w:color w:val="000000"/>
                <w:kern w:val="0"/>
                <w:sz w:val="20"/>
                <w:szCs w:val="20"/>
              </w:rPr>
            </w:pPr>
            <w:r w:rsidRPr="004A0491">
              <w:rPr>
                <w:rFonts w:cs="Arial"/>
                <w:color w:val="000000"/>
                <w:kern w:val="0"/>
                <w:sz w:val="20"/>
                <w:szCs w:val="20"/>
              </w:rPr>
              <w:t xml:space="preserve">a high risk of exposure to HIV, but no later than 72 hours after. Exposure to HIV is considered a medical </w:t>
            </w:r>
          </w:p>
          <w:p w14:paraId="1391597A" w14:textId="38E7B107" w:rsidR="001D47B5" w:rsidRDefault="004A0491" w:rsidP="004A0491">
            <w:pPr>
              <w:rPr>
                <w:rFonts w:cs="Arial"/>
                <w:color w:val="000000"/>
                <w:kern w:val="0"/>
                <w:sz w:val="20"/>
                <w:szCs w:val="20"/>
              </w:rPr>
            </w:pPr>
            <w:r w:rsidRPr="004A0491">
              <w:rPr>
                <w:rFonts w:cs="Arial"/>
                <w:color w:val="000000"/>
                <w:kern w:val="0"/>
                <w:sz w:val="20"/>
                <w:szCs w:val="20"/>
              </w:rPr>
              <w:t>emergency. Sexual assaults with higher risk of exposure to HIV include:</w:t>
            </w:r>
          </w:p>
          <w:p w14:paraId="4AF3A4AA" w14:textId="77777777" w:rsidR="004A0491" w:rsidRDefault="004A0491" w:rsidP="004A0491">
            <w:pPr>
              <w:rPr>
                <w:b/>
                <w:bCs/>
                <w:color w:val="000000"/>
                <w:kern w:val="0"/>
                <w:sz w:val="20"/>
                <w:szCs w:val="20"/>
              </w:rPr>
            </w:pPr>
          </w:p>
          <w:p w14:paraId="60C4A772" w14:textId="77777777" w:rsidR="006A50FB" w:rsidRPr="006A50FB" w:rsidRDefault="006A50FB" w:rsidP="006A50FB">
            <w:pPr>
              <w:numPr>
                <w:ilvl w:val="0"/>
                <w:numId w:val="14"/>
              </w:numPr>
              <w:autoSpaceDE w:val="0"/>
              <w:autoSpaceDN w:val="0"/>
              <w:adjustRightInd w:val="0"/>
              <w:spacing w:after="6"/>
              <w:ind w:left="720"/>
              <w:rPr>
                <w:rFonts w:cs="Arial"/>
                <w:color w:val="000000"/>
                <w:kern w:val="0"/>
                <w:sz w:val="20"/>
                <w:szCs w:val="20"/>
              </w:rPr>
            </w:pPr>
            <w:r w:rsidRPr="006A50FB">
              <w:rPr>
                <w:rFonts w:cs="Arial"/>
                <w:color w:val="000000"/>
                <w:kern w:val="0"/>
                <w:sz w:val="20"/>
                <w:szCs w:val="20"/>
              </w:rPr>
              <w:t xml:space="preserve">Multiple assailants </w:t>
            </w:r>
          </w:p>
          <w:p w14:paraId="7358BB25" w14:textId="77777777" w:rsidR="006A50FB" w:rsidRPr="006A50FB" w:rsidRDefault="006A50FB" w:rsidP="006A50FB">
            <w:pPr>
              <w:numPr>
                <w:ilvl w:val="0"/>
                <w:numId w:val="14"/>
              </w:numPr>
              <w:autoSpaceDE w:val="0"/>
              <w:autoSpaceDN w:val="0"/>
              <w:adjustRightInd w:val="0"/>
              <w:spacing w:after="6"/>
              <w:ind w:left="720"/>
              <w:rPr>
                <w:rFonts w:cs="Arial"/>
                <w:color w:val="000000"/>
                <w:kern w:val="0"/>
                <w:sz w:val="20"/>
                <w:szCs w:val="20"/>
              </w:rPr>
            </w:pPr>
            <w:r w:rsidRPr="006A50FB">
              <w:rPr>
                <w:rFonts w:cs="Arial"/>
                <w:color w:val="000000"/>
                <w:kern w:val="0"/>
                <w:sz w:val="20"/>
                <w:szCs w:val="20"/>
              </w:rPr>
              <w:t xml:space="preserve">Known HIV-infected assailant(s) </w:t>
            </w:r>
          </w:p>
          <w:p w14:paraId="2E106883" w14:textId="77777777" w:rsidR="006A50FB" w:rsidRPr="006A50FB" w:rsidRDefault="006A50FB" w:rsidP="006A50FB">
            <w:pPr>
              <w:numPr>
                <w:ilvl w:val="0"/>
                <w:numId w:val="14"/>
              </w:numPr>
              <w:autoSpaceDE w:val="0"/>
              <w:autoSpaceDN w:val="0"/>
              <w:adjustRightInd w:val="0"/>
              <w:spacing w:after="6"/>
              <w:ind w:left="720"/>
              <w:rPr>
                <w:rFonts w:cs="Arial"/>
                <w:color w:val="000000"/>
                <w:kern w:val="0"/>
                <w:sz w:val="20"/>
                <w:szCs w:val="20"/>
              </w:rPr>
            </w:pPr>
            <w:r w:rsidRPr="006A50FB">
              <w:rPr>
                <w:rFonts w:cs="Arial"/>
                <w:color w:val="000000"/>
                <w:kern w:val="0"/>
                <w:sz w:val="20"/>
                <w:szCs w:val="20"/>
              </w:rPr>
              <w:t xml:space="preserve">Known ejaculate or blood exposure </w:t>
            </w:r>
          </w:p>
          <w:p w14:paraId="46863CFC" w14:textId="77777777" w:rsidR="006A50FB" w:rsidRPr="006A50FB" w:rsidRDefault="006A50FB" w:rsidP="006A50FB">
            <w:pPr>
              <w:numPr>
                <w:ilvl w:val="0"/>
                <w:numId w:val="14"/>
              </w:numPr>
              <w:autoSpaceDE w:val="0"/>
              <w:autoSpaceDN w:val="0"/>
              <w:adjustRightInd w:val="0"/>
              <w:spacing w:after="6"/>
              <w:ind w:left="720"/>
              <w:rPr>
                <w:rFonts w:cs="Arial"/>
                <w:color w:val="000000"/>
                <w:kern w:val="0"/>
                <w:sz w:val="20"/>
                <w:szCs w:val="20"/>
              </w:rPr>
            </w:pPr>
            <w:r w:rsidRPr="006A50FB">
              <w:rPr>
                <w:rFonts w:cs="Arial"/>
                <w:color w:val="000000"/>
                <w:kern w:val="0"/>
                <w:sz w:val="20"/>
                <w:szCs w:val="20"/>
              </w:rPr>
              <w:t xml:space="preserve">Vaginal and/or anal assault </w:t>
            </w:r>
          </w:p>
          <w:p w14:paraId="26DE6FC2" w14:textId="77777777" w:rsidR="006A50FB" w:rsidRPr="006A50FB" w:rsidRDefault="006A50FB" w:rsidP="006A50FB">
            <w:pPr>
              <w:numPr>
                <w:ilvl w:val="0"/>
                <w:numId w:val="14"/>
              </w:numPr>
              <w:autoSpaceDE w:val="0"/>
              <w:autoSpaceDN w:val="0"/>
              <w:adjustRightInd w:val="0"/>
              <w:ind w:left="720"/>
              <w:rPr>
                <w:rFonts w:cs="Arial"/>
                <w:color w:val="000000"/>
                <w:kern w:val="0"/>
                <w:sz w:val="20"/>
                <w:szCs w:val="20"/>
              </w:rPr>
            </w:pPr>
            <w:r w:rsidRPr="006A50FB">
              <w:rPr>
                <w:rFonts w:cs="Arial"/>
                <w:color w:val="000000"/>
                <w:kern w:val="0"/>
                <w:sz w:val="20"/>
                <w:szCs w:val="20"/>
              </w:rPr>
              <w:t xml:space="preserve">Any disruption in skin integrity of the vaginal, anal, or oral mucosa </w:t>
            </w:r>
          </w:p>
          <w:p w14:paraId="5CE2D979" w14:textId="77777777" w:rsidR="001D47B5" w:rsidRPr="006B5743" w:rsidRDefault="001D47B5" w:rsidP="00C438AC">
            <w:pPr>
              <w:rPr>
                <w:b/>
                <w:bCs/>
                <w:sz w:val="20"/>
                <w:szCs w:val="20"/>
              </w:rPr>
            </w:pPr>
          </w:p>
          <w:p w14:paraId="43BBF8EE" w14:textId="77777777" w:rsidR="006B5743" w:rsidRPr="006B5743" w:rsidRDefault="006B5743" w:rsidP="006B5743">
            <w:pPr>
              <w:autoSpaceDE w:val="0"/>
              <w:autoSpaceDN w:val="0"/>
              <w:adjustRightInd w:val="0"/>
              <w:rPr>
                <w:rFonts w:cs="Arial"/>
                <w:color w:val="000000"/>
                <w:kern w:val="0"/>
                <w:sz w:val="20"/>
                <w:szCs w:val="20"/>
              </w:rPr>
            </w:pPr>
            <w:r w:rsidRPr="006B5743">
              <w:rPr>
                <w:rFonts w:cs="Arial"/>
                <w:color w:val="000000"/>
                <w:kern w:val="0"/>
                <w:sz w:val="20"/>
                <w:szCs w:val="20"/>
              </w:rPr>
              <w:t xml:space="preserve">The SANE should notify the ED Attending Provider of the patient’s risk factors to ensure timely administration of HIV </w:t>
            </w:r>
          </w:p>
          <w:p w14:paraId="1D49A31F" w14:textId="77777777" w:rsidR="006B5743" w:rsidRPr="006B5743" w:rsidRDefault="006B5743" w:rsidP="006B5743">
            <w:pPr>
              <w:autoSpaceDE w:val="0"/>
              <w:autoSpaceDN w:val="0"/>
              <w:adjustRightInd w:val="0"/>
              <w:rPr>
                <w:rFonts w:cs="Arial"/>
                <w:color w:val="000000"/>
                <w:kern w:val="0"/>
                <w:sz w:val="20"/>
                <w:szCs w:val="20"/>
              </w:rPr>
            </w:pPr>
            <w:r w:rsidRPr="006B5743">
              <w:rPr>
                <w:rFonts w:cs="Arial"/>
                <w:color w:val="000000"/>
                <w:kern w:val="0"/>
                <w:sz w:val="20"/>
                <w:szCs w:val="20"/>
              </w:rPr>
              <w:t xml:space="preserve">nPEP. Current data analysis indicates that HIV nPEP is not as effective if initiated more than 72 hours after an exposure. </w:t>
            </w:r>
          </w:p>
          <w:p w14:paraId="2D039BE1" w14:textId="77777777" w:rsidR="006B5743" w:rsidRPr="006B5743" w:rsidRDefault="006B5743" w:rsidP="006B5743">
            <w:pPr>
              <w:autoSpaceDE w:val="0"/>
              <w:autoSpaceDN w:val="0"/>
              <w:adjustRightInd w:val="0"/>
              <w:rPr>
                <w:rFonts w:cs="Arial"/>
                <w:color w:val="000000"/>
                <w:kern w:val="0"/>
                <w:sz w:val="20"/>
                <w:szCs w:val="20"/>
              </w:rPr>
            </w:pPr>
            <w:r w:rsidRPr="006B5743">
              <w:rPr>
                <w:rFonts w:cs="Arial"/>
                <w:color w:val="000000"/>
                <w:kern w:val="0"/>
                <w:sz w:val="20"/>
                <w:szCs w:val="20"/>
              </w:rPr>
              <w:t xml:space="preserve">When a patient presents within 72 hours of an exposure, the use of HIV nPEP should be </w:t>
            </w:r>
            <w:r w:rsidRPr="006B5743">
              <w:rPr>
                <w:rFonts w:cs="Arial"/>
                <w:b/>
                <w:bCs/>
                <w:color w:val="000000"/>
                <w:kern w:val="0"/>
                <w:sz w:val="20"/>
                <w:szCs w:val="20"/>
                <w:u w:val="single"/>
              </w:rPr>
              <w:t>initiated promptly</w:t>
            </w:r>
            <w:r w:rsidRPr="006B5743">
              <w:rPr>
                <w:rFonts w:cs="Arial"/>
                <w:b/>
                <w:bCs/>
                <w:color w:val="000000"/>
                <w:kern w:val="0"/>
                <w:sz w:val="20"/>
                <w:szCs w:val="20"/>
              </w:rPr>
              <w:t xml:space="preserve"> </w:t>
            </w:r>
            <w:r w:rsidRPr="006B5743">
              <w:rPr>
                <w:rFonts w:cs="Arial"/>
                <w:color w:val="000000"/>
                <w:kern w:val="0"/>
                <w:sz w:val="20"/>
                <w:szCs w:val="20"/>
              </w:rPr>
              <w:t xml:space="preserve">for the </w:t>
            </w:r>
          </w:p>
          <w:p w14:paraId="7E7FC261" w14:textId="77777777" w:rsidR="006B5743" w:rsidRPr="006B5743" w:rsidRDefault="006B5743" w:rsidP="006B5743">
            <w:pPr>
              <w:autoSpaceDE w:val="0"/>
              <w:autoSpaceDN w:val="0"/>
              <w:adjustRightInd w:val="0"/>
              <w:rPr>
                <w:rFonts w:cs="Arial"/>
                <w:color w:val="000000"/>
                <w:kern w:val="0"/>
                <w:sz w:val="20"/>
                <w:szCs w:val="20"/>
              </w:rPr>
            </w:pPr>
            <w:r w:rsidRPr="006B5743">
              <w:rPr>
                <w:rFonts w:cs="Arial"/>
                <w:color w:val="000000"/>
                <w:kern w:val="0"/>
                <w:sz w:val="20"/>
                <w:szCs w:val="20"/>
              </w:rPr>
              <w:t xml:space="preserve">best chance of success. </w:t>
            </w:r>
            <w:r w:rsidRPr="006B5743">
              <w:rPr>
                <w:rFonts w:cs="Arial"/>
                <w:b/>
                <w:bCs/>
                <w:color w:val="000000"/>
                <w:kern w:val="0"/>
                <w:sz w:val="20"/>
                <w:szCs w:val="20"/>
              </w:rPr>
              <w:t xml:space="preserve">The sooner HIV nPEP is initiated after an exposure, the more likely transmission will </w:t>
            </w:r>
          </w:p>
          <w:p w14:paraId="6080F6F1" w14:textId="0650F38F" w:rsidR="001D47B5" w:rsidRDefault="006B5743" w:rsidP="006B5743">
            <w:pPr>
              <w:rPr>
                <w:rFonts w:cs="Arial"/>
                <w:color w:val="000000"/>
                <w:kern w:val="0"/>
                <w:sz w:val="20"/>
                <w:szCs w:val="20"/>
              </w:rPr>
            </w:pPr>
            <w:r w:rsidRPr="006B5743">
              <w:rPr>
                <w:rFonts w:cs="Arial"/>
                <w:b/>
                <w:bCs/>
                <w:color w:val="000000"/>
                <w:kern w:val="0"/>
                <w:sz w:val="20"/>
                <w:szCs w:val="20"/>
              </w:rPr>
              <w:t xml:space="preserve">be interrupted, and viral replication </w:t>
            </w:r>
            <w:r w:rsidRPr="006B5743">
              <w:rPr>
                <w:rFonts w:cs="Arial"/>
                <w:color w:val="000000"/>
                <w:kern w:val="0"/>
                <w:sz w:val="20"/>
                <w:szCs w:val="20"/>
              </w:rPr>
              <w:t>suppressed.</w:t>
            </w:r>
          </w:p>
          <w:p w14:paraId="67CD0C0E" w14:textId="77777777" w:rsidR="006B5743" w:rsidRDefault="006B5743" w:rsidP="006B5743">
            <w:pPr>
              <w:rPr>
                <w:b/>
                <w:bCs/>
                <w:color w:val="000000"/>
                <w:kern w:val="0"/>
                <w:sz w:val="20"/>
                <w:szCs w:val="20"/>
              </w:rPr>
            </w:pPr>
          </w:p>
          <w:p w14:paraId="46281410" w14:textId="77777777" w:rsidR="004F1640" w:rsidRPr="004F1640" w:rsidRDefault="004F1640" w:rsidP="004F1640">
            <w:pPr>
              <w:autoSpaceDE w:val="0"/>
              <w:autoSpaceDN w:val="0"/>
              <w:adjustRightInd w:val="0"/>
              <w:rPr>
                <w:rFonts w:cs="Arial"/>
                <w:color w:val="000000"/>
                <w:kern w:val="0"/>
                <w:sz w:val="24"/>
                <w:szCs w:val="24"/>
              </w:rPr>
            </w:pPr>
          </w:p>
          <w:p w14:paraId="0A9688AD" w14:textId="77777777" w:rsidR="004F1640" w:rsidRPr="00604611" w:rsidRDefault="004F1640" w:rsidP="00604611">
            <w:pPr>
              <w:pStyle w:val="ListParagraph"/>
              <w:numPr>
                <w:ilvl w:val="0"/>
                <w:numId w:val="15"/>
              </w:numPr>
              <w:autoSpaceDE w:val="0"/>
              <w:autoSpaceDN w:val="0"/>
              <w:adjustRightInd w:val="0"/>
              <w:spacing w:after="13"/>
              <w:ind w:left="1080"/>
              <w:rPr>
                <w:rFonts w:cs="Arial"/>
                <w:color w:val="000000"/>
                <w:kern w:val="0"/>
                <w:sz w:val="20"/>
                <w:szCs w:val="20"/>
              </w:rPr>
            </w:pPr>
            <w:r w:rsidRPr="00604611">
              <w:rPr>
                <w:rFonts w:cs="Arial"/>
                <w:color w:val="000000"/>
                <w:kern w:val="0"/>
                <w:sz w:val="20"/>
                <w:szCs w:val="20"/>
              </w:rPr>
              <w:t xml:space="preserve">Baseline serum lab tests are recommended. Refer to Table 2 above for details on testing to be completed. </w:t>
            </w:r>
          </w:p>
          <w:p w14:paraId="6FF3AC5A" w14:textId="77777777" w:rsidR="004F1640" w:rsidRPr="004F1640" w:rsidRDefault="004F1640" w:rsidP="00604611">
            <w:pPr>
              <w:autoSpaceDE w:val="0"/>
              <w:autoSpaceDN w:val="0"/>
              <w:adjustRightInd w:val="0"/>
              <w:spacing w:after="13"/>
              <w:ind w:left="360"/>
              <w:rPr>
                <w:rFonts w:cs="Arial"/>
                <w:color w:val="000000"/>
                <w:kern w:val="0"/>
                <w:sz w:val="20"/>
                <w:szCs w:val="20"/>
              </w:rPr>
            </w:pPr>
          </w:p>
          <w:p w14:paraId="05A4E4A3" w14:textId="7FACE584" w:rsidR="001D47B5" w:rsidRPr="00604611" w:rsidRDefault="004F1640" w:rsidP="00604611">
            <w:pPr>
              <w:pStyle w:val="ListParagraph"/>
              <w:numPr>
                <w:ilvl w:val="0"/>
                <w:numId w:val="15"/>
              </w:numPr>
              <w:autoSpaceDE w:val="0"/>
              <w:autoSpaceDN w:val="0"/>
              <w:adjustRightInd w:val="0"/>
              <w:spacing w:after="100"/>
              <w:ind w:left="1080"/>
              <w:rPr>
                <w:rFonts w:cs="Arial"/>
                <w:color w:val="000000"/>
                <w:kern w:val="0"/>
                <w:sz w:val="20"/>
                <w:szCs w:val="20"/>
              </w:rPr>
            </w:pPr>
            <w:r w:rsidRPr="00604611">
              <w:rPr>
                <w:rFonts w:cs="Arial"/>
                <w:color w:val="000000"/>
                <w:kern w:val="0"/>
                <w:sz w:val="20"/>
                <w:szCs w:val="20"/>
              </w:rPr>
              <w:t xml:space="preserve">If a patient declines serology, decisions regarding nPEP administration should be made by the medical provider, in consultation with the patient, based on the patient’s medical history and assault-related risk factors. </w:t>
            </w:r>
          </w:p>
        </w:tc>
      </w:tr>
    </w:tbl>
    <w:p w14:paraId="63361248" w14:textId="77777777" w:rsidR="001A0C6A" w:rsidRDefault="001A0C6A" w:rsidP="00C438AC">
      <w:pPr>
        <w:spacing w:after="0" w:line="240" w:lineRule="auto"/>
        <w:rPr>
          <w:sz w:val="20"/>
          <w:szCs w:val="20"/>
        </w:rPr>
      </w:pPr>
    </w:p>
    <w:p w14:paraId="72B2444C" w14:textId="77777777" w:rsidR="002A70D9" w:rsidRDefault="002A70D9" w:rsidP="00C438AC">
      <w:pPr>
        <w:spacing w:after="0" w:line="240" w:lineRule="auto"/>
        <w:rPr>
          <w:sz w:val="20"/>
          <w:szCs w:val="20"/>
        </w:rPr>
      </w:pPr>
    </w:p>
    <w:p w14:paraId="767848A8" w14:textId="20CA784B" w:rsidR="007625BB" w:rsidRDefault="007625BB">
      <w:pPr>
        <w:rPr>
          <w:sz w:val="20"/>
          <w:szCs w:val="20"/>
        </w:rPr>
      </w:pPr>
      <w:r>
        <w:rPr>
          <w:sz w:val="20"/>
          <w:szCs w:val="20"/>
        </w:rPr>
        <w:br w:type="page"/>
      </w:r>
    </w:p>
    <w:p w14:paraId="1275879A" w14:textId="77777777" w:rsidR="002A70D9" w:rsidRDefault="002A70D9" w:rsidP="00C438AC">
      <w:pPr>
        <w:spacing w:after="0" w:line="240" w:lineRule="auto"/>
        <w:rPr>
          <w:sz w:val="20"/>
          <w:szCs w:val="20"/>
        </w:rPr>
      </w:pPr>
    </w:p>
    <w:p w14:paraId="2A1B6910" w14:textId="2466931A" w:rsidR="002A70D9" w:rsidRPr="00AD6F66" w:rsidRDefault="009D4FF4" w:rsidP="00C438AC">
      <w:pPr>
        <w:spacing w:after="0" w:line="240" w:lineRule="auto"/>
        <w:rPr>
          <w:b/>
          <w:bCs/>
        </w:rPr>
      </w:pPr>
      <w:r w:rsidRPr="00AD6F66">
        <w:rPr>
          <w:b/>
          <w:bCs/>
        </w:rPr>
        <w:t>2025 CDC Recommendations: HIV nPEP Medication Regimens</w:t>
      </w:r>
    </w:p>
    <w:p w14:paraId="5C9CEECD" w14:textId="77777777" w:rsidR="009D4FF4" w:rsidRPr="00AD6F66" w:rsidRDefault="009D4FF4" w:rsidP="00C438AC">
      <w:pPr>
        <w:spacing w:after="0" w:line="240" w:lineRule="auto"/>
        <w:rPr>
          <w:b/>
          <w:bCs/>
        </w:rPr>
      </w:pPr>
    </w:p>
    <w:p w14:paraId="609B986F" w14:textId="77777777" w:rsidR="004F3250" w:rsidRPr="004F3250" w:rsidRDefault="004F3250" w:rsidP="004F3250">
      <w:pPr>
        <w:autoSpaceDE w:val="0"/>
        <w:autoSpaceDN w:val="0"/>
        <w:adjustRightInd w:val="0"/>
        <w:spacing w:after="0" w:line="240" w:lineRule="auto"/>
        <w:rPr>
          <w:rFonts w:cs="Arial"/>
          <w:color w:val="000000"/>
          <w:kern w:val="0"/>
        </w:rPr>
      </w:pPr>
      <w:r w:rsidRPr="004F3250">
        <w:rPr>
          <w:rFonts w:cs="Arial"/>
          <w:b/>
          <w:bCs/>
          <w:color w:val="221F1F"/>
          <w:kern w:val="0"/>
        </w:rPr>
        <w:t xml:space="preserve">TABLE 4. Preferred and alternative HIV nonoccupational postexposure prophylaxis regimens, by group </w:t>
      </w:r>
    </w:p>
    <w:p w14:paraId="1723CFA0" w14:textId="4C33B73C" w:rsidR="009D4FF4" w:rsidRPr="00AD6F66" w:rsidRDefault="004F3250" w:rsidP="004F3250">
      <w:pPr>
        <w:spacing w:after="0" w:line="240" w:lineRule="auto"/>
        <w:rPr>
          <w:rFonts w:cs="Arial"/>
          <w:b/>
          <w:bCs/>
          <w:color w:val="221F1F"/>
          <w:kern w:val="0"/>
        </w:rPr>
      </w:pPr>
      <w:r w:rsidRPr="00AD6F66">
        <w:rPr>
          <w:rFonts w:cs="Arial"/>
          <w:b/>
          <w:bCs/>
          <w:color w:val="221F1F"/>
          <w:kern w:val="0"/>
        </w:rPr>
        <w:t>CDC recommendations, United States, 2025</w:t>
      </w:r>
    </w:p>
    <w:p w14:paraId="42BFE912" w14:textId="77777777" w:rsidR="004F3250" w:rsidRDefault="004F3250" w:rsidP="004F3250">
      <w:pPr>
        <w:spacing w:after="0" w:line="240" w:lineRule="auto"/>
        <w:rPr>
          <w:rFonts w:cs="Arial"/>
          <w:b/>
          <w:bCs/>
          <w:color w:val="221F1F"/>
          <w:kern w:val="0"/>
          <w:sz w:val="20"/>
          <w:szCs w:val="20"/>
        </w:rPr>
      </w:pPr>
    </w:p>
    <w:tbl>
      <w:tblPr>
        <w:tblStyle w:val="TableGrid"/>
        <w:tblW w:w="0" w:type="auto"/>
        <w:tblLook w:val="04A0" w:firstRow="1" w:lastRow="0" w:firstColumn="1" w:lastColumn="0" w:noHBand="0" w:noVBand="1"/>
      </w:tblPr>
      <w:tblGrid>
        <w:gridCol w:w="2425"/>
        <w:gridCol w:w="2250"/>
        <w:gridCol w:w="6115"/>
      </w:tblGrid>
      <w:tr w:rsidR="00CE6747" w14:paraId="3F8F56FB" w14:textId="77777777" w:rsidTr="00E249AB">
        <w:tc>
          <w:tcPr>
            <w:tcW w:w="2425" w:type="dxa"/>
          </w:tcPr>
          <w:p w14:paraId="6177E40A" w14:textId="039A218D" w:rsidR="00CE6747" w:rsidRPr="003C4D08" w:rsidRDefault="00CE6747" w:rsidP="003C4D08">
            <w:pPr>
              <w:spacing w:before="40" w:after="40"/>
              <w:jc w:val="center"/>
              <w:rPr>
                <w:b/>
                <w:bCs/>
                <w:sz w:val="20"/>
                <w:szCs w:val="20"/>
              </w:rPr>
            </w:pPr>
            <w:r w:rsidRPr="003C4D08">
              <w:rPr>
                <w:b/>
                <w:bCs/>
                <w:sz w:val="20"/>
                <w:szCs w:val="20"/>
              </w:rPr>
              <w:t>Group</w:t>
            </w:r>
          </w:p>
        </w:tc>
        <w:tc>
          <w:tcPr>
            <w:tcW w:w="2250" w:type="dxa"/>
          </w:tcPr>
          <w:p w14:paraId="4F743FE7" w14:textId="2166E120" w:rsidR="00CE6747" w:rsidRPr="003C4D08" w:rsidRDefault="00CE6747" w:rsidP="003C4D08">
            <w:pPr>
              <w:spacing w:before="40" w:after="40"/>
              <w:jc w:val="center"/>
              <w:rPr>
                <w:b/>
                <w:bCs/>
                <w:sz w:val="20"/>
                <w:szCs w:val="20"/>
              </w:rPr>
            </w:pPr>
            <w:r w:rsidRPr="003C4D08">
              <w:rPr>
                <w:b/>
                <w:bCs/>
                <w:sz w:val="20"/>
                <w:szCs w:val="20"/>
              </w:rPr>
              <w:t>Preferred/Alternative</w:t>
            </w:r>
          </w:p>
        </w:tc>
        <w:tc>
          <w:tcPr>
            <w:tcW w:w="6115" w:type="dxa"/>
          </w:tcPr>
          <w:p w14:paraId="39C46CD1" w14:textId="750E889D" w:rsidR="00CE6747" w:rsidRPr="003C4D08" w:rsidRDefault="00E249AB" w:rsidP="003C4D08">
            <w:pPr>
              <w:spacing w:before="40" w:after="40"/>
              <w:jc w:val="center"/>
              <w:rPr>
                <w:b/>
                <w:bCs/>
                <w:sz w:val="20"/>
                <w:szCs w:val="20"/>
              </w:rPr>
            </w:pPr>
            <w:r w:rsidRPr="003C4D08">
              <w:rPr>
                <w:b/>
                <w:bCs/>
                <w:sz w:val="20"/>
                <w:szCs w:val="20"/>
              </w:rPr>
              <w:t>Regimen*</w:t>
            </w:r>
            <w:r w:rsidRPr="00FC510C">
              <w:rPr>
                <w:b/>
                <w:bCs/>
                <w:sz w:val="20"/>
                <w:szCs w:val="20"/>
                <w:vertAlign w:val="superscript"/>
              </w:rPr>
              <w:t>†§</w:t>
            </w:r>
          </w:p>
        </w:tc>
      </w:tr>
      <w:tr w:rsidR="00E249AB" w14:paraId="34B667A2" w14:textId="77777777" w:rsidTr="00E249AB">
        <w:tc>
          <w:tcPr>
            <w:tcW w:w="2425" w:type="dxa"/>
          </w:tcPr>
          <w:p w14:paraId="658CB187" w14:textId="56BB3950" w:rsidR="00E249AB" w:rsidRPr="00F63EFE" w:rsidRDefault="00E249AB" w:rsidP="003C4D08">
            <w:pPr>
              <w:spacing w:before="40" w:after="40"/>
              <w:rPr>
                <w:b/>
                <w:bCs/>
                <w:sz w:val="20"/>
                <w:szCs w:val="20"/>
              </w:rPr>
            </w:pPr>
            <w:r w:rsidRPr="00F63EFE">
              <w:rPr>
                <w:b/>
                <w:bCs/>
                <w:sz w:val="20"/>
                <w:szCs w:val="20"/>
              </w:rPr>
              <w:t>Adults and adolescents aged ≥12 yrs</w:t>
            </w:r>
          </w:p>
        </w:tc>
        <w:tc>
          <w:tcPr>
            <w:tcW w:w="2250" w:type="dxa"/>
          </w:tcPr>
          <w:p w14:paraId="61837D14" w14:textId="0DE889D7" w:rsidR="00E249AB" w:rsidRDefault="002158EB" w:rsidP="003C4D08">
            <w:pPr>
              <w:spacing w:before="40" w:after="40"/>
              <w:rPr>
                <w:sz w:val="20"/>
                <w:szCs w:val="20"/>
              </w:rPr>
            </w:pPr>
            <w:r w:rsidRPr="002158EB">
              <w:rPr>
                <w:sz w:val="20"/>
                <w:szCs w:val="20"/>
              </w:rPr>
              <w:t>Preferred</w:t>
            </w:r>
          </w:p>
        </w:tc>
        <w:tc>
          <w:tcPr>
            <w:tcW w:w="6115" w:type="dxa"/>
          </w:tcPr>
          <w:p w14:paraId="513B3DF0" w14:textId="77777777" w:rsidR="002158EB" w:rsidRPr="003C4D08" w:rsidRDefault="002158EB" w:rsidP="003C4D08">
            <w:pPr>
              <w:spacing w:before="40" w:after="40"/>
              <w:rPr>
                <w:b/>
                <w:bCs/>
                <w:sz w:val="20"/>
                <w:szCs w:val="20"/>
              </w:rPr>
            </w:pPr>
            <w:r w:rsidRPr="003C4D08">
              <w:rPr>
                <w:b/>
                <w:bCs/>
                <w:sz w:val="20"/>
                <w:szCs w:val="20"/>
              </w:rPr>
              <w:t>Integrase strand transfer inhibitors PLUS two nucleoside reverse transcriptase inhibitors</w:t>
            </w:r>
          </w:p>
          <w:p w14:paraId="68C3F5C1" w14:textId="77777777" w:rsidR="002158EB" w:rsidRPr="002158EB" w:rsidRDefault="002158EB" w:rsidP="003C4D08">
            <w:pPr>
              <w:spacing w:before="40" w:after="40"/>
              <w:rPr>
                <w:sz w:val="20"/>
                <w:szCs w:val="20"/>
              </w:rPr>
            </w:pPr>
            <w:r w:rsidRPr="002158EB">
              <w:rPr>
                <w:sz w:val="20"/>
                <w:szCs w:val="20"/>
              </w:rPr>
              <w:t>• Bictegravir/emtricitabine/tenofovir alafenamide</w:t>
            </w:r>
          </w:p>
          <w:p w14:paraId="0C625DD5" w14:textId="40B7D796" w:rsidR="00E249AB" w:rsidRPr="00E249AB" w:rsidRDefault="002158EB" w:rsidP="003C4D08">
            <w:pPr>
              <w:spacing w:before="40" w:after="40"/>
              <w:rPr>
                <w:sz w:val="20"/>
                <w:szCs w:val="20"/>
              </w:rPr>
            </w:pPr>
            <w:r w:rsidRPr="002158EB">
              <w:rPr>
                <w:sz w:val="20"/>
                <w:szCs w:val="20"/>
              </w:rPr>
              <w:t>• Dolutegravir PLUS (tenofovir alafenamide OR tenofovir disoproxil fumarate) PLUS (emtricitabine OR lamivudine)</w:t>
            </w:r>
          </w:p>
        </w:tc>
      </w:tr>
      <w:tr w:rsidR="003C4D08" w14:paraId="3B6C8808" w14:textId="77777777" w:rsidTr="00E249AB">
        <w:tc>
          <w:tcPr>
            <w:tcW w:w="2425" w:type="dxa"/>
          </w:tcPr>
          <w:p w14:paraId="5CD42F4C" w14:textId="77777777" w:rsidR="003C4D08" w:rsidRPr="00F63EFE" w:rsidRDefault="003C4D08" w:rsidP="003C4D08">
            <w:pPr>
              <w:spacing w:before="40" w:after="40"/>
              <w:rPr>
                <w:b/>
                <w:bCs/>
                <w:sz w:val="20"/>
                <w:szCs w:val="20"/>
              </w:rPr>
            </w:pPr>
          </w:p>
        </w:tc>
        <w:tc>
          <w:tcPr>
            <w:tcW w:w="2250" w:type="dxa"/>
          </w:tcPr>
          <w:p w14:paraId="532758C4" w14:textId="286AD96B" w:rsidR="003C4D08" w:rsidRPr="002158EB" w:rsidRDefault="00D63A31" w:rsidP="003C4D08">
            <w:pPr>
              <w:spacing w:before="40" w:after="40"/>
              <w:rPr>
                <w:sz w:val="20"/>
                <w:szCs w:val="20"/>
              </w:rPr>
            </w:pPr>
            <w:r w:rsidRPr="00D63A31">
              <w:rPr>
                <w:sz w:val="20"/>
                <w:szCs w:val="20"/>
              </w:rPr>
              <w:t>Alternative</w:t>
            </w:r>
          </w:p>
        </w:tc>
        <w:tc>
          <w:tcPr>
            <w:tcW w:w="6115" w:type="dxa"/>
          </w:tcPr>
          <w:p w14:paraId="2D64D828" w14:textId="77777777" w:rsidR="00D63A31" w:rsidRPr="00D63A31" w:rsidRDefault="00D63A31" w:rsidP="00D63A31">
            <w:pPr>
              <w:spacing w:before="40" w:after="40"/>
              <w:rPr>
                <w:b/>
                <w:bCs/>
                <w:sz w:val="20"/>
                <w:szCs w:val="20"/>
              </w:rPr>
            </w:pPr>
            <w:r w:rsidRPr="00D63A31">
              <w:rPr>
                <w:b/>
                <w:bCs/>
                <w:sz w:val="20"/>
                <w:szCs w:val="20"/>
              </w:rPr>
              <w:t>Boosted protease inhibitor PLUS two nucleoside reverse transcriptase inhibitors</w:t>
            </w:r>
          </w:p>
          <w:p w14:paraId="27852F19" w14:textId="10C54296" w:rsidR="003C4D08" w:rsidRPr="003C4D08" w:rsidRDefault="00D63A31" w:rsidP="00D63A31">
            <w:pPr>
              <w:spacing w:before="40" w:after="40"/>
              <w:rPr>
                <w:b/>
                <w:bCs/>
                <w:sz w:val="20"/>
                <w:szCs w:val="20"/>
              </w:rPr>
            </w:pPr>
            <w:r w:rsidRPr="00D63A31">
              <w:rPr>
                <w:b/>
                <w:bCs/>
                <w:sz w:val="20"/>
                <w:szCs w:val="20"/>
              </w:rPr>
              <w:t xml:space="preserve">• </w:t>
            </w:r>
            <w:r w:rsidRPr="00D63A31">
              <w:rPr>
                <w:sz w:val="20"/>
                <w:szCs w:val="20"/>
              </w:rPr>
              <w:t>Darunavir and cobicistat OR darunavir and ritonavir PLUS (tenofovir alafenamide OR tenofovir disoproxil fumarate) PLUS (emtricitabine OR lamivudine)</w:t>
            </w:r>
          </w:p>
        </w:tc>
      </w:tr>
      <w:tr w:rsidR="00D63A31" w14:paraId="251C7DA5" w14:textId="77777777" w:rsidTr="00E249AB">
        <w:tc>
          <w:tcPr>
            <w:tcW w:w="2425" w:type="dxa"/>
          </w:tcPr>
          <w:p w14:paraId="3FCF169B" w14:textId="56812699" w:rsidR="00D63A31" w:rsidRPr="00F63EFE" w:rsidRDefault="006C4CAD" w:rsidP="003C4D08">
            <w:pPr>
              <w:spacing w:before="40" w:after="40"/>
              <w:rPr>
                <w:b/>
                <w:bCs/>
                <w:sz w:val="20"/>
                <w:szCs w:val="20"/>
              </w:rPr>
            </w:pPr>
            <w:r w:rsidRPr="00F63EFE">
              <w:rPr>
                <w:b/>
                <w:bCs/>
                <w:sz w:val="20"/>
                <w:szCs w:val="20"/>
              </w:rPr>
              <w:t>Pregnant person</w:t>
            </w:r>
          </w:p>
        </w:tc>
        <w:tc>
          <w:tcPr>
            <w:tcW w:w="2250" w:type="dxa"/>
          </w:tcPr>
          <w:p w14:paraId="06A30AA9" w14:textId="66E666F3" w:rsidR="00D63A31" w:rsidRPr="00D63A31" w:rsidRDefault="006C4CAD" w:rsidP="003C4D08">
            <w:pPr>
              <w:spacing w:before="40" w:after="40"/>
              <w:rPr>
                <w:sz w:val="20"/>
                <w:szCs w:val="20"/>
              </w:rPr>
            </w:pPr>
            <w:r w:rsidRPr="006C4CAD">
              <w:rPr>
                <w:sz w:val="20"/>
                <w:szCs w:val="20"/>
              </w:rPr>
              <w:t>Preferred</w:t>
            </w:r>
          </w:p>
        </w:tc>
        <w:tc>
          <w:tcPr>
            <w:tcW w:w="6115" w:type="dxa"/>
          </w:tcPr>
          <w:p w14:paraId="443515F0" w14:textId="77777777" w:rsidR="00406A19" w:rsidRPr="00406A19" w:rsidRDefault="00406A19" w:rsidP="00406A19">
            <w:pPr>
              <w:spacing w:before="40" w:after="40"/>
              <w:rPr>
                <w:b/>
                <w:bCs/>
                <w:sz w:val="20"/>
                <w:szCs w:val="20"/>
              </w:rPr>
            </w:pPr>
            <w:r w:rsidRPr="00406A19">
              <w:rPr>
                <w:b/>
                <w:bCs/>
                <w:sz w:val="20"/>
                <w:szCs w:val="20"/>
              </w:rPr>
              <w:t>Integrase strand transfer inhibitors PLUS two nucleoside reverse transcriptase inhibitors</w:t>
            </w:r>
          </w:p>
          <w:p w14:paraId="439764D7" w14:textId="77777777" w:rsidR="00406A19" w:rsidRPr="005C5862" w:rsidRDefault="00406A19" w:rsidP="00406A19">
            <w:pPr>
              <w:spacing w:before="40" w:after="40"/>
              <w:rPr>
                <w:sz w:val="20"/>
                <w:szCs w:val="20"/>
              </w:rPr>
            </w:pPr>
            <w:r w:rsidRPr="00406A19">
              <w:rPr>
                <w:b/>
                <w:bCs/>
                <w:sz w:val="20"/>
                <w:szCs w:val="20"/>
              </w:rPr>
              <w:t xml:space="preserve">• </w:t>
            </w:r>
            <w:r w:rsidRPr="005C5862">
              <w:rPr>
                <w:sz w:val="20"/>
                <w:szCs w:val="20"/>
              </w:rPr>
              <w:t>Bictegravir/emtricitabine/tenofovir alafenamide</w:t>
            </w:r>
          </w:p>
          <w:p w14:paraId="37DC9A69" w14:textId="22045EFA" w:rsidR="00D63A31" w:rsidRPr="003C4D08" w:rsidRDefault="00406A19" w:rsidP="00406A19">
            <w:pPr>
              <w:spacing w:before="40" w:after="40"/>
              <w:rPr>
                <w:b/>
                <w:bCs/>
                <w:sz w:val="20"/>
                <w:szCs w:val="20"/>
              </w:rPr>
            </w:pPr>
            <w:r w:rsidRPr="005C5862">
              <w:rPr>
                <w:sz w:val="20"/>
                <w:szCs w:val="20"/>
              </w:rPr>
              <w:t>• Dolutegravir PLUS (tenofovir alafenamide OR tenofovir disoproxil fumarate) PLUS (emtricitabine OR lamivudine)</w:t>
            </w:r>
          </w:p>
        </w:tc>
      </w:tr>
      <w:tr w:rsidR="00D63A31" w14:paraId="0BACCBDC" w14:textId="77777777" w:rsidTr="00E249AB">
        <w:tc>
          <w:tcPr>
            <w:tcW w:w="2425" w:type="dxa"/>
          </w:tcPr>
          <w:p w14:paraId="72219EA8" w14:textId="77777777" w:rsidR="00D63A31" w:rsidRPr="00F63EFE" w:rsidRDefault="00D63A31" w:rsidP="003C4D08">
            <w:pPr>
              <w:spacing w:before="40" w:after="40"/>
              <w:rPr>
                <w:b/>
                <w:bCs/>
                <w:sz w:val="20"/>
                <w:szCs w:val="20"/>
              </w:rPr>
            </w:pPr>
          </w:p>
        </w:tc>
        <w:tc>
          <w:tcPr>
            <w:tcW w:w="2250" w:type="dxa"/>
          </w:tcPr>
          <w:p w14:paraId="0ED09808" w14:textId="357C2AD7" w:rsidR="00D63A31" w:rsidRPr="00D63A31" w:rsidRDefault="00F63EFE" w:rsidP="003C4D08">
            <w:pPr>
              <w:spacing w:before="40" w:after="40"/>
              <w:rPr>
                <w:sz w:val="20"/>
                <w:szCs w:val="20"/>
              </w:rPr>
            </w:pPr>
            <w:r w:rsidRPr="00F63EFE">
              <w:rPr>
                <w:sz w:val="20"/>
                <w:szCs w:val="20"/>
              </w:rPr>
              <w:t>Alternative</w:t>
            </w:r>
          </w:p>
        </w:tc>
        <w:tc>
          <w:tcPr>
            <w:tcW w:w="6115" w:type="dxa"/>
          </w:tcPr>
          <w:p w14:paraId="610DB5D8" w14:textId="1CA9FB4D" w:rsidR="005C5862" w:rsidRPr="005C5862" w:rsidRDefault="005C5862" w:rsidP="005C5862">
            <w:pPr>
              <w:spacing w:before="40" w:after="40"/>
              <w:rPr>
                <w:b/>
                <w:bCs/>
                <w:sz w:val="20"/>
                <w:szCs w:val="20"/>
              </w:rPr>
            </w:pPr>
            <w:r w:rsidRPr="005C5862">
              <w:rPr>
                <w:b/>
                <w:bCs/>
                <w:sz w:val="20"/>
                <w:szCs w:val="20"/>
              </w:rPr>
              <w:t>Integrase strand transfer inhibitors PLUS two nucleoside reverse transcriptase inhibitors</w:t>
            </w:r>
            <w:r w:rsidR="007E77B3">
              <w:rPr>
                <w:b/>
                <w:bCs/>
                <w:sz w:val="20"/>
                <w:szCs w:val="20"/>
              </w:rPr>
              <w:t xml:space="preserve">. </w:t>
            </w:r>
            <w:r w:rsidRPr="005C5862">
              <w:rPr>
                <w:b/>
                <w:bCs/>
                <w:sz w:val="20"/>
                <w:szCs w:val="20"/>
              </w:rPr>
              <w:t xml:space="preserve"> Boosted protease inhibitor PLUS two nucleoside reverse transcriptase inhibitors</w:t>
            </w:r>
          </w:p>
          <w:p w14:paraId="73652E44" w14:textId="6606121B" w:rsidR="00D63A31" w:rsidRPr="003C4D08" w:rsidRDefault="005C5862" w:rsidP="005C5862">
            <w:pPr>
              <w:spacing w:before="40" w:after="40"/>
              <w:rPr>
                <w:b/>
                <w:bCs/>
                <w:sz w:val="20"/>
                <w:szCs w:val="20"/>
              </w:rPr>
            </w:pPr>
            <w:r w:rsidRPr="005C5862">
              <w:rPr>
                <w:b/>
                <w:bCs/>
                <w:sz w:val="20"/>
                <w:szCs w:val="20"/>
              </w:rPr>
              <w:t xml:space="preserve">• </w:t>
            </w:r>
            <w:r w:rsidRPr="005C5862">
              <w:rPr>
                <w:sz w:val="20"/>
                <w:szCs w:val="20"/>
              </w:rPr>
              <w:t>Darunavir and ritonavir (twice daily) PLUS (tenofovir alafenamide OR tenofovir disoproxil fumarate) PLUS (emtricitabine OR lamivudine)</w:t>
            </w:r>
          </w:p>
        </w:tc>
      </w:tr>
      <w:tr w:rsidR="00D63A31" w14:paraId="74031C2F" w14:textId="77777777" w:rsidTr="00E249AB">
        <w:tc>
          <w:tcPr>
            <w:tcW w:w="2425" w:type="dxa"/>
          </w:tcPr>
          <w:p w14:paraId="7832D61E" w14:textId="56834C37" w:rsidR="00D63A31" w:rsidRPr="00F63EFE" w:rsidRDefault="008F2843" w:rsidP="003C4D08">
            <w:pPr>
              <w:spacing w:before="40" w:after="40"/>
              <w:rPr>
                <w:b/>
                <w:bCs/>
                <w:sz w:val="20"/>
                <w:szCs w:val="20"/>
              </w:rPr>
            </w:pPr>
            <w:r w:rsidRPr="008F2843">
              <w:rPr>
                <w:b/>
                <w:bCs/>
                <w:sz w:val="20"/>
                <w:szCs w:val="20"/>
              </w:rPr>
              <w:t>Children aged ≥2 yrs to 12 yrs</w:t>
            </w:r>
          </w:p>
        </w:tc>
        <w:tc>
          <w:tcPr>
            <w:tcW w:w="2250" w:type="dxa"/>
          </w:tcPr>
          <w:p w14:paraId="514D22F3" w14:textId="65A1D140" w:rsidR="00D63A31" w:rsidRPr="00D63A31" w:rsidRDefault="008F2843" w:rsidP="003C4D08">
            <w:pPr>
              <w:spacing w:before="40" w:after="40"/>
              <w:rPr>
                <w:sz w:val="20"/>
                <w:szCs w:val="20"/>
              </w:rPr>
            </w:pPr>
            <w:r w:rsidRPr="008F2843">
              <w:rPr>
                <w:sz w:val="20"/>
                <w:szCs w:val="20"/>
              </w:rPr>
              <w:t>Preferred</w:t>
            </w:r>
          </w:p>
        </w:tc>
        <w:tc>
          <w:tcPr>
            <w:tcW w:w="6115" w:type="dxa"/>
          </w:tcPr>
          <w:p w14:paraId="1942C04A" w14:textId="77777777" w:rsidR="00A40A2D" w:rsidRPr="00A40A2D" w:rsidRDefault="00A40A2D" w:rsidP="00A40A2D">
            <w:pPr>
              <w:spacing w:before="40" w:after="40"/>
              <w:rPr>
                <w:b/>
                <w:bCs/>
                <w:sz w:val="20"/>
                <w:szCs w:val="20"/>
              </w:rPr>
            </w:pPr>
            <w:r w:rsidRPr="00A40A2D">
              <w:rPr>
                <w:b/>
                <w:bCs/>
                <w:sz w:val="20"/>
                <w:szCs w:val="20"/>
              </w:rPr>
              <w:t>Integrase strand transfer inhibitors PLUS two nucleoside reverse transcriptase inhibitors</w:t>
            </w:r>
          </w:p>
          <w:p w14:paraId="30D78FD4" w14:textId="77777777" w:rsidR="00A40A2D" w:rsidRPr="00A40A2D" w:rsidRDefault="00A40A2D" w:rsidP="00A40A2D">
            <w:pPr>
              <w:spacing w:before="40" w:after="40"/>
              <w:rPr>
                <w:sz w:val="20"/>
                <w:szCs w:val="20"/>
              </w:rPr>
            </w:pPr>
            <w:r w:rsidRPr="00A40A2D">
              <w:rPr>
                <w:sz w:val="20"/>
                <w:szCs w:val="20"/>
              </w:rPr>
              <w:t>• Bictegravir/emtricitabine/tenofovir alafenamide (≥14 kg)</w:t>
            </w:r>
            <w:r w:rsidRPr="00FC510C">
              <w:rPr>
                <w:sz w:val="20"/>
                <w:szCs w:val="20"/>
                <w:vertAlign w:val="superscript"/>
              </w:rPr>
              <w:t>¶</w:t>
            </w:r>
          </w:p>
          <w:p w14:paraId="1742AD68" w14:textId="58B593A7" w:rsidR="00D63A31" w:rsidRPr="003C4D08" w:rsidRDefault="00A40A2D" w:rsidP="00A40A2D">
            <w:pPr>
              <w:spacing w:before="40" w:after="40"/>
              <w:rPr>
                <w:b/>
                <w:bCs/>
                <w:sz w:val="20"/>
                <w:szCs w:val="20"/>
              </w:rPr>
            </w:pPr>
            <w:r w:rsidRPr="00A40A2D">
              <w:rPr>
                <w:sz w:val="20"/>
                <w:szCs w:val="20"/>
              </w:rPr>
              <w:t>• Dolutegravir PLUS (tenofovir alafenamide OR tenofovir disoproxil fumarate) PLUS (emtricitabine OR lamivudine)</w:t>
            </w:r>
          </w:p>
        </w:tc>
      </w:tr>
      <w:tr w:rsidR="00D63A31" w14:paraId="1134E6F5" w14:textId="77777777" w:rsidTr="00E249AB">
        <w:tc>
          <w:tcPr>
            <w:tcW w:w="2425" w:type="dxa"/>
          </w:tcPr>
          <w:p w14:paraId="084E1996" w14:textId="77777777" w:rsidR="00D63A31" w:rsidRPr="00F63EFE" w:rsidRDefault="00D63A31" w:rsidP="003C4D08">
            <w:pPr>
              <w:spacing w:before="40" w:after="40"/>
              <w:rPr>
                <w:b/>
                <w:bCs/>
                <w:sz w:val="20"/>
                <w:szCs w:val="20"/>
              </w:rPr>
            </w:pPr>
          </w:p>
        </w:tc>
        <w:tc>
          <w:tcPr>
            <w:tcW w:w="2250" w:type="dxa"/>
          </w:tcPr>
          <w:p w14:paraId="373848E3" w14:textId="36AFE223" w:rsidR="00D63A31" w:rsidRPr="00D63A31" w:rsidRDefault="00A40A2D" w:rsidP="003C4D08">
            <w:pPr>
              <w:spacing w:before="40" w:after="40"/>
              <w:rPr>
                <w:sz w:val="20"/>
                <w:szCs w:val="20"/>
              </w:rPr>
            </w:pPr>
            <w:r w:rsidRPr="00A40A2D">
              <w:rPr>
                <w:sz w:val="20"/>
                <w:szCs w:val="20"/>
              </w:rPr>
              <w:t>Alternative</w:t>
            </w:r>
          </w:p>
        </w:tc>
        <w:tc>
          <w:tcPr>
            <w:tcW w:w="6115" w:type="dxa"/>
          </w:tcPr>
          <w:p w14:paraId="4C22D4EB" w14:textId="77777777" w:rsidR="00162640" w:rsidRPr="00162640" w:rsidRDefault="00162640" w:rsidP="00162640">
            <w:pPr>
              <w:spacing w:before="40" w:after="40"/>
              <w:rPr>
                <w:b/>
                <w:bCs/>
                <w:sz w:val="20"/>
                <w:szCs w:val="20"/>
              </w:rPr>
            </w:pPr>
            <w:r w:rsidRPr="00162640">
              <w:rPr>
                <w:b/>
                <w:bCs/>
                <w:sz w:val="20"/>
                <w:szCs w:val="20"/>
              </w:rPr>
              <w:t>Boosted protease inhibitor PLUS two nucleoside reverse transcriptase inhibitors</w:t>
            </w:r>
          </w:p>
          <w:p w14:paraId="6F4F1296" w14:textId="77777777" w:rsidR="00162640" w:rsidRPr="00162640" w:rsidRDefault="00162640" w:rsidP="00162640">
            <w:pPr>
              <w:spacing w:before="40" w:after="40"/>
              <w:rPr>
                <w:sz w:val="20"/>
                <w:szCs w:val="20"/>
              </w:rPr>
            </w:pPr>
            <w:r w:rsidRPr="00162640">
              <w:rPr>
                <w:sz w:val="20"/>
                <w:szCs w:val="20"/>
              </w:rPr>
              <w:t>• Darunavir and ritonavir (aged ≥3 yrs and ≥10 kg) PLUS (tenofovir alafenamide OR tenofovir disoproxil fumarate) PLUS (emtricitabine OR lamivudine)**</w:t>
            </w:r>
          </w:p>
          <w:p w14:paraId="05510B8E" w14:textId="4788EED1" w:rsidR="00D63A31" w:rsidRPr="003C4D08" w:rsidRDefault="00162640" w:rsidP="00162640">
            <w:pPr>
              <w:spacing w:before="40" w:after="40"/>
              <w:rPr>
                <w:b/>
                <w:bCs/>
                <w:sz w:val="20"/>
                <w:szCs w:val="20"/>
              </w:rPr>
            </w:pPr>
            <w:r w:rsidRPr="00162640">
              <w:rPr>
                <w:sz w:val="20"/>
                <w:szCs w:val="20"/>
              </w:rPr>
              <w:t>• Lopinavir and ritonavir PLUS (tenofovir alafenamide OR tenofovir disoproxil fumarate) PLUS (emtricitabine OR lamivudine</w:t>
            </w:r>
            <w:r w:rsidRPr="00162640">
              <w:rPr>
                <w:b/>
                <w:bCs/>
                <w:sz w:val="20"/>
                <w:szCs w:val="20"/>
              </w:rPr>
              <w:t>)</w:t>
            </w:r>
            <w:r w:rsidRPr="00FC510C">
              <w:rPr>
                <w:b/>
                <w:bCs/>
                <w:sz w:val="20"/>
                <w:szCs w:val="20"/>
                <w:vertAlign w:val="superscript"/>
              </w:rPr>
              <w:t>¶</w:t>
            </w:r>
          </w:p>
        </w:tc>
      </w:tr>
    </w:tbl>
    <w:p w14:paraId="2FBD2B12" w14:textId="77777777" w:rsidR="004F3250" w:rsidRDefault="004F3250" w:rsidP="004F3250">
      <w:pPr>
        <w:spacing w:after="0" w:line="240" w:lineRule="auto"/>
        <w:rPr>
          <w:sz w:val="20"/>
          <w:szCs w:val="20"/>
        </w:rPr>
      </w:pPr>
    </w:p>
    <w:p w14:paraId="798DC538" w14:textId="77777777" w:rsidR="006747A8" w:rsidRPr="006747A8" w:rsidRDefault="006747A8" w:rsidP="006747A8">
      <w:pPr>
        <w:autoSpaceDE w:val="0"/>
        <w:autoSpaceDN w:val="0"/>
        <w:adjustRightInd w:val="0"/>
        <w:spacing w:after="0" w:line="240" w:lineRule="auto"/>
        <w:rPr>
          <w:rFonts w:cs="Arial"/>
          <w:color w:val="000000"/>
          <w:kern w:val="0"/>
          <w:sz w:val="14"/>
          <w:szCs w:val="14"/>
        </w:rPr>
      </w:pPr>
      <w:r w:rsidRPr="006747A8">
        <w:rPr>
          <w:rFonts w:cs="Arial"/>
          <w:b/>
          <w:bCs/>
          <w:color w:val="221F1F"/>
          <w:kern w:val="0"/>
          <w:sz w:val="14"/>
          <w:szCs w:val="14"/>
        </w:rPr>
        <w:t xml:space="preserve">Abbreviations: </w:t>
      </w:r>
      <w:r w:rsidRPr="006747A8">
        <w:rPr>
          <w:rFonts w:cs="Arial"/>
          <w:color w:val="221F1F"/>
          <w:kern w:val="0"/>
          <w:sz w:val="14"/>
          <w:szCs w:val="14"/>
        </w:rPr>
        <w:t xml:space="preserve">ARV = antiretroviral; FDC = fixed-dose combination; NCCC = National Clinician Consultation Center; nPEP = nonoccupational postexposure prophylaxis. </w:t>
      </w:r>
    </w:p>
    <w:p w14:paraId="4ED3F1A6" w14:textId="77777777" w:rsidR="006747A8" w:rsidRPr="006747A8" w:rsidRDefault="006747A8" w:rsidP="006747A8">
      <w:pPr>
        <w:autoSpaceDE w:val="0"/>
        <w:autoSpaceDN w:val="0"/>
        <w:adjustRightInd w:val="0"/>
        <w:spacing w:after="0" w:line="240" w:lineRule="auto"/>
        <w:rPr>
          <w:rFonts w:cs="Arial"/>
          <w:color w:val="221F1F"/>
          <w:kern w:val="0"/>
          <w:sz w:val="14"/>
          <w:szCs w:val="14"/>
        </w:rPr>
      </w:pPr>
      <w:r w:rsidRPr="006747A8">
        <w:rPr>
          <w:rFonts w:cs="Arial"/>
          <w:color w:val="221F1F"/>
          <w:kern w:val="0"/>
          <w:sz w:val="14"/>
          <w:szCs w:val="14"/>
        </w:rPr>
        <w:t xml:space="preserve">* The following are available as single tablet complete nPEP regimens: bictegravir/emtricitabine/tenofovir alafenamide (BIC/FTC/TAF; a preferred regimen) and darunavir/cobicistat/tenofovir alafenamide /emtricitabine (DRV/c/TAF/FTC; an alternative regimen). Generic drug forms are available for darunavir (DRV), ritonavir (RTV), tenofovir disoproxil fumarate (TDF)/emtricitabine (FTC), TDF/lamivudine (3TC), and 3TC. See Table 6 for additional prescribing information including other combination products. Antiviral potency, tolerability, client preferences, cost, and access are all considerations when selecting an nPEP regimen. Health care professionals unfamiliar with these medications should use local infectious diseases or other expert consultation resources or consult the NCCC PEPline at 888-448-4911 or https://nccc.ucsf.edu/clinician-consultation/pep-post-exposure-prophylaxis or the Perinatal HIV Line at 888-448-8765 or https://nccc.ucsf.edu/ clinician-consultation/perinatal-hiv-aids. </w:t>
      </w:r>
    </w:p>
    <w:p w14:paraId="33EA5455" w14:textId="77777777" w:rsidR="006747A8" w:rsidRPr="006747A8" w:rsidRDefault="006747A8" w:rsidP="006747A8">
      <w:pPr>
        <w:autoSpaceDE w:val="0"/>
        <w:autoSpaceDN w:val="0"/>
        <w:adjustRightInd w:val="0"/>
        <w:spacing w:after="0" w:line="240" w:lineRule="auto"/>
        <w:rPr>
          <w:rFonts w:cs="Arial"/>
          <w:color w:val="000000"/>
          <w:kern w:val="0"/>
          <w:sz w:val="14"/>
          <w:szCs w:val="14"/>
        </w:rPr>
      </w:pPr>
      <w:r w:rsidRPr="006747A8">
        <w:rPr>
          <w:rFonts w:cs="Arial"/>
          <w:color w:val="221F1F"/>
          <w:kern w:val="0"/>
          <w:sz w:val="14"/>
          <w:szCs w:val="14"/>
        </w:rPr>
        <w:t xml:space="preserve">† Regimens within categories are listed in alphabetical order and not according to preference. </w:t>
      </w:r>
    </w:p>
    <w:p w14:paraId="3FB2115A" w14:textId="77777777" w:rsidR="006747A8" w:rsidRPr="006747A8" w:rsidRDefault="006747A8" w:rsidP="006747A8">
      <w:pPr>
        <w:autoSpaceDE w:val="0"/>
        <w:autoSpaceDN w:val="0"/>
        <w:adjustRightInd w:val="0"/>
        <w:spacing w:after="0" w:line="240" w:lineRule="auto"/>
        <w:rPr>
          <w:rFonts w:cs="Arial"/>
          <w:color w:val="000000"/>
          <w:kern w:val="0"/>
          <w:sz w:val="14"/>
          <w:szCs w:val="14"/>
        </w:rPr>
      </w:pPr>
      <w:r w:rsidRPr="006747A8">
        <w:rPr>
          <w:rFonts w:cs="Arial"/>
          <w:color w:val="221F1F"/>
          <w:kern w:val="0"/>
          <w:sz w:val="14"/>
          <w:szCs w:val="14"/>
        </w:rPr>
        <w:t xml:space="preserve">§ All listed medications in this table are off-label use for nPEP. </w:t>
      </w:r>
    </w:p>
    <w:p w14:paraId="2D5086AF" w14:textId="77777777" w:rsidR="006747A8" w:rsidRPr="006747A8" w:rsidRDefault="006747A8" w:rsidP="006747A8">
      <w:pPr>
        <w:autoSpaceDE w:val="0"/>
        <w:autoSpaceDN w:val="0"/>
        <w:adjustRightInd w:val="0"/>
        <w:spacing w:after="0" w:line="240" w:lineRule="auto"/>
        <w:rPr>
          <w:rFonts w:cs="Arial"/>
          <w:color w:val="000000"/>
          <w:kern w:val="0"/>
          <w:sz w:val="14"/>
          <w:szCs w:val="14"/>
        </w:rPr>
      </w:pPr>
      <w:r w:rsidRPr="006747A8">
        <w:rPr>
          <w:rFonts w:cs="Arial"/>
          <w:color w:val="221F1F"/>
          <w:kern w:val="0"/>
          <w:sz w:val="14"/>
          <w:szCs w:val="14"/>
        </w:rPr>
        <w:t xml:space="preserve">¶ Bictegravir (BIC) is available only as part of a FDC tablet that contains BIC/TAF/FTC; this FDC tablet is recommended as a preferred regimen for children aged ≥2 years and weighing ≥14 kg. Two strengths of BIC/TAF/FTC are available, with dosing according to a child’s weight. </w:t>
      </w:r>
    </w:p>
    <w:p w14:paraId="541A431A" w14:textId="054BAB03" w:rsidR="002A70D9" w:rsidRDefault="006747A8" w:rsidP="006747A8">
      <w:pPr>
        <w:spacing w:after="0" w:line="240" w:lineRule="auto"/>
        <w:rPr>
          <w:sz w:val="20"/>
          <w:szCs w:val="20"/>
        </w:rPr>
      </w:pPr>
      <w:r w:rsidRPr="006747A8">
        <w:rPr>
          <w:rFonts w:cs="Arial"/>
          <w:color w:val="221F1F"/>
          <w:kern w:val="0"/>
          <w:sz w:val="14"/>
          <w:szCs w:val="14"/>
        </w:rPr>
        <w:t>** TAF/FTC should not be used with a boosted protease inhibitor if weight is &lt;35kg.</w:t>
      </w:r>
    </w:p>
    <w:p w14:paraId="367C817F" w14:textId="081AC251" w:rsidR="006747A8" w:rsidRDefault="006747A8">
      <w:pPr>
        <w:rPr>
          <w:sz w:val="20"/>
          <w:szCs w:val="20"/>
        </w:rPr>
      </w:pPr>
      <w:r>
        <w:rPr>
          <w:sz w:val="20"/>
          <w:szCs w:val="20"/>
        </w:rPr>
        <w:br w:type="page"/>
      </w:r>
    </w:p>
    <w:p w14:paraId="059D4AE9" w14:textId="77777777" w:rsidR="001A0C6A" w:rsidRDefault="001A0C6A" w:rsidP="00C438AC">
      <w:pPr>
        <w:spacing w:after="0" w:line="240" w:lineRule="auto"/>
        <w:rPr>
          <w:sz w:val="20"/>
          <w:szCs w:val="20"/>
        </w:rPr>
      </w:pPr>
    </w:p>
    <w:p w14:paraId="6FDA2651" w14:textId="380EBB76" w:rsidR="006747A8" w:rsidRPr="0015544D" w:rsidRDefault="00104068" w:rsidP="00C438AC">
      <w:pPr>
        <w:spacing w:after="0" w:line="240" w:lineRule="auto"/>
        <w:rPr>
          <w:b/>
          <w:bCs/>
          <w:u w:val="single"/>
        </w:rPr>
      </w:pPr>
      <w:r w:rsidRPr="0015544D">
        <w:rPr>
          <w:b/>
          <w:bCs/>
          <w:u w:val="single"/>
        </w:rPr>
        <w:t>Additional HIV nPEP Medication Information</w:t>
      </w:r>
    </w:p>
    <w:p w14:paraId="4E814930" w14:textId="77777777" w:rsidR="00104068" w:rsidRDefault="00104068" w:rsidP="00C438AC">
      <w:pPr>
        <w:spacing w:after="0" w:line="240" w:lineRule="auto"/>
        <w:rPr>
          <w:b/>
          <w:bCs/>
          <w:sz w:val="20"/>
          <w:szCs w:val="20"/>
        </w:rPr>
      </w:pPr>
    </w:p>
    <w:p w14:paraId="797F98EB" w14:textId="5DAAE9C4" w:rsidR="00104068" w:rsidRPr="0015544D" w:rsidRDefault="00104068" w:rsidP="00C438AC">
      <w:pPr>
        <w:spacing w:after="0" w:line="240" w:lineRule="auto"/>
        <w:rPr>
          <w:b/>
          <w:bCs/>
        </w:rPr>
      </w:pPr>
      <w:r w:rsidRPr="0015544D">
        <w:rPr>
          <w:b/>
          <w:bCs/>
        </w:rPr>
        <w:t>HIV Prophylaxis #1 – Preferred Regimen</w:t>
      </w:r>
    </w:p>
    <w:tbl>
      <w:tblPr>
        <w:tblStyle w:val="TableGrid"/>
        <w:tblW w:w="0" w:type="auto"/>
        <w:tblLook w:val="04A0" w:firstRow="1" w:lastRow="0" w:firstColumn="1" w:lastColumn="0" w:noHBand="0" w:noVBand="1"/>
      </w:tblPr>
      <w:tblGrid>
        <w:gridCol w:w="2335"/>
        <w:gridCol w:w="8455"/>
      </w:tblGrid>
      <w:tr w:rsidR="006C6664" w:rsidRPr="00972B8A" w14:paraId="331BDEBB" w14:textId="77777777" w:rsidTr="004C7DF3">
        <w:tc>
          <w:tcPr>
            <w:tcW w:w="2335" w:type="dxa"/>
            <w:tcBorders>
              <w:right w:val="nil"/>
            </w:tcBorders>
          </w:tcPr>
          <w:p w14:paraId="7794CB49" w14:textId="77777777" w:rsidR="006C6664" w:rsidRPr="0015544D" w:rsidRDefault="006C6664" w:rsidP="00184785">
            <w:pPr>
              <w:spacing w:before="20" w:after="20"/>
            </w:pPr>
            <w:r w:rsidRPr="0015544D">
              <w:t>Medications:</w:t>
            </w:r>
          </w:p>
        </w:tc>
        <w:tc>
          <w:tcPr>
            <w:tcW w:w="8455" w:type="dxa"/>
            <w:tcBorders>
              <w:left w:val="nil"/>
            </w:tcBorders>
          </w:tcPr>
          <w:p w14:paraId="2247AF46" w14:textId="63136B8B" w:rsidR="006C6664" w:rsidRPr="0015544D" w:rsidRDefault="00C204D0" w:rsidP="00184785">
            <w:pPr>
              <w:spacing w:before="20" w:after="20"/>
            </w:pPr>
            <w:r w:rsidRPr="0015544D">
              <w:rPr>
                <w:b/>
                <w:bCs/>
                <w:i/>
                <w:iCs/>
              </w:rPr>
              <w:t xml:space="preserve">Bictarvy </w:t>
            </w:r>
            <w:r w:rsidRPr="0015544D">
              <w:t>(no generic available)</w:t>
            </w:r>
          </w:p>
        </w:tc>
      </w:tr>
      <w:tr w:rsidR="006C6664" w:rsidRPr="00972B8A" w14:paraId="7BB577B8" w14:textId="77777777" w:rsidTr="004C7DF3">
        <w:tc>
          <w:tcPr>
            <w:tcW w:w="2335" w:type="dxa"/>
            <w:tcBorders>
              <w:right w:val="nil"/>
            </w:tcBorders>
          </w:tcPr>
          <w:p w14:paraId="4F3C7EA7" w14:textId="0A43BB10" w:rsidR="006C6664" w:rsidRPr="0015544D" w:rsidRDefault="006C6664" w:rsidP="00184785">
            <w:pPr>
              <w:spacing w:before="20" w:after="20"/>
            </w:pPr>
            <w:r w:rsidRPr="0015544D">
              <w:t>Dosage:</w:t>
            </w:r>
          </w:p>
        </w:tc>
        <w:tc>
          <w:tcPr>
            <w:tcW w:w="8455" w:type="dxa"/>
            <w:tcBorders>
              <w:left w:val="nil"/>
            </w:tcBorders>
          </w:tcPr>
          <w:p w14:paraId="5ED3BAE3" w14:textId="2BE2156E" w:rsidR="006C6664" w:rsidRPr="0015544D" w:rsidRDefault="00C204D0" w:rsidP="00184785">
            <w:pPr>
              <w:spacing w:before="20" w:after="20"/>
            </w:pPr>
            <w:r w:rsidRPr="0015544D">
              <w:t>1 po daily; (50mg bictegravir + 25mg tenofovir alafenamide + 200mg emtricitabine)</w:t>
            </w:r>
          </w:p>
        </w:tc>
      </w:tr>
      <w:tr w:rsidR="006C6664" w:rsidRPr="00972B8A" w14:paraId="4F43D6BA" w14:textId="77777777" w:rsidTr="004C7DF3">
        <w:tc>
          <w:tcPr>
            <w:tcW w:w="2335" w:type="dxa"/>
            <w:tcBorders>
              <w:right w:val="nil"/>
            </w:tcBorders>
          </w:tcPr>
          <w:p w14:paraId="1EE0F3AC" w14:textId="77777777" w:rsidR="006C6664" w:rsidRPr="0015544D" w:rsidRDefault="006C6664" w:rsidP="00184785">
            <w:pPr>
              <w:spacing w:before="20" w:after="20"/>
            </w:pPr>
            <w:r w:rsidRPr="0015544D">
              <w:t>Indicated for Rx of:</w:t>
            </w:r>
          </w:p>
        </w:tc>
        <w:tc>
          <w:tcPr>
            <w:tcW w:w="8455" w:type="dxa"/>
            <w:tcBorders>
              <w:left w:val="nil"/>
            </w:tcBorders>
          </w:tcPr>
          <w:p w14:paraId="36F0CF0C" w14:textId="72C4F869" w:rsidR="006C6664" w:rsidRPr="0015544D" w:rsidRDefault="00C204D0" w:rsidP="00184785">
            <w:pPr>
              <w:spacing w:before="20" w:after="20"/>
            </w:pPr>
            <w:r w:rsidRPr="0015544D">
              <w:t>Prevention of HIV infection following non-occupational exposure</w:t>
            </w:r>
          </w:p>
        </w:tc>
      </w:tr>
      <w:tr w:rsidR="006C6664" w:rsidRPr="00972B8A" w14:paraId="6062FAE7" w14:textId="77777777" w:rsidTr="004C7DF3">
        <w:tc>
          <w:tcPr>
            <w:tcW w:w="2335" w:type="dxa"/>
            <w:tcBorders>
              <w:right w:val="nil"/>
            </w:tcBorders>
          </w:tcPr>
          <w:p w14:paraId="78916F77" w14:textId="77777777" w:rsidR="006C6664" w:rsidRPr="0015544D" w:rsidRDefault="006C6664" w:rsidP="00184785">
            <w:pPr>
              <w:spacing w:before="20" w:after="20"/>
            </w:pPr>
            <w:r w:rsidRPr="0015544D">
              <w:t>Safe for:</w:t>
            </w:r>
          </w:p>
        </w:tc>
        <w:tc>
          <w:tcPr>
            <w:tcW w:w="8455" w:type="dxa"/>
            <w:tcBorders>
              <w:left w:val="nil"/>
            </w:tcBorders>
          </w:tcPr>
          <w:p w14:paraId="7E6E1685" w14:textId="0E5DF5F9" w:rsidR="006C6664" w:rsidRPr="0015544D" w:rsidRDefault="000805E6" w:rsidP="00184785">
            <w:pPr>
              <w:spacing w:before="20" w:after="20"/>
            </w:pPr>
            <w:r>
              <w:t xml:space="preserve">Adults, </w:t>
            </w:r>
            <w:r w:rsidR="00005D2C" w:rsidRPr="0015544D">
              <w:t>Pregnant persons, and adolescents 12 or older</w:t>
            </w:r>
          </w:p>
        </w:tc>
      </w:tr>
      <w:tr w:rsidR="006C6664" w:rsidRPr="00972B8A" w14:paraId="16055306" w14:textId="77777777" w:rsidTr="004C7DF3">
        <w:tc>
          <w:tcPr>
            <w:tcW w:w="2335" w:type="dxa"/>
            <w:tcBorders>
              <w:right w:val="nil"/>
            </w:tcBorders>
          </w:tcPr>
          <w:p w14:paraId="5040633B" w14:textId="77777777" w:rsidR="006C6664" w:rsidRPr="0015544D" w:rsidRDefault="006C6664" w:rsidP="00184785">
            <w:pPr>
              <w:spacing w:before="20" w:after="20"/>
            </w:pPr>
            <w:r w:rsidRPr="0015544D">
              <w:t>Contraindications:</w:t>
            </w:r>
          </w:p>
        </w:tc>
        <w:tc>
          <w:tcPr>
            <w:tcW w:w="8455" w:type="dxa"/>
            <w:tcBorders>
              <w:left w:val="nil"/>
            </w:tcBorders>
          </w:tcPr>
          <w:p w14:paraId="512BBD2D" w14:textId="759DE6C9" w:rsidR="006C6664" w:rsidRPr="0015544D" w:rsidRDefault="00005D2C" w:rsidP="00184785">
            <w:pPr>
              <w:spacing w:before="20" w:after="20"/>
            </w:pPr>
            <w:r w:rsidRPr="0015544D">
              <w:t>Do not take with dofetilide or rifampin; Potential exacerbation of HBV infection</w:t>
            </w:r>
          </w:p>
        </w:tc>
      </w:tr>
      <w:tr w:rsidR="006C6664" w:rsidRPr="00972B8A" w14:paraId="6AB791CB" w14:textId="77777777" w:rsidTr="004C7DF3">
        <w:tc>
          <w:tcPr>
            <w:tcW w:w="2335" w:type="dxa"/>
            <w:tcBorders>
              <w:right w:val="nil"/>
            </w:tcBorders>
          </w:tcPr>
          <w:p w14:paraId="654EC154" w14:textId="77777777" w:rsidR="006C6664" w:rsidRPr="0015544D" w:rsidRDefault="006C6664" w:rsidP="00184785">
            <w:pPr>
              <w:spacing w:before="20" w:after="20"/>
            </w:pPr>
            <w:r w:rsidRPr="0015544D">
              <w:t>Notes:</w:t>
            </w:r>
          </w:p>
        </w:tc>
        <w:tc>
          <w:tcPr>
            <w:tcW w:w="8455" w:type="dxa"/>
            <w:tcBorders>
              <w:left w:val="nil"/>
            </w:tcBorders>
          </w:tcPr>
          <w:p w14:paraId="195B9D8B" w14:textId="6D80A077" w:rsidR="006C6664" w:rsidRPr="0015544D" w:rsidRDefault="00005D2C" w:rsidP="00184785">
            <w:pPr>
              <w:spacing w:before="20" w:after="20"/>
            </w:pPr>
            <w:r w:rsidRPr="0015544D">
              <w:t>Take with or without food; take 2 hours before or 6 hours after any meds with aluminum, calcium, iron, and magnesium; common side effects – diarrhea, nausea, headache</w:t>
            </w:r>
          </w:p>
        </w:tc>
      </w:tr>
    </w:tbl>
    <w:p w14:paraId="5BFCB165" w14:textId="77777777" w:rsidR="006C6664" w:rsidRDefault="006C6664" w:rsidP="00C438AC">
      <w:pPr>
        <w:spacing w:after="0" w:line="240" w:lineRule="auto"/>
        <w:rPr>
          <w:sz w:val="20"/>
          <w:szCs w:val="20"/>
        </w:rPr>
      </w:pPr>
    </w:p>
    <w:p w14:paraId="046A363F" w14:textId="129B2693" w:rsidR="00005D2C" w:rsidRPr="0015544D" w:rsidRDefault="00460C0E" w:rsidP="00005D2C">
      <w:pPr>
        <w:spacing w:after="0" w:line="240" w:lineRule="auto"/>
        <w:rPr>
          <w:b/>
          <w:bCs/>
        </w:rPr>
      </w:pPr>
      <w:r w:rsidRPr="0015544D">
        <w:rPr>
          <w:b/>
          <w:bCs/>
        </w:rPr>
        <w:t>HIV Prophylaxis #2 – Preferred Regimen</w:t>
      </w:r>
    </w:p>
    <w:tbl>
      <w:tblPr>
        <w:tblStyle w:val="TableGrid"/>
        <w:tblW w:w="0" w:type="auto"/>
        <w:tblLook w:val="04A0" w:firstRow="1" w:lastRow="0" w:firstColumn="1" w:lastColumn="0" w:noHBand="0" w:noVBand="1"/>
      </w:tblPr>
      <w:tblGrid>
        <w:gridCol w:w="2335"/>
        <w:gridCol w:w="8455"/>
      </w:tblGrid>
      <w:tr w:rsidR="00005D2C" w:rsidRPr="00972B8A" w14:paraId="661B580A" w14:textId="77777777" w:rsidTr="004C7DF3">
        <w:tc>
          <w:tcPr>
            <w:tcW w:w="2335" w:type="dxa"/>
            <w:tcBorders>
              <w:right w:val="nil"/>
            </w:tcBorders>
          </w:tcPr>
          <w:p w14:paraId="79AFBD90" w14:textId="77777777" w:rsidR="00005D2C" w:rsidRPr="0015544D" w:rsidRDefault="00005D2C" w:rsidP="00184785">
            <w:pPr>
              <w:spacing w:before="20" w:after="20"/>
            </w:pPr>
            <w:r w:rsidRPr="0015544D">
              <w:t>Medications:</w:t>
            </w:r>
          </w:p>
        </w:tc>
        <w:tc>
          <w:tcPr>
            <w:tcW w:w="8455" w:type="dxa"/>
            <w:tcBorders>
              <w:left w:val="nil"/>
            </w:tcBorders>
          </w:tcPr>
          <w:p w14:paraId="660843BB" w14:textId="53C700D0" w:rsidR="00005D2C" w:rsidRPr="0015544D" w:rsidRDefault="00460C0E" w:rsidP="00184785">
            <w:pPr>
              <w:spacing w:before="20" w:after="20"/>
            </w:pPr>
            <w:r w:rsidRPr="0015544D">
              <w:rPr>
                <w:b/>
                <w:bCs/>
                <w:i/>
                <w:iCs/>
              </w:rPr>
              <w:t xml:space="preserve">Truvada </w:t>
            </w:r>
            <w:r w:rsidRPr="0015544D">
              <w:t xml:space="preserve">(or Descovy or Viread and Epivir) </w:t>
            </w:r>
            <w:r w:rsidRPr="0015544D">
              <w:rPr>
                <w:b/>
                <w:bCs/>
                <w:i/>
                <w:iCs/>
              </w:rPr>
              <w:t>plus Tivicay</w:t>
            </w:r>
          </w:p>
        </w:tc>
      </w:tr>
      <w:tr w:rsidR="00005D2C" w:rsidRPr="00972B8A" w14:paraId="3D0D177F" w14:textId="77777777" w:rsidTr="004C7DF3">
        <w:tc>
          <w:tcPr>
            <w:tcW w:w="2335" w:type="dxa"/>
            <w:tcBorders>
              <w:right w:val="nil"/>
            </w:tcBorders>
          </w:tcPr>
          <w:p w14:paraId="420D622E" w14:textId="77777777" w:rsidR="00005D2C" w:rsidRPr="0015544D" w:rsidRDefault="00005D2C" w:rsidP="00184785">
            <w:pPr>
              <w:spacing w:before="20" w:after="20"/>
            </w:pPr>
            <w:r w:rsidRPr="0015544D">
              <w:t>Dosage:</w:t>
            </w:r>
          </w:p>
        </w:tc>
        <w:tc>
          <w:tcPr>
            <w:tcW w:w="8455" w:type="dxa"/>
            <w:tcBorders>
              <w:left w:val="nil"/>
            </w:tcBorders>
          </w:tcPr>
          <w:p w14:paraId="167C63CB" w14:textId="79A7DF14" w:rsidR="00005D2C" w:rsidRPr="0015544D" w:rsidRDefault="007A2D45" w:rsidP="00184785">
            <w:pPr>
              <w:spacing w:before="20" w:after="20"/>
            </w:pPr>
            <w:r w:rsidRPr="0015544D">
              <w:t>1 po daily; (300mg tenofovir + 200mg emtricitabine (Truvada) (or 25mg tenofovir alafenamide + 200mg emtricitabine (Descovy) or tenofovir + lamivudine (Viread + Epivir) + 50mg dolutegravir (Tivicay)</w:t>
            </w:r>
          </w:p>
        </w:tc>
      </w:tr>
      <w:tr w:rsidR="00005D2C" w:rsidRPr="00972B8A" w14:paraId="75D78628" w14:textId="77777777" w:rsidTr="004C7DF3">
        <w:tc>
          <w:tcPr>
            <w:tcW w:w="2335" w:type="dxa"/>
            <w:tcBorders>
              <w:right w:val="nil"/>
            </w:tcBorders>
          </w:tcPr>
          <w:p w14:paraId="3A4B382E" w14:textId="77777777" w:rsidR="00005D2C" w:rsidRPr="0015544D" w:rsidRDefault="00005D2C" w:rsidP="00184785">
            <w:pPr>
              <w:spacing w:before="20" w:after="20"/>
            </w:pPr>
            <w:r w:rsidRPr="0015544D">
              <w:t>Indicated for Rx of:</w:t>
            </w:r>
          </w:p>
        </w:tc>
        <w:tc>
          <w:tcPr>
            <w:tcW w:w="8455" w:type="dxa"/>
            <w:tcBorders>
              <w:left w:val="nil"/>
            </w:tcBorders>
          </w:tcPr>
          <w:p w14:paraId="72B71CC4" w14:textId="2D9DF80E" w:rsidR="00005D2C" w:rsidRPr="0015544D" w:rsidRDefault="004946F2" w:rsidP="00184785">
            <w:pPr>
              <w:spacing w:before="20" w:after="20"/>
            </w:pPr>
            <w:r w:rsidRPr="0015544D">
              <w:t>Prevention of HIV infection following non-occupational exposure</w:t>
            </w:r>
          </w:p>
        </w:tc>
      </w:tr>
      <w:tr w:rsidR="00005D2C" w:rsidRPr="00972B8A" w14:paraId="566F9033" w14:textId="77777777" w:rsidTr="004C7DF3">
        <w:tc>
          <w:tcPr>
            <w:tcW w:w="2335" w:type="dxa"/>
            <w:tcBorders>
              <w:right w:val="nil"/>
            </w:tcBorders>
          </w:tcPr>
          <w:p w14:paraId="6842AF94" w14:textId="77777777" w:rsidR="00005D2C" w:rsidRPr="0015544D" w:rsidRDefault="00005D2C" w:rsidP="00184785">
            <w:pPr>
              <w:spacing w:before="20" w:after="20"/>
            </w:pPr>
            <w:r w:rsidRPr="0015544D">
              <w:t>Safe for:</w:t>
            </w:r>
          </w:p>
        </w:tc>
        <w:tc>
          <w:tcPr>
            <w:tcW w:w="8455" w:type="dxa"/>
            <w:tcBorders>
              <w:left w:val="nil"/>
            </w:tcBorders>
          </w:tcPr>
          <w:p w14:paraId="6156B521" w14:textId="2F9F41CA" w:rsidR="00005D2C" w:rsidRPr="0015544D" w:rsidRDefault="004946F2" w:rsidP="00184785">
            <w:pPr>
              <w:spacing w:before="20" w:after="20"/>
            </w:pPr>
            <w:r w:rsidRPr="0015544D">
              <w:t>Adults, pregnant persons, and adolescents 12 or older</w:t>
            </w:r>
          </w:p>
        </w:tc>
      </w:tr>
      <w:tr w:rsidR="00005D2C" w:rsidRPr="00972B8A" w14:paraId="4386B4DE" w14:textId="77777777" w:rsidTr="004C7DF3">
        <w:tc>
          <w:tcPr>
            <w:tcW w:w="2335" w:type="dxa"/>
            <w:tcBorders>
              <w:right w:val="nil"/>
            </w:tcBorders>
          </w:tcPr>
          <w:p w14:paraId="10FBCCDF" w14:textId="77777777" w:rsidR="00005D2C" w:rsidRPr="0015544D" w:rsidRDefault="00005D2C" w:rsidP="00184785">
            <w:pPr>
              <w:spacing w:before="20" w:after="20"/>
            </w:pPr>
            <w:r w:rsidRPr="0015544D">
              <w:t>Contraindications:</w:t>
            </w:r>
          </w:p>
        </w:tc>
        <w:tc>
          <w:tcPr>
            <w:tcW w:w="8455" w:type="dxa"/>
            <w:tcBorders>
              <w:left w:val="nil"/>
            </w:tcBorders>
          </w:tcPr>
          <w:p w14:paraId="26EF4069" w14:textId="0C743E7D" w:rsidR="00005D2C" w:rsidRPr="0015544D" w:rsidRDefault="004946F2" w:rsidP="00184785">
            <w:pPr>
              <w:spacing w:before="20" w:after="20"/>
            </w:pPr>
            <w:r w:rsidRPr="0015544D">
              <w:t>Do not take with dofetilide; potential exacerbation of HBV infection</w:t>
            </w:r>
          </w:p>
        </w:tc>
      </w:tr>
      <w:tr w:rsidR="00005D2C" w:rsidRPr="00972B8A" w14:paraId="7BEDCFE5" w14:textId="77777777" w:rsidTr="004C7DF3">
        <w:tc>
          <w:tcPr>
            <w:tcW w:w="2335" w:type="dxa"/>
            <w:tcBorders>
              <w:right w:val="nil"/>
            </w:tcBorders>
          </w:tcPr>
          <w:p w14:paraId="21D56F62" w14:textId="77777777" w:rsidR="00005D2C" w:rsidRPr="0015544D" w:rsidRDefault="00005D2C" w:rsidP="00184785">
            <w:pPr>
              <w:spacing w:before="20" w:after="20"/>
            </w:pPr>
            <w:r w:rsidRPr="0015544D">
              <w:t>Notes:</w:t>
            </w:r>
          </w:p>
        </w:tc>
        <w:tc>
          <w:tcPr>
            <w:tcW w:w="8455" w:type="dxa"/>
            <w:tcBorders>
              <w:left w:val="nil"/>
            </w:tcBorders>
          </w:tcPr>
          <w:p w14:paraId="141EC810" w14:textId="3C4BDA53" w:rsidR="00005D2C" w:rsidRPr="0015544D" w:rsidRDefault="00054A80" w:rsidP="00184785">
            <w:pPr>
              <w:spacing w:before="20" w:after="20"/>
            </w:pPr>
            <w:r w:rsidRPr="0015544D">
              <w:t>Take with or without food; take 2 hours before or 6 hours after any meds with aluminum, calcium, iron, and magnesium; common side effects – nausea, diarrhea, headache, fatigue, insomnia</w:t>
            </w:r>
          </w:p>
        </w:tc>
      </w:tr>
    </w:tbl>
    <w:p w14:paraId="75B8D631" w14:textId="77777777" w:rsidR="006C6664" w:rsidRDefault="006C6664" w:rsidP="00C438AC">
      <w:pPr>
        <w:spacing w:after="0" w:line="240" w:lineRule="auto"/>
        <w:rPr>
          <w:sz w:val="20"/>
          <w:szCs w:val="20"/>
        </w:rPr>
      </w:pPr>
    </w:p>
    <w:p w14:paraId="668D2E04" w14:textId="4EFC5CC7" w:rsidR="00054A80" w:rsidRPr="0015544D" w:rsidRDefault="00080571" w:rsidP="00054A80">
      <w:pPr>
        <w:spacing w:after="0" w:line="240" w:lineRule="auto"/>
        <w:rPr>
          <w:b/>
          <w:bCs/>
        </w:rPr>
      </w:pPr>
      <w:r w:rsidRPr="0015544D">
        <w:rPr>
          <w:b/>
          <w:bCs/>
        </w:rPr>
        <w:t>Alternative Regimen for HIV Prophylaxis</w:t>
      </w:r>
    </w:p>
    <w:tbl>
      <w:tblPr>
        <w:tblStyle w:val="TableGrid"/>
        <w:tblW w:w="0" w:type="auto"/>
        <w:tblLook w:val="04A0" w:firstRow="1" w:lastRow="0" w:firstColumn="1" w:lastColumn="0" w:noHBand="0" w:noVBand="1"/>
      </w:tblPr>
      <w:tblGrid>
        <w:gridCol w:w="2335"/>
        <w:gridCol w:w="8455"/>
      </w:tblGrid>
      <w:tr w:rsidR="00054A80" w:rsidRPr="00972B8A" w14:paraId="55392B7D" w14:textId="77777777" w:rsidTr="004C7DF3">
        <w:tc>
          <w:tcPr>
            <w:tcW w:w="2335" w:type="dxa"/>
            <w:tcBorders>
              <w:right w:val="nil"/>
            </w:tcBorders>
          </w:tcPr>
          <w:p w14:paraId="512B39ED" w14:textId="77777777" w:rsidR="00054A80" w:rsidRPr="0015544D" w:rsidRDefault="00054A80" w:rsidP="00184785">
            <w:pPr>
              <w:spacing w:before="20" w:after="20"/>
            </w:pPr>
            <w:r w:rsidRPr="0015544D">
              <w:t>Medications:</w:t>
            </w:r>
          </w:p>
        </w:tc>
        <w:tc>
          <w:tcPr>
            <w:tcW w:w="8455" w:type="dxa"/>
            <w:tcBorders>
              <w:left w:val="nil"/>
            </w:tcBorders>
          </w:tcPr>
          <w:p w14:paraId="025A1736" w14:textId="4B8390F9" w:rsidR="00054A80" w:rsidRPr="0015544D" w:rsidRDefault="00C31268" w:rsidP="00184785">
            <w:pPr>
              <w:spacing w:before="20" w:after="20"/>
            </w:pPr>
            <w:r w:rsidRPr="0015544D">
              <w:rPr>
                <w:b/>
                <w:bCs/>
                <w:i/>
                <w:iCs/>
              </w:rPr>
              <w:t xml:space="preserve">Symtuza </w:t>
            </w:r>
            <w:r w:rsidRPr="0015544D">
              <w:t>(no generic available)</w:t>
            </w:r>
          </w:p>
        </w:tc>
      </w:tr>
      <w:tr w:rsidR="00054A80" w:rsidRPr="00972B8A" w14:paraId="1CBEC0F8" w14:textId="77777777" w:rsidTr="004C7DF3">
        <w:tc>
          <w:tcPr>
            <w:tcW w:w="2335" w:type="dxa"/>
            <w:tcBorders>
              <w:right w:val="nil"/>
            </w:tcBorders>
          </w:tcPr>
          <w:p w14:paraId="0D462F16" w14:textId="77777777" w:rsidR="00054A80" w:rsidRPr="0015544D" w:rsidRDefault="00054A80" w:rsidP="00184785">
            <w:pPr>
              <w:spacing w:before="20" w:after="20"/>
            </w:pPr>
            <w:r w:rsidRPr="0015544D">
              <w:t>Dosage:</w:t>
            </w:r>
          </w:p>
        </w:tc>
        <w:tc>
          <w:tcPr>
            <w:tcW w:w="8455" w:type="dxa"/>
            <w:tcBorders>
              <w:left w:val="nil"/>
            </w:tcBorders>
          </w:tcPr>
          <w:p w14:paraId="58890CD9" w14:textId="7F288026" w:rsidR="00054A80" w:rsidRPr="0015544D" w:rsidRDefault="007124AF" w:rsidP="00184785">
            <w:pPr>
              <w:spacing w:before="20" w:after="20"/>
            </w:pPr>
            <w:r w:rsidRPr="0015544D">
              <w:t>1 po daily; (800mg darunavir + 150mg cobicistat + 200mg emtricitabine + 10mg tenofovir alafenamide)</w:t>
            </w:r>
          </w:p>
        </w:tc>
      </w:tr>
      <w:tr w:rsidR="00054A80" w:rsidRPr="00972B8A" w14:paraId="688B91FD" w14:textId="77777777" w:rsidTr="004C7DF3">
        <w:tc>
          <w:tcPr>
            <w:tcW w:w="2335" w:type="dxa"/>
            <w:tcBorders>
              <w:right w:val="nil"/>
            </w:tcBorders>
          </w:tcPr>
          <w:p w14:paraId="5CFD9F4B" w14:textId="77777777" w:rsidR="00054A80" w:rsidRPr="0015544D" w:rsidRDefault="00054A80" w:rsidP="00184785">
            <w:pPr>
              <w:spacing w:before="20" w:after="20"/>
            </w:pPr>
            <w:r w:rsidRPr="0015544D">
              <w:t>Indicated for Rx of:</w:t>
            </w:r>
          </w:p>
        </w:tc>
        <w:tc>
          <w:tcPr>
            <w:tcW w:w="8455" w:type="dxa"/>
            <w:tcBorders>
              <w:left w:val="nil"/>
            </w:tcBorders>
          </w:tcPr>
          <w:p w14:paraId="08D4D8BD" w14:textId="178B7F8A" w:rsidR="00054A80" w:rsidRPr="0015544D" w:rsidRDefault="00107423" w:rsidP="00184785">
            <w:pPr>
              <w:spacing w:before="20" w:after="20"/>
            </w:pPr>
            <w:r w:rsidRPr="0015544D">
              <w:t>Prevention of HIV infection following non-occupational exposure</w:t>
            </w:r>
          </w:p>
        </w:tc>
      </w:tr>
      <w:tr w:rsidR="00054A80" w:rsidRPr="00972B8A" w14:paraId="604A1004" w14:textId="77777777" w:rsidTr="004C7DF3">
        <w:tc>
          <w:tcPr>
            <w:tcW w:w="2335" w:type="dxa"/>
            <w:tcBorders>
              <w:right w:val="nil"/>
            </w:tcBorders>
          </w:tcPr>
          <w:p w14:paraId="4D6C941D" w14:textId="77777777" w:rsidR="00054A80" w:rsidRPr="0015544D" w:rsidRDefault="00054A80" w:rsidP="00184785">
            <w:pPr>
              <w:spacing w:before="20" w:after="20"/>
            </w:pPr>
            <w:r w:rsidRPr="0015544D">
              <w:t>Safe for:</w:t>
            </w:r>
          </w:p>
        </w:tc>
        <w:tc>
          <w:tcPr>
            <w:tcW w:w="8455" w:type="dxa"/>
            <w:tcBorders>
              <w:left w:val="nil"/>
            </w:tcBorders>
          </w:tcPr>
          <w:p w14:paraId="597B0A61" w14:textId="55124570" w:rsidR="00054A80" w:rsidRPr="0015544D" w:rsidRDefault="00107423" w:rsidP="00184785">
            <w:pPr>
              <w:spacing w:before="20" w:after="20"/>
            </w:pPr>
            <w:r w:rsidRPr="0015544D">
              <w:t>Adults and adolescents 12 or older</w:t>
            </w:r>
          </w:p>
        </w:tc>
      </w:tr>
      <w:tr w:rsidR="00054A80" w:rsidRPr="00972B8A" w14:paraId="0C98B299" w14:textId="77777777" w:rsidTr="004C7DF3">
        <w:tc>
          <w:tcPr>
            <w:tcW w:w="2335" w:type="dxa"/>
            <w:tcBorders>
              <w:right w:val="nil"/>
            </w:tcBorders>
          </w:tcPr>
          <w:p w14:paraId="14554F0F" w14:textId="77777777" w:rsidR="00054A80" w:rsidRPr="0015544D" w:rsidRDefault="00054A80" w:rsidP="00184785">
            <w:pPr>
              <w:spacing w:before="20" w:after="20"/>
            </w:pPr>
            <w:r w:rsidRPr="0015544D">
              <w:t>Contraindications:</w:t>
            </w:r>
          </w:p>
        </w:tc>
        <w:tc>
          <w:tcPr>
            <w:tcW w:w="8455" w:type="dxa"/>
            <w:tcBorders>
              <w:left w:val="nil"/>
            </w:tcBorders>
          </w:tcPr>
          <w:p w14:paraId="27C6B19E" w14:textId="02B6398F" w:rsidR="00054A80" w:rsidRPr="0015544D" w:rsidRDefault="00C459A9" w:rsidP="00184785">
            <w:pPr>
              <w:spacing w:before="20" w:after="20"/>
            </w:pPr>
            <w:r w:rsidRPr="0015544D">
              <w:t>Pregnant persons, Inhibits CYP3A enzyme thus has many drug interactions; assess for all drug interactions; Potential exacerbation of HBV infection. Risk of Stevens-Johnson syndrome</w:t>
            </w:r>
          </w:p>
        </w:tc>
      </w:tr>
      <w:tr w:rsidR="00054A80" w:rsidRPr="00972B8A" w14:paraId="7C675DBF" w14:textId="77777777" w:rsidTr="004C7DF3">
        <w:tc>
          <w:tcPr>
            <w:tcW w:w="2335" w:type="dxa"/>
            <w:tcBorders>
              <w:right w:val="nil"/>
            </w:tcBorders>
          </w:tcPr>
          <w:p w14:paraId="590853E6" w14:textId="77777777" w:rsidR="00054A80" w:rsidRPr="0015544D" w:rsidRDefault="00054A80" w:rsidP="00184785">
            <w:pPr>
              <w:spacing w:before="20" w:after="20"/>
            </w:pPr>
            <w:r w:rsidRPr="0015544D">
              <w:t>Notes:</w:t>
            </w:r>
          </w:p>
        </w:tc>
        <w:tc>
          <w:tcPr>
            <w:tcW w:w="8455" w:type="dxa"/>
            <w:tcBorders>
              <w:left w:val="nil"/>
            </w:tcBorders>
          </w:tcPr>
          <w:p w14:paraId="2F8780DD" w14:textId="2FD7DC90" w:rsidR="00054A80" w:rsidRPr="0015544D" w:rsidRDefault="00184785" w:rsidP="00184785">
            <w:pPr>
              <w:spacing w:before="20" w:after="20"/>
            </w:pPr>
            <w:r w:rsidRPr="0015544D">
              <w:t>Take with food; common side effects – diarrhea, rash, nausea, fatigue, headache, abdominal discomfort, flatulence</w:t>
            </w:r>
          </w:p>
        </w:tc>
      </w:tr>
    </w:tbl>
    <w:p w14:paraId="3F252215" w14:textId="77777777" w:rsidR="00104068" w:rsidRDefault="00104068" w:rsidP="00C438AC">
      <w:pPr>
        <w:spacing w:after="0" w:line="240" w:lineRule="auto"/>
        <w:rPr>
          <w:sz w:val="20"/>
          <w:szCs w:val="20"/>
        </w:rPr>
      </w:pPr>
    </w:p>
    <w:p w14:paraId="65DE3E28" w14:textId="77777777" w:rsidR="00054A80" w:rsidRDefault="00054A80" w:rsidP="00C438AC">
      <w:pPr>
        <w:spacing w:after="0" w:line="240" w:lineRule="auto"/>
        <w:rPr>
          <w:sz w:val="20"/>
          <w:szCs w:val="20"/>
        </w:rPr>
      </w:pPr>
    </w:p>
    <w:p w14:paraId="0F9E44CC" w14:textId="4E9818BB" w:rsidR="00F30C54" w:rsidRDefault="00F30C54">
      <w:pPr>
        <w:rPr>
          <w:sz w:val="20"/>
          <w:szCs w:val="20"/>
        </w:rPr>
      </w:pPr>
      <w:r>
        <w:rPr>
          <w:sz w:val="20"/>
          <w:szCs w:val="20"/>
        </w:rPr>
        <w:br w:type="page"/>
      </w:r>
    </w:p>
    <w:p w14:paraId="3BF99E97" w14:textId="77777777" w:rsidR="00054A80" w:rsidRDefault="00054A80" w:rsidP="00C438AC">
      <w:pPr>
        <w:spacing w:after="0" w:line="240" w:lineRule="auto"/>
        <w:rPr>
          <w:sz w:val="20"/>
          <w:szCs w:val="20"/>
        </w:rPr>
      </w:pPr>
    </w:p>
    <w:tbl>
      <w:tblPr>
        <w:tblStyle w:val="TableGrid"/>
        <w:tblW w:w="0" w:type="auto"/>
        <w:tblLook w:val="04A0" w:firstRow="1" w:lastRow="0" w:firstColumn="1" w:lastColumn="0" w:noHBand="0" w:noVBand="1"/>
      </w:tblPr>
      <w:tblGrid>
        <w:gridCol w:w="10790"/>
      </w:tblGrid>
      <w:tr w:rsidR="00F30C54" w14:paraId="77B43D34" w14:textId="77777777" w:rsidTr="00AE298B">
        <w:tc>
          <w:tcPr>
            <w:tcW w:w="10790" w:type="dxa"/>
            <w:shd w:val="clear" w:color="auto" w:fill="DAE9F7" w:themeFill="text2" w:themeFillTint="1A"/>
          </w:tcPr>
          <w:p w14:paraId="7306AD72" w14:textId="141CAD35" w:rsidR="00F30C54" w:rsidRDefault="00136DDF" w:rsidP="00136DDF">
            <w:pPr>
              <w:spacing w:before="100"/>
              <w:jc w:val="center"/>
              <w:rPr>
                <w:b/>
                <w:bCs/>
              </w:rPr>
            </w:pPr>
            <w:r w:rsidRPr="00136DDF">
              <w:rPr>
                <w:b/>
                <w:bCs/>
                <w:u w:val="single"/>
              </w:rPr>
              <w:t>PrEP (Pre Exposure Prophylaxis</w:t>
            </w:r>
            <w:r>
              <w:rPr>
                <w:b/>
                <w:bCs/>
              </w:rPr>
              <w:t>)</w:t>
            </w:r>
          </w:p>
          <w:p w14:paraId="52CD7380" w14:textId="77777777" w:rsidR="00136DDF" w:rsidRPr="00136DDF" w:rsidRDefault="00136DDF" w:rsidP="00C438AC"/>
          <w:p w14:paraId="4182208D" w14:textId="77777777" w:rsidR="004129B1" w:rsidRPr="00AE298B" w:rsidRDefault="004129B1" w:rsidP="004129B1">
            <w:pPr>
              <w:pStyle w:val="ListParagraph"/>
              <w:numPr>
                <w:ilvl w:val="0"/>
                <w:numId w:val="16"/>
              </w:numPr>
              <w:autoSpaceDE w:val="0"/>
              <w:autoSpaceDN w:val="0"/>
              <w:adjustRightInd w:val="0"/>
              <w:spacing w:before="60" w:after="60"/>
              <w:rPr>
                <w:rFonts w:cs="Arial"/>
                <w:color w:val="000000"/>
                <w:kern w:val="0"/>
              </w:rPr>
            </w:pPr>
            <w:r w:rsidRPr="00AE298B">
              <w:rPr>
                <w:rFonts w:cs="Arial"/>
                <w:color w:val="000000"/>
                <w:kern w:val="0"/>
              </w:rPr>
              <w:t xml:space="preserve">All persons with an acute sexual exposure who are taking </w:t>
            </w:r>
            <w:r w:rsidRPr="00AE298B">
              <w:rPr>
                <w:rFonts w:cs="Arial"/>
                <w:b/>
                <w:bCs/>
                <w:color w:val="000000"/>
                <w:kern w:val="0"/>
              </w:rPr>
              <w:t xml:space="preserve">PrEP as recommended </w:t>
            </w:r>
            <w:r w:rsidRPr="00AE298B">
              <w:rPr>
                <w:rFonts w:cs="Arial"/>
                <w:color w:val="000000"/>
                <w:kern w:val="0"/>
              </w:rPr>
              <w:t xml:space="preserve">at the time of presentation to the ED </w:t>
            </w:r>
            <w:r w:rsidRPr="00AE298B">
              <w:rPr>
                <w:rFonts w:cs="Arial"/>
                <w:b/>
                <w:bCs/>
                <w:color w:val="000000"/>
                <w:kern w:val="0"/>
              </w:rPr>
              <w:t xml:space="preserve">do NOT require nPEP </w:t>
            </w:r>
            <w:r w:rsidRPr="00AE298B">
              <w:rPr>
                <w:rFonts w:cs="Arial"/>
                <w:color w:val="000000"/>
                <w:kern w:val="0"/>
              </w:rPr>
              <w:t xml:space="preserve">and may continue their prescribed PrEP as directed. </w:t>
            </w:r>
          </w:p>
          <w:p w14:paraId="38279452" w14:textId="6A2D0548" w:rsidR="004129B1" w:rsidRDefault="004129B1" w:rsidP="004129B1">
            <w:pPr>
              <w:pStyle w:val="ListParagraph"/>
              <w:numPr>
                <w:ilvl w:val="0"/>
                <w:numId w:val="16"/>
              </w:numPr>
              <w:autoSpaceDE w:val="0"/>
              <w:autoSpaceDN w:val="0"/>
              <w:adjustRightInd w:val="0"/>
              <w:spacing w:before="60" w:after="60"/>
              <w:rPr>
                <w:rFonts w:cs="Arial"/>
                <w:color w:val="000000"/>
                <w:kern w:val="0"/>
              </w:rPr>
            </w:pPr>
            <w:r w:rsidRPr="00AE298B">
              <w:rPr>
                <w:rFonts w:cs="Arial"/>
                <w:color w:val="000000"/>
                <w:kern w:val="0"/>
              </w:rPr>
              <w:t xml:space="preserve">When taken as prescribed, PrEP can reduce the risk for acquiring HIV from a sexual exposure by about 99%. </w:t>
            </w:r>
          </w:p>
          <w:p w14:paraId="2E38764C" w14:textId="7399B16E" w:rsidR="00F21866" w:rsidRPr="00AE298B" w:rsidRDefault="009C680E" w:rsidP="004129B1">
            <w:pPr>
              <w:pStyle w:val="ListParagraph"/>
              <w:numPr>
                <w:ilvl w:val="0"/>
                <w:numId w:val="16"/>
              </w:numPr>
              <w:autoSpaceDE w:val="0"/>
              <w:autoSpaceDN w:val="0"/>
              <w:adjustRightInd w:val="0"/>
              <w:spacing w:before="60" w:after="60"/>
              <w:rPr>
                <w:rFonts w:cs="Arial"/>
                <w:color w:val="000000"/>
                <w:kern w:val="0"/>
              </w:rPr>
            </w:pPr>
            <w:r>
              <w:rPr>
                <w:rFonts w:cs="Arial"/>
                <w:color w:val="000000"/>
                <w:kern w:val="0"/>
              </w:rPr>
              <w:t xml:space="preserve">If patient reports noncompliance with PrEP regimen, </w:t>
            </w:r>
            <w:r w:rsidR="00FE437A">
              <w:rPr>
                <w:rFonts w:cs="Arial"/>
                <w:color w:val="000000"/>
                <w:kern w:val="0"/>
              </w:rPr>
              <w:t>the patient should be offered HIV nPEP.</w:t>
            </w:r>
          </w:p>
          <w:p w14:paraId="6BC82159" w14:textId="0F8D41A0" w:rsidR="00F30C54" w:rsidRDefault="00AF0396" w:rsidP="00AE298B">
            <w:pPr>
              <w:pStyle w:val="ListParagraph"/>
              <w:numPr>
                <w:ilvl w:val="0"/>
                <w:numId w:val="16"/>
              </w:numPr>
              <w:autoSpaceDE w:val="0"/>
              <w:autoSpaceDN w:val="0"/>
              <w:adjustRightInd w:val="0"/>
              <w:spacing w:before="60" w:after="100"/>
              <w:rPr>
                <w:sz w:val="20"/>
                <w:szCs w:val="20"/>
              </w:rPr>
            </w:pPr>
            <w:r>
              <w:rPr>
                <w:rFonts w:cs="Arial"/>
                <w:color w:val="000000"/>
                <w:kern w:val="0"/>
              </w:rPr>
              <w:t>If information regarding adherence to PrEP medication is unclear</w:t>
            </w:r>
            <w:r w:rsidR="003313D5">
              <w:rPr>
                <w:rFonts w:cs="Arial"/>
                <w:color w:val="000000"/>
                <w:kern w:val="0"/>
              </w:rPr>
              <w:t>/unknown</w:t>
            </w:r>
            <w:r w:rsidR="00696178">
              <w:rPr>
                <w:rFonts w:cs="Arial"/>
                <w:color w:val="000000"/>
                <w:kern w:val="0"/>
              </w:rPr>
              <w:t xml:space="preserve">, </w:t>
            </w:r>
            <w:r w:rsidR="004129B1" w:rsidRPr="00AE298B">
              <w:rPr>
                <w:rFonts w:cs="Arial"/>
                <w:color w:val="000000"/>
                <w:kern w:val="0"/>
              </w:rPr>
              <w:t>it might be prudent to consider the</w:t>
            </w:r>
            <w:r w:rsidR="005A2AB3">
              <w:rPr>
                <w:rFonts w:cs="Arial"/>
                <w:color w:val="000000"/>
                <w:kern w:val="0"/>
              </w:rPr>
              <w:t xml:space="preserve"> patient</w:t>
            </w:r>
            <w:r w:rsidR="004129B1" w:rsidRPr="00AE298B">
              <w:rPr>
                <w:rFonts w:cs="Arial"/>
                <w:color w:val="000000"/>
                <w:kern w:val="0"/>
              </w:rPr>
              <w:t xml:space="preserve"> nonadherent and</w:t>
            </w:r>
            <w:r w:rsidR="00E17812">
              <w:rPr>
                <w:rFonts w:cs="Arial"/>
                <w:color w:val="000000"/>
                <w:kern w:val="0"/>
              </w:rPr>
              <w:t xml:space="preserve"> </w:t>
            </w:r>
            <w:r w:rsidR="004129B1" w:rsidRPr="00AE298B">
              <w:rPr>
                <w:rFonts w:cs="Arial"/>
                <w:color w:val="000000"/>
                <w:kern w:val="0"/>
              </w:rPr>
              <w:t xml:space="preserve">offer </w:t>
            </w:r>
            <w:r w:rsidR="000B0A74">
              <w:rPr>
                <w:rFonts w:cs="Arial"/>
                <w:color w:val="000000"/>
                <w:kern w:val="0"/>
              </w:rPr>
              <w:t xml:space="preserve">the patient </w:t>
            </w:r>
            <w:r w:rsidR="004129B1" w:rsidRPr="00AE298B">
              <w:rPr>
                <w:rFonts w:cs="Arial"/>
                <w:color w:val="000000"/>
                <w:kern w:val="0"/>
              </w:rPr>
              <w:t xml:space="preserve"> </w:t>
            </w:r>
            <w:r w:rsidR="001478CB">
              <w:rPr>
                <w:rFonts w:cs="Arial"/>
                <w:color w:val="000000"/>
                <w:kern w:val="0"/>
              </w:rPr>
              <w:t xml:space="preserve">HIV </w:t>
            </w:r>
            <w:r w:rsidR="00F16D09">
              <w:rPr>
                <w:rFonts w:cs="Arial"/>
                <w:color w:val="000000"/>
                <w:kern w:val="0"/>
              </w:rPr>
              <w:t>n</w:t>
            </w:r>
            <w:r w:rsidR="004129B1" w:rsidRPr="00AE298B">
              <w:rPr>
                <w:rFonts w:cs="Arial"/>
                <w:color w:val="000000"/>
                <w:kern w:val="0"/>
              </w:rPr>
              <w:t xml:space="preserve">PEP. </w:t>
            </w:r>
          </w:p>
        </w:tc>
      </w:tr>
    </w:tbl>
    <w:p w14:paraId="7F9B8962" w14:textId="77777777" w:rsidR="00F30C54" w:rsidRDefault="00F30C54" w:rsidP="00C438AC">
      <w:pPr>
        <w:spacing w:after="0" w:line="240" w:lineRule="auto"/>
        <w:rPr>
          <w:sz w:val="20"/>
          <w:szCs w:val="20"/>
        </w:rPr>
      </w:pPr>
    </w:p>
    <w:p w14:paraId="4A167000" w14:textId="63C10BB6" w:rsidR="00F30C54" w:rsidRPr="002B7E9A" w:rsidRDefault="002B7E9A" w:rsidP="00C438AC">
      <w:pPr>
        <w:spacing w:after="0" w:line="240" w:lineRule="auto"/>
        <w:rPr>
          <w:u w:val="single"/>
        </w:rPr>
      </w:pPr>
      <w:r w:rsidRPr="002B7E9A">
        <w:rPr>
          <w:b/>
          <w:bCs/>
          <w:u w:val="single"/>
        </w:rPr>
        <w:t>Follow-up Care</w:t>
      </w:r>
    </w:p>
    <w:p w14:paraId="69193BDF" w14:textId="77777777" w:rsidR="006747A8" w:rsidRDefault="006747A8" w:rsidP="00C438AC">
      <w:pPr>
        <w:spacing w:after="0" w:line="240" w:lineRule="auto"/>
        <w:rPr>
          <w:sz w:val="20"/>
          <w:szCs w:val="20"/>
        </w:rPr>
      </w:pPr>
    </w:p>
    <w:p w14:paraId="0BF3C6BD" w14:textId="5B3CED1B" w:rsidR="00184785" w:rsidRDefault="002B7E9A" w:rsidP="00184785">
      <w:r w:rsidRPr="002B7E9A">
        <w:t>Concern about possible HIV infection as a result of sexual assault is common. Ideally, follow-up care—including HIV counseling and additional testing—is best done in the supportive, on-going relationship of the primary care provider. However, reluctance to disclose a sexual assault to the primary care provider may prevent this continuity of care. Therefore, options for confidential or anonymous HIV testing should be offered. The SANE/ED Clinician should be aware of confidential or anonymous HIV testing resources for survivors of sexual assault, available within the community and through the hospital. The following options for HIV testing can be provided as needed to the patient prior to discharge:</w:t>
      </w:r>
    </w:p>
    <w:p w14:paraId="56E53447" w14:textId="77777777" w:rsidR="00B769EB" w:rsidRPr="00B769EB" w:rsidRDefault="00B769EB" w:rsidP="00B769EB">
      <w:pPr>
        <w:autoSpaceDE w:val="0"/>
        <w:autoSpaceDN w:val="0"/>
        <w:adjustRightInd w:val="0"/>
        <w:spacing w:after="0" w:line="240" w:lineRule="auto"/>
        <w:rPr>
          <w:rFonts w:cs="Arial"/>
          <w:color w:val="000000"/>
          <w:kern w:val="0"/>
          <w:sz w:val="24"/>
          <w:szCs w:val="24"/>
        </w:rPr>
      </w:pPr>
    </w:p>
    <w:p w14:paraId="32136754" w14:textId="36BB4AEA" w:rsidR="00B769EB" w:rsidRPr="00B769EB" w:rsidRDefault="00B769EB" w:rsidP="00B769EB">
      <w:pPr>
        <w:autoSpaceDE w:val="0"/>
        <w:autoSpaceDN w:val="0"/>
        <w:adjustRightInd w:val="0"/>
        <w:spacing w:after="66" w:line="240" w:lineRule="auto"/>
        <w:ind w:left="720"/>
        <w:rPr>
          <w:rFonts w:cs="Arial"/>
          <w:color w:val="000000"/>
          <w:kern w:val="0"/>
          <w:sz w:val="20"/>
          <w:szCs w:val="20"/>
        </w:rPr>
      </w:pPr>
      <w:r>
        <w:rPr>
          <w:rFonts w:cs="Arial"/>
          <w:color w:val="000000"/>
          <w:kern w:val="0"/>
          <w:sz w:val="20"/>
          <w:szCs w:val="20"/>
        </w:rPr>
        <w:t xml:space="preserve">1. </w:t>
      </w:r>
      <w:r w:rsidRPr="00B769EB">
        <w:rPr>
          <w:rFonts w:cs="Arial"/>
          <w:color w:val="000000"/>
          <w:kern w:val="0"/>
          <w:sz w:val="20"/>
          <w:szCs w:val="20"/>
        </w:rPr>
        <w:t xml:space="preserve">HIV and STI testing is provided at most private physician’s offices, community health centers, family planning agencies, and hospitals. </w:t>
      </w:r>
    </w:p>
    <w:p w14:paraId="2D6FCBB2" w14:textId="77777777" w:rsidR="00B769EB" w:rsidRPr="00B769EB" w:rsidRDefault="00B769EB" w:rsidP="00B769EB">
      <w:pPr>
        <w:autoSpaceDE w:val="0"/>
        <w:autoSpaceDN w:val="0"/>
        <w:adjustRightInd w:val="0"/>
        <w:spacing w:after="66" w:line="240" w:lineRule="auto"/>
        <w:ind w:left="720"/>
        <w:rPr>
          <w:rFonts w:cs="Arial"/>
          <w:color w:val="000000"/>
          <w:kern w:val="0"/>
          <w:sz w:val="20"/>
          <w:szCs w:val="20"/>
        </w:rPr>
      </w:pPr>
      <w:r w:rsidRPr="00B769EB">
        <w:rPr>
          <w:rFonts w:cs="Arial"/>
          <w:color w:val="000000"/>
          <w:kern w:val="0"/>
          <w:sz w:val="20"/>
          <w:szCs w:val="20"/>
        </w:rPr>
        <w:t xml:space="preserve">2. Local Sexual Assault Prevention and Survivor Services Programs generally can provide free sexual assault crisis counseling and referral to local HIV testing, counseling, and treatment services. </w:t>
      </w:r>
    </w:p>
    <w:p w14:paraId="34E63EC3" w14:textId="77777777" w:rsidR="00B769EB" w:rsidRPr="00B769EB" w:rsidRDefault="00B769EB" w:rsidP="00B769EB">
      <w:pPr>
        <w:autoSpaceDE w:val="0"/>
        <w:autoSpaceDN w:val="0"/>
        <w:adjustRightInd w:val="0"/>
        <w:spacing w:after="66" w:line="240" w:lineRule="auto"/>
        <w:ind w:left="720"/>
        <w:rPr>
          <w:rFonts w:cs="Arial"/>
          <w:color w:val="000000"/>
          <w:kern w:val="0"/>
          <w:sz w:val="20"/>
          <w:szCs w:val="20"/>
        </w:rPr>
      </w:pPr>
      <w:r w:rsidRPr="00B769EB">
        <w:rPr>
          <w:rFonts w:cs="Arial"/>
          <w:color w:val="000000"/>
          <w:kern w:val="0"/>
          <w:sz w:val="20"/>
          <w:szCs w:val="20"/>
        </w:rPr>
        <w:t xml:space="preserve">3. The MDPH Office of HIV/AIDS funds numerous HIV Counseling, Testing, and Referral (CTR) sites throughout the state. </w:t>
      </w:r>
    </w:p>
    <w:p w14:paraId="0002832E" w14:textId="7034EAD0" w:rsidR="00B769EB" w:rsidRPr="00B769EB" w:rsidRDefault="00B769EB" w:rsidP="00B769EB">
      <w:pPr>
        <w:autoSpaceDE w:val="0"/>
        <w:autoSpaceDN w:val="0"/>
        <w:adjustRightInd w:val="0"/>
        <w:spacing w:after="66" w:line="240" w:lineRule="auto"/>
        <w:ind w:left="720"/>
        <w:rPr>
          <w:rFonts w:cs="Arial"/>
          <w:color w:val="000000"/>
          <w:kern w:val="0"/>
          <w:sz w:val="20"/>
          <w:szCs w:val="20"/>
        </w:rPr>
      </w:pPr>
      <w:r w:rsidRPr="00B769EB">
        <w:rPr>
          <w:rFonts w:cs="Arial"/>
          <w:color w:val="303030"/>
          <w:kern w:val="0"/>
          <w:sz w:val="20"/>
          <w:szCs w:val="20"/>
        </w:rPr>
        <w:t xml:space="preserve">4. </w:t>
      </w:r>
      <w:r w:rsidRPr="00B769EB">
        <w:rPr>
          <w:rFonts w:cs="Arial"/>
          <w:color w:val="000000"/>
          <w:kern w:val="0"/>
          <w:sz w:val="20"/>
          <w:szCs w:val="20"/>
        </w:rPr>
        <w:t xml:space="preserve">The MDPH and AIDS Action sponsor a website, </w:t>
      </w:r>
      <w:r w:rsidRPr="00B769EB">
        <w:rPr>
          <w:rFonts w:cs="Arial"/>
          <w:color w:val="0000FF"/>
          <w:kern w:val="0"/>
          <w:sz w:val="20"/>
          <w:szCs w:val="20"/>
        </w:rPr>
        <w:t xml:space="preserve">http://www.aac.org/ </w:t>
      </w:r>
      <w:r w:rsidRPr="00B769EB">
        <w:rPr>
          <w:rFonts w:cs="Arial"/>
          <w:color w:val="303030"/>
          <w:kern w:val="0"/>
          <w:sz w:val="20"/>
          <w:szCs w:val="20"/>
        </w:rPr>
        <w:t xml:space="preserve">which </w:t>
      </w:r>
      <w:r w:rsidRPr="00B769EB">
        <w:rPr>
          <w:rFonts w:cs="Arial"/>
          <w:color w:val="000000"/>
          <w:kern w:val="0"/>
          <w:sz w:val="20"/>
          <w:szCs w:val="20"/>
        </w:rPr>
        <w:t xml:space="preserve">gives HIV/STII test site information and other resources in </w:t>
      </w:r>
      <w:r w:rsidRPr="00B769EB">
        <w:rPr>
          <w:rFonts w:cs="Arial"/>
          <w:color w:val="303030"/>
          <w:kern w:val="0"/>
          <w:sz w:val="20"/>
          <w:szCs w:val="20"/>
        </w:rPr>
        <w:t xml:space="preserve">Massachusetts. </w:t>
      </w:r>
    </w:p>
    <w:p w14:paraId="7B6F21FF" w14:textId="77777777" w:rsidR="00B769EB" w:rsidRPr="00B769EB" w:rsidRDefault="00B769EB" w:rsidP="00B769EB">
      <w:pPr>
        <w:autoSpaceDE w:val="0"/>
        <w:autoSpaceDN w:val="0"/>
        <w:adjustRightInd w:val="0"/>
        <w:spacing w:after="66" w:line="240" w:lineRule="auto"/>
        <w:ind w:left="720"/>
        <w:rPr>
          <w:rFonts w:cs="Arial"/>
          <w:color w:val="000000"/>
          <w:kern w:val="0"/>
          <w:sz w:val="20"/>
          <w:szCs w:val="20"/>
        </w:rPr>
      </w:pPr>
      <w:r w:rsidRPr="00B769EB">
        <w:rPr>
          <w:rFonts w:cs="Arial"/>
          <w:color w:val="000000"/>
          <w:kern w:val="0"/>
          <w:sz w:val="20"/>
          <w:szCs w:val="20"/>
        </w:rPr>
        <w:t xml:space="preserve">5. The hospital system may have other available services for HIV counseling as well as referral sources to meet the needs of the sexual assault patient. </w:t>
      </w:r>
    </w:p>
    <w:p w14:paraId="71782CDF" w14:textId="77777777" w:rsidR="00B769EB" w:rsidRPr="00B769EB" w:rsidRDefault="00B769EB" w:rsidP="00B769EB">
      <w:pPr>
        <w:autoSpaceDE w:val="0"/>
        <w:autoSpaceDN w:val="0"/>
        <w:adjustRightInd w:val="0"/>
        <w:spacing w:after="0" w:line="240" w:lineRule="auto"/>
        <w:ind w:left="720"/>
        <w:rPr>
          <w:rFonts w:cs="Arial"/>
          <w:color w:val="0000FF"/>
          <w:kern w:val="0"/>
          <w:sz w:val="20"/>
          <w:szCs w:val="20"/>
        </w:rPr>
      </w:pPr>
      <w:r w:rsidRPr="00B769EB">
        <w:rPr>
          <w:rFonts w:cs="Arial"/>
          <w:color w:val="000000"/>
          <w:kern w:val="0"/>
          <w:sz w:val="20"/>
          <w:szCs w:val="20"/>
        </w:rPr>
        <w:t xml:space="preserve">6. Additional resources for nPEP for MA patients can be found at </w:t>
      </w:r>
      <w:r w:rsidRPr="00B769EB">
        <w:rPr>
          <w:rFonts w:cs="Arial"/>
          <w:color w:val="0000FF"/>
          <w:kern w:val="0"/>
          <w:sz w:val="20"/>
          <w:szCs w:val="20"/>
        </w:rPr>
        <w:t xml:space="preserve">https://crine.org/npep </w:t>
      </w:r>
    </w:p>
    <w:p w14:paraId="4DB06130" w14:textId="77777777" w:rsidR="00B769EB" w:rsidRDefault="00B769EB" w:rsidP="00184785"/>
    <w:p w14:paraId="7EFE35C6" w14:textId="15EE1EF8" w:rsidR="00B769EB" w:rsidRPr="00F44316" w:rsidRDefault="00F44316" w:rsidP="00184785">
      <w:r w:rsidRPr="00F44316">
        <w:t xml:space="preserve">Also, aftercare forms containing the names of ED providers, primary care or clinic networks, AIDS Action Hotline number, local Sexual Assault Prevention and Survivor Service Programs and Family Planning Clinic numbers will be provided. MA DPH educational brochures about HIV Counselling and Testing can be found at: </w:t>
      </w:r>
      <w:r w:rsidRPr="00F44316">
        <w:rPr>
          <w:color w:val="0000FF"/>
        </w:rPr>
        <w:t>http://files.hria.org/files/HA1656.pdf</w:t>
      </w:r>
    </w:p>
    <w:p w14:paraId="27FE4E06" w14:textId="4DC19B92" w:rsidR="00F44316" w:rsidRDefault="00F44316">
      <w:r>
        <w:br w:type="page"/>
      </w:r>
    </w:p>
    <w:p w14:paraId="177A0024" w14:textId="77777777" w:rsidR="00184785" w:rsidRPr="002B7E9A" w:rsidRDefault="00184785" w:rsidP="00A40D90">
      <w:pPr>
        <w:spacing w:after="0" w:line="240" w:lineRule="auto"/>
      </w:pPr>
    </w:p>
    <w:p w14:paraId="3211C3EC" w14:textId="77777777" w:rsidR="00A40D90" w:rsidRPr="00A40D90" w:rsidRDefault="00A40D90" w:rsidP="00A40D90">
      <w:pPr>
        <w:autoSpaceDE w:val="0"/>
        <w:autoSpaceDN w:val="0"/>
        <w:adjustRightInd w:val="0"/>
        <w:spacing w:after="0" w:line="240" w:lineRule="auto"/>
        <w:rPr>
          <w:rFonts w:cs="Arial"/>
          <w:color w:val="000000"/>
          <w:kern w:val="0"/>
          <w:u w:val="single"/>
        </w:rPr>
      </w:pPr>
      <w:r w:rsidRPr="00A40D90">
        <w:rPr>
          <w:rFonts w:cs="Arial"/>
          <w:b/>
          <w:bCs/>
          <w:color w:val="000000"/>
          <w:kern w:val="0"/>
          <w:u w:val="single"/>
        </w:rPr>
        <w:t xml:space="preserve">Additional Education regarding Follow- up Care </w:t>
      </w:r>
    </w:p>
    <w:p w14:paraId="51A1017E" w14:textId="059038F1" w:rsidR="00184785" w:rsidRDefault="00A40D90" w:rsidP="00A40D90">
      <w:pPr>
        <w:spacing w:after="0" w:line="240" w:lineRule="auto"/>
        <w:rPr>
          <w:rFonts w:cs="Arial"/>
          <w:color w:val="000000"/>
          <w:kern w:val="0"/>
          <w:sz w:val="20"/>
          <w:szCs w:val="20"/>
        </w:rPr>
      </w:pPr>
      <w:r w:rsidRPr="00A40D90">
        <w:rPr>
          <w:rFonts w:cs="Arial"/>
          <w:color w:val="000000"/>
          <w:kern w:val="0"/>
          <w:sz w:val="20"/>
          <w:szCs w:val="20"/>
        </w:rPr>
        <w:t>Patients should be counseled regarding symptoms of STIs and the need for immediate examination if symptoms occur. Further, they should be instructed to abstain from sexual intercourse or</w:t>
      </w:r>
      <w:r w:rsidR="00B93E96">
        <w:rPr>
          <w:rFonts w:cs="Arial"/>
          <w:color w:val="000000"/>
          <w:kern w:val="0"/>
          <w:sz w:val="20"/>
          <w:szCs w:val="20"/>
        </w:rPr>
        <w:t xml:space="preserve"> to</w:t>
      </w:r>
      <w:r w:rsidRPr="00A40D90">
        <w:rPr>
          <w:rFonts w:cs="Arial"/>
          <w:color w:val="000000"/>
          <w:kern w:val="0"/>
          <w:sz w:val="20"/>
          <w:szCs w:val="20"/>
        </w:rPr>
        <w:t xml:space="preserve"> use condoms consistently until full course of STI prophylactic treatment is completed.</w:t>
      </w:r>
    </w:p>
    <w:p w14:paraId="0759E023" w14:textId="77777777" w:rsidR="00A40D90" w:rsidRPr="00184785" w:rsidRDefault="00A40D90" w:rsidP="00A40D90">
      <w:pPr>
        <w:spacing w:after="0" w:line="240" w:lineRule="auto"/>
        <w:rPr>
          <w:sz w:val="20"/>
          <w:szCs w:val="20"/>
        </w:rPr>
      </w:pPr>
    </w:p>
    <w:p w14:paraId="6077267D" w14:textId="0B4A16B1" w:rsidR="00184785" w:rsidRDefault="00A40D90" w:rsidP="00A40D90">
      <w:pPr>
        <w:spacing w:after="0" w:line="240" w:lineRule="auto"/>
        <w:rPr>
          <w:sz w:val="20"/>
          <w:szCs w:val="20"/>
        </w:rPr>
      </w:pPr>
      <w:r>
        <w:rPr>
          <w:sz w:val="20"/>
          <w:szCs w:val="20"/>
        </w:rPr>
        <w:t>Follow-up examinations provide an opportunity to detect new infections acquired during or after the assault, complete hepatitis B and HPV vaccinations if indicated, complete counseling and treatment for other STIs, and monitor side effects and adherence to PEP if prescribed.</w:t>
      </w:r>
    </w:p>
    <w:p w14:paraId="1FF6C493" w14:textId="77777777" w:rsidR="00A40D90" w:rsidRPr="00184785" w:rsidRDefault="00A40D90" w:rsidP="00A40D90">
      <w:pPr>
        <w:spacing w:after="0" w:line="240" w:lineRule="auto"/>
        <w:rPr>
          <w:sz w:val="20"/>
          <w:szCs w:val="20"/>
        </w:rPr>
      </w:pPr>
    </w:p>
    <w:p w14:paraId="5D18EEC9" w14:textId="77777777" w:rsidR="004B3C1C" w:rsidRPr="004B3C1C" w:rsidRDefault="004B3C1C" w:rsidP="004B3C1C">
      <w:pPr>
        <w:autoSpaceDE w:val="0"/>
        <w:autoSpaceDN w:val="0"/>
        <w:adjustRightInd w:val="0"/>
        <w:spacing w:after="0" w:line="240" w:lineRule="auto"/>
        <w:rPr>
          <w:rFonts w:cs="Arial"/>
          <w:color w:val="000000"/>
          <w:kern w:val="0"/>
          <w:sz w:val="24"/>
          <w:szCs w:val="24"/>
        </w:rPr>
      </w:pPr>
    </w:p>
    <w:p w14:paraId="208D81BE" w14:textId="77777777" w:rsidR="004B3C1C" w:rsidRPr="005B01EB" w:rsidRDefault="004B3C1C" w:rsidP="005B01EB">
      <w:pPr>
        <w:pStyle w:val="ListParagraph"/>
        <w:numPr>
          <w:ilvl w:val="0"/>
          <w:numId w:val="17"/>
        </w:numPr>
        <w:autoSpaceDE w:val="0"/>
        <w:autoSpaceDN w:val="0"/>
        <w:adjustRightInd w:val="0"/>
        <w:spacing w:after="0" w:line="240" w:lineRule="auto"/>
        <w:rPr>
          <w:rFonts w:cs="Arial"/>
          <w:color w:val="000000"/>
          <w:kern w:val="0"/>
          <w:sz w:val="20"/>
          <w:szCs w:val="20"/>
        </w:rPr>
      </w:pPr>
      <w:r w:rsidRPr="00B93E96">
        <w:rPr>
          <w:rFonts w:cs="Arial"/>
          <w:color w:val="000000"/>
          <w:kern w:val="0"/>
          <w:sz w:val="20"/>
          <w:szCs w:val="20"/>
        </w:rPr>
        <w:t xml:space="preserve">If </w:t>
      </w:r>
      <w:r w:rsidRPr="0018086F">
        <w:rPr>
          <w:rFonts w:cs="Arial"/>
          <w:color w:val="000000"/>
          <w:kern w:val="0"/>
          <w:sz w:val="20"/>
          <w:szCs w:val="20"/>
          <w:u w:val="single"/>
        </w:rPr>
        <w:t>initial testing was performed</w:t>
      </w:r>
      <w:r w:rsidRPr="005B01EB">
        <w:rPr>
          <w:rFonts w:cs="Arial"/>
          <w:color w:val="000000"/>
          <w:kern w:val="0"/>
          <w:sz w:val="20"/>
          <w:szCs w:val="20"/>
        </w:rPr>
        <w:t xml:space="preserve">, follow-up evaluation should be conducted in &lt;1 week to ensure that results of positive tests can be discussed promptly with the patient, treatment is provided if not administered at the initial visit, and any follow-up for infections can be arranged. Also follow up regarding medication compliance and need for refills can be assessed </w:t>
      </w:r>
    </w:p>
    <w:p w14:paraId="372B1EB0" w14:textId="77777777" w:rsidR="00184785" w:rsidRDefault="00184785" w:rsidP="00A40D90">
      <w:pPr>
        <w:spacing w:after="0" w:line="240" w:lineRule="auto"/>
        <w:rPr>
          <w:sz w:val="20"/>
          <w:szCs w:val="20"/>
        </w:rPr>
      </w:pPr>
    </w:p>
    <w:p w14:paraId="0EFE6545" w14:textId="77777777" w:rsidR="004636CB" w:rsidRPr="005B01EB" w:rsidRDefault="004636CB" w:rsidP="005B01EB">
      <w:pPr>
        <w:pStyle w:val="ListParagraph"/>
        <w:numPr>
          <w:ilvl w:val="0"/>
          <w:numId w:val="17"/>
        </w:numPr>
        <w:autoSpaceDE w:val="0"/>
        <w:autoSpaceDN w:val="0"/>
        <w:adjustRightInd w:val="0"/>
        <w:spacing w:after="0" w:line="240" w:lineRule="auto"/>
        <w:rPr>
          <w:rFonts w:cs="Arial"/>
          <w:color w:val="000000"/>
          <w:kern w:val="0"/>
          <w:sz w:val="20"/>
          <w:szCs w:val="20"/>
        </w:rPr>
      </w:pPr>
      <w:r w:rsidRPr="00B93E96">
        <w:rPr>
          <w:rFonts w:cs="Arial"/>
          <w:color w:val="000000"/>
          <w:kern w:val="0"/>
          <w:sz w:val="20"/>
          <w:szCs w:val="20"/>
        </w:rPr>
        <w:t>If</w:t>
      </w:r>
      <w:r w:rsidRPr="0018086F">
        <w:rPr>
          <w:rFonts w:cs="Arial"/>
          <w:color w:val="000000"/>
          <w:kern w:val="0"/>
          <w:sz w:val="20"/>
          <w:szCs w:val="20"/>
          <w:u w:val="single"/>
        </w:rPr>
        <w:t xml:space="preserve"> initial tests are negative and treatment was not provided</w:t>
      </w:r>
      <w:r w:rsidRPr="005B01EB">
        <w:rPr>
          <w:rFonts w:cs="Arial"/>
          <w:color w:val="000000"/>
          <w:kern w:val="0"/>
          <w:sz w:val="20"/>
          <w:szCs w:val="20"/>
        </w:rPr>
        <w:t xml:space="preserve">, examination for STIs can be repeated 1–2 weeks after the assault; repeat testing detects infectious organisms that might not have reached sufficient concentrations to produce positive test results at the time of initial examination. </w:t>
      </w:r>
    </w:p>
    <w:p w14:paraId="4F51AFF6" w14:textId="50A277CC" w:rsidR="00184785" w:rsidRDefault="00184785" w:rsidP="00A40D90">
      <w:pPr>
        <w:tabs>
          <w:tab w:val="left" w:pos="2093"/>
        </w:tabs>
        <w:spacing w:after="0" w:line="240" w:lineRule="auto"/>
        <w:rPr>
          <w:sz w:val="20"/>
          <w:szCs w:val="20"/>
        </w:rPr>
      </w:pPr>
    </w:p>
    <w:p w14:paraId="639428E2" w14:textId="77777777" w:rsidR="004636CB" w:rsidRPr="005B01EB" w:rsidRDefault="004636CB" w:rsidP="005B01EB">
      <w:pPr>
        <w:pStyle w:val="ListParagraph"/>
        <w:numPr>
          <w:ilvl w:val="0"/>
          <w:numId w:val="17"/>
        </w:numPr>
        <w:autoSpaceDE w:val="0"/>
        <w:autoSpaceDN w:val="0"/>
        <w:adjustRightInd w:val="0"/>
        <w:spacing w:after="0" w:line="240" w:lineRule="auto"/>
        <w:rPr>
          <w:rFonts w:cs="Arial"/>
          <w:color w:val="000000"/>
          <w:kern w:val="0"/>
          <w:sz w:val="20"/>
          <w:szCs w:val="20"/>
        </w:rPr>
      </w:pPr>
      <w:r w:rsidRPr="00B93E96">
        <w:rPr>
          <w:rFonts w:cs="Arial"/>
          <w:color w:val="000000"/>
          <w:kern w:val="0"/>
          <w:sz w:val="20"/>
          <w:szCs w:val="20"/>
        </w:rPr>
        <w:t>If</w:t>
      </w:r>
      <w:r w:rsidRPr="0018086F">
        <w:rPr>
          <w:rFonts w:cs="Arial"/>
          <w:color w:val="000000"/>
          <w:kern w:val="0"/>
          <w:sz w:val="20"/>
          <w:szCs w:val="20"/>
          <w:u w:val="single"/>
        </w:rPr>
        <w:t xml:space="preserve"> initial testing was positive for gonorrhea</w:t>
      </w:r>
      <w:r w:rsidRPr="005B01EB">
        <w:rPr>
          <w:rFonts w:cs="Arial"/>
          <w:color w:val="000000"/>
          <w:kern w:val="0"/>
          <w:sz w:val="20"/>
          <w:szCs w:val="20"/>
        </w:rPr>
        <w:t xml:space="preserve">, a risk history, including travel history should be completed. Additionally, a test of cure should be completed 14-days after initial treatment; this includes obtaining a urine NAAT and retesting all previously positive mucosal sites if site-specific testing was conducted. Further, we recommend that all gonorrhea positive cases should have repeat NAAT testing for gonorrhea 3 months following treatment. If retesting at 3 months is not possible, clinicians should retest whenever patients next seek medical care &lt;12 months after initial treatment. </w:t>
      </w:r>
    </w:p>
    <w:p w14:paraId="76044CCB" w14:textId="77777777" w:rsidR="004B3C1C" w:rsidRDefault="004B3C1C" w:rsidP="00A40D90">
      <w:pPr>
        <w:tabs>
          <w:tab w:val="left" w:pos="2093"/>
        </w:tabs>
        <w:spacing w:after="0" w:line="240" w:lineRule="auto"/>
        <w:rPr>
          <w:sz w:val="20"/>
          <w:szCs w:val="20"/>
        </w:rPr>
      </w:pPr>
    </w:p>
    <w:p w14:paraId="7329B533" w14:textId="77777777" w:rsidR="005B01EB" w:rsidRPr="005B01EB" w:rsidRDefault="005B01EB" w:rsidP="005B01EB">
      <w:pPr>
        <w:pStyle w:val="ListParagraph"/>
        <w:numPr>
          <w:ilvl w:val="0"/>
          <w:numId w:val="17"/>
        </w:numPr>
        <w:autoSpaceDE w:val="0"/>
        <w:autoSpaceDN w:val="0"/>
        <w:adjustRightInd w:val="0"/>
        <w:spacing w:after="0" w:line="240" w:lineRule="auto"/>
        <w:rPr>
          <w:rFonts w:cs="Arial"/>
          <w:color w:val="000000"/>
          <w:kern w:val="0"/>
          <w:sz w:val="20"/>
          <w:szCs w:val="20"/>
        </w:rPr>
      </w:pPr>
      <w:r w:rsidRPr="005B01EB">
        <w:rPr>
          <w:rFonts w:cs="Arial"/>
          <w:color w:val="000000"/>
          <w:kern w:val="0"/>
          <w:sz w:val="20"/>
          <w:szCs w:val="20"/>
        </w:rPr>
        <w:t xml:space="preserve">For patients who are </w:t>
      </w:r>
      <w:r w:rsidRPr="0018086F">
        <w:rPr>
          <w:rFonts w:cs="Arial"/>
          <w:color w:val="000000"/>
          <w:kern w:val="0"/>
          <w:sz w:val="20"/>
          <w:szCs w:val="20"/>
          <w:u w:val="single"/>
        </w:rPr>
        <w:t>treated during their initial visit, regardless of whether testing was performed</w:t>
      </w:r>
      <w:r w:rsidRPr="005B01EB">
        <w:rPr>
          <w:rFonts w:cs="Arial"/>
          <w:color w:val="000000"/>
          <w:kern w:val="0"/>
          <w:sz w:val="20"/>
          <w:szCs w:val="20"/>
        </w:rPr>
        <w:t xml:space="preserve">, post-treatment testing for all STIs, excluding gonorrhea should be conducted only if the person reports having symptoms. If initial test results were negative and infection in the assailant cannot be ruled out, serologic tests for syphilis can be repeated at 4-6 weeks and 3 months; HIV testing can be repeated at 6 weeks and 3 months by using methods to identify acute HIV infection. </w:t>
      </w:r>
    </w:p>
    <w:p w14:paraId="719A71F5" w14:textId="77777777" w:rsidR="004B3C1C" w:rsidRDefault="004B3C1C" w:rsidP="00A40D90">
      <w:pPr>
        <w:tabs>
          <w:tab w:val="left" w:pos="2093"/>
        </w:tabs>
        <w:spacing w:after="0" w:line="240" w:lineRule="auto"/>
        <w:rPr>
          <w:sz w:val="20"/>
          <w:szCs w:val="20"/>
        </w:rPr>
      </w:pPr>
    </w:p>
    <w:tbl>
      <w:tblPr>
        <w:tblStyle w:val="TableGrid"/>
        <w:tblW w:w="0" w:type="auto"/>
        <w:tblLook w:val="04A0" w:firstRow="1" w:lastRow="0" w:firstColumn="1" w:lastColumn="0" w:noHBand="0" w:noVBand="1"/>
      </w:tblPr>
      <w:tblGrid>
        <w:gridCol w:w="10790"/>
      </w:tblGrid>
      <w:tr w:rsidR="005B01EB" w14:paraId="17C5BB6C" w14:textId="77777777" w:rsidTr="00F7271A">
        <w:tc>
          <w:tcPr>
            <w:tcW w:w="10790" w:type="dxa"/>
            <w:shd w:val="clear" w:color="auto" w:fill="DAE9F7" w:themeFill="text2" w:themeFillTint="1A"/>
          </w:tcPr>
          <w:p w14:paraId="765E6858" w14:textId="39210F6B" w:rsidR="005B01EB" w:rsidRPr="00C674F2" w:rsidRDefault="00C674F2" w:rsidP="00C674F2">
            <w:pPr>
              <w:tabs>
                <w:tab w:val="left" w:pos="2093"/>
              </w:tabs>
              <w:spacing w:before="100"/>
              <w:jc w:val="center"/>
              <w:rPr>
                <w:b/>
                <w:bCs/>
                <w:u w:val="single"/>
              </w:rPr>
            </w:pPr>
            <w:r w:rsidRPr="00C674F2">
              <w:rPr>
                <w:b/>
                <w:bCs/>
                <w:u w:val="single"/>
              </w:rPr>
              <w:t>Follow U</w:t>
            </w:r>
            <w:r w:rsidR="002418AA">
              <w:rPr>
                <w:b/>
                <w:bCs/>
                <w:u w:val="single"/>
              </w:rPr>
              <w:t>p</w:t>
            </w:r>
            <w:r w:rsidRPr="00C674F2">
              <w:rPr>
                <w:b/>
                <w:bCs/>
                <w:u w:val="single"/>
              </w:rPr>
              <w:t xml:space="preserve"> regarding PrEP</w:t>
            </w:r>
          </w:p>
          <w:p w14:paraId="42744C76" w14:textId="77777777" w:rsidR="00C674F2" w:rsidRPr="00C674F2" w:rsidRDefault="00C674F2" w:rsidP="00C674F2">
            <w:pPr>
              <w:autoSpaceDE w:val="0"/>
              <w:autoSpaceDN w:val="0"/>
              <w:adjustRightInd w:val="0"/>
              <w:rPr>
                <w:rFonts w:cs="Arial"/>
                <w:color w:val="000000"/>
                <w:kern w:val="0"/>
              </w:rPr>
            </w:pPr>
          </w:p>
          <w:p w14:paraId="7A7351F4" w14:textId="57E24539" w:rsidR="00664EA0" w:rsidRDefault="00914D47" w:rsidP="007B1E89">
            <w:pPr>
              <w:pStyle w:val="ListParagraph"/>
              <w:numPr>
                <w:ilvl w:val="0"/>
                <w:numId w:val="18"/>
              </w:numPr>
              <w:autoSpaceDE w:val="0"/>
              <w:autoSpaceDN w:val="0"/>
              <w:adjustRightInd w:val="0"/>
            </w:pPr>
            <w:r w:rsidRPr="00914D47">
              <w:t>All p</w:t>
            </w:r>
            <w:r w:rsidR="0086336B">
              <w:t>atients</w:t>
            </w:r>
            <w:r w:rsidRPr="00914D47">
              <w:t xml:space="preserve"> prescribed nPEP should be assessed for ongoing risk for HIV acquisition.</w:t>
            </w:r>
            <w:r w:rsidR="00664EA0">
              <w:t xml:space="preserve">  </w:t>
            </w:r>
          </w:p>
          <w:p w14:paraId="36887365" w14:textId="77777777" w:rsidR="00664EA0" w:rsidRPr="00664EA0" w:rsidRDefault="00664EA0" w:rsidP="00664EA0">
            <w:pPr>
              <w:pStyle w:val="ListParagraph"/>
              <w:numPr>
                <w:ilvl w:val="0"/>
                <w:numId w:val="18"/>
              </w:numPr>
            </w:pPr>
            <w:r w:rsidRPr="00664EA0">
              <w:t xml:space="preserve">When taken as prescribed, PrEP can reduce the risk for acquiring HIV from a sexual exposure by about 99%. </w:t>
            </w:r>
          </w:p>
          <w:p w14:paraId="46B8ADD2" w14:textId="77777777" w:rsidR="007B1E89" w:rsidRDefault="007B1E89" w:rsidP="007B1E89">
            <w:pPr>
              <w:pStyle w:val="ListParagraph"/>
              <w:numPr>
                <w:ilvl w:val="0"/>
                <w:numId w:val="18"/>
              </w:numPr>
              <w:autoSpaceDE w:val="0"/>
              <w:autoSpaceDN w:val="0"/>
              <w:adjustRightInd w:val="0"/>
              <w:spacing w:after="100" w:line="259" w:lineRule="auto"/>
              <w:rPr>
                <w:rFonts w:cs="Arial"/>
                <w:color w:val="000000"/>
                <w:kern w:val="0"/>
              </w:rPr>
            </w:pPr>
            <w:r w:rsidRPr="00F7271A">
              <w:rPr>
                <w:rFonts w:cs="Arial"/>
                <w:color w:val="000000"/>
                <w:kern w:val="0"/>
              </w:rPr>
              <w:t xml:space="preserve">An immediate transition from nPEP to PrEP, including HIV testing at the completion of nPEP, should be arranged when indicated. </w:t>
            </w:r>
          </w:p>
          <w:p w14:paraId="0C89A684" w14:textId="1E86855C" w:rsidR="002E1D87" w:rsidRPr="007F6F5B" w:rsidRDefault="00F7271A" w:rsidP="007F6F5B">
            <w:pPr>
              <w:pStyle w:val="ListParagraph"/>
              <w:numPr>
                <w:ilvl w:val="0"/>
                <w:numId w:val="18"/>
              </w:numPr>
              <w:autoSpaceDE w:val="0"/>
              <w:autoSpaceDN w:val="0"/>
              <w:adjustRightInd w:val="0"/>
              <w:spacing w:after="100"/>
              <w:rPr>
                <w:rFonts w:cs="Arial"/>
                <w:color w:val="000000"/>
                <w:kern w:val="0"/>
              </w:rPr>
            </w:pPr>
            <w:r w:rsidRPr="00F7271A">
              <w:rPr>
                <w:rFonts w:cs="Arial"/>
                <w:color w:val="000000"/>
                <w:kern w:val="0"/>
              </w:rPr>
              <w:t>Healthcare professionals should educate patient</w:t>
            </w:r>
            <w:r w:rsidR="0086336B">
              <w:rPr>
                <w:rFonts w:cs="Arial"/>
                <w:color w:val="000000"/>
                <w:kern w:val="0"/>
              </w:rPr>
              <w:t>s</w:t>
            </w:r>
            <w:r w:rsidRPr="00F7271A">
              <w:rPr>
                <w:rFonts w:cs="Arial"/>
                <w:color w:val="000000"/>
                <w:kern w:val="0"/>
              </w:rPr>
              <w:t xml:space="preserve"> about PrEP options</w:t>
            </w:r>
            <w:r w:rsidR="00E35261">
              <w:rPr>
                <w:rFonts w:cs="Arial"/>
                <w:color w:val="000000"/>
                <w:kern w:val="0"/>
              </w:rPr>
              <w:t>.</w:t>
            </w:r>
            <w:r w:rsidRPr="00F7271A">
              <w:rPr>
                <w:rFonts w:cs="Arial"/>
                <w:color w:val="000000"/>
                <w:kern w:val="0"/>
              </w:rPr>
              <w:t xml:space="preserve"> </w:t>
            </w:r>
          </w:p>
        </w:tc>
      </w:tr>
    </w:tbl>
    <w:p w14:paraId="563F8D31" w14:textId="77777777" w:rsidR="005B01EB" w:rsidRDefault="005B01EB" w:rsidP="00A40D90">
      <w:pPr>
        <w:tabs>
          <w:tab w:val="left" w:pos="2093"/>
        </w:tabs>
        <w:spacing w:after="0" w:line="240" w:lineRule="auto"/>
        <w:rPr>
          <w:sz w:val="20"/>
          <w:szCs w:val="20"/>
        </w:rPr>
      </w:pPr>
    </w:p>
    <w:p w14:paraId="5DD96003" w14:textId="7392F1C2" w:rsidR="00DC38CB" w:rsidRDefault="00DC38CB">
      <w:pPr>
        <w:rPr>
          <w:sz w:val="20"/>
          <w:szCs w:val="20"/>
        </w:rPr>
      </w:pPr>
      <w:r>
        <w:rPr>
          <w:sz w:val="20"/>
          <w:szCs w:val="20"/>
        </w:rPr>
        <w:br w:type="page"/>
      </w:r>
    </w:p>
    <w:p w14:paraId="675183E1" w14:textId="77777777" w:rsidR="005B01EB" w:rsidRDefault="005B01EB" w:rsidP="00A40D90">
      <w:pPr>
        <w:tabs>
          <w:tab w:val="left" w:pos="2093"/>
        </w:tabs>
        <w:spacing w:after="0" w:line="240" w:lineRule="auto"/>
        <w:rPr>
          <w:sz w:val="20"/>
          <w:szCs w:val="20"/>
        </w:rPr>
      </w:pPr>
    </w:p>
    <w:p w14:paraId="7094ED0D" w14:textId="45C07F41" w:rsidR="00DC38CB" w:rsidRDefault="00DC38CB" w:rsidP="00290A52">
      <w:pPr>
        <w:tabs>
          <w:tab w:val="left" w:pos="2093"/>
        </w:tabs>
        <w:spacing w:after="0" w:line="240" w:lineRule="auto"/>
        <w:jc w:val="center"/>
        <w:rPr>
          <w:sz w:val="20"/>
          <w:szCs w:val="20"/>
        </w:rPr>
      </w:pPr>
    </w:p>
    <w:p w14:paraId="52DE8FEE" w14:textId="77777777" w:rsidR="00DC38CB" w:rsidRDefault="00DC38CB" w:rsidP="00A40D90">
      <w:pPr>
        <w:tabs>
          <w:tab w:val="left" w:pos="2093"/>
        </w:tabs>
        <w:spacing w:after="0" w:line="240" w:lineRule="auto"/>
        <w:rPr>
          <w:sz w:val="20"/>
          <w:szCs w:val="20"/>
        </w:rPr>
      </w:pPr>
    </w:p>
    <w:p w14:paraId="47CBBD6F" w14:textId="77777777" w:rsidR="00335CB7" w:rsidRDefault="00335CB7" w:rsidP="00335CB7">
      <w:pPr>
        <w:pStyle w:val="NormalWeb"/>
        <w:jc w:val="center"/>
      </w:pPr>
      <w:r>
        <w:rPr>
          <w:noProof/>
        </w:rPr>
        <w:drawing>
          <wp:inline distT="0" distB="0" distL="0" distR="0" wp14:anchorId="6E2F2EFA" wp14:editId="18D94B04">
            <wp:extent cx="5353050" cy="7137400"/>
            <wp:effectExtent l="0" t="0" r="0" b="6350"/>
            <wp:docPr id="1" name="Picture 1" descr="STI testing Protoco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I testing Protocol Dia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3220" cy="7137627"/>
                    </a:xfrm>
                    <a:prstGeom prst="rect">
                      <a:avLst/>
                    </a:prstGeom>
                    <a:noFill/>
                    <a:ln>
                      <a:noFill/>
                    </a:ln>
                  </pic:spPr>
                </pic:pic>
              </a:graphicData>
            </a:graphic>
          </wp:inline>
        </w:drawing>
      </w:r>
    </w:p>
    <w:p w14:paraId="4122F0D3" w14:textId="77777777" w:rsidR="00DC38CB" w:rsidRPr="00184785" w:rsidRDefault="00DC38CB" w:rsidP="00A40D90">
      <w:pPr>
        <w:tabs>
          <w:tab w:val="left" w:pos="2093"/>
        </w:tabs>
        <w:spacing w:after="0" w:line="240" w:lineRule="auto"/>
        <w:rPr>
          <w:sz w:val="20"/>
          <w:szCs w:val="20"/>
        </w:rPr>
      </w:pPr>
    </w:p>
    <w:sectPr w:rsidR="00DC38CB" w:rsidRPr="00184785" w:rsidSect="0016082B">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5D41" w14:textId="77777777" w:rsidR="00550800" w:rsidRDefault="00550800" w:rsidP="0016082B">
      <w:pPr>
        <w:spacing w:after="0" w:line="240" w:lineRule="auto"/>
      </w:pPr>
      <w:r>
        <w:separator/>
      </w:r>
    </w:p>
  </w:endnote>
  <w:endnote w:type="continuationSeparator" w:id="0">
    <w:p w14:paraId="56486AD5" w14:textId="77777777" w:rsidR="00550800" w:rsidRDefault="00550800" w:rsidP="0016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FD53" w14:textId="151229FF" w:rsidR="00192702" w:rsidRPr="00192702" w:rsidRDefault="00192702" w:rsidP="00184785">
    <w:pPr>
      <w:pStyle w:val="Footer"/>
      <w:rPr>
        <w:sz w:val="16"/>
        <w:szCs w:val="16"/>
      </w:rPr>
    </w:pPr>
    <w:r w:rsidRPr="00192702">
      <w:rPr>
        <w:sz w:val="16"/>
        <w:szCs w:val="16"/>
      </w:rPr>
      <w:t>MA SANE Program updated 2025</w:t>
    </w:r>
    <w:r w:rsidR="00184785">
      <w:rPr>
        <w:sz w:val="16"/>
        <w:szCs w:val="16"/>
      </w:rPr>
      <w:tab/>
      <w:t xml:space="preserve"> </w:t>
    </w:r>
    <w:r w:rsidRPr="00192702">
      <w:rPr>
        <w:sz w:val="16"/>
        <w:szCs w:val="16"/>
      </w:rPr>
      <w:fldChar w:fldCharType="begin"/>
    </w:r>
    <w:r w:rsidRPr="00192702">
      <w:rPr>
        <w:sz w:val="16"/>
        <w:szCs w:val="16"/>
      </w:rPr>
      <w:instrText xml:space="preserve"> PAGE   \* MERGEFORMAT </w:instrText>
    </w:r>
    <w:r w:rsidRPr="00192702">
      <w:rPr>
        <w:sz w:val="16"/>
        <w:szCs w:val="16"/>
      </w:rPr>
      <w:fldChar w:fldCharType="separate"/>
    </w:r>
    <w:r w:rsidRPr="00192702">
      <w:rPr>
        <w:noProof/>
        <w:sz w:val="16"/>
        <w:szCs w:val="16"/>
      </w:rPr>
      <w:t>1</w:t>
    </w:r>
    <w:r w:rsidRPr="00192702">
      <w:rPr>
        <w:noProof/>
        <w:sz w:val="16"/>
        <w:szCs w:val="16"/>
      </w:rPr>
      <w:fldChar w:fldCharType="end"/>
    </w:r>
  </w:p>
  <w:p w14:paraId="7C72A8E0" w14:textId="01B2E38B" w:rsidR="00192702" w:rsidRPr="00192702" w:rsidRDefault="00192702" w:rsidP="0018478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12CA" w14:textId="77777777" w:rsidR="00550800" w:rsidRDefault="00550800" w:rsidP="0016082B">
      <w:pPr>
        <w:spacing w:after="0" w:line="240" w:lineRule="auto"/>
      </w:pPr>
      <w:r>
        <w:separator/>
      </w:r>
    </w:p>
  </w:footnote>
  <w:footnote w:type="continuationSeparator" w:id="0">
    <w:p w14:paraId="7072B5D3" w14:textId="77777777" w:rsidR="00550800" w:rsidRDefault="00550800" w:rsidP="0016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837D" w14:textId="1C064B33" w:rsidR="0016082B" w:rsidRPr="0016082B" w:rsidRDefault="00192702" w:rsidP="0016082B">
    <w:pPr>
      <w:pStyle w:val="Header"/>
      <w:jc w:val="center"/>
      <w:rPr>
        <w:rFonts w:ascii="Times New Roman" w:hAnsi="Times New Roman" w:cs="Times New Roman"/>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2A78FD1F" wp14:editId="078F358E">
              <wp:simplePos x="0" y="0"/>
              <wp:positionH relativeFrom="column">
                <wp:posOffset>187325</wp:posOffset>
              </wp:positionH>
              <wp:positionV relativeFrom="paragraph">
                <wp:posOffset>716280</wp:posOffset>
              </wp:positionV>
              <wp:extent cx="6492875" cy="0"/>
              <wp:effectExtent l="6350" t="5715" r="6350" b="13335"/>
              <wp:wrapNone/>
              <wp:docPr id="88744222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A4459" id="_x0000_t32" coordsize="21600,21600" o:spt="32" o:oned="t" path="m,l21600,21600e" filled="f">
              <v:path arrowok="t" fillok="f" o:connecttype="none"/>
              <o:lock v:ext="edit" shapetype="t"/>
            </v:shapetype>
            <v:shape id="AutoShape 1" o:spid="_x0000_s1026" type="#_x0000_t32" style="position:absolute;margin-left:14.75pt;margin-top:56.4pt;width:51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"/>
          </w:pict>
        </mc:Fallback>
      </mc:AlternateContent>
    </w:r>
    <w:r w:rsidR="0016082B" w:rsidRPr="0016082B">
      <w:rPr>
        <w:rFonts w:ascii="Times New Roman" w:hAnsi="Times New Roman" w:cs="Times New Roman"/>
        <w:sz w:val="26"/>
        <w:szCs w:val="26"/>
      </w:rPr>
      <w:t>MASSACHUSETTS SEXUAL ASSAULT NURSE EXAMINER PROGRAM</w:t>
    </w:r>
    <w:r w:rsidR="0016082B">
      <w:rPr>
        <w:rFonts w:ascii="Times New Roman" w:hAnsi="Times New Roman" w:cs="Times New Roman"/>
        <w:sz w:val="26"/>
        <w:szCs w:val="26"/>
      </w:rPr>
      <w:br/>
    </w:r>
    <w:r w:rsidR="0016082B" w:rsidRPr="0016082B">
      <w:rPr>
        <w:rFonts w:ascii="Times New Roman" w:hAnsi="Times New Roman" w:cs="Times New Roman"/>
        <w:b/>
        <w:bCs/>
        <w:sz w:val="26"/>
        <w:szCs w:val="26"/>
      </w:rPr>
      <w:t xml:space="preserve">PROTOCOL FOR ADULT/ADOLESCENT SANEs and </w:t>
    </w:r>
    <w:r w:rsidR="0016082B">
      <w:rPr>
        <w:rFonts w:ascii="Times New Roman" w:hAnsi="Times New Roman" w:cs="Times New Roman"/>
        <w:b/>
        <w:bCs/>
        <w:sz w:val="26"/>
        <w:szCs w:val="26"/>
      </w:rPr>
      <w:br/>
    </w:r>
    <w:r w:rsidR="0016082B" w:rsidRPr="0016082B">
      <w:rPr>
        <w:rFonts w:ascii="Times New Roman" w:hAnsi="Times New Roman" w:cs="Times New Roman"/>
        <w:b/>
        <w:bCs/>
        <w:sz w:val="26"/>
        <w:szCs w:val="26"/>
      </w:rPr>
      <w:t>EMERGENCY DEPARTMENT PROVIDERS</w:t>
    </w:r>
    <w:r w:rsidR="0016082B">
      <w:rPr>
        <w:rFonts w:ascii="Times New Roman" w:hAnsi="Times New Roman" w:cs="Times New Roman"/>
        <w:b/>
        <w:bCs/>
        <w:sz w:val="26"/>
        <w:szCs w:val="2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51C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CAE4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737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7EF5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640269"/>
    <w:multiLevelType w:val="hybridMultilevel"/>
    <w:tmpl w:val="532045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131A9"/>
    <w:multiLevelType w:val="hybridMultilevel"/>
    <w:tmpl w:val="A02EA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55384"/>
    <w:multiLevelType w:val="hybridMultilevel"/>
    <w:tmpl w:val="5AFE5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93D81"/>
    <w:multiLevelType w:val="hybridMultilevel"/>
    <w:tmpl w:val="35D224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C4A9E"/>
    <w:multiLevelType w:val="hybridMultilevel"/>
    <w:tmpl w:val="B2B0BE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4D727D"/>
    <w:multiLevelType w:val="hybridMultilevel"/>
    <w:tmpl w:val="C876F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5482F"/>
    <w:multiLevelType w:val="hybridMultilevel"/>
    <w:tmpl w:val="299A5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F4E90"/>
    <w:multiLevelType w:val="hybridMultilevel"/>
    <w:tmpl w:val="5666FB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0974C9"/>
    <w:multiLevelType w:val="hybridMultilevel"/>
    <w:tmpl w:val="B380BE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6F3E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110D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6F23DBD"/>
    <w:multiLevelType w:val="hybridMultilevel"/>
    <w:tmpl w:val="91527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1418C"/>
    <w:multiLevelType w:val="hybridMultilevel"/>
    <w:tmpl w:val="BD283D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5419F"/>
    <w:multiLevelType w:val="hybridMultilevel"/>
    <w:tmpl w:val="7A30E2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7C7546"/>
    <w:multiLevelType w:val="hybridMultilevel"/>
    <w:tmpl w:val="0C44D1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22EE6"/>
    <w:multiLevelType w:val="hybridMultilevel"/>
    <w:tmpl w:val="70B42452"/>
    <w:lvl w:ilvl="0" w:tplc="04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F0F686F"/>
    <w:multiLevelType w:val="hybridMultilevel"/>
    <w:tmpl w:val="60169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524628">
    <w:abstractNumId w:val="6"/>
  </w:num>
  <w:num w:numId="2" w16cid:durableId="1919485079">
    <w:abstractNumId w:val="2"/>
  </w:num>
  <w:num w:numId="3" w16cid:durableId="989822580">
    <w:abstractNumId w:val="13"/>
  </w:num>
  <w:num w:numId="4" w16cid:durableId="1512718079">
    <w:abstractNumId w:val="0"/>
  </w:num>
  <w:num w:numId="5" w16cid:durableId="97217072">
    <w:abstractNumId w:val="20"/>
  </w:num>
  <w:num w:numId="6" w16cid:durableId="375591377">
    <w:abstractNumId w:val="11"/>
  </w:num>
  <w:num w:numId="7" w16cid:durableId="1859351617">
    <w:abstractNumId w:val="8"/>
  </w:num>
  <w:num w:numId="8" w16cid:durableId="1592011180">
    <w:abstractNumId w:val="16"/>
  </w:num>
  <w:num w:numId="9" w16cid:durableId="499466849">
    <w:abstractNumId w:val="15"/>
  </w:num>
  <w:num w:numId="10" w16cid:durableId="957612578">
    <w:abstractNumId w:val="14"/>
  </w:num>
  <w:num w:numId="11" w16cid:durableId="642539587">
    <w:abstractNumId w:val="7"/>
  </w:num>
  <w:num w:numId="12" w16cid:durableId="1000737228">
    <w:abstractNumId w:val="3"/>
  </w:num>
  <w:num w:numId="13" w16cid:durableId="1452744679">
    <w:abstractNumId w:val="1"/>
  </w:num>
  <w:num w:numId="14" w16cid:durableId="1652637607">
    <w:abstractNumId w:val="19"/>
  </w:num>
  <w:num w:numId="15" w16cid:durableId="192768671">
    <w:abstractNumId w:val="5"/>
  </w:num>
  <w:num w:numId="16" w16cid:durableId="1418357177">
    <w:abstractNumId w:val="9"/>
  </w:num>
  <w:num w:numId="17" w16cid:durableId="1539666280">
    <w:abstractNumId w:val="18"/>
  </w:num>
  <w:num w:numId="18" w16cid:durableId="1215119004">
    <w:abstractNumId w:val="10"/>
  </w:num>
  <w:num w:numId="19" w16cid:durableId="1048646555">
    <w:abstractNumId w:val="17"/>
  </w:num>
  <w:num w:numId="20" w16cid:durableId="1146512617">
    <w:abstractNumId w:val="4"/>
  </w:num>
  <w:num w:numId="21" w16cid:durableId="378285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2B"/>
    <w:rsid w:val="00000512"/>
    <w:rsid w:val="00005D2C"/>
    <w:rsid w:val="00034FC2"/>
    <w:rsid w:val="000364AF"/>
    <w:rsid w:val="00054A80"/>
    <w:rsid w:val="00056C61"/>
    <w:rsid w:val="00061440"/>
    <w:rsid w:val="00061CC3"/>
    <w:rsid w:val="00070170"/>
    <w:rsid w:val="00080571"/>
    <w:rsid w:val="000805E6"/>
    <w:rsid w:val="00090D27"/>
    <w:rsid w:val="000A257B"/>
    <w:rsid w:val="000A278D"/>
    <w:rsid w:val="000B0A74"/>
    <w:rsid w:val="000D7110"/>
    <w:rsid w:val="000E0C69"/>
    <w:rsid w:val="000E2E11"/>
    <w:rsid w:val="000E4044"/>
    <w:rsid w:val="000F39BD"/>
    <w:rsid w:val="000F3D7B"/>
    <w:rsid w:val="00104068"/>
    <w:rsid w:val="00107423"/>
    <w:rsid w:val="00123E69"/>
    <w:rsid w:val="00133353"/>
    <w:rsid w:val="00136DDF"/>
    <w:rsid w:val="001478CB"/>
    <w:rsid w:val="001525A6"/>
    <w:rsid w:val="0015544D"/>
    <w:rsid w:val="0016082B"/>
    <w:rsid w:val="00162640"/>
    <w:rsid w:val="00172E9B"/>
    <w:rsid w:val="00176C4F"/>
    <w:rsid w:val="0018086F"/>
    <w:rsid w:val="00184785"/>
    <w:rsid w:val="0018798C"/>
    <w:rsid w:val="00192702"/>
    <w:rsid w:val="0019552B"/>
    <w:rsid w:val="00195A69"/>
    <w:rsid w:val="0019665E"/>
    <w:rsid w:val="001A0C6A"/>
    <w:rsid w:val="001B23AA"/>
    <w:rsid w:val="001C2854"/>
    <w:rsid w:val="001C3292"/>
    <w:rsid w:val="001C4D14"/>
    <w:rsid w:val="001D47B5"/>
    <w:rsid w:val="001E03EC"/>
    <w:rsid w:val="001F2A1C"/>
    <w:rsid w:val="0021132C"/>
    <w:rsid w:val="002158EB"/>
    <w:rsid w:val="002301EC"/>
    <w:rsid w:val="002418AA"/>
    <w:rsid w:val="0025448C"/>
    <w:rsid w:val="00262DAB"/>
    <w:rsid w:val="00282C90"/>
    <w:rsid w:val="002862A0"/>
    <w:rsid w:val="00290A52"/>
    <w:rsid w:val="002A70D9"/>
    <w:rsid w:val="002B7E9A"/>
    <w:rsid w:val="002C16C5"/>
    <w:rsid w:val="002C4C83"/>
    <w:rsid w:val="002D5B96"/>
    <w:rsid w:val="002E1D87"/>
    <w:rsid w:val="003176F4"/>
    <w:rsid w:val="003313D5"/>
    <w:rsid w:val="00335CB7"/>
    <w:rsid w:val="00346758"/>
    <w:rsid w:val="003921A8"/>
    <w:rsid w:val="003A4B94"/>
    <w:rsid w:val="003A4EF5"/>
    <w:rsid w:val="003C4D08"/>
    <w:rsid w:val="003C7721"/>
    <w:rsid w:val="003E581E"/>
    <w:rsid w:val="003E7066"/>
    <w:rsid w:val="003F71D4"/>
    <w:rsid w:val="0040000C"/>
    <w:rsid w:val="00401A08"/>
    <w:rsid w:val="00406A19"/>
    <w:rsid w:val="004129B1"/>
    <w:rsid w:val="00431CC3"/>
    <w:rsid w:val="004348E5"/>
    <w:rsid w:val="00451B0F"/>
    <w:rsid w:val="0045546F"/>
    <w:rsid w:val="00460C0E"/>
    <w:rsid w:val="004636CB"/>
    <w:rsid w:val="0047026C"/>
    <w:rsid w:val="004721E9"/>
    <w:rsid w:val="00472B82"/>
    <w:rsid w:val="00482820"/>
    <w:rsid w:val="004837D7"/>
    <w:rsid w:val="00492F1E"/>
    <w:rsid w:val="004946F2"/>
    <w:rsid w:val="004A030A"/>
    <w:rsid w:val="004A0491"/>
    <w:rsid w:val="004A431A"/>
    <w:rsid w:val="004B1F5B"/>
    <w:rsid w:val="004B3C1C"/>
    <w:rsid w:val="004B5FD2"/>
    <w:rsid w:val="004D538A"/>
    <w:rsid w:val="004F1640"/>
    <w:rsid w:val="004F3250"/>
    <w:rsid w:val="00515026"/>
    <w:rsid w:val="00517959"/>
    <w:rsid w:val="00550800"/>
    <w:rsid w:val="00563039"/>
    <w:rsid w:val="00567AC1"/>
    <w:rsid w:val="00596642"/>
    <w:rsid w:val="005A2AB3"/>
    <w:rsid w:val="005B01EB"/>
    <w:rsid w:val="005C08DA"/>
    <w:rsid w:val="005C5862"/>
    <w:rsid w:val="005F069F"/>
    <w:rsid w:val="00601DCD"/>
    <w:rsid w:val="00604611"/>
    <w:rsid w:val="006510CC"/>
    <w:rsid w:val="00660141"/>
    <w:rsid w:val="006631B5"/>
    <w:rsid w:val="00664EA0"/>
    <w:rsid w:val="00671FD5"/>
    <w:rsid w:val="006747A8"/>
    <w:rsid w:val="0068444E"/>
    <w:rsid w:val="00696178"/>
    <w:rsid w:val="006A50FB"/>
    <w:rsid w:val="006B5743"/>
    <w:rsid w:val="006C4CAD"/>
    <w:rsid w:val="006C6664"/>
    <w:rsid w:val="006F3079"/>
    <w:rsid w:val="006F42E9"/>
    <w:rsid w:val="007124AF"/>
    <w:rsid w:val="007216DC"/>
    <w:rsid w:val="00744A26"/>
    <w:rsid w:val="007474A0"/>
    <w:rsid w:val="0075158C"/>
    <w:rsid w:val="007625BB"/>
    <w:rsid w:val="00763929"/>
    <w:rsid w:val="007668B1"/>
    <w:rsid w:val="00777B2D"/>
    <w:rsid w:val="00794BBD"/>
    <w:rsid w:val="007A1685"/>
    <w:rsid w:val="007A2D45"/>
    <w:rsid w:val="007A5551"/>
    <w:rsid w:val="007A7317"/>
    <w:rsid w:val="007B1E89"/>
    <w:rsid w:val="007B556D"/>
    <w:rsid w:val="007C0527"/>
    <w:rsid w:val="007C14A9"/>
    <w:rsid w:val="007D257A"/>
    <w:rsid w:val="007D4C8E"/>
    <w:rsid w:val="007E4FEE"/>
    <w:rsid w:val="007E77B3"/>
    <w:rsid w:val="007F6F5B"/>
    <w:rsid w:val="00804F51"/>
    <w:rsid w:val="00816B98"/>
    <w:rsid w:val="00827B53"/>
    <w:rsid w:val="00850293"/>
    <w:rsid w:val="00851589"/>
    <w:rsid w:val="0086336B"/>
    <w:rsid w:val="008708DE"/>
    <w:rsid w:val="008C3F04"/>
    <w:rsid w:val="008D46CA"/>
    <w:rsid w:val="008F08CB"/>
    <w:rsid w:val="008F2843"/>
    <w:rsid w:val="008F4525"/>
    <w:rsid w:val="0090636E"/>
    <w:rsid w:val="00914D47"/>
    <w:rsid w:val="00915CC7"/>
    <w:rsid w:val="00915EBE"/>
    <w:rsid w:val="00932882"/>
    <w:rsid w:val="00933AE9"/>
    <w:rsid w:val="00972B8A"/>
    <w:rsid w:val="009A363A"/>
    <w:rsid w:val="009A715E"/>
    <w:rsid w:val="009B19AF"/>
    <w:rsid w:val="009B29F4"/>
    <w:rsid w:val="009C680E"/>
    <w:rsid w:val="009D1C11"/>
    <w:rsid w:val="009D4FF4"/>
    <w:rsid w:val="009E259A"/>
    <w:rsid w:val="009F765D"/>
    <w:rsid w:val="00A34166"/>
    <w:rsid w:val="00A40A2D"/>
    <w:rsid w:val="00A40D90"/>
    <w:rsid w:val="00A51A10"/>
    <w:rsid w:val="00AB7655"/>
    <w:rsid w:val="00AD6F66"/>
    <w:rsid w:val="00AE298B"/>
    <w:rsid w:val="00AE4520"/>
    <w:rsid w:val="00AF0396"/>
    <w:rsid w:val="00B03EF3"/>
    <w:rsid w:val="00B30D19"/>
    <w:rsid w:val="00B436AE"/>
    <w:rsid w:val="00B6141D"/>
    <w:rsid w:val="00B769EB"/>
    <w:rsid w:val="00B800C1"/>
    <w:rsid w:val="00B93E96"/>
    <w:rsid w:val="00B96368"/>
    <w:rsid w:val="00BA21AA"/>
    <w:rsid w:val="00BC662F"/>
    <w:rsid w:val="00BC6F94"/>
    <w:rsid w:val="00BE04D8"/>
    <w:rsid w:val="00BE1016"/>
    <w:rsid w:val="00C0445F"/>
    <w:rsid w:val="00C110E7"/>
    <w:rsid w:val="00C204D0"/>
    <w:rsid w:val="00C31268"/>
    <w:rsid w:val="00C438AC"/>
    <w:rsid w:val="00C459A9"/>
    <w:rsid w:val="00C61844"/>
    <w:rsid w:val="00C65F4B"/>
    <w:rsid w:val="00C66F93"/>
    <w:rsid w:val="00C674F2"/>
    <w:rsid w:val="00C73E96"/>
    <w:rsid w:val="00C9315A"/>
    <w:rsid w:val="00CA06EA"/>
    <w:rsid w:val="00CB5423"/>
    <w:rsid w:val="00CC1C0B"/>
    <w:rsid w:val="00CC6788"/>
    <w:rsid w:val="00CC6C64"/>
    <w:rsid w:val="00CD62E8"/>
    <w:rsid w:val="00CE6747"/>
    <w:rsid w:val="00CF0CA3"/>
    <w:rsid w:val="00D572EE"/>
    <w:rsid w:val="00D63A31"/>
    <w:rsid w:val="00D65C1D"/>
    <w:rsid w:val="00D763BD"/>
    <w:rsid w:val="00D763C6"/>
    <w:rsid w:val="00D77F52"/>
    <w:rsid w:val="00D850E5"/>
    <w:rsid w:val="00D93F8C"/>
    <w:rsid w:val="00DA751A"/>
    <w:rsid w:val="00DB4146"/>
    <w:rsid w:val="00DC043D"/>
    <w:rsid w:val="00DC38CB"/>
    <w:rsid w:val="00DD5EC3"/>
    <w:rsid w:val="00DE0762"/>
    <w:rsid w:val="00DE2F28"/>
    <w:rsid w:val="00DF7B45"/>
    <w:rsid w:val="00E133AC"/>
    <w:rsid w:val="00E17267"/>
    <w:rsid w:val="00E17812"/>
    <w:rsid w:val="00E24754"/>
    <w:rsid w:val="00E249AB"/>
    <w:rsid w:val="00E34CDE"/>
    <w:rsid w:val="00E35261"/>
    <w:rsid w:val="00E747DC"/>
    <w:rsid w:val="00E9063E"/>
    <w:rsid w:val="00EA14AF"/>
    <w:rsid w:val="00EB33FC"/>
    <w:rsid w:val="00EE3BC8"/>
    <w:rsid w:val="00F07E1E"/>
    <w:rsid w:val="00F12249"/>
    <w:rsid w:val="00F16525"/>
    <w:rsid w:val="00F16D09"/>
    <w:rsid w:val="00F21866"/>
    <w:rsid w:val="00F30C54"/>
    <w:rsid w:val="00F315A6"/>
    <w:rsid w:val="00F42053"/>
    <w:rsid w:val="00F44316"/>
    <w:rsid w:val="00F63EFE"/>
    <w:rsid w:val="00F6466A"/>
    <w:rsid w:val="00F7271A"/>
    <w:rsid w:val="00FA6931"/>
    <w:rsid w:val="00FB15E5"/>
    <w:rsid w:val="00FC510C"/>
    <w:rsid w:val="00FD2704"/>
    <w:rsid w:val="00FD349B"/>
    <w:rsid w:val="00FE1F0F"/>
    <w:rsid w:val="00FE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E9AF4"/>
  <w15:chartTrackingRefBased/>
  <w15:docId w15:val="{5183C89B-8B43-4078-9D90-365E92E6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A80"/>
  </w:style>
  <w:style w:type="paragraph" w:styleId="Heading1">
    <w:name w:val="heading 1"/>
    <w:basedOn w:val="Normal"/>
    <w:next w:val="Normal"/>
    <w:link w:val="Heading1Char"/>
    <w:uiPriority w:val="9"/>
    <w:qFormat/>
    <w:rsid w:val="00160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8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8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08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08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08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08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08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8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8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08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08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08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08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08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0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8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8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082B"/>
    <w:pPr>
      <w:spacing w:before="160"/>
      <w:jc w:val="center"/>
    </w:pPr>
    <w:rPr>
      <w:i/>
      <w:iCs/>
      <w:color w:val="404040" w:themeColor="text1" w:themeTint="BF"/>
    </w:rPr>
  </w:style>
  <w:style w:type="character" w:customStyle="1" w:styleId="QuoteChar">
    <w:name w:val="Quote Char"/>
    <w:basedOn w:val="DefaultParagraphFont"/>
    <w:link w:val="Quote"/>
    <w:uiPriority w:val="29"/>
    <w:rsid w:val="0016082B"/>
    <w:rPr>
      <w:i/>
      <w:iCs/>
      <w:color w:val="404040" w:themeColor="text1" w:themeTint="BF"/>
    </w:rPr>
  </w:style>
  <w:style w:type="paragraph" w:styleId="ListParagraph">
    <w:name w:val="List Paragraph"/>
    <w:basedOn w:val="Normal"/>
    <w:uiPriority w:val="34"/>
    <w:qFormat/>
    <w:rsid w:val="0016082B"/>
    <w:pPr>
      <w:ind w:left="720"/>
      <w:contextualSpacing/>
    </w:pPr>
  </w:style>
  <w:style w:type="character" w:styleId="IntenseEmphasis">
    <w:name w:val="Intense Emphasis"/>
    <w:basedOn w:val="DefaultParagraphFont"/>
    <w:uiPriority w:val="21"/>
    <w:qFormat/>
    <w:rsid w:val="0016082B"/>
    <w:rPr>
      <w:i/>
      <w:iCs/>
      <w:color w:val="0F4761" w:themeColor="accent1" w:themeShade="BF"/>
    </w:rPr>
  </w:style>
  <w:style w:type="paragraph" w:styleId="IntenseQuote">
    <w:name w:val="Intense Quote"/>
    <w:basedOn w:val="Normal"/>
    <w:next w:val="Normal"/>
    <w:link w:val="IntenseQuoteChar"/>
    <w:uiPriority w:val="30"/>
    <w:qFormat/>
    <w:rsid w:val="00160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82B"/>
    <w:rPr>
      <w:i/>
      <w:iCs/>
      <w:color w:val="0F4761" w:themeColor="accent1" w:themeShade="BF"/>
    </w:rPr>
  </w:style>
  <w:style w:type="character" w:styleId="IntenseReference">
    <w:name w:val="Intense Reference"/>
    <w:basedOn w:val="DefaultParagraphFont"/>
    <w:uiPriority w:val="32"/>
    <w:qFormat/>
    <w:rsid w:val="0016082B"/>
    <w:rPr>
      <w:b/>
      <w:bCs/>
      <w:smallCaps/>
      <w:color w:val="0F4761" w:themeColor="accent1" w:themeShade="BF"/>
      <w:spacing w:val="5"/>
    </w:rPr>
  </w:style>
  <w:style w:type="paragraph" w:styleId="Header">
    <w:name w:val="header"/>
    <w:basedOn w:val="Normal"/>
    <w:link w:val="HeaderChar"/>
    <w:uiPriority w:val="99"/>
    <w:unhideWhenUsed/>
    <w:rsid w:val="00160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82B"/>
  </w:style>
  <w:style w:type="paragraph" w:styleId="Footer">
    <w:name w:val="footer"/>
    <w:basedOn w:val="Normal"/>
    <w:link w:val="FooterChar"/>
    <w:uiPriority w:val="99"/>
    <w:unhideWhenUsed/>
    <w:rsid w:val="0016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82B"/>
  </w:style>
  <w:style w:type="paragraph" w:customStyle="1" w:styleId="Default">
    <w:name w:val="Default"/>
    <w:rsid w:val="0016082B"/>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16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B45"/>
    <w:rPr>
      <w:color w:val="467886" w:themeColor="hyperlink"/>
      <w:u w:val="single"/>
    </w:rPr>
  </w:style>
  <w:style w:type="character" w:styleId="UnresolvedMention">
    <w:name w:val="Unresolved Mention"/>
    <w:basedOn w:val="DefaultParagraphFont"/>
    <w:uiPriority w:val="99"/>
    <w:semiHidden/>
    <w:unhideWhenUsed/>
    <w:rsid w:val="00DF7B45"/>
    <w:rPr>
      <w:color w:val="605E5C"/>
      <w:shd w:val="clear" w:color="auto" w:fill="E1DFDD"/>
    </w:rPr>
  </w:style>
  <w:style w:type="paragraph" w:styleId="Revision">
    <w:name w:val="Revision"/>
    <w:hidden/>
    <w:uiPriority w:val="99"/>
    <w:semiHidden/>
    <w:rsid w:val="000805E6"/>
    <w:pPr>
      <w:spacing w:after="0" w:line="240" w:lineRule="auto"/>
    </w:pPr>
  </w:style>
  <w:style w:type="character" w:styleId="CommentReference">
    <w:name w:val="annotation reference"/>
    <w:basedOn w:val="DefaultParagraphFont"/>
    <w:uiPriority w:val="99"/>
    <w:semiHidden/>
    <w:unhideWhenUsed/>
    <w:rsid w:val="000805E6"/>
    <w:rPr>
      <w:sz w:val="16"/>
      <w:szCs w:val="16"/>
    </w:rPr>
  </w:style>
  <w:style w:type="paragraph" w:styleId="CommentText">
    <w:name w:val="annotation text"/>
    <w:basedOn w:val="Normal"/>
    <w:link w:val="CommentTextChar"/>
    <w:uiPriority w:val="99"/>
    <w:unhideWhenUsed/>
    <w:rsid w:val="000805E6"/>
    <w:pPr>
      <w:spacing w:line="240" w:lineRule="auto"/>
    </w:pPr>
    <w:rPr>
      <w:sz w:val="20"/>
      <w:szCs w:val="20"/>
    </w:rPr>
  </w:style>
  <w:style w:type="character" w:customStyle="1" w:styleId="CommentTextChar">
    <w:name w:val="Comment Text Char"/>
    <w:basedOn w:val="DefaultParagraphFont"/>
    <w:link w:val="CommentText"/>
    <w:uiPriority w:val="99"/>
    <w:rsid w:val="000805E6"/>
    <w:rPr>
      <w:sz w:val="20"/>
      <w:szCs w:val="20"/>
    </w:rPr>
  </w:style>
  <w:style w:type="paragraph" w:styleId="CommentSubject">
    <w:name w:val="annotation subject"/>
    <w:basedOn w:val="CommentText"/>
    <w:next w:val="CommentText"/>
    <w:link w:val="CommentSubjectChar"/>
    <w:uiPriority w:val="99"/>
    <w:semiHidden/>
    <w:unhideWhenUsed/>
    <w:rsid w:val="000805E6"/>
    <w:rPr>
      <w:b/>
      <w:bCs/>
    </w:rPr>
  </w:style>
  <w:style w:type="character" w:customStyle="1" w:styleId="CommentSubjectChar">
    <w:name w:val="Comment Subject Char"/>
    <w:basedOn w:val="CommentTextChar"/>
    <w:link w:val="CommentSubject"/>
    <w:uiPriority w:val="99"/>
    <w:semiHidden/>
    <w:rsid w:val="000805E6"/>
    <w:rPr>
      <w:b/>
      <w:bCs/>
      <w:sz w:val="20"/>
      <w:szCs w:val="20"/>
    </w:rPr>
  </w:style>
  <w:style w:type="paragraph" w:styleId="NormalWeb">
    <w:name w:val="Normal (Web)"/>
    <w:basedOn w:val="Normal"/>
    <w:uiPriority w:val="99"/>
    <w:semiHidden/>
    <w:unhideWhenUsed/>
    <w:rsid w:val="00335C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mmwr/volumes/74/rr/rr7401a1.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mmwr/volumes/74/rr/pdfs/rr7401a1-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mmwr/volumes/74/wr/pdfs/mm7435a3-H.pdf" TargetMode="External"/><Relationship Id="rId4" Type="http://schemas.openxmlformats.org/officeDocument/2006/relationships/settings" Target="settings.xml"/><Relationship Id="rId9" Type="http://schemas.openxmlformats.org/officeDocument/2006/relationships/hyperlink" Target="https://www.mass.gov/lists/std-treatment-guidelines-and-clinical-advisor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96A74-6941-4D59-A2F4-FCF49323347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4586</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Wentzel, Kathryn A (DPH)</dc:creator>
  <cp:keywords/>
  <dc:description/>
  <cp:lastModifiedBy>Harrison, Deborah (EHS)</cp:lastModifiedBy>
  <cp:revision>2</cp:revision>
  <dcterms:created xsi:type="dcterms:W3CDTF">2026-02-06T14:06:00Z</dcterms:created>
  <dcterms:modified xsi:type="dcterms:W3CDTF">2026-02-06T14:06:00Z</dcterms:modified>
</cp:coreProperties>
</file>