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92DDD" w14:textId="77777777" w:rsidR="00C868C4" w:rsidRDefault="00C868C4" w:rsidP="00C868C4">
      <w:pPr>
        <w:jc w:val="center"/>
        <w:rPr>
          <w:b/>
        </w:rPr>
      </w:pPr>
      <w:r>
        <w:rPr>
          <w:b/>
        </w:rPr>
        <w:t>BOARD OF REGISTRATION IN NURSING</w:t>
      </w:r>
    </w:p>
    <w:p w14:paraId="04116249" w14:textId="717B961F" w:rsidR="00C868C4" w:rsidRDefault="00C868C4" w:rsidP="00C868C4">
      <w:pPr>
        <w:jc w:val="center"/>
        <w:rPr>
          <w:b/>
        </w:rPr>
      </w:pPr>
      <w:r>
        <w:rPr>
          <w:b/>
        </w:rPr>
        <w:t xml:space="preserve">Substance </w:t>
      </w:r>
      <w:r w:rsidR="00622AC3">
        <w:rPr>
          <w:b/>
        </w:rPr>
        <w:t>Addiction Recovery Program</w:t>
      </w:r>
      <w:r>
        <w:rPr>
          <w:b/>
        </w:rPr>
        <w:t xml:space="preserve"> (SARP) Policy 13-01</w:t>
      </w:r>
    </w:p>
    <w:p w14:paraId="29F44CAF" w14:textId="77777777" w:rsidR="00C868C4" w:rsidRDefault="00C868C4" w:rsidP="00C868C4">
      <w:pPr>
        <w:jc w:val="center"/>
        <w:rPr>
          <w:b/>
        </w:rPr>
      </w:pPr>
    </w:p>
    <w:tbl>
      <w:tblPr>
        <w:tblW w:w="9450" w:type="dxa"/>
        <w:tblInd w:w="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1814"/>
        <w:gridCol w:w="7636"/>
      </w:tblGrid>
      <w:tr w:rsidR="00C868C4" w14:paraId="5C6A646C" w14:textId="77777777" w:rsidTr="00AE0F34">
        <w:tc>
          <w:tcPr>
            <w:tcW w:w="1814" w:type="dxa"/>
          </w:tcPr>
          <w:p w14:paraId="1C2E97F7" w14:textId="77777777" w:rsidR="00C868C4" w:rsidRDefault="00C868C4" w:rsidP="00AE0F34">
            <w:pPr>
              <w:rPr>
                <w:b/>
              </w:rPr>
            </w:pPr>
          </w:p>
          <w:p w14:paraId="42888FA9" w14:textId="77777777" w:rsidR="00C868C4" w:rsidRDefault="00C868C4" w:rsidP="00AE0F34">
            <w:pPr>
              <w:rPr>
                <w:b/>
                <w:i/>
              </w:rPr>
            </w:pPr>
            <w:r>
              <w:rPr>
                <w:b/>
              </w:rPr>
              <w:t>Title</w:t>
            </w:r>
          </w:p>
        </w:tc>
        <w:tc>
          <w:tcPr>
            <w:tcW w:w="7636" w:type="dxa"/>
          </w:tcPr>
          <w:p w14:paraId="0BFC1154" w14:textId="77777777" w:rsidR="00C868C4" w:rsidRDefault="00C868C4" w:rsidP="00AE0F34"/>
          <w:p w14:paraId="60316934" w14:textId="2D3B1946" w:rsidR="00C868C4" w:rsidRDefault="00C868C4" w:rsidP="00AE0F34">
            <w:r w:rsidRPr="00C2133D">
              <w:t xml:space="preserve">SARP Eligibility Criteria </w:t>
            </w:r>
            <w:r>
              <w:t xml:space="preserve">for </w:t>
            </w:r>
            <w:r w:rsidR="00C862C5">
              <w:t>Medications use</w:t>
            </w:r>
            <w:r w:rsidR="00B9322D">
              <w:t>d</w:t>
            </w:r>
            <w:r w:rsidR="00C862C5">
              <w:t xml:space="preserve"> to treat </w:t>
            </w:r>
            <w:r w:rsidR="00B9322D">
              <w:t>Opiate Use Disorder</w:t>
            </w:r>
          </w:p>
          <w:p w14:paraId="629DD7BD" w14:textId="77777777" w:rsidR="00C868C4" w:rsidRDefault="00C868C4" w:rsidP="00AE0F34">
            <w:pPr>
              <w:rPr>
                <w:b/>
                <w:i/>
              </w:rPr>
            </w:pPr>
            <w:r>
              <w:rPr>
                <w:b/>
                <w:i/>
              </w:rPr>
              <w:t xml:space="preserve"> </w:t>
            </w:r>
          </w:p>
        </w:tc>
      </w:tr>
      <w:tr w:rsidR="00C868C4" w14:paraId="38A87976" w14:textId="77777777" w:rsidTr="00AE0F34">
        <w:tc>
          <w:tcPr>
            <w:tcW w:w="1814" w:type="dxa"/>
          </w:tcPr>
          <w:p w14:paraId="789B5940" w14:textId="77777777" w:rsidR="00C868C4" w:rsidRDefault="00C868C4" w:rsidP="00AE0F34">
            <w:pPr>
              <w:rPr>
                <w:b/>
              </w:rPr>
            </w:pPr>
          </w:p>
          <w:p w14:paraId="7ABBDA2B" w14:textId="77777777" w:rsidR="00C868C4" w:rsidRDefault="00C868C4" w:rsidP="00AE0F34">
            <w:r>
              <w:rPr>
                <w:b/>
              </w:rPr>
              <w:t>Purpose</w:t>
            </w:r>
          </w:p>
        </w:tc>
        <w:tc>
          <w:tcPr>
            <w:tcW w:w="7636" w:type="dxa"/>
          </w:tcPr>
          <w:p w14:paraId="13AD8F72" w14:textId="77777777" w:rsidR="00C868C4" w:rsidRDefault="00C868C4" w:rsidP="00AE0F34"/>
          <w:p w14:paraId="0464CA94" w14:textId="4F456F91" w:rsidR="00C868C4" w:rsidRDefault="00C868C4" w:rsidP="00AE0F34">
            <w:r>
              <w:t>The Board of Registration in Nursing adopts this policy to</w:t>
            </w:r>
            <w:r w:rsidRPr="00C44AE1">
              <w:t xml:space="preserve"> establish </w:t>
            </w:r>
            <w:r>
              <w:t>criteria for admission</w:t>
            </w:r>
            <w:r w:rsidRPr="00C44AE1">
              <w:t xml:space="preserve"> </w:t>
            </w:r>
            <w:r>
              <w:t xml:space="preserve">to and participation of nurses who are undergoing buprenorphine, buprenorphine/naloxone combination, or methadone therapy in </w:t>
            </w:r>
            <w:r w:rsidRPr="00C44AE1">
              <w:t xml:space="preserve">the Substance </w:t>
            </w:r>
            <w:r w:rsidR="00C862C5">
              <w:t>Addiction Recovery</w:t>
            </w:r>
            <w:r w:rsidRPr="00C44AE1">
              <w:t xml:space="preserve"> Program (SARP) of the Massachusetts Board of Registration in Nursing (Board)</w:t>
            </w:r>
            <w:r>
              <w:t xml:space="preserve">. </w:t>
            </w:r>
          </w:p>
          <w:p w14:paraId="29BC5227" w14:textId="77777777" w:rsidR="00C868C4" w:rsidRDefault="00C868C4" w:rsidP="00AE0F34"/>
        </w:tc>
      </w:tr>
      <w:tr w:rsidR="00C868C4" w14:paraId="473B49F2" w14:textId="77777777" w:rsidTr="00AE0F34">
        <w:tc>
          <w:tcPr>
            <w:tcW w:w="1814" w:type="dxa"/>
          </w:tcPr>
          <w:p w14:paraId="32486ECC" w14:textId="77777777" w:rsidR="00C868C4" w:rsidRDefault="00C868C4" w:rsidP="00AE0F34">
            <w:pPr>
              <w:rPr>
                <w:b/>
              </w:rPr>
            </w:pPr>
          </w:p>
          <w:p w14:paraId="1FCF542A" w14:textId="77777777" w:rsidR="00C868C4" w:rsidRDefault="00C868C4" w:rsidP="00AE0F34">
            <w:pPr>
              <w:rPr>
                <w:b/>
              </w:rPr>
            </w:pPr>
            <w:r>
              <w:rPr>
                <w:b/>
              </w:rPr>
              <w:t>Date Adopted</w:t>
            </w:r>
          </w:p>
          <w:p w14:paraId="6FDC90BE" w14:textId="77777777" w:rsidR="00C868C4" w:rsidRDefault="00C868C4" w:rsidP="00AE0F34">
            <w:pPr>
              <w:rPr>
                <w:b/>
              </w:rPr>
            </w:pPr>
          </w:p>
        </w:tc>
        <w:tc>
          <w:tcPr>
            <w:tcW w:w="7636" w:type="dxa"/>
          </w:tcPr>
          <w:p w14:paraId="7BA9BFC8" w14:textId="77777777" w:rsidR="00C868C4" w:rsidRDefault="00C868C4" w:rsidP="00AE0F34"/>
          <w:p w14:paraId="3A2F581D" w14:textId="0E5EC354" w:rsidR="00C868C4" w:rsidRDefault="00C868C4" w:rsidP="00AE0F34">
            <w:r>
              <w:t xml:space="preserve">September 11, 2013 (adopted), May 10, 2017 (revised), January 10, 2018 (revised), </w:t>
            </w:r>
            <w:r w:rsidR="00CA5FD3">
              <w:t xml:space="preserve">December 19, </w:t>
            </w:r>
            <w:r>
              <w:t>2018 (revised)</w:t>
            </w:r>
            <w:r w:rsidR="009106A2">
              <w:t xml:space="preserve">, </w:t>
            </w:r>
            <w:r w:rsidR="00622AC3">
              <w:t>August 10,</w:t>
            </w:r>
            <w:r w:rsidR="009106A2">
              <w:t xml:space="preserve"> </w:t>
            </w:r>
            <w:r w:rsidR="00622AC3">
              <w:t>2022 (</w:t>
            </w:r>
            <w:r w:rsidR="009106A2">
              <w:t>revised</w:t>
            </w:r>
            <w:r w:rsidR="00622AC3">
              <w:t>)</w:t>
            </w:r>
          </w:p>
          <w:p w14:paraId="45541F23" w14:textId="77777777" w:rsidR="00C868C4" w:rsidRDefault="00C868C4" w:rsidP="00AE0F34"/>
        </w:tc>
      </w:tr>
      <w:tr w:rsidR="00C868C4" w14:paraId="31233EE5" w14:textId="77777777" w:rsidTr="00AE0F34">
        <w:tc>
          <w:tcPr>
            <w:tcW w:w="1814" w:type="dxa"/>
          </w:tcPr>
          <w:p w14:paraId="4890A6A6" w14:textId="77777777" w:rsidR="00C868C4" w:rsidRDefault="00C868C4" w:rsidP="00AE0F34">
            <w:pPr>
              <w:rPr>
                <w:b/>
              </w:rPr>
            </w:pPr>
          </w:p>
          <w:p w14:paraId="7056110F" w14:textId="77777777" w:rsidR="00C868C4" w:rsidRDefault="00C868C4" w:rsidP="00AE0F34">
            <w:pPr>
              <w:rPr>
                <w:b/>
              </w:rPr>
            </w:pPr>
            <w:r>
              <w:rPr>
                <w:b/>
              </w:rPr>
              <w:t>Definitions</w:t>
            </w:r>
          </w:p>
          <w:p w14:paraId="30D955BA" w14:textId="77777777" w:rsidR="00C868C4" w:rsidRDefault="00C868C4" w:rsidP="00AE0F34">
            <w:pPr>
              <w:rPr>
                <w:b/>
              </w:rPr>
            </w:pPr>
          </w:p>
          <w:p w14:paraId="1CBA7BFE" w14:textId="77777777" w:rsidR="00C868C4" w:rsidRDefault="00C868C4" w:rsidP="00AE0F34">
            <w:pPr>
              <w:rPr>
                <w:b/>
              </w:rPr>
            </w:pPr>
          </w:p>
          <w:p w14:paraId="39337453" w14:textId="77777777" w:rsidR="00C868C4" w:rsidRDefault="00C868C4" w:rsidP="00AE0F34">
            <w:pPr>
              <w:rPr>
                <w:b/>
              </w:rPr>
            </w:pPr>
          </w:p>
          <w:p w14:paraId="06025EB6" w14:textId="77777777" w:rsidR="00C868C4" w:rsidRDefault="00C868C4" w:rsidP="00AE0F34">
            <w:pPr>
              <w:rPr>
                <w:b/>
              </w:rPr>
            </w:pPr>
          </w:p>
          <w:p w14:paraId="23F81554" w14:textId="77777777" w:rsidR="00C868C4" w:rsidRDefault="00C868C4" w:rsidP="00AE0F34">
            <w:pPr>
              <w:rPr>
                <w:b/>
              </w:rPr>
            </w:pPr>
          </w:p>
          <w:p w14:paraId="7F570D9B" w14:textId="571B72BB" w:rsidR="00C868C4" w:rsidRDefault="00C868C4" w:rsidP="00AE0F34">
            <w:pPr>
              <w:rPr>
                <w:b/>
              </w:rPr>
            </w:pPr>
          </w:p>
          <w:p w14:paraId="530D4846" w14:textId="77777777" w:rsidR="00C862C5" w:rsidRDefault="00C862C5" w:rsidP="00AE0F34">
            <w:pPr>
              <w:rPr>
                <w:b/>
              </w:rPr>
            </w:pPr>
          </w:p>
          <w:p w14:paraId="49B1E832" w14:textId="77777777" w:rsidR="00C868C4" w:rsidRDefault="00C868C4" w:rsidP="00AE0F34">
            <w:pPr>
              <w:rPr>
                <w:b/>
              </w:rPr>
            </w:pPr>
            <w:r>
              <w:rPr>
                <w:b/>
              </w:rPr>
              <w:t>Policy</w:t>
            </w:r>
          </w:p>
          <w:p w14:paraId="4925ADCA" w14:textId="77777777" w:rsidR="00C868C4" w:rsidRDefault="00C868C4" w:rsidP="00AE0F34">
            <w:pPr>
              <w:rPr>
                <w:b/>
              </w:rPr>
            </w:pPr>
          </w:p>
          <w:p w14:paraId="4589003D" w14:textId="77777777" w:rsidR="00C868C4" w:rsidRDefault="00C868C4" w:rsidP="00AE0F34">
            <w:pPr>
              <w:rPr>
                <w:b/>
              </w:rPr>
            </w:pPr>
          </w:p>
          <w:p w14:paraId="33DB068B" w14:textId="77777777" w:rsidR="00C868C4" w:rsidRDefault="00C868C4" w:rsidP="00AE0F34">
            <w:pPr>
              <w:rPr>
                <w:b/>
              </w:rPr>
            </w:pPr>
          </w:p>
          <w:p w14:paraId="7496C8ED" w14:textId="77777777" w:rsidR="00C868C4" w:rsidRDefault="00C868C4" w:rsidP="00AE0F34">
            <w:pPr>
              <w:rPr>
                <w:b/>
              </w:rPr>
            </w:pPr>
          </w:p>
          <w:p w14:paraId="57A72269" w14:textId="77777777" w:rsidR="00C868C4" w:rsidRDefault="00C868C4" w:rsidP="00AE0F34">
            <w:pPr>
              <w:rPr>
                <w:b/>
              </w:rPr>
            </w:pPr>
          </w:p>
          <w:p w14:paraId="41DFE8CA" w14:textId="77777777" w:rsidR="00C868C4" w:rsidRDefault="00C868C4" w:rsidP="00AE0F34">
            <w:pPr>
              <w:rPr>
                <w:b/>
              </w:rPr>
            </w:pPr>
          </w:p>
          <w:p w14:paraId="45F274A2" w14:textId="77777777" w:rsidR="00C868C4" w:rsidRDefault="00C868C4" w:rsidP="00AE0F34">
            <w:pPr>
              <w:rPr>
                <w:b/>
              </w:rPr>
            </w:pPr>
          </w:p>
        </w:tc>
        <w:tc>
          <w:tcPr>
            <w:tcW w:w="7636" w:type="dxa"/>
          </w:tcPr>
          <w:p w14:paraId="0171503C" w14:textId="77777777" w:rsidR="00C868C4" w:rsidRDefault="00C868C4" w:rsidP="00AE0F34">
            <w:pPr>
              <w:pBdr>
                <w:top w:val="single" w:sz="2" w:space="0" w:color="FEFEFF"/>
              </w:pBdr>
            </w:pPr>
          </w:p>
          <w:p w14:paraId="731FB80E" w14:textId="5D96C419" w:rsidR="00C868C4" w:rsidRPr="00EC6AF2" w:rsidRDefault="00C868C4" w:rsidP="00AE0F34">
            <w:pPr>
              <w:pBdr>
                <w:top w:val="single" w:sz="2" w:space="0" w:color="FEFEFF"/>
              </w:pBdr>
            </w:pPr>
            <w:r w:rsidRPr="00EC6AF2">
              <w:t xml:space="preserve">Methadone, buprenorphine, and naloxone are used to treat opioid addiction. Acting on the same targets in the brain as heroin and morphine, methadone and buprenorphine suppress withdrawal symptoms and relieve cravings and naloxone blocks the effects of opioids at receptor sites in the brain. All three medications help patients reduce </w:t>
            </w:r>
            <w:r w:rsidR="00622AC3">
              <w:t>urges to use opiates</w:t>
            </w:r>
            <w:r w:rsidR="00C862C5">
              <w:t xml:space="preserve"> and mitigate withdrawal symptoms</w:t>
            </w:r>
            <w:r w:rsidRPr="00EC6AF2">
              <w:t>. (National Institute on Drug Abuse, 2018)</w:t>
            </w:r>
          </w:p>
          <w:p w14:paraId="22E4DC03" w14:textId="77777777" w:rsidR="00C868C4" w:rsidRPr="00A74CF7" w:rsidRDefault="00C868C4" w:rsidP="00AE0F34"/>
          <w:p w14:paraId="40D925E6" w14:textId="77777777" w:rsidR="00C868C4" w:rsidRDefault="00C868C4" w:rsidP="00AE0F34">
            <w:r>
              <w:t>A licensee’s use of buprenorphine, buprenorphine/naloxone combination, or methadone shall not be the sole basis for denying admission into SARP or for termination from SARP provided that the following criteria have been met:</w:t>
            </w:r>
          </w:p>
          <w:p w14:paraId="658FB4FB" w14:textId="77777777" w:rsidR="00C868C4" w:rsidRDefault="00C868C4" w:rsidP="00AE0F34"/>
          <w:p w14:paraId="551EE583" w14:textId="77777777" w:rsidR="00C868C4" w:rsidRDefault="00C868C4" w:rsidP="00AE0F34">
            <w:pPr>
              <w:numPr>
                <w:ilvl w:val="0"/>
                <w:numId w:val="1"/>
              </w:numPr>
              <w:tabs>
                <w:tab w:val="clear" w:pos="720"/>
              </w:tabs>
              <w:ind w:left="510" w:hanging="360"/>
            </w:pPr>
            <w:r>
              <w:t xml:space="preserve">Proof that a qualified prescriber issued a prescription for buprenorphine, buprenorphine/naloxone combination, or methadone to the licensee for the treatment of opioid addiction.  </w:t>
            </w:r>
          </w:p>
          <w:p w14:paraId="1D57B4C0" w14:textId="77777777" w:rsidR="00C868C4" w:rsidRDefault="00C868C4" w:rsidP="00AE0F34">
            <w:pPr>
              <w:numPr>
                <w:ilvl w:val="0"/>
                <w:numId w:val="1"/>
              </w:numPr>
              <w:tabs>
                <w:tab w:val="clear" w:pos="720"/>
              </w:tabs>
              <w:ind w:left="510" w:hanging="360"/>
            </w:pPr>
            <w:r>
              <w:t>Proof that the qualified prescriber monitors the licensee’s use of buprenorphine, buprenorphine/naloxone combination, or methadone with toxicology screening that:</w:t>
            </w:r>
          </w:p>
          <w:p w14:paraId="48BDDB47" w14:textId="77777777" w:rsidR="00C868C4" w:rsidRDefault="00C868C4" w:rsidP="00AE0F34">
            <w:pPr>
              <w:numPr>
                <w:ilvl w:val="1"/>
                <w:numId w:val="1"/>
              </w:numPr>
              <w:tabs>
                <w:tab w:val="clear" w:pos="1440"/>
              </w:tabs>
              <w:ind w:left="1050" w:hanging="330"/>
            </w:pPr>
            <w:r>
              <w:t xml:space="preserve">Occurs on a random, unscheduled basis at least once </w:t>
            </w:r>
            <w:proofErr w:type="gramStart"/>
            <w:r>
              <w:t>monthly;</w:t>
            </w:r>
            <w:proofErr w:type="gramEnd"/>
          </w:p>
          <w:p w14:paraId="36920F1B" w14:textId="77777777" w:rsidR="00C868C4" w:rsidRDefault="00C868C4" w:rsidP="00AE0F34">
            <w:pPr>
              <w:numPr>
                <w:ilvl w:val="1"/>
                <w:numId w:val="1"/>
              </w:numPr>
              <w:tabs>
                <w:tab w:val="clear" w:pos="1440"/>
              </w:tabs>
              <w:ind w:left="1050" w:hanging="330"/>
            </w:pPr>
            <w:r>
              <w:t>Tests for the presence of unauthorized substances; and</w:t>
            </w:r>
          </w:p>
          <w:p w14:paraId="1C5A5042" w14:textId="77777777" w:rsidR="00C868C4" w:rsidRDefault="00C868C4" w:rsidP="00AE0F34">
            <w:pPr>
              <w:numPr>
                <w:ilvl w:val="1"/>
                <w:numId w:val="1"/>
              </w:numPr>
              <w:tabs>
                <w:tab w:val="clear" w:pos="1440"/>
              </w:tabs>
              <w:ind w:left="1050" w:hanging="330"/>
            </w:pPr>
            <w:r>
              <w:t>Tests for the presence of buprenorphine, buprenorphine/naloxone metabolites, or methadone metabolites.</w:t>
            </w:r>
          </w:p>
          <w:p w14:paraId="4FC5B876" w14:textId="77777777" w:rsidR="00C868C4" w:rsidRDefault="00C868C4" w:rsidP="00AE0F34">
            <w:pPr>
              <w:numPr>
                <w:ilvl w:val="0"/>
                <w:numId w:val="1"/>
              </w:numPr>
              <w:tabs>
                <w:tab w:val="clear" w:pos="720"/>
              </w:tabs>
              <w:ind w:left="510" w:hanging="360"/>
            </w:pPr>
            <w:r>
              <w:t xml:space="preserve">Proof that the licensee has either discontinued use of buprenorphine, buprenorphine/naloxone combination </w:t>
            </w:r>
            <w:r w:rsidRPr="00F16533">
              <w:t xml:space="preserve">or </w:t>
            </w:r>
            <w:r>
              <w:t xml:space="preserve">methadone prior to resuming nursing practice or obtained medical clearance by their prescriber to resume safe nursing practice while maintained on buprenorphine, buprenorphine/naloxone, or methadone. </w:t>
            </w:r>
          </w:p>
          <w:p w14:paraId="6F426174" w14:textId="77777777" w:rsidR="00C868C4" w:rsidRDefault="00C868C4" w:rsidP="00AE0F34">
            <w:pPr>
              <w:numPr>
                <w:ilvl w:val="0"/>
                <w:numId w:val="1"/>
              </w:numPr>
              <w:tabs>
                <w:tab w:val="clear" w:pos="720"/>
              </w:tabs>
              <w:ind w:left="510" w:hanging="360"/>
            </w:pPr>
            <w:r>
              <w:t xml:space="preserve">The qualified prescriber will provide to SARP a quarterly Provider Report that documents the licensee’s compliance with buprenorphine, </w:t>
            </w:r>
            <w:r>
              <w:lastRenderedPageBreak/>
              <w:t>buprenorphine/naloxone combination or methadone therapy and toxicology screening results.</w:t>
            </w:r>
          </w:p>
          <w:p w14:paraId="60A19021" w14:textId="77777777" w:rsidR="00C868C4" w:rsidRDefault="00C868C4" w:rsidP="00AE0F34"/>
        </w:tc>
      </w:tr>
    </w:tbl>
    <w:p w14:paraId="3030A92A" w14:textId="77777777" w:rsidR="00C868C4" w:rsidRDefault="00C868C4" w:rsidP="00C868C4"/>
    <w:p w14:paraId="55D67F28" w14:textId="77777777" w:rsidR="0013475D" w:rsidRDefault="00813257"/>
    <w:sectPr w:rsidR="0013475D" w:rsidSect="00C868C4">
      <w:headerReference w:type="default" r:id="rId7"/>
      <w:footerReference w:type="even" r:id="rId8"/>
      <w:footerReference w:type="default" r:id="rId9"/>
      <w:pgSz w:w="12240" w:h="15840" w:code="1"/>
      <w:pgMar w:top="720" w:right="1440" w:bottom="720" w:left="1440" w:header="720" w:footer="720"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7CCBE" w14:textId="77777777" w:rsidR="00E75C5D" w:rsidRDefault="00E75C5D">
      <w:r>
        <w:separator/>
      </w:r>
    </w:p>
  </w:endnote>
  <w:endnote w:type="continuationSeparator" w:id="0">
    <w:p w14:paraId="785DC28D" w14:textId="77777777" w:rsidR="00E75C5D" w:rsidRDefault="00E7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33A4" w14:textId="77777777" w:rsidR="005F4BD1" w:rsidRDefault="006D7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6A098D" w14:textId="77777777" w:rsidR="005F4BD1" w:rsidRDefault="008132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F8EC" w14:textId="77777777" w:rsidR="00EC6AF2" w:rsidRDefault="00813257">
    <w:pPr>
      <w:pStyle w:val="Footer"/>
    </w:pPr>
  </w:p>
  <w:p w14:paraId="3DBA5CC3" w14:textId="7BEDEBCA" w:rsidR="005F4BD1" w:rsidRPr="00EC6AF2" w:rsidRDefault="006D70C8" w:rsidP="00EC6AF2">
    <w:pPr>
      <w:pStyle w:val="Footer"/>
      <w:rPr>
        <w:b/>
      </w:rPr>
    </w:pPr>
    <w:r w:rsidRPr="00EC6AF2">
      <w:rPr>
        <w:b/>
      </w:rPr>
      <w:t xml:space="preserve">SARP Policy 13-01: SARP Eligibility Criteria for </w:t>
    </w:r>
    <w:r w:rsidR="00C862C5">
      <w:rPr>
        <w:b/>
      </w:rPr>
      <w:t xml:space="preserve">Medications used to treat </w:t>
    </w:r>
    <w:r w:rsidR="00B9322D">
      <w:rPr>
        <w:b/>
      </w:rPr>
      <w:t>Opiate Use Disorder</w:t>
    </w:r>
    <w:r w:rsidRPr="00EC6AF2">
      <w:rPr>
        <w:b/>
      </w:rPr>
      <w:tab/>
    </w:r>
    <w:r w:rsidRPr="00EC6AF2">
      <w:rPr>
        <w:b/>
      </w:rPr>
      <w:tab/>
      <w:t xml:space="preserve">Page </w:t>
    </w:r>
    <w:r w:rsidRPr="00EC6AF2">
      <w:rPr>
        <w:b/>
        <w:bCs/>
        <w:sz w:val="24"/>
        <w:szCs w:val="24"/>
      </w:rPr>
      <w:fldChar w:fldCharType="begin"/>
    </w:r>
    <w:r w:rsidRPr="00EC6AF2">
      <w:rPr>
        <w:b/>
        <w:bCs/>
      </w:rPr>
      <w:instrText xml:space="preserve"> PAGE </w:instrText>
    </w:r>
    <w:r w:rsidRPr="00EC6AF2">
      <w:rPr>
        <w:b/>
        <w:bCs/>
        <w:sz w:val="24"/>
        <w:szCs w:val="24"/>
      </w:rPr>
      <w:fldChar w:fldCharType="separate"/>
    </w:r>
    <w:r w:rsidR="00362AF2">
      <w:rPr>
        <w:b/>
        <w:bCs/>
        <w:noProof/>
      </w:rPr>
      <w:t>1</w:t>
    </w:r>
    <w:r w:rsidRPr="00EC6AF2">
      <w:rPr>
        <w:b/>
        <w:bCs/>
        <w:sz w:val="24"/>
        <w:szCs w:val="24"/>
      </w:rPr>
      <w:fldChar w:fldCharType="end"/>
    </w:r>
    <w:r w:rsidRPr="00EC6AF2">
      <w:rPr>
        <w:b/>
      </w:rPr>
      <w:t xml:space="preserve"> of </w:t>
    </w:r>
    <w:r w:rsidRPr="00EC6AF2">
      <w:rPr>
        <w:b/>
        <w:bCs/>
        <w:sz w:val="24"/>
        <w:szCs w:val="24"/>
      </w:rPr>
      <w:fldChar w:fldCharType="begin"/>
    </w:r>
    <w:r w:rsidRPr="00EC6AF2">
      <w:rPr>
        <w:b/>
        <w:bCs/>
      </w:rPr>
      <w:instrText xml:space="preserve"> NUMPAGES  </w:instrText>
    </w:r>
    <w:r w:rsidRPr="00EC6AF2">
      <w:rPr>
        <w:b/>
        <w:bCs/>
        <w:sz w:val="24"/>
        <w:szCs w:val="24"/>
      </w:rPr>
      <w:fldChar w:fldCharType="separate"/>
    </w:r>
    <w:r w:rsidR="00362AF2">
      <w:rPr>
        <w:b/>
        <w:bCs/>
        <w:noProof/>
      </w:rPr>
      <w:t>2</w:t>
    </w:r>
    <w:r w:rsidRPr="00EC6AF2">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0AA67" w14:textId="77777777" w:rsidR="00E75C5D" w:rsidRDefault="00E75C5D">
      <w:r>
        <w:separator/>
      </w:r>
    </w:p>
  </w:footnote>
  <w:footnote w:type="continuationSeparator" w:id="0">
    <w:p w14:paraId="45CCD7D3" w14:textId="77777777" w:rsidR="00E75C5D" w:rsidRDefault="00E75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FD7A" w14:textId="77777777" w:rsidR="005F4BD1" w:rsidRDefault="006D70C8">
    <w:pPr>
      <w:pStyle w:val="Header"/>
      <w:tabs>
        <w:tab w:val="clear" w:pos="4320"/>
        <w:tab w:val="clear" w:pos="8640"/>
      </w:tabs>
      <w:ind w:right="180"/>
      <w:jc w:val="right"/>
      <w:rPr>
        <w:sz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06954"/>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8C4"/>
    <w:rsid w:val="00060777"/>
    <w:rsid w:val="000B6902"/>
    <w:rsid w:val="00362AF2"/>
    <w:rsid w:val="00622AC3"/>
    <w:rsid w:val="006630A8"/>
    <w:rsid w:val="006D70C8"/>
    <w:rsid w:val="00813257"/>
    <w:rsid w:val="0090730A"/>
    <w:rsid w:val="009106A2"/>
    <w:rsid w:val="00B9322D"/>
    <w:rsid w:val="00C862C5"/>
    <w:rsid w:val="00C868C4"/>
    <w:rsid w:val="00CA5FD3"/>
    <w:rsid w:val="00E7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7BA8"/>
  <w15:docId w15:val="{6F8F2144-6805-499E-BC4C-A4C92D4B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8C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68C4"/>
    <w:pPr>
      <w:tabs>
        <w:tab w:val="center" w:pos="4320"/>
        <w:tab w:val="right" w:pos="8640"/>
      </w:tabs>
    </w:pPr>
    <w:rPr>
      <w:sz w:val="20"/>
    </w:rPr>
  </w:style>
  <w:style w:type="character" w:customStyle="1" w:styleId="HeaderChar">
    <w:name w:val="Header Char"/>
    <w:basedOn w:val="DefaultParagraphFont"/>
    <w:link w:val="Header"/>
    <w:rsid w:val="00C868C4"/>
    <w:rPr>
      <w:rFonts w:ascii="Times New Roman" w:eastAsia="Times New Roman" w:hAnsi="Times New Roman" w:cs="Times New Roman"/>
      <w:sz w:val="20"/>
      <w:szCs w:val="20"/>
    </w:rPr>
  </w:style>
  <w:style w:type="paragraph" w:styleId="Footer">
    <w:name w:val="footer"/>
    <w:basedOn w:val="Normal"/>
    <w:link w:val="FooterChar"/>
    <w:uiPriority w:val="99"/>
    <w:rsid w:val="00C868C4"/>
    <w:pPr>
      <w:tabs>
        <w:tab w:val="center" w:pos="4320"/>
        <w:tab w:val="right" w:pos="8640"/>
      </w:tabs>
    </w:pPr>
    <w:rPr>
      <w:sz w:val="20"/>
    </w:rPr>
  </w:style>
  <w:style w:type="character" w:customStyle="1" w:styleId="FooterChar">
    <w:name w:val="Footer Char"/>
    <w:basedOn w:val="DefaultParagraphFont"/>
    <w:link w:val="Footer"/>
    <w:uiPriority w:val="99"/>
    <w:rsid w:val="00C868C4"/>
    <w:rPr>
      <w:rFonts w:ascii="Times New Roman" w:eastAsia="Times New Roman" w:hAnsi="Times New Roman" w:cs="Times New Roman"/>
      <w:sz w:val="20"/>
      <w:szCs w:val="20"/>
    </w:rPr>
  </w:style>
  <w:style w:type="character" w:styleId="PageNumber">
    <w:name w:val="page number"/>
    <w:basedOn w:val="DefaultParagraphFont"/>
    <w:rsid w:val="00C86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Cambra, Heather J (DPH)</dc:creator>
  <cp:lastModifiedBy>Waksmonski, Mark (DPH)</cp:lastModifiedBy>
  <cp:revision>3</cp:revision>
  <cp:lastPrinted>2018-12-31T16:25:00Z</cp:lastPrinted>
  <dcterms:created xsi:type="dcterms:W3CDTF">2022-07-14T18:26:00Z</dcterms:created>
  <dcterms:modified xsi:type="dcterms:W3CDTF">2022-10-03T16:07:00Z</dcterms:modified>
</cp:coreProperties>
</file>