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9217" w14:textId="77777777" w:rsidR="00300A63" w:rsidRPr="00300A63" w:rsidRDefault="00300A63" w:rsidP="00300A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0A63">
        <w:rPr>
          <w:rFonts w:ascii="Times New Roman" w:eastAsia="Times New Roman" w:hAnsi="Times New Roman" w:cs="Times New Roman"/>
          <w:b/>
          <w:sz w:val="24"/>
          <w:szCs w:val="20"/>
        </w:rPr>
        <w:t>BOARD OF REGISTRATION IN NURSING</w:t>
      </w:r>
    </w:p>
    <w:p w14:paraId="689C6F38" w14:textId="03BA6E52" w:rsidR="00300A63" w:rsidRPr="00300A63" w:rsidRDefault="00300A63" w:rsidP="00300A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0A63">
        <w:rPr>
          <w:rFonts w:ascii="Times New Roman" w:eastAsia="Times New Roman" w:hAnsi="Times New Roman" w:cs="Times New Roman"/>
          <w:b/>
          <w:sz w:val="24"/>
          <w:szCs w:val="20"/>
        </w:rPr>
        <w:t xml:space="preserve">Substance </w:t>
      </w:r>
      <w:r w:rsidR="008E674D">
        <w:rPr>
          <w:rFonts w:ascii="Times New Roman" w:eastAsia="Times New Roman" w:hAnsi="Times New Roman" w:cs="Times New Roman"/>
          <w:b/>
          <w:sz w:val="24"/>
          <w:szCs w:val="20"/>
        </w:rPr>
        <w:t>Addiction Recovery</w:t>
      </w:r>
      <w:r w:rsidRPr="00300A63">
        <w:rPr>
          <w:rFonts w:ascii="Times New Roman" w:eastAsia="Times New Roman" w:hAnsi="Times New Roman" w:cs="Times New Roman"/>
          <w:b/>
          <w:sz w:val="24"/>
          <w:szCs w:val="20"/>
        </w:rPr>
        <w:t xml:space="preserve"> Program (SARP)</w:t>
      </w:r>
    </w:p>
    <w:p w14:paraId="5463AE1B" w14:textId="77777777" w:rsidR="00300A63" w:rsidRPr="00300A63" w:rsidRDefault="00300A63" w:rsidP="0030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00A63">
        <w:rPr>
          <w:rFonts w:ascii="Times New Roman" w:eastAsia="Times New Roman" w:hAnsi="Times New Roman" w:cs="Times New Roman"/>
          <w:b/>
          <w:sz w:val="24"/>
          <w:szCs w:val="20"/>
        </w:rPr>
        <w:t>SARP Policy 99-04</w:t>
      </w:r>
    </w:p>
    <w:p w14:paraId="0F1B17D4" w14:textId="77777777" w:rsidR="00300A63" w:rsidRPr="00300A63" w:rsidRDefault="00300A63" w:rsidP="0030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30" w:type="dxa"/>
        <w:tblInd w:w="648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470"/>
      </w:tblGrid>
      <w:tr w:rsidR="00300A63" w:rsidRPr="00300A63" w14:paraId="46372175" w14:textId="77777777" w:rsidTr="00260160">
        <w:tc>
          <w:tcPr>
            <w:tcW w:w="2160" w:type="dxa"/>
          </w:tcPr>
          <w:p w14:paraId="1D6DE793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C59B7CA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Title</w:t>
            </w:r>
          </w:p>
        </w:tc>
        <w:tc>
          <w:tcPr>
            <w:tcW w:w="7470" w:type="dxa"/>
          </w:tcPr>
          <w:p w14:paraId="38EC7B81" w14:textId="77777777" w:rsidR="00300A63" w:rsidRPr="00300A63" w:rsidRDefault="00300A63" w:rsidP="00300A63">
            <w:pPr>
              <w:tabs>
                <w:tab w:val="left" w:pos="1305"/>
              </w:tabs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14:paraId="634AC367" w14:textId="2226E58E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Substance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4"/>
              </w:rPr>
              <w:t>Addiction Recovery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(SARP) Medical Waiver   </w:t>
            </w:r>
          </w:p>
        </w:tc>
      </w:tr>
      <w:tr w:rsidR="00300A63" w:rsidRPr="00300A63" w14:paraId="5D00D129" w14:textId="77777777" w:rsidTr="00260160">
        <w:tc>
          <w:tcPr>
            <w:tcW w:w="2160" w:type="dxa"/>
          </w:tcPr>
          <w:p w14:paraId="4C0B5394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99238F1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Purpose</w:t>
            </w:r>
          </w:p>
        </w:tc>
        <w:tc>
          <w:tcPr>
            <w:tcW w:w="7470" w:type="dxa"/>
          </w:tcPr>
          <w:p w14:paraId="299F7023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49DA87C" w14:textId="4941410B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Board of Registration in Nursing adopts this policy establishing the criteria for continued SARP program participation by a SARP participant   who is temporarily unable to comply with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0"/>
              </w:rPr>
              <w:t>their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CASP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1"/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requirements </w:t>
            </w:r>
            <w:proofErr w:type="gramStart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as a result of</w:t>
            </w:r>
            <w:proofErr w:type="gramEnd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 acute physical or mental condition where, medically required treatment impedes compliance with the participant’s CASP.</w:t>
            </w:r>
          </w:p>
          <w:p w14:paraId="0F55789D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00A63" w:rsidRPr="00300A63" w14:paraId="068B8443" w14:textId="77777777" w:rsidTr="00260160">
        <w:tc>
          <w:tcPr>
            <w:tcW w:w="2160" w:type="dxa"/>
          </w:tcPr>
          <w:p w14:paraId="0364FF98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4AE1AB2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Date Adopted/Reviewed</w:t>
            </w:r>
          </w:p>
        </w:tc>
        <w:tc>
          <w:tcPr>
            <w:tcW w:w="7470" w:type="dxa"/>
          </w:tcPr>
          <w:p w14:paraId="36430C83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543BC01" w14:textId="447BC6D2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1998</w:t>
            </w:r>
            <w:r w:rsidR="00CF54F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(adopted)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; December 13, 2006 (reviewed); October 22, 2008 (</w:t>
            </w:r>
            <w:r w:rsidR="00EB08D3">
              <w:rPr>
                <w:rFonts w:ascii="Times New Roman" w:eastAsia="Times New Roman" w:hAnsi="Times New Roman" w:cs="Times New Roman"/>
                <w:sz w:val="24"/>
                <w:szCs w:val="20"/>
              </w:rPr>
              <w:t>revised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footnoteReference w:id="2"/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; July 2011 (revised); July 13, 2016 (</w:t>
            </w:r>
            <w:r w:rsidR="00EB08D3">
              <w:rPr>
                <w:rFonts w:ascii="Times New Roman" w:eastAsia="Times New Roman" w:hAnsi="Times New Roman" w:cs="Times New Roman"/>
                <w:sz w:val="24"/>
                <w:szCs w:val="20"/>
              </w:rPr>
              <w:t>revised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); September 12, 2018 (revised)</w:t>
            </w:r>
            <w:r w:rsidR="00EB08D3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August 10, 2022 (</w:t>
            </w:r>
            <w:r w:rsidR="00BC77EE">
              <w:rPr>
                <w:rFonts w:ascii="Times New Roman" w:eastAsia="Times New Roman" w:hAnsi="Times New Roman" w:cs="Times New Roman"/>
                <w:sz w:val="24"/>
                <w:szCs w:val="20"/>
              </w:rPr>
              <w:t>revised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 xml:space="preserve"> </w:t>
            </w:r>
          </w:p>
          <w:p w14:paraId="529057F7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300A63" w:rsidRPr="00300A63" w14:paraId="36AFE7DA" w14:textId="77777777" w:rsidTr="00260160">
        <w:tc>
          <w:tcPr>
            <w:tcW w:w="2160" w:type="dxa"/>
          </w:tcPr>
          <w:p w14:paraId="315DB68A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3308873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Criteria</w:t>
            </w:r>
          </w:p>
          <w:p w14:paraId="27EF8616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AF7B975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C929192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DE7869A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6237F76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ADDB094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Initial Waiver Request Requirements</w:t>
            </w:r>
          </w:p>
          <w:p w14:paraId="15CBE806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A90E1E1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3365B51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759FF74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2A9D47D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849A6F6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C970642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8D7D21E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AA48EF5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60D207A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0A3A922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19C5BC4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6791C95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F4A6AAD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4EB5F63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4B7526D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7E1E403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FF4F458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34EC914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08500DF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2E8AC37" w14:textId="77777777" w:rsid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3237240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Supplemental Waiver Request</w:t>
            </w:r>
          </w:p>
          <w:p w14:paraId="11E2EAE7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95A57BD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9E4D3DD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AA095D5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DA0F056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230D28E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60A7E15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B93C611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F225D3C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45F7F5F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EA6184E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AF280F0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24495586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Practice Restriction During Waiver</w:t>
            </w:r>
          </w:p>
        </w:tc>
        <w:tc>
          <w:tcPr>
            <w:tcW w:w="7470" w:type="dxa"/>
          </w:tcPr>
          <w:p w14:paraId="2C62C375" w14:textId="77777777" w:rsidR="00300A63" w:rsidRPr="00300A63" w:rsidRDefault="00300A63" w:rsidP="00300A63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3F127CF" w14:textId="712F4714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 SARP participant may request a temporary medical waiver if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0"/>
              </w:rPr>
              <w:t>they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will be temporarily unable to comply with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0"/>
              </w:rPr>
              <w:t>their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CASP requirements due to an acute medical or mental health condition(s) and the required treatment for those condition(s). </w:t>
            </w:r>
          </w:p>
          <w:p w14:paraId="359114E7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9DBC08E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E76CAE0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waiver, once approved, shall not exceed </w:t>
            </w: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thirty (30) days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 The participant </w:t>
            </w:r>
            <w:r w:rsidRPr="00300A6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must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14:paraId="4E51AB32" w14:textId="77777777" w:rsidR="00300A63" w:rsidRPr="00300A63" w:rsidRDefault="00300A63" w:rsidP="00300A63">
            <w:pPr>
              <w:numPr>
                <w:ilvl w:val="0"/>
                <w:numId w:val="1"/>
              </w:numPr>
              <w:spacing w:after="0" w:line="240" w:lineRule="auto"/>
              <w:ind w:left="615" w:hanging="43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Submit a complete, written waiver request with a signed medical release form authorizing Board staff to obtain all pertinent medical records related to the acute condition(s) related to the </w:t>
            </w:r>
            <w:proofErr w:type="gramStart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request;</w:t>
            </w:r>
            <w:proofErr w:type="gramEnd"/>
          </w:p>
          <w:p w14:paraId="2E21835E" w14:textId="77777777" w:rsidR="00300A63" w:rsidRPr="00300A63" w:rsidRDefault="00300A63" w:rsidP="00300A63">
            <w:pPr>
              <w:numPr>
                <w:ilvl w:val="0"/>
                <w:numId w:val="1"/>
              </w:numPr>
              <w:spacing w:after="0" w:line="240" w:lineRule="auto"/>
              <w:ind w:left="615" w:hanging="43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Submit a letter of necessity from their licensed medical or mental health provider stating the diagnosis, treatment, and rationale for the needed temporary waiver from </w:t>
            </w:r>
            <w:proofErr w:type="gramStart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SARP;</w:t>
            </w:r>
            <w:proofErr w:type="gramEnd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56B97DB2" w14:textId="77777777" w:rsidR="00300A63" w:rsidRPr="00300A63" w:rsidRDefault="00300A63" w:rsidP="00300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Agree to an extension of the CASP for the duration of all waivers </w:t>
            </w:r>
            <w:proofErr w:type="gramStart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approved;</w:t>
            </w:r>
            <w:proofErr w:type="gramEnd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14:paraId="2517F99F" w14:textId="77777777" w:rsidR="00300A63" w:rsidRPr="00300A63" w:rsidRDefault="00300A63" w:rsidP="00300A63">
            <w:pPr>
              <w:spacing w:after="0" w:line="240" w:lineRule="auto"/>
              <w:ind w:left="615" w:hanging="3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4.   Agree to not engage in nursing practice for the duration of the approved waiver; a SARP participant may not practice nursing during any period in which a medical waiver is in effect, regardless of the type or duration of the </w:t>
            </w:r>
            <w:proofErr w:type="gramStart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waiver;</w:t>
            </w:r>
            <w:proofErr w:type="gramEnd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14:paraId="23D00814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2AD65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2FC7E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D50E7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After review of a participant’s written request and supporting documentation, the SARP Coordinator may approve a medical waiver of the SARP participant’s CASP requirements for a specific period up to </w:t>
            </w: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thirty (30) days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 A SARP participant cannot practice nursing at any time during the period that a medical waiver is in effect. </w:t>
            </w:r>
          </w:p>
          <w:p w14:paraId="010593C0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E01DA75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8268CB4" w14:textId="3DC6AD9F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 participant may request a supplemental duration of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0"/>
              </w:rPr>
              <w:t>their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initial medical waiver, if the treatment for the SARP participant’s medical or mental health condition(s) requires a period </w:t>
            </w:r>
            <w:proofErr w:type="gramStart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>in excess of</w:t>
            </w:r>
            <w:proofErr w:type="gramEnd"/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thirty (30) days but no more than </w:t>
            </w:r>
            <w:r w:rsidRPr="00300A6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ninety (90) days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 The participant must submit a new written waiver request, and updated supporting documentation including, but not limited to, all the requirements as set forth above for an initial waiver request. </w:t>
            </w:r>
          </w:p>
          <w:p w14:paraId="39F09E4C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EF59955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Any supplemental medical waiver request will be reviewed and determined by the Board. </w:t>
            </w:r>
          </w:p>
          <w:p w14:paraId="0F0835E9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908F1ED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Any treatment of any medical or mental health condition(s) that requires a medical waiver of more than ninety (90) days </w:t>
            </w:r>
            <w:r w:rsidRPr="00300A63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will not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be approved and the participant will be terminated from the SARP program. </w:t>
            </w:r>
          </w:p>
          <w:p w14:paraId="7735F978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6CB071C5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809721A" w14:textId="2A0C9CEE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Immediately upon approval of a waiver, the participant must notify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nursing employer(s) that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4"/>
              </w:rPr>
              <w:t>they are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authorized to engage in nursing practice during the period that the waiver is effect, as evidenced by:</w:t>
            </w:r>
          </w:p>
          <w:p w14:paraId="2D6B19B3" w14:textId="7FADD84F" w:rsidR="00300A63" w:rsidRPr="00300A63" w:rsidRDefault="00300A63" w:rsidP="00300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Providing written documentation to the SARP Coordinator substantiating that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notified </w:t>
            </w:r>
            <w:r w:rsidR="008E674D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employer(s) that the participant’s nursing practice is not authorized; and </w:t>
            </w:r>
          </w:p>
          <w:p w14:paraId="00C5C218" w14:textId="77777777" w:rsidR="00300A63" w:rsidRPr="00300A63" w:rsidRDefault="00300A63" w:rsidP="00300A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A63">
              <w:rPr>
                <w:rFonts w:ascii="Times New Roman" w:eastAsia="Times New Roman" w:hAnsi="Times New Roman" w:cs="Times New Roman"/>
                <w:sz w:val="24"/>
                <w:szCs w:val="24"/>
              </w:rPr>
              <w:t>SARP Coordinator contacting the participant’s employer to notify/confirm that they have been informed by the participant that the participant is not authorized to practice during the waiver period.</w:t>
            </w:r>
          </w:p>
          <w:p w14:paraId="3DB3D2EF" w14:textId="77777777" w:rsidR="00300A63" w:rsidRPr="00300A63" w:rsidRDefault="00300A63" w:rsidP="00300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55E7103" w14:textId="77777777" w:rsidR="00300A63" w:rsidRPr="00300A63" w:rsidRDefault="00300A63" w:rsidP="0030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3223942" w14:textId="3BA80469" w:rsidR="00015F84" w:rsidRDefault="00015F84"/>
    <w:p w14:paraId="37BDFC0C" w14:textId="0E7B3247" w:rsidR="008E674D" w:rsidRPr="008E674D" w:rsidRDefault="008E674D" w:rsidP="008E674D"/>
    <w:p w14:paraId="27448012" w14:textId="09F207D0" w:rsidR="008E674D" w:rsidRPr="008E674D" w:rsidRDefault="008E674D" w:rsidP="008E674D"/>
    <w:p w14:paraId="25225ECD" w14:textId="329BA6B4" w:rsidR="008E674D" w:rsidRPr="008E674D" w:rsidRDefault="008E674D" w:rsidP="008E674D"/>
    <w:p w14:paraId="18572521" w14:textId="1E18B584" w:rsidR="008E674D" w:rsidRPr="008E674D" w:rsidRDefault="008E674D" w:rsidP="00A507E0">
      <w:pPr>
        <w:tabs>
          <w:tab w:val="left" w:pos="2580"/>
          <w:tab w:val="left" w:pos="4410"/>
        </w:tabs>
      </w:pPr>
      <w:r>
        <w:tab/>
      </w:r>
      <w:r>
        <w:tab/>
      </w:r>
    </w:p>
    <w:sectPr w:rsidR="008E674D" w:rsidRPr="008E674D" w:rsidSect="00633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900" w:header="720" w:footer="720" w:gutter="0"/>
      <w:paperSrc w:first="1" w:other="1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69FC" w14:textId="77777777" w:rsidR="008B3D9D" w:rsidRDefault="008B3D9D" w:rsidP="00300A63">
      <w:pPr>
        <w:spacing w:after="0" w:line="240" w:lineRule="auto"/>
      </w:pPr>
      <w:r>
        <w:separator/>
      </w:r>
    </w:p>
  </w:endnote>
  <w:endnote w:type="continuationSeparator" w:id="0">
    <w:p w14:paraId="7A55A447" w14:textId="77777777" w:rsidR="008B3D9D" w:rsidRDefault="008B3D9D" w:rsidP="0030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9BA8" w14:textId="77777777" w:rsidR="00620A7C" w:rsidRDefault="00300A63" w:rsidP="00633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443308" w14:textId="77777777" w:rsidR="00620A7C" w:rsidRDefault="00A507E0" w:rsidP="000B30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44CD" w14:textId="77777777" w:rsidR="00620A7C" w:rsidRDefault="00A507E0" w:rsidP="0063312D">
    <w:pPr>
      <w:pStyle w:val="Footer"/>
      <w:framePr w:wrap="around" w:vAnchor="text" w:hAnchor="margin" w:xAlign="right" w:y="1"/>
      <w:rPr>
        <w:rStyle w:val="PageNumber"/>
      </w:rPr>
    </w:pPr>
  </w:p>
  <w:p w14:paraId="7BC872AA" w14:textId="77777777" w:rsidR="00620A7C" w:rsidRDefault="00A507E0" w:rsidP="00005885">
    <w:pPr>
      <w:pStyle w:val="Footer"/>
      <w:tabs>
        <w:tab w:val="right" w:pos="8280"/>
      </w:tabs>
      <w:ind w:right="360"/>
    </w:pPr>
  </w:p>
  <w:p w14:paraId="53E3F03F" w14:textId="0180F5C4" w:rsidR="00620A7C" w:rsidRPr="00005885" w:rsidRDefault="00300A63" w:rsidP="00005885">
    <w:pPr>
      <w:pStyle w:val="Footer"/>
      <w:tabs>
        <w:tab w:val="right" w:pos="8280"/>
      </w:tabs>
      <w:ind w:right="360"/>
      <w:rPr>
        <w:b/>
        <w:sz w:val="20"/>
      </w:rPr>
    </w:pPr>
    <w:r w:rsidRPr="00005885">
      <w:rPr>
        <w:b/>
        <w:sz w:val="20"/>
      </w:rPr>
      <w:t xml:space="preserve">SARP Policy 99-04: Substance </w:t>
    </w:r>
    <w:r w:rsidR="008E674D">
      <w:rPr>
        <w:b/>
        <w:sz w:val="20"/>
      </w:rPr>
      <w:t xml:space="preserve">Addiction </w:t>
    </w:r>
    <w:proofErr w:type="spellStart"/>
    <w:r w:rsidR="008E674D">
      <w:rPr>
        <w:b/>
        <w:sz w:val="20"/>
      </w:rPr>
      <w:t>Recovery</w:t>
    </w:r>
    <w:r w:rsidRPr="00005885">
      <w:rPr>
        <w:b/>
        <w:sz w:val="20"/>
      </w:rPr>
      <w:t>Program</w:t>
    </w:r>
    <w:proofErr w:type="spellEnd"/>
    <w:r w:rsidRPr="00005885">
      <w:rPr>
        <w:b/>
        <w:sz w:val="20"/>
      </w:rPr>
      <w:t xml:space="preserve"> (SARP) Medical Waiver </w:t>
    </w:r>
    <w:r>
      <w:rPr>
        <w:b/>
        <w:sz w:val="20"/>
      </w:rPr>
      <w:tab/>
      <w:t xml:space="preserve">                       </w:t>
    </w:r>
    <w:r w:rsidRPr="00005885">
      <w:rPr>
        <w:b/>
        <w:sz w:val="20"/>
      </w:rPr>
      <w:t xml:space="preserve">Page </w:t>
    </w:r>
    <w:r w:rsidRPr="00005885">
      <w:rPr>
        <w:b/>
        <w:sz w:val="20"/>
      </w:rPr>
      <w:fldChar w:fldCharType="begin"/>
    </w:r>
    <w:r w:rsidRPr="00005885">
      <w:rPr>
        <w:b/>
        <w:sz w:val="20"/>
      </w:rPr>
      <w:instrText xml:space="preserve"> PAGE </w:instrText>
    </w:r>
    <w:r w:rsidRPr="00005885">
      <w:rPr>
        <w:b/>
        <w:sz w:val="20"/>
      </w:rPr>
      <w:fldChar w:fldCharType="separate"/>
    </w:r>
    <w:r w:rsidR="004A0AA1">
      <w:rPr>
        <w:b/>
        <w:noProof/>
        <w:sz w:val="20"/>
      </w:rPr>
      <w:t>2</w:t>
    </w:r>
    <w:r w:rsidRPr="00005885">
      <w:rPr>
        <w:b/>
        <w:sz w:val="20"/>
      </w:rPr>
      <w:fldChar w:fldCharType="end"/>
    </w:r>
    <w:r w:rsidRPr="00005885">
      <w:rPr>
        <w:b/>
        <w:sz w:val="20"/>
      </w:rPr>
      <w:t xml:space="preserve"> of </w:t>
    </w:r>
    <w:r w:rsidRPr="00005885">
      <w:rPr>
        <w:b/>
        <w:sz w:val="20"/>
      </w:rPr>
      <w:fldChar w:fldCharType="begin"/>
    </w:r>
    <w:r w:rsidRPr="00005885">
      <w:rPr>
        <w:b/>
        <w:sz w:val="20"/>
      </w:rPr>
      <w:instrText xml:space="preserve"> NUMPAGES </w:instrText>
    </w:r>
    <w:r w:rsidRPr="00005885">
      <w:rPr>
        <w:b/>
        <w:sz w:val="20"/>
      </w:rPr>
      <w:fldChar w:fldCharType="separate"/>
    </w:r>
    <w:r w:rsidR="004A0AA1">
      <w:rPr>
        <w:b/>
        <w:noProof/>
        <w:sz w:val="20"/>
      </w:rPr>
      <w:t>2</w:t>
    </w:r>
    <w:r w:rsidRPr="00005885">
      <w:rPr>
        <w:b/>
        <w:sz w:val="20"/>
      </w:rPr>
      <w:fldChar w:fldCharType="end"/>
    </w:r>
    <w:r w:rsidRPr="00005885">
      <w:rPr>
        <w:b/>
        <w:sz w:val="20"/>
      </w:rPr>
      <w:t xml:space="preserve">           </w:t>
    </w:r>
  </w:p>
  <w:p w14:paraId="6A8490E7" w14:textId="77777777" w:rsidR="00620A7C" w:rsidRPr="00F06F7C" w:rsidRDefault="00A507E0" w:rsidP="0093255B">
    <w:pPr>
      <w:outlineLvl w:val="0"/>
      <w:rPr>
        <w:sz w:val="20"/>
      </w:rPr>
    </w:pPr>
  </w:p>
  <w:p w14:paraId="7AB7DCF5" w14:textId="77777777" w:rsidR="00620A7C" w:rsidRDefault="00A50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D145" w14:textId="4B610E22" w:rsidR="00620A7C" w:rsidRPr="00005885" w:rsidRDefault="00300A63" w:rsidP="0044121D">
    <w:pPr>
      <w:pStyle w:val="Footer"/>
      <w:tabs>
        <w:tab w:val="right" w:pos="8280"/>
      </w:tabs>
      <w:ind w:right="360"/>
      <w:rPr>
        <w:b/>
        <w:sz w:val="20"/>
      </w:rPr>
    </w:pPr>
    <w:r w:rsidRPr="00005885">
      <w:rPr>
        <w:b/>
        <w:sz w:val="20"/>
      </w:rPr>
      <w:t xml:space="preserve">SARP Policy 99-04: Substance </w:t>
    </w:r>
    <w:r w:rsidR="008E674D">
      <w:rPr>
        <w:b/>
        <w:sz w:val="20"/>
      </w:rPr>
      <w:t>Addiction Recovery</w:t>
    </w:r>
    <w:r w:rsidRPr="00005885">
      <w:rPr>
        <w:b/>
        <w:sz w:val="20"/>
      </w:rPr>
      <w:t xml:space="preserve"> Program (SARP) Medical Waiver       </w:t>
    </w:r>
    <w:r>
      <w:rPr>
        <w:b/>
        <w:sz w:val="20"/>
      </w:rPr>
      <w:t xml:space="preserve">           </w:t>
    </w:r>
    <w:r w:rsidRPr="00005885">
      <w:rPr>
        <w:b/>
        <w:sz w:val="20"/>
      </w:rPr>
      <w:t xml:space="preserve">      Page </w:t>
    </w:r>
    <w:r w:rsidRPr="00005885">
      <w:rPr>
        <w:b/>
        <w:sz w:val="20"/>
      </w:rPr>
      <w:fldChar w:fldCharType="begin"/>
    </w:r>
    <w:r w:rsidRPr="00005885">
      <w:rPr>
        <w:b/>
        <w:sz w:val="20"/>
      </w:rPr>
      <w:instrText xml:space="preserve"> PAGE </w:instrText>
    </w:r>
    <w:r w:rsidRPr="00005885">
      <w:rPr>
        <w:b/>
        <w:sz w:val="20"/>
      </w:rPr>
      <w:fldChar w:fldCharType="separate"/>
    </w:r>
    <w:r w:rsidR="004A0AA1">
      <w:rPr>
        <w:b/>
        <w:noProof/>
        <w:sz w:val="20"/>
      </w:rPr>
      <w:t>1</w:t>
    </w:r>
    <w:r w:rsidRPr="00005885">
      <w:rPr>
        <w:b/>
        <w:sz w:val="20"/>
      </w:rPr>
      <w:fldChar w:fldCharType="end"/>
    </w:r>
    <w:r w:rsidRPr="00005885">
      <w:rPr>
        <w:b/>
        <w:sz w:val="20"/>
      </w:rPr>
      <w:t xml:space="preserve"> of </w:t>
    </w:r>
    <w:r w:rsidRPr="00005885">
      <w:rPr>
        <w:b/>
        <w:sz w:val="20"/>
      </w:rPr>
      <w:fldChar w:fldCharType="begin"/>
    </w:r>
    <w:r w:rsidRPr="00005885">
      <w:rPr>
        <w:b/>
        <w:sz w:val="20"/>
      </w:rPr>
      <w:instrText xml:space="preserve"> NUMPAGES </w:instrText>
    </w:r>
    <w:r w:rsidRPr="00005885">
      <w:rPr>
        <w:b/>
        <w:sz w:val="20"/>
      </w:rPr>
      <w:fldChar w:fldCharType="separate"/>
    </w:r>
    <w:r w:rsidR="004A0AA1">
      <w:rPr>
        <w:b/>
        <w:noProof/>
        <w:sz w:val="20"/>
      </w:rPr>
      <w:t>2</w:t>
    </w:r>
    <w:r w:rsidRPr="00005885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4EF5" w14:textId="77777777" w:rsidR="008B3D9D" w:rsidRDefault="008B3D9D" w:rsidP="00300A63">
      <w:pPr>
        <w:spacing w:after="0" w:line="240" w:lineRule="auto"/>
      </w:pPr>
      <w:r>
        <w:separator/>
      </w:r>
    </w:p>
  </w:footnote>
  <w:footnote w:type="continuationSeparator" w:id="0">
    <w:p w14:paraId="77E177BA" w14:textId="77777777" w:rsidR="008B3D9D" w:rsidRDefault="008B3D9D" w:rsidP="00300A63">
      <w:pPr>
        <w:spacing w:after="0" w:line="240" w:lineRule="auto"/>
      </w:pPr>
      <w:r>
        <w:continuationSeparator/>
      </w:r>
    </w:p>
  </w:footnote>
  <w:footnote w:id="1">
    <w:p w14:paraId="5E03B1FB" w14:textId="77777777" w:rsidR="00300A63" w:rsidRDefault="00300A63" w:rsidP="00300A63">
      <w:pPr>
        <w:pStyle w:val="FootnoteText"/>
      </w:pPr>
      <w:r>
        <w:rPr>
          <w:rStyle w:val="FootnoteReference"/>
        </w:rPr>
        <w:footnoteRef/>
      </w:r>
      <w:r>
        <w:t xml:space="preserve"> Consent Agreement for SARP Participation</w:t>
      </w:r>
    </w:p>
  </w:footnote>
  <w:footnote w:id="2">
    <w:p w14:paraId="4ECFE118" w14:textId="77777777" w:rsidR="00300A63" w:rsidRDefault="00300A63" w:rsidP="00300A63">
      <w:pPr>
        <w:pStyle w:val="FootnoteText"/>
      </w:pPr>
      <w:r>
        <w:rPr>
          <w:rStyle w:val="FootnoteReference"/>
        </w:rPr>
        <w:footnoteRef/>
      </w:r>
      <w:r>
        <w:t xml:space="preserve"> Clerical corrections only</w:t>
      </w:r>
    </w:p>
    <w:p w14:paraId="17FB39AD" w14:textId="77777777" w:rsidR="00300A63" w:rsidRDefault="00300A63" w:rsidP="00300A63">
      <w:pPr>
        <w:pStyle w:val="FootnoteText"/>
        <w:tabs>
          <w:tab w:val="left" w:pos="936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1BA6" w14:textId="77777777" w:rsidR="00A507E0" w:rsidRDefault="00A50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1E6B" w14:textId="77777777" w:rsidR="00620A7C" w:rsidRDefault="00A507E0">
    <w:pPr>
      <w:pStyle w:val="Header"/>
      <w:ind w:right="1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6589" w14:textId="77777777" w:rsidR="00A507E0" w:rsidRDefault="00A50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BA8"/>
    <w:multiLevelType w:val="hybridMultilevel"/>
    <w:tmpl w:val="68C4AD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475036"/>
    <w:multiLevelType w:val="hybridMultilevel"/>
    <w:tmpl w:val="FF00354A"/>
    <w:lvl w:ilvl="0" w:tplc="8D1254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63"/>
    <w:rsid w:val="00015F84"/>
    <w:rsid w:val="00300A63"/>
    <w:rsid w:val="004A0AA1"/>
    <w:rsid w:val="00816D23"/>
    <w:rsid w:val="00846546"/>
    <w:rsid w:val="008B3D9D"/>
    <w:rsid w:val="008E674D"/>
    <w:rsid w:val="00A507E0"/>
    <w:rsid w:val="00B06176"/>
    <w:rsid w:val="00B77AA9"/>
    <w:rsid w:val="00BC77EE"/>
    <w:rsid w:val="00CF54F0"/>
    <w:rsid w:val="00EB08D3"/>
    <w:rsid w:val="00F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2CC5"/>
  <w15:docId w15:val="{1CD1CCEA-E016-4B79-ABD9-B01A117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0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A63"/>
  </w:style>
  <w:style w:type="paragraph" w:styleId="Header">
    <w:name w:val="header"/>
    <w:basedOn w:val="Normal"/>
    <w:link w:val="HeaderChar"/>
    <w:uiPriority w:val="99"/>
    <w:unhideWhenUsed/>
    <w:rsid w:val="00300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63"/>
  </w:style>
  <w:style w:type="character" w:styleId="PageNumber">
    <w:name w:val="page number"/>
    <w:basedOn w:val="DefaultParagraphFont"/>
    <w:rsid w:val="00300A63"/>
  </w:style>
  <w:style w:type="paragraph" w:styleId="FootnoteText">
    <w:name w:val="footnote text"/>
    <w:basedOn w:val="Normal"/>
    <w:link w:val="FootnoteTextChar"/>
    <w:semiHidden/>
    <w:rsid w:val="0030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0A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00A63"/>
    <w:rPr>
      <w:vertAlign w:val="superscript"/>
    </w:rPr>
  </w:style>
  <w:style w:type="character" w:styleId="CommentReference">
    <w:name w:val="annotation reference"/>
    <w:rsid w:val="00300A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0A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Cambra, Heather J (DPH)</dc:creator>
  <cp:lastModifiedBy>Waksmonski, Mark (DPH)</cp:lastModifiedBy>
  <cp:revision>4</cp:revision>
  <cp:lastPrinted>2018-09-18T14:16:00Z</cp:lastPrinted>
  <dcterms:created xsi:type="dcterms:W3CDTF">2022-07-14T17:55:00Z</dcterms:created>
  <dcterms:modified xsi:type="dcterms:W3CDTF">2022-10-03T16:09:00Z</dcterms:modified>
</cp:coreProperties>
</file>