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684AC" w14:textId="77777777" w:rsidR="00642FB4" w:rsidRDefault="00642FB4" w:rsidP="0066475F">
      <w:pPr>
        <w:jc w:val="center"/>
        <w:outlineLvl w:val="0"/>
        <w:rPr>
          <w:b/>
        </w:rPr>
      </w:pPr>
      <w:r>
        <w:rPr>
          <w:b/>
        </w:rPr>
        <w:t>BOARD OF REGISTRATION IN NURSING</w:t>
      </w:r>
    </w:p>
    <w:p w14:paraId="6C5C82F0" w14:textId="77777777" w:rsidR="00642FB4" w:rsidRDefault="00642FB4" w:rsidP="0066475F">
      <w:pPr>
        <w:jc w:val="center"/>
        <w:rPr>
          <w:b/>
        </w:rPr>
      </w:pPr>
    </w:p>
    <w:p w14:paraId="341823D4" w14:textId="53199E17" w:rsidR="00642FB4" w:rsidRDefault="00642FB4" w:rsidP="00BB12C0">
      <w:pPr>
        <w:jc w:val="center"/>
        <w:outlineLvl w:val="0"/>
        <w:rPr>
          <w:b/>
        </w:rPr>
      </w:pPr>
      <w:r>
        <w:rPr>
          <w:b/>
        </w:rPr>
        <w:t xml:space="preserve">Substance </w:t>
      </w:r>
      <w:r w:rsidR="005720E7">
        <w:rPr>
          <w:b/>
        </w:rPr>
        <w:t>Addiction Recovery Program</w:t>
      </w:r>
      <w:r>
        <w:rPr>
          <w:b/>
        </w:rPr>
        <w:t xml:space="preserve"> (SARP) Policy 1</w:t>
      </w:r>
      <w:r w:rsidR="00AC6801">
        <w:rPr>
          <w:b/>
        </w:rPr>
        <w:t>7</w:t>
      </w:r>
      <w:r w:rsidR="005F7BF0">
        <w:rPr>
          <w:b/>
        </w:rPr>
        <w:t>-01</w:t>
      </w:r>
    </w:p>
    <w:p w14:paraId="1D23528F" w14:textId="77777777" w:rsidR="00642FB4" w:rsidRDefault="00642FB4" w:rsidP="0066475F">
      <w:pPr>
        <w:jc w:val="center"/>
      </w:pPr>
    </w:p>
    <w:tbl>
      <w:tblPr>
        <w:tblW w:w="0" w:type="auto"/>
        <w:tblInd w:w="108" w:type="dxa"/>
        <w:tblBorders>
          <w:top w:val="single" w:sz="12" w:space="0" w:color="000000"/>
          <w:bottom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10"/>
        <w:gridCol w:w="7398"/>
      </w:tblGrid>
      <w:tr w:rsidR="00642FB4" w14:paraId="348AA40A" w14:textId="77777777" w:rsidTr="009175FD">
        <w:tc>
          <w:tcPr>
            <w:tcW w:w="1710" w:type="dxa"/>
          </w:tcPr>
          <w:p w14:paraId="6F2309EB" w14:textId="77777777" w:rsidR="00642FB4" w:rsidRDefault="00642FB4" w:rsidP="009175FD"/>
          <w:p w14:paraId="2E4071A3" w14:textId="77777777" w:rsidR="00642FB4" w:rsidRDefault="00642FB4" w:rsidP="009175FD">
            <w:pPr>
              <w:rPr>
                <w:i/>
              </w:rPr>
            </w:pPr>
            <w:r>
              <w:rPr>
                <w:b/>
              </w:rPr>
              <w:t>Title</w:t>
            </w:r>
          </w:p>
        </w:tc>
        <w:tc>
          <w:tcPr>
            <w:tcW w:w="7398" w:type="dxa"/>
          </w:tcPr>
          <w:p w14:paraId="79543807" w14:textId="77777777" w:rsidR="00642FB4" w:rsidRDefault="00642FB4" w:rsidP="009175FD"/>
          <w:p w14:paraId="2EF65F21" w14:textId="77777777" w:rsidR="00642FB4" w:rsidRDefault="00642FB4" w:rsidP="009175FD">
            <w:r>
              <w:t>Board Delegation of Authority to Activate the License Suspension Provisions of a SARP Participant’s Consent Agreement for SARP Participation (CASP)</w:t>
            </w:r>
          </w:p>
          <w:p w14:paraId="3CAC2EC2" w14:textId="77777777" w:rsidR="00642FB4" w:rsidRDefault="00642FB4" w:rsidP="009175FD">
            <w:pPr>
              <w:rPr>
                <w:i/>
              </w:rPr>
            </w:pPr>
          </w:p>
        </w:tc>
      </w:tr>
      <w:tr w:rsidR="00642FB4" w14:paraId="4DF7409B" w14:textId="77777777" w:rsidTr="009175FD">
        <w:tc>
          <w:tcPr>
            <w:tcW w:w="1710" w:type="dxa"/>
          </w:tcPr>
          <w:p w14:paraId="45C3EC20" w14:textId="77777777" w:rsidR="00642FB4" w:rsidRDefault="00642FB4" w:rsidP="009175FD"/>
          <w:p w14:paraId="08464EF6" w14:textId="77777777" w:rsidR="00642FB4" w:rsidRDefault="00642FB4" w:rsidP="009175FD">
            <w:r>
              <w:rPr>
                <w:b/>
              </w:rPr>
              <w:t>Purpose</w:t>
            </w:r>
          </w:p>
          <w:p w14:paraId="0C4FE3D9" w14:textId="77777777" w:rsidR="00642FB4" w:rsidRDefault="00642FB4" w:rsidP="009175FD"/>
          <w:p w14:paraId="6FE4C350" w14:textId="77777777" w:rsidR="00642FB4" w:rsidRDefault="00642FB4" w:rsidP="009175FD">
            <w:pPr>
              <w:rPr>
                <w:i/>
              </w:rPr>
            </w:pPr>
          </w:p>
        </w:tc>
        <w:tc>
          <w:tcPr>
            <w:tcW w:w="7398" w:type="dxa"/>
          </w:tcPr>
          <w:p w14:paraId="3625B8D8" w14:textId="77777777" w:rsidR="00642FB4" w:rsidRDefault="00642FB4" w:rsidP="009175FD">
            <w:pPr>
              <w:rPr>
                <w:i/>
              </w:rPr>
            </w:pPr>
          </w:p>
          <w:p w14:paraId="6030F5C8" w14:textId="77777777" w:rsidR="00642FB4" w:rsidRDefault="00642FB4" w:rsidP="009175FD">
            <w:r>
              <w:t xml:space="preserve">The Board of Registration in Nursing (Board) adopts this policy to expedite action on a nursing license in circumstances where certain substantiated conduct of a SARP Participant poses a serious risk to public health, </w:t>
            </w:r>
            <w:proofErr w:type="gramStart"/>
            <w:r>
              <w:t>safety</w:t>
            </w:r>
            <w:proofErr w:type="gramEnd"/>
            <w:r>
              <w:t xml:space="preserve"> and welfare.  This policy facilitates timely actions on certain substantiated violations of a CASP.</w:t>
            </w:r>
          </w:p>
          <w:p w14:paraId="5151E627" w14:textId="77777777" w:rsidR="00642FB4" w:rsidRPr="00C73F13" w:rsidRDefault="00642FB4" w:rsidP="009175FD"/>
        </w:tc>
      </w:tr>
      <w:tr w:rsidR="00642FB4" w14:paraId="5EACC98C" w14:textId="77777777" w:rsidTr="009175FD">
        <w:tc>
          <w:tcPr>
            <w:tcW w:w="1710" w:type="dxa"/>
          </w:tcPr>
          <w:p w14:paraId="21765D5E" w14:textId="77777777" w:rsidR="00642FB4" w:rsidRDefault="00642FB4" w:rsidP="009175FD">
            <w:pPr>
              <w:rPr>
                <w:i/>
              </w:rPr>
            </w:pPr>
          </w:p>
          <w:p w14:paraId="54E89792" w14:textId="77777777" w:rsidR="00642FB4" w:rsidRDefault="00642FB4" w:rsidP="009175FD">
            <w:pPr>
              <w:rPr>
                <w:b/>
              </w:rPr>
            </w:pPr>
            <w:r>
              <w:rPr>
                <w:b/>
              </w:rPr>
              <w:t>Date Adopted</w:t>
            </w:r>
          </w:p>
          <w:p w14:paraId="7A0B8D42" w14:textId="77777777" w:rsidR="00642FB4" w:rsidRDefault="00642FB4" w:rsidP="009175FD">
            <w:pPr>
              <w:rPr>
                <w:i/>
              </w:rPr>
            </w:pPr>
          </w:p>
        </w:tc>
        <w:tc>
          <w:tcPr>
            <w:tcW w:w="7398" w:type="dxa"/>
          </w:tcPr>
          <w:p w14:paraId="28371949" w14:textId="77777777" w:rsidR="00642FB4" w:rsidRDefault="00642FB4" w:rsidP="009175FD"/>
          <w:p w14:paraId="64D1C62E" w14:textId="5CA2155F" w:rsidR="00642FB4" w:rsidRDefault="00DC32EA" w:rsidP="009175FD">
            <w:pPr>
              <w:rPr>
                <w:i/>
              </w:rPr>
            </w:pPr>
            <w:r>
              <w:t>March 8, 2017 (adopted)</w:t>
            </w:r>
            <w:r w:rsidR="00D10C1F">
              <w:t>,</w:t>
            </w:r>
            <w:r>
              <w:t xml:space="preserve"> </w:t>
            </w:r>
            <w:r w:rsidR="005720E7">
              <w:t>August,10, 2022</w:t>
            </w:r>
            <w:r>
              <w:t xml:space="preserve"> (revised)</w:t>
            </w:r>
          </w:p>
        </w:tc>
      </w:tr>
      <w:tr w:rsidR="00642FB4" w14:paraId="6EC4CE7B" w14:textId="77777777" w:rsidTr="009175FD">
        <w:tc>
          <w:tcPr>
            <w:tcW w:w="1710" w:type="dxa"/>
          </w:tcPr>
          <w:p w14:paraId="25BCDCD9" w14:textId="77777777" w:rsidR="00642FB4" w:rsidRDefault="00642FB4" w:rsidP="009175FD"/>
          <w:p w14:paraId="59713444" w14:textId="77777777" w:rsidR="00642FB4" w:rsidRDefault="00642FB4" w:rsidP="009175FD">
            <w:r>
              <w:rPr>
                <w:b/>
              </w:rPr>
              <w:t>Policy</w:t>
            </w:r>
          </w:p>
        </w:tc>
        <w:tc>
          <w:tcPr>
            <w:tcW w:w="7398" w:type="dxa"/>
          </w:tcPr>
          <w:p w14:paraId="66EF00D3" w14:textId="77777777" w:rsidR="00AC6801" w:rsidRDefault="00AC6801" w:rsidP="00AC6801">
            <w:pPr>
              <w:ind w:left="720"/>
            </w:pPr>
          </w:p>
          <w:p w14:paraId="79FF7C9C" w14:textId="77777777" w:rsidR="00642FB4" w:rsidRDefault="00642FB4" w:rsidP="00A34BF3">
            <w:pPr>
              <w:numPr>
                <w:ilvl w:val="0"/>
                <w:numId w:val="2"/>
              </w:numPr>
            </w:pPr>
            <w:r>
              <w:t xml:space="preserve">The Executive Director (ED) of the Board may </w:t>
            </w:r>
            <w:r w:rsidR="00A34BF3">
              <w:t>issue an I</w:t>
            </w:r>
            <w:r w:rsidR="005D51F6">
              <w:t>ni</w:t>
            </w:r>
            <w:r w:rsidR="00A34BF3">
              <w:t>tial N</w:t>
            </w:r>
            <w:r w:rsidR="005D51F6">
              <w:rPr>
                <w:rFonts w:hAnsi="Arial Unicode MS"/>
              </w:rPr>
              <w:t xml:space="preserve">otice of </w:t>
            </w:r>
            <w:r w:rsidR="00A34BF3">
              <w:rPr>
                <w:rFonts w:hAnsi="Arial Unicode MS"/>
              </w:rPr>
              <w:t>I</w:t>
            </w:r>
            <w:r w:rsidR="005D51F6">
              <w:rPr>
                <w:rFonts w:hAnsi="Arial Unicode MS"/>
              </w:rPr>
              <w:t>ntent to</w:t>
            </w:r>
            <w:r w:rsidR="00A34BF3">
              <w:rPr>
                <w:rFonts w:hAnsi="Arial Unicode MS"/>
              </w:rPr>
              <w:t xml:space="preserve"> S</w:t>
            </w:r>
            <w:r w:rsidR="005D51F6">
              <w:rPr>
                <w:rFonts w:hAnsi="Arial Unicode MS"/>
              </w:rPr>
              <w:t>uspend</w:t>
            </w:r>
            <w:r>
              <w:t xml:space="preserve"> the Participant’s nursing license</w:t>
            </w:r>
            <w:r w:rsidR="00AC6801">
              <w:t xml:space="preserve"> </w:t>
            </w:r>
            <w:r w:rsidR="0060705D">
              <w:t>within 3 days</w:t>
            </w:r>
            <w:r w:rsidR="005D51F6">
              <w:t>, based on the Participant’s non-compliance with the Participant’s CASP</w:t>
            </w:r>
            <w:r w:rsidR="00AC6801">
              <w:t>,</w:t>
            </w:r>
            <w:r w:rsidR="005D51F6">
              <w:t xml:space="preserve"> </w:t>
            </w:r>
            <w:r>
              <w:t xml:space="preserve">upon receipt of </w:t>
            </w:r>
            <w:r w:rsidR="005D51F6">
              <w:t>documentary</w:t>
            </w:r>
            <w:r w:rsidR="005D51F6" w:rsidRPr="00122952">
              <w:t xml:space="preserve"> </w:t>
            </w:r>
            <w:r w:rsidRPr="00122952">
              <w:t>evidence</w:t>
            </w:r>
            <w:r w:rsidR="005D51F6">
              <w:t xml:space="preserve">, which may include an affidavit of a percipient witness, of the following:  </w:t>
            </w:r>
            <w:r w:rsidRPr="00122952">
              <w:rPr>
                <w:color w:val="000000"/>
              </w:rPr>
              <w:t xml:space="preserve"> </w:t>
            </w:r>
          </w:p>
          <w:p w14:paraId="595C6455" w14:textId="6BEE74A2" w:rsidR="00AC6801" w:rsidRDefault="005D51F6" w:rsidP="00AC6801">
            <w:pPr>
              <w:pStyle w:val="Body1"/>
              <w:tabs>
                <w:tab w:val="left" w:pos="93"/>
                <w:tab w:val="left" w:pos="363"/>
              </w:tabs>
              <w:ind w:left="1080" w:hanging="360"/>
            </w:pPr>
            <w:r>
              <w:t xml:space="preserve">a.  </w:t>
            </w:r>
            <w:r w:rsidR="00AC6801">
              <w:t xml:space="preserve"> </w:t>
            </w:r>
            <w:r>
              <w:t>T</w:t>
            </w:r>
            <w:r w:rsidR="00642FB4">
              <w:t xml:space="preserve">he SARP Participant </w:t>
            </w:r>
            <w:r>
              <w:t xml:space="preserve">admits </w:t>
            </w:r>
            <w:r w:rsidR="00642FB4" w:rsidRPr="005D51F6">
              <w:t xml:space="preserve">that </w:t>
            </w:r>
            <w:r w:rsidR="005720E7">
              <w:t xml:space="preserve">they </w:t>
            </w:r>
            <w:r w:rsidR="00642FB4">
              <w:t xml:space="preserve">engaged in diversion of any drug after the effective date of the Participant’s CASP </w:t>
            </w:r>
            <w:proofErr w:type="gramStart"/>
            <w:r w:rsidR="00642FB4">
              <w:t>whether or not</w:t>
            </w:r>
            <w:proofErr w:type="gramEnd"/>
            <w:r w:rsidR="00642FB4">
              <w:t xml:space="preserve"> for the Participant’s personal use. </w:t>
            </w:r>
          </w:p>
          <w:p w14:paraId="4881EDDD" w14:textId="35FD5613" w:rsidR="005D51F6" w:rsidRDefault="005D51F6" w:rsidP="00AC6801">
            <w:pPr>
              <w:pStyle w:val="Body1"/>
              <w:tabs>
                <w:tab w:val="left" w:pos="93"/>
                <w:tab w:val="left" w:pos="363"/>
              </w:tabs>
              <w:ind w:left="1080" w:hanging="360"/>
              <w:rPr>
                <w:rFonts w:hAnsi="Arial Unicode MS"/>
              </w:rPr>
            </w:pPr>
            <w:r>
              <w:t xml:space="preserve">b.  </w:t>
            </w:r>
            <w:r w:rsidR="00AC6801">
              <w:t xml:space="preserve"> </w:t>
            </w:r>
            <w:r w:rsidR="00642FB4">
              <w:t xml:space="preserve">The SARP </w:t>
            </w:r>
            <w:r w:rsidR="00642FB4" w:rsidRPr="003A1487">
              <w:t xml:space="preserve">Participant </w:t>
            </w:r>
            <w:r w:rsidR="00AA5258">
              <w:t xml:space="preserve">engages in nursing practice </w:t>
            </w:r>
            <w:r>
              <w:t xml:space="preserve">during any period in which </w:t>
            </w:r>
            <w:r w:rsidR="005720E7">
              <w:t>they have</w:t>
            </w:r>
            <w:r>
              <w:t xml:space="preserve"> not yet been granted nursing practice privileges or </w:t>
            </w:r>
            <w:proofErr w:type="gramStart"/>
            <w:r w:rsidR="00AA5258">
              <w:t>in excess of</w:t>
            </w:r>
            <w:proofErr w:type="gramEnd"/>
            <w:r w:rsidR="00AA5258">
              <w:t xml:space="preserve"> SAREC approved </w:t>
            </w:r>
            <w:r>
              <w:t xml:space="preserve">nursing practice privileges. </w:t>
            </w:r>
          </w:p>
          <w:p w14:paraId="3B8F2116" w14:textId="77777777" w:rsidR="00AC6801" w:rsidRDefault="00AC6801" w:rsidP="00AC6801">
            <w:pPr>
              <w:pStyle w:val="Body1"/>
              <w:tabs>
                <w:tab w:val="left" w:pos="93"/>
                <w:tab w:val="left" w:pos="363"/>
              </w:tabs>
              <w:ind w:left="720"/>
              <w:rPr>
                <w:rFonts w:hAnsi="Arial Unicode MS"/>
              </w:rPr>
            </w:pPr>
          </w:p>
          <w:p w14:paraId="7CF50EBF" w14:textId="77777777" w:rsidR="005D51F6" w:rsidRDefault="00A34BF3" w:rsidP="005D51F6">
            <w:pPr>
              <w:pStyle w:val="Body1"/>
              <w:numPr>
                <w:ilvl w:val="0"/>
                <w:numId w:val="2"/>
              </w:numPr>
              <w:tabs>
                <w:tab w:val="left" w:pos="93"/>
                <w:tab w:val="left" w:pos="363"/>
              </w:tabs>
              <w:rPr>
                <w:rFonts w:hAnsi="Arial Unicode MS"/>
              </w:rPr>
            </w:pPr>
            <w:r>
              <w:rPr>
                <w:rFonts w:hAnsi="Arial Unicode MS"/>
              </w:rPr>
              <w:t>If</w:t>
            </w:r>
            <w:r w:rsidR="005D51F6">
              <w:rPr>
                <w:rFonts w:hAnsi="Arial Unicode MS"/>
              </w:rPr>
              <w:t xml:space="preserve"> the participant </w:t>
            </w:r>
            <w:r>
              <w:rPr>
                <w:rFonts w:hAnsi="Arial Unicode MS"/>
              </w:rPr>
              <w:t>does not request</w:t>
            </w:r>
            <w:r w:rsidR="005D51F6">
              <w:rPr>
                <w:rFonts w:hAnsi="Arial Unicode MS"/>
              </w:rPr>
              <w:t xml:space="preserve"> a hearing within the time allotted in the </w:t>
            </w:r>
            <w:r>
              <w:rPr>
                <w:rFonts w:hAnsi="Arial Unicode MS"/>
              </w:rPr>
              <w:t>initial no</w:t>
            </w:r>
            <w:r w:rsidR="005D51F6">
              <w:rPr>
                <w:rFonts w:hAnsi="Arial Unicode MS"/>
              </w:rPr>
              <w:t xml:space="preserve">tice of </w:t>
            </w:r>
            <w:r>
              <w:rPr>
                <w:rFonts w:hAnsi="Arial Unicode MS"/>
              </w:rPr>
              <w:t>i</w:t>
            </w:r>
            <w:r w:rsidR="005D51F6">
              <w:rPr>
                <w:rFonts w:hAnsi="Arial Unicode MS"/>
              </w:rPr>
              <w:t xml:space="preserve">ntent to </w:t>
            </w:r>
            <w:r>
              <w:rPr>
                <w:rFonts w:hAnsi="Arial Unicode MS"/>
              </w:rPr>
              <w:t>suspend</w:t>
            </w:r>
            <w:r w:rsidR="005D51F6">
              <w:rPr>
                <w:rFonts w:hAnsi="Arial Unicode MS"/>
              </w:rPr>
              <w:t xml:space="preserve">, the Executive Director shall issue a Final Notice of </w:t>
            </w:r>
            <w:r>
              <w:rPr>
                <w:rFonts w:hAnsi="Arial Unicode MS"/>
              </w:rPr>
              <w:t>Suspension</w:t>
            </w:r>
            <w:r w:rsidR="005D51F6">
              <w:rPr>
                <w:rFonts w:hAnsi="Arial Unicode MS"/>
              </w:rPr>
              <w:t xml:space="preserve"> and shall change the participant</w:t>
            </w:r>
            <w:r w:rsidR="005D51F6">
              <w:rPr>
                <w:rFonts w:hAnsi="Arial Unicode MS"/>
              </w:rPr>
              <w:t>’</w:t>
            </w:r>
            <w:r w:rsidR="005D51F6">
              <w:rPr>
                <w:rFonts w:hAnsi="Arial Unicode MS"/>
              </w:rPr>
              <w:t xml:space="preserve">s license status to </w:t>
            </w:r>
            <w:r w:rsidR="005D51F6">
              <w:rPr>
                <w:rFonts w:hAnsi="Arial Unicode MS"/>
              </w:rPr>
              <w:t>“</w:t>
            </w:r>
            <w:r w:rsidR="005D51F6">
              <w:rPr>
                <w:rFonts w:hAnsi="Arial Unicode MS"/>
              </w:rPr>
              <w:t>Suspended.</w:t>
            </w:r>
            <w:r w:rsidR="005D51F6">
              <w:rPr>
                <w:rFonts w:hAnsi="Arial Unicode MS"/>
              </w:rPr>
              <w:t>”</w:t>
            </w:r>
          </w:p>
          <w:p w14:paraId="6043B9B5" w14:textId="77777777" w:rsidR="00A34BF3" w:rsidRDefault="00A34BF3" w:rsidP="0060705D">
            <w:pPr>
              <w:pStyle w:val="Body1"/>
              <w:tabs>
                <w:tab w:val="left" w:pos="93"/>
                <w:tab w:val="left" w:pos="363"/>
              </w:tabs>
              <w:ind w:left="720"/>
              <w:rPr>
                <w:rFonts w:hAnsi="Arial Unicode MS"/>
              </w:rPr>
            </w:pPr>
          </w:p>
          <w:p w14:paraId="21384C91" w14:textId="77777777" w:rsidR="00A34BF3" w:rsidRDefault="00A34BF3" w:rsidP="00A34BF3">
            <w:pPr>
              <w:pStyle w:val="Body1"/>
              <w:numPr>
                <w:ilvl w:val="0"/>
                <w:numId w:val="2"/>
              </w:numPr>
              <w:tabs>
                <w:tab w:val="left" w:pos="93"/>
                <w:tab w:val="left" w:pos="363"/>
              </w:tabs>
              <w:rPr>
                <w:rFonts w:hAnsi="Arial Unicode MS"/>
              </w:rPr>
            </w:pPr>
            <w:r>
              <w:rPr>
                <w:rFonts w:hAnsi="Arial Unicode MS"/>
              </w:rPr>
              <w:t>If the participant request</w:t>
            </w:r>
            <w:r w:rsidR="009B6BB1">
              <w:rPr>
                <w:rFonts w:hAnsi="Arial Unicode MS"/>
              </w:rPr>
              <w:t>s</w:t>
            </w:r>
            <w:r>
              <w:rPr>
                <w:rFonts w:hAnsi="Arial Unicode MS"/>
              </w:rPr>
              <w:t xml:space="preserve"> a hearing within the time allotted in the initial notice of intent to suspend, the Executive Director shall issue a Hearing Notice and Suspension pending Hearing.  The Executive Director shall </w:t>
            </w:r>
            <w:r w:rsidR="0060705D">
              <w:rPr>
                <w:rFonts w:hAnsi="Arial Unicode MS"/>
              </w:rPr>
              <w:t>schedule a hearing on the next scheduled Board meeting date</w:t>
            </w:r>
            <w:r>
              <w:rPr>
                <w:rFonts w:hAnsi="Arial Unicode MS"/>
              </w:rPr>
              <w:t xml:space="preserve"> and shall change the participant</w:t>
            </w:r>
            <w:r>
              <w:rPr>
                <w:rFonts w:hAnsi="Arial Unicode MS"/>
              </w:rPr>
              <w:t>’</w:t>
            </w:r>
            <w:r>
              <w:rPr>
                <w:rFonts w:hAnsi="Arial Unicode MS"/>
              </w:rPr>
              <w:t xml:space="preserve">s license status to </w:t>
            </w:r>
            <w:r>
              <w:rPr>
                <w:rFonts w:hAnsi="Arial Unicode MS"/>
              </w:rPr>
              <w:t>“</w:t>
            </w:r>
            <w:r>
              <w:rPr>
                <w:rFonts w:hAnsi="Arial Unicode MS"/>
              </w:rPr>
              <w:t>Suspended.</w:t>
            </w:r>
            <w:r>
              <w:rPr>
                <w:rFonts w:hAnsi="Arial Unicode MS"/>
              </w:rPr>
              <w:t>”</w:t>
            </w:r>
          </w:p>
          <w:p w14:paraId="07DE1B2A" w14:textId="77777777" w:rsidR="00642FB4" w:rsidRDefault="00642FB4" w:rsidP="0060705D">
            <w:pPr>
              <w:pStyle w:val="ListParagraph"/>
            </w:pPr>
          </w:p>
        </w:tc>
      </w:tr>
      <w:tr w:rsidR="005D51F6" w14:paraId="43AF424D" w14:textId="77777777" w:rsidTr="009175FD">
        <w:tc>
          <w:tcPr>
            <w:tcW w:w="1710" w:type="dxa"/>
          </w:tcPr>
          <w:p w14:paraId="0F3235AE" w14:textId="77777777" w:rsidR="005D51F6" w:rsidRDefault="0060705D" w:rsidP="009175FD">
            <w:r>
              <w:t xml:space="preserve">Other </w:t>
            </w:r>
            <w:r>
              <w:lastRenderedPageBreak/>
              <w:t>authorized individuals</w:t>
            </w:r>
          </w:p>
        </w:tc>
        <w:tc>
          <w:tcPr>
            <w:tcW w:w="7398" w:type="dxa"/>
          </w:tcPr>
          <w:p w14:paraId="14420465" w14:textId="77777777" w:rsidR="005D51F6" w:rsidRDefault="0060705D" w:rsidP="009175FD">
            <w:proofErr w:type="gramStart"/>
            <w:r>
              <w:lastRenderedPageBreak/>
              <w:t>In the event that</w:t>
            </w:r>
            <w:proofErr w:type="gramEnd"/>
            <w:r>
              <w:t xml:space="preserve"> t</w:t>
            </w:r>
            <w:r w:rsidR="00A34BF3">
              <w:t xml:space="preserve">he Executive Director </w:t>
            </w:r>
            <w:r>
              <w:t xml:space="preserve">is unavailable or unable to act in a </w:t>
            </w:r>
            <w:r>
              <w:lastRenderedPageBreak/>
              <w:t xml:space="preserve">timely manner to implement this policy, the Board authorizes </w:t>
            </w:r>
            <w:r w:rsidR="00AC6801">
              <w:t>Deputy</w:t>
            </w:r>
            <w:r w:rsidR="00A34BF3">
              <w:t xml:space="preserve"> Executive Director </w:t>
            </w:r>
            <w:r>
              <w:t>or the Bureau Director to act as authorized in this policy.</w:t>
            </w:r>
          </w:p>
        </w:tc>
      </w:tr>
    </w:tbl>
    <w:p w14:paraId="358F52E0" w14:textId="77777777" w:rsidR="00642FB4" w:rsidRDefault="00642FB4" w:rsidP="0066475F"/>
    <w:sectPr w:rsidR="00642FB4" w:rsidSect="00BF57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800" w:header="360" w:footer="720" w:gutter="0"/>
      <w:paperSrc w:first="7" w:other="7"/>
      <w:pgNumType w:start="2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8663B" w14:textId="77777777" w:rsidR="00F341E5" w:rsidRDefault="00F341E5" w:rsidP="0066475F">
      <w:r>
        <w:separator/>
      </w:r>
    </w:p>
  </w:endnote>
  <w:endnote w:type="continuationSeparator" w:id="0">
    <w:p w14:paraId="65B570B1" w14:textId="77777777" w:rsidR="00F341E5" w:rsidRDefault="00F341E5" w:rsidP="00664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7491B" w14:textId="77777777" w:rsidR="003A6B96" w:rsidRDefault="003A6B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7542A" w14:textId="77777777" w:rsidR="00642FB4" w:rsidRPr="003A6B96" w:rsidRDefault="00642FB4" w:rsidP="00DA1DC7">
    <w:pPr>
      <w:rPr>
        <w:sz w:val="20"/>
      </w:rPr>
    </w:pPr>
    <w:r w:rsidRPr="003A6B96">
      <w:rPr>
        <w:sz w:val="20"/>
      </w:rPr>
      <w:t>SARP Policy 1</w:t>
    </w:r>
    <w:r w:rsidR="003F28A1" w:rsidRPr="003A6B96">
      <w:rPr>
        <w:sz w:val="20"/>
      </w:rPr>
      <w:t>7</w:t>
    </w:r>
    <w:r w:rsidRPr="003A6B96">
      <w:rPr>
        <w:sz w:val="20"/>
      </w:rPr>
      <w:t>-</w:t>
    </w:r>
    <w:r w:rsidR="005F7BF0" w:rsidRPr="003A6B96">
      <w:rPr>
        <w:sz w:val="20"/>
      </w:rPr>
      <w:t>01</w:t>
    </w:r>
    <w:r w:rsidRPr="003A6B96">
      <w:rPr>
        <w:sz w:val="20"/>
      </w:rPr>
      <w:t>: Board Delegation of Authority to Activate the License Suspension Provisions of a SARP Participant’s Consent Agreement for SARP Participation (CASP)</w:t>
    </w:r>
    <w:r w:rsidRPr="003A6B96">
      <w:rPr>
        <w:sz w:val="20"/>
      </w:rPr>
      <w:tab/>
      <w:t xml:space="preserve">                       </w:t>
    </w:r>
    <w:r w:rsidR="003A6B96">
      <w:rPr>
        <w:sz w:val="20"/>
      </w:rPr>
      <w:t xml:space="preserve">                  </w:t>
    </w:r>
    <w:r w:rsidRPr="003A6B96">
      <w:rPr>
        <w:sz w:val="20"/>
      </w:rPr>
      <w:t xml:space="preserve">Page 1 of </w:t>
    </w:r>
    <w:r w:rsidRPr="003A6B96">
      <w:rPr>
        <w:sz w:val="20"/>
      </w:rPr>
      <w:fldChar w:fldCharType="begin"/>
    </w:r>
    <w:r w:rsidRPr="003A6B96">
      <w:rPr>
        <w:sz w:val="20"/>
      </w:rPr>
      <w:instrText xml:space="preserve"> NUMPAGES </w:instrText>
    </w:r>
    <w:r w:rsidRPr="003A6B96">
      <w:rPr>
        <w:sz w:val="20"/>
      </w:rPr>
      <w:fldChar w:fldCharType="separate"/>
    </w:r>
    <w:r w:rsidR="003A6B96">
      <w:rPr>
        <w:noProof/>
        <w:sz w:val="20"/>
      </w:rPr>
      <w:t>2</w:t>
    </w:r>
    <w:r w:rsidRPr="003A6B96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44EAE" w14:textId="77777777" w:rsidR="003A6B96" w:rsidRDefault="003A6B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B191D" w14:textId="77777777" w:rsidR="00F341E5" w:rsidRDefault="00F341E5" w:rsidP="0066475F">
      <w:r>
        <w:separator/>
      </w:r>
    </w:p>
  </w:footnote>
  <w:footnote w:type="continuationSeparator" w:id="0">
    <w:p w14:paraId="142ED310" w14:textId="77777777" w:rsidR="00F341E5" w:rsidRDefault="00F341E5" w:rsidP="00664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805D4" w14:textId="77777777" w:rsidR="003A6B96" w:rsidRDefault="003A6B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FF218" w14:textId="77777777" w:rsidR="003A6B96" w:rsidRDefault="003A6B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4211B" w14:textId="77777777" w:rsidR="003A6B96" w:rsidRDefault="003A6B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3105449"/>
    <w:multiLevelType w:val="hybridMultilevel"/>
    <w:tmpl w:val="91DAFC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7B61E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8CD6A5D"/>
    <w:multiLevelType w:val="hybridMultilevel"/>
    <w:tmpl w:val="6CEAAD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75F"/>
    <w:rsid w:val="000274B9"/>
    <w:rsid w:val="00034EDE"/>
    <w:rsid w:val="00092326"/>
    <w:rsid w:val="000E0CA6"/>
    <w:rsid w:val="000E224F"/>
    <w:rsid w:val="000F2AB7"/>
    <w:rsid w:val="000F68C5"/>
    <w:rsid w:val="000F7A31"/>
    <w:rsid w:val="00122952"/>
    <w:rsid w:val="00135506"/>
    <w:rsid w:val="00184BA5"/>
    <w:rsid w:val="00186717"/>
    <w:rsid w:val="00192418"/>
    <w:rsid w:val="001A7ACD"/>
    <w:rsid w:val="001B3FF4"/>
    <w:rsid w:val="001D1EFA"/>
    <w:rsid w:val="001D5C5E"/>
    <w:rsid w:val="00227E91"/>
    <w:rsid w:val="00232704"/>
    <w:rsid w:val="00257DE2"/>
    <w:rsid w:val="002702A7"/>
    <w:rsid w:val="002B59AB"/>
    <w:rsid w:val="002B6353"/>
    <w:rsid w:val="002C419F"/>
    <w:rsid w:val="002E2865"/>
    <w:rsid w:val="002E3563"/>
    <w:rsid w:val="00333CF1"/>
    <w:rsid w:val="0034528D"/>
    <w:rsid w:val="00347EF9"/>
    <w:rsid w:val="003A1487"/>
    <w:rsid w:val="003A3F77"/>
    <w:rsid w:val="003A6B96"/>
    <w:rsid w:val="003C6381"/>
    <w:rsid w:val="003F28A1"/>
    <w:rsid w:val="00435429"/>
    <w:rsid w:val="00447852"/>
    <w:rsid w:val="00475D03"/>
    <w:rsid w:val="004B265E"/>
    <w:rsid w:val="004D384F"/>
    <w:rsid w:val="004E6DA7"/>
    <w:rsid w:val="004F5051"/>
    <w:rsid w:val="00541B23"/>
    <w:rsid w:val="0054673C"/>
    <w:rsid w:val="0056311E"/>
    <w:rsid w:val="00571048"/>
    <w:rsid w:val="005720E7"/>
    <w:rsid w:val="00595D75"/>
    <w:rsid w:val="005B2A05"/>
    <w:rsid w:val="005C2FCA"/>
    <w:rsid w:val="005C412B"/>
    <w:rsid w:val="005D51F6"/>
    <w:rsid w:val="005E1413"/>
    <w:rsid w:val="005E4DF0"/>
    <w:rsid w:val="005F3DC9"/>
    <w:rsid w:val="005F7BF0"/>
    <w:rsid w:val="00603962"/>
    <w:rsid w:val="0060705D"/>
    <w:rsid w:val="00621326"/>
    <w:rsid w:val="00642FB4"/>
    <w:rsid w:val="0066475F"/>
    <w:rsid w:val="00664ECA"/>
    <w:rsid w:val="0067007D"/>
    <w:rsid w:val="006D1A85"/>
    <w:rsid w:val="006F5793"/>
    <w:rsid w:val="00784329"/>
    <w:rsid w:val="007A7632"/>
    <w:rsid w:val="007C3CF0"/>
    <w:rsid w:val="007E36A8"/>
    <w:rsid w:val="007F5375"/>
    <w:rsid w:val="00817470"/>
    <w:rsid w:val="00886628"/>
    <w:rsid w:val="009175FD"/>
    <w:rsid w:val="0093311B"/>
    <w:rsid w:val="0095728A"/>
    <w:rsid w:val="009664AE"/>
    <w:rsid w:val="00991B75"/>
    <w:rsid w:val="0099263A"/>
    <w:rsid w:val="009A1700"/>
    <w:rsid w:val="009A1F3E"/>
    <w:rsid w:val="009A3267"/>
    <w:rsid w:val="009B6BB1"/>
    <w:rsid w:val="009D1A81"/>
    <w:rsid w:val="00A045AD"/>
    <w:rsid w:val="00A27E1C"/>
    <w:rsid w:val="00A33858"/>
    <w:rsid w:val="00A34BF3"/>
    <w:rsid w:val="00A45A4D"/>
    <w:rsid w:val="00A56655"/>
    <w:rsid w:val="00AA315F"/>
    <w:rsid w:val="00AA5258"/>
    <w:rsid w:val="00AC6801"/>
    <w:rsid w:val="00AF0389"/>
    <w:rsid w:val="00B37823"/>
    <w:rsid w:val="00B50AC3"/>
    <w:rsid w:val="00B539BA"/>
    <w:rsid w:val="00B6239B"/>
    <w:rsid w:val="00BB12C0"/>
    <w:rsid w:val="00BC08AD"/>
    <w:rsid w:val="00BF1BFC"/>
    <w:rsid w:val="00BF5735"/>
    <w:rsid w:val="00C05388"/>
    <w:rsid w:val="00C63A9E"/>
    <w:rsid w:val="00C73F13"/>
    <w:rsid w:val="00C86747"/>
    <w:rsid w:val="00CA2F3D"/>
    <w:rsid w:val="00CA775F"/>
    <w:rsid w:val="00CD194E"/>
    <w:rsid w:val="00D10C1F"/>
    <w:rsid w:val="00D255C8"/>
    <w:rsid w:val="00D404D9"/>
    <w:rsid w:val="00D47838"/>
    <w:rsid w:val="00D8164B"/>
    <w:rsid w:val="00D85E0F"/>
    <w:rsid w:val="00DA1DC7"/>
    <w:rsid w:val="00DA7CD1"/>
    <w:rsid w:val="00DC32EA"/>
    <w:rsid w:val="00DC6772"/>
    <w:rsid w:val="00E1592C"/>
    <w:rsid w:val="00EC75E4"/>
    <w:rsid w:val="00EE11F3"/>
    <w:rsid w:val="00F129AB"/>
    <w:rsid w:val="00F21297"/>
    <w:rsid w:val="00F341E5"/>
    <w:rsid w:val="00F34584"/>
    <w:rsid w:val="00F64FD3"/>
    <w:rsid w:val="00FA3566"/>
    <w:rsid w:val="00FD6896"/>
    <w:rsid w:val="00FE4521"/>
    <w:rsid w:val="00FE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899256"/>
  <w15:docId w15:val="{D11DDB7F-5645-424E-A264-B768155B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75F"/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159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1700"/>
    <w:rPr>
      <w:rFonts w:ascii="Times New Roman" w:hAnsi="Times New Roman" w:cs="Times New Roman"/>
      <w:sz w:val="2"/>
    </w:rPr>
  </w:style>
  <w:style w:type="paragraph" w:styleId="Header">
    <w:name w:val="header"/>
    <w:basedOn w:val="Normal"/>
    <w:link w:val="HeaderChar"/>
    <w:uiPriority w:val="99"/>
    <w:rsid w:val="006647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6475F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6647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6475F"/>
    <w:rPr>
      <w:rFonts w:ascii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66475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6475F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66475F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66475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2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25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258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258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Body1">
    <w:name w:val="Body 1"/>
    <w:rsid w:val="005D51F6"/>
    <w:pPr>
      <w:outlineLvl w:val="0"/>
    </w:pPr>
    <w:rPr>
      <w:rFonts w:ascii="Times New Roman" w:eastAsia="Arial Unicode MS" w:hAnsi="Times New Roman"/>
      <w:color w:val="000000"/>
      <w:sz w:val="24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8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REGISTRATION IN NURSING</vt:lpstr>
    </vt:vector>
  </TitlesOfParts>
  <Company>EOHHS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REGISTRATION IN NURSING</dc:title>
  <dc:creator>Fein, Amy  (DPH)</dc:creator>
  <cp:lastModifiedBy>Waksmonski, Mark (DPH)</cp:lastModifiedBy>
  <cp:revision>5</cp:revision>
  <cp:lastPrinted>2017-03-06T13:24:00Z</cp:lastPrinted>
  <dcterms:created xsi:type="dcterms:W3CDTF">2022-06-23T15:27:00Z</dcterms:created>
  <dcterms:modified xsi:type="dcterms:W3CDTF">2022-10-03T16:08:00Z</dcterms:modified>
</cp:coreProperties>
</file>