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5EAF6" w14:textId="77777777" w:rsidR="00190AAD" w:rsidRDefault="0099672C" w:rsidP="00E02903">
      <w:pPr>
        <w:tabs>
          <w:tab w:val="center" w:pos="4680"/>
        </w:tabs>
        <w:jc w:val="both"/>
        <w:rPr>
          <w:color w:val="000000"/>
          <w:sz w:val="36"/>
          <w:szCs w:val="36"/>
        </w:rPr>
      </w:pPr>
      <w:r w:rsidRPr="007601A4">
        <w:rPr>
          <w:color w:val="000000"/>
          <w:sz w:val="36"/>
          <w:szCs w:val="36"/>
        </w:rPr>
        <w:tab/>
      </w:r>
    </w:p>
    <w:p w14:paraId="2483D89A" w14:textId="77777777" w:rsidR="0099672C" w:rsidRPr="00161EC6" w:rsidRDefault="0099672C" w:rsidP="00190AAD">
      <w:pPr>
        <w:tabs>
          <w:tab w:val="center" w:pos="4680"/>
        </w:tabs>
        <w:jc w:val="center"/>
        <w:rPr>
          <w:b/>
          <w:bCs/>
          <w:color w:val="000000"/>
          <w:sz w:val="36"/>
          <w:szCs w:val="36"/>
        </w:rPr>
      </w:pPr>
      <w:r w:rsidRPr="00161EC6">
        <w:rPr>
          <w:b/>
          <w:bCs/>
          <w:color w:val="000000"/>
          <w:sz w:val="36"/>
          <w:szCs w:val="36"/>
        </w:rPr>
        <w:t>PUBLIC DISCLOSURE</w:t>
      </w:r>
    </w:p>
    <w:p w14:paraId="711961E3" w14:textId="77777777" w:rsidR="0099672C" w:rsidRPr="00161EC6" w:rsidRDefault="0099672C" w:rsidP="00E02903">
      <w:pPr>
        <w:jc w:val="both"/>
        <w:rPr>
          <w:color w:val="000000"/>
        </w:rPr>
      </w:pPr>
    </w:p>
    <w:p w14:paraId="75CD286A" w14:textId="77777777" w:rsidR="0099672C" w:rsidRPr="00161EC6" w:rsidRDefault="00123744" w:rsidP="00E02903">
      <w:pPr>
        <w:jc w:val="both"/>
        <w:rPr>
          <w:color w:val="000000"/>
        </w:rPr>
      </w:pPr>
      <w:r>
        <w:rPr>
          <w:color w:val="000000"/>
        </w:rPr>
        <w:tab/>
      </w:r>
      <w:r>
        <w:rPr>
          <w:color w:val="000000"/>
        </w:rPr>
        <w:tab/>
      </w:r>
    </w:p>
    <w:p w14:paraId="5A945A86" w14:textId="77777777" w:rsidR="0099672C" w:rsidRPr="00161EC6" w:rsidRDefault="0099672C" w:rsidP="00E02903">
      <w:pPr>
        <w:jc w:val="both"/>
        <w:rPr>
          <w:color w:val="000000"/>
        </w:rPr>
      </w:pPr>
    </w:p>
    <w:p w14:paraId="0861B5CD" w14:textId="77777777" w:rsidR="0099672C" w:rsidRPr="00161EC6" w:rsidRDefault="0099672C" w:rsidP="00E02903">
      <w:pPr>
        <w:jc w:val="both"/>
        <w:rPr>
          <w:color w:val="000000"/>
        </w:rPr>
      </w:pPr>
    </w:p>
    <w:p w14:paraId="27883B43" w14:textId="77777777" w:rsidR="0099672C" w:rsidRPr="00161EC6" w:rsidRDefault="0099672C" w:rsidP="00E02903">
      <w:pPr>
        <w:tabs>
          <w:tab w:val="center" w:pos="4680"/>
        </w:tabs>
        <w:jc w:val="both"/>
        <w:rPr>
          <w:color w:val="000000"/>
        </w:rPr>
      </w:pPr>
      <w:r w:rsidRPr="00161EC6">
        <w:rPr>
          <w:color w:val="000000"/>
          <w:sz w:val="36"/>
          <w:szCs w:val="36"/>
        </w:rPr>
        <w:tab/>
      </w:r>
      <w:r w:rsidR="00C833BF">
        <w:rPr>
          <w:color w:val="000000"/>
        </w:rPr>
        <w:t>January 11,</w:t>
      </w:r>
      <w:r w:rsidR="00123744">
        <w:rPr>
          <w:color w:val="000000"/>
        </w:rPr>
        <w:t xml:space="preserve"> 2021</w:t>
      </w:r>
    </w:p>
    <w:p w14:paraId="30563F40" w14:textId="77777777" w:rsidR="0099672C" w:rsidRPr="00161EC6" w:rsidRDefault="0099672C" w:rsidP="00E02903">
      <w:pPr>
        <w:jc w:val="both"/>
        <w:rPr>
          <w:color w:val="000000"/>
        </w:rPr>
      </w:pPr>
    </w:p>
    <w:p w14:paraId="77C53FC8" w14:textId="77777777" w:rsidR="0099672C" w:rsidRPr="00161EC6" w:rsidRDefault="0099672C" w:rsidP="00E02903">
      <w:pPr>
        <w:jc w:val="both"/>
        <w:rPr>
          <w:color w:val="000000"/>
        </w:rPr>
      </w:pPr>
    </w:p>
    <w:p w14:paraId="652CCB13" w14:textId="77777777" w:rsidR="0099672C" w:rsidRDefault="0099672C" w:rsidP="00E02903">
      <w:pPr>
        <w:jc w:val="both"/>
        <w:rPr>
          <w:color w:val="000000"/>
        </w:rPr>
      </w:pPr>
    </w:p>
    <w:p w14:paraId="027775A4" w14:textId="77777777" w:rsidR="008468C4" w:rsidRPr="00161EC6" w:rsidRDefault="008468C4" w:rsidP="00E02903">
      <w:pPr>
        <w:jc w:val="both"/>
        <w:rPr>
          <w:color w:val="000000"/>
        </w:rPr>
      </w:pPr>
    </w:p>
    <w:p w14:paraId="3BE8D0F9" w14:textId="77777777" w:rsidR="0099672C" w:rsidRPr="00161EC6" w:rsidRDefault="0099672C" w:rsidP="00E02903">
      <w:pPr>
        <w:jc w:val="both"/>
        <w:rPr>
          <w:color w:val="000000"/>
        </w:rPr>
      </w:pPr>
    </w:p>
    <w:p w14:paraId="6DA5A35E" w14:textId="77777777" w:rsidR="0099672C" w:rsidRPr="00161EC6" w:rsidRDefault="0099672C" w:rsidP="00E02903">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067945DD" w14:textId="77777777" w:rsidR="0099672C" w:rsidRPr="00161EC6" w:rsidRDefault="0099672C" w:rsidP="00E02903">
      <w:pPr>
        <w:tabs>
          <w:tab w:val="center" w:pos="4680"/>
        </w:tabs>
        <w:jc w:val="both"/>
        <w:rPr>
          <w:color w:val="000000"/>
          <w:sz w:val="36"/>
          <w:szCs w:val="36"/>
        </w:rPr>
      </w:pPr>
      <w:r w:rsidRPr="00161EC6">
        <w:rPr>
          <w:b/>
          <w:bCs/>
          <w:color w:val="000000"/>
          <w:sz w:val="36"/>
          <w:szCs w:val="36"/>
        </w:rPr>
        <w:tab/>
        <w:t>PERFORMANCE EVALUATION</w:t>
      </w:r>
    </w:p>
    <w:p w14:paraId="7579D45F" w14:textId="77777777" w:rsidR="0099672C" w:rsidRPr="00161EC6" w:rsidRDefault="0099672C" w:rsidP="00E02903">
      <w:pPr>
        <w:rPr>
          <w:color w:val="000000"/>
        </w:rPr>
      </w:pPr>
    </w:p>
    <w:p w14:paraId="5DD53D57" w14:textId="77777777" w:rsidR="0099672C" w:rsidRPr="00161EC6" w:rsidRDefault="0099672C" w:rsidP="00E02903">
      <w:pPr>
        <w:tabs>
          <w:tab w:val="center" w:pos="4680"/>
        </w:tabs>
        <w:rPr>
          <w:color w:val="000000"/>
        </w:rPr>
      </w:pPr>
    </w:p>
    <w:p w14:paraId="589F241F" w14:textId="77777777" w:rsidR="0099672C" w:rsidRPr="00161EC6" w:rsidRDefault="0099672C" w:rsidP="00E02903">
      <w:pPr>
        <w:rPr>
          <w:color w:val="000000"/>
        </w:rPr>
      </w:pPr>
    </w:p>
    <w:p w14:paraId="6C399A37" w14:textId="77777777" w:rsidR="00123744" w:rsidRPr="00123744" w:rsidRDefault="0099672C" w:rsidP="00123744">
      <w:pPr>
        <w:tabs>
          <w:tab w:val="center" w:pos="4680"/>
        </w:tabs>
        <w:jc w:val="both"/>
        <w:rPr>
          <w:b/>
          <w:bCs/>
          <w:color w:val="000000"/>
        </w:rPr>
      </w:pPr>
      <w:r w:rsidRPr="00161EC6">
        <w:rPr>
          <w:b/>
          <w:bCs/>
          <w:color w:val="000000"/>
        </w:rPr>
        <w:tab/>
      </w:r>
      <w:r w:rsidR="00123744" w:rsidRPr="00123744">
        <w:rPr>
          <w:b/>
          <w:bCs/>
          <w:color w:val="000000"/>
        </w:rPr>
        <w:t>Savers Co-operative Bank</w:t>
      </w:r>
    </w:p>
    <w:p w14:paraId="78DE31D4" w14:textId="77777777" w:rsidR="00123744" w:rsidRDefault="00123744" w:rsidP="00123744">
      <w:pPr>
        <w:tabs>
          <w:tab w:val="center" w:pos="4680"/>
        </w:tabs>
        <w:jc w:val="both"/>
        <w:rPr>
          <w:b/>
          <w:bCs/>
          <w:color w:val="000000"/>
        </w:rPr>
      </w:pPr>
      <w:r>
        <w:rPr>
          <w:b/>
          <w:bCs/>
          <w:color w:val="000000"/>
        </w:rPr>
        <w:tab/>
      </w:r>
      <w:r w:rsidRPr="00123744">
        <w:rPr>
          <w:b/>
          <w:bCs/>
          <w:color w:val="000000"/>
        </w:rPr>
        <w:t>Certificate Number:  26455</w:t>
      </w:r>
    </w:p>
    <w:p w14:paraId="7F2A89F9" w14:textId="77777777" w:rsidR="0099672C" w:rsidRPr="00161EC6" w:rsidRDefault="0099672C" w:rsidP="00123744">
      <w:pPr>
        <w:tabs>
          <w:tab w:val="center" w:pos="4680"/>
        </w:tabs>
        <w:jc w:val="both"/>
        <w:rPr>
          <w:color w:val="000000"/>
        </w:rPr>
      </w:pPr>
    </w:p>
    <w:p w14:paraId="1DFC0E52" w14:textId="77777777" w:rsidR="00123744" w:rsidRPr="00161EC6" w:rsidRDefault="00123744" w:rsidP="00123744">
      <w:pPr>
        <w:tabs>
          <w:tab w:val="center" w:pos="4680"/>
        </w:tabs>
        <w:jc w:val="center"/>
      </w:pPr>
      <w:r>
        <w:t>270 Main Street</w:t>
      </w:r>
    </w:p>
    <w:p w14:paraId="69BE12D0" w14:textId="77777777" w:rsidR="00123744" w:rsidRPr="00161EC6" w:rsidRDefault="00123744" w:rsidP="00123744">
      <w:pPr>
        <w:tabs>
          <w:tab w:val="left" w:pos="5175"/>
        </w:tabs>
        <w:jc w:val="center"/>
      </w:pPr>
      <w:r>
        <w:t>Southbridge</w:t>
      </w:r>
      <w:r w:rsidRPr="00161EC6">
        <w:t xml:space="preserve">, </w:t>
      </w:r>
      <w:r>
        <w:t xml:space="preserve">Massachusetts </w:t>
      </w:r>
      <w:r w:rsidR="009E785F">
        <w:t xml:space="preserve"> </w:t>
      </w:r>
      <w:r>
        <w:t>01550</w:t>
      </w:r>
    </w:p>
    <w:p w14:paraId="3BE4AA27" w14:textId="77777777" w:rsidR="0099672C" w:rsidRPr="00161EC6" w:rsidRDefault="0099672C" w:rsidP="00E02903">
      <w:pPr>
        <w:tabs>
          <w:tab w:val="center" w:pos="4680"/>
        </w:tabs>
        <w:rPr>
          <w:color w:val="000000"/>
        </w:rPr>
      </w:pPr>
    </w:p>
    <w:p w14:paraId="4E6065EB" w14:textId="77777777" w:rsidR="0099672C" w:rsidRPr="00161EC6" w:rsidRDefault="0099672C" w:rsidP="00E02903">
      <w:pPr>
        <w:tabs>
          <w:tab w:val="center" w:pos="4680"/>
        </w:tabs>
        <w:rPr>
          <w:color w:val="000000"/>
        </w:rPr>
      </w:pPr>
    </w:p>
    <w:p w14:paraId="6332DAB6" w14:textId="77777777" w:rsidR="0099672C" w:rsidRDefault="0099672C" w:rsidP="00E02903">
      <w:pPr>
        <w:tabs>
          <w:tab w:val="center" w:pos="4680"/>
        </w:tabs>
        <w:rPr>
          <w:color w:val="000000"/>
        </w:rPr>
      </w:pPr>
    </w:p>
    <w:p w14:paraId="30FD5900" w14:textId="77777777" w:rsidR="00CD7003" w:rsidRDefault="00CD7003" w:rsidP="00E02903">
      <w:pPr>
        <w:tabs>
          <w:tab w:val="center" w:pos="4680"/>
        </w:tabs>
        <w:rPr>
          <w:color w:val="000000"/>
        </w:rPr>
      </w:pPr>
    </w:p>
    <w:p w14:paraId="024C2986" w14:textId="77777777" w:rsidR="00CD7003" w:rsidRDefault="00CD7003" w:rsidP="00E02903">
      <w:pPr>
        <w:tabs>
          <w:tab w:val="center" w:pos="4680"/>
        </w:tabs>
        <w:rPr>
          <w:color w:val="000000"/>
        </w:rPr>
      </w:pPr>
    </w:p>
    <w:p w14:paraId="3EE1A8F6" w14:textId="77777777" w:rsidR="00CD7003" w:rsidRDefault="00CD7003" w:rsidP="00E02903">
      <w:pPr>
        <w:tabs>
          <w:tab w:val="center" w:pos="4680"/>
        </w:tabs>
        <w:rPr>
          <w:color w:val="000000"/>
        </w:rPr>
      </w:pPr>
    </w:p>
    <w:p w14:paraId="721BB072" w14:textId="77777777" w:rsidR="00CD7003" w:rsidRPr="00161EC6" w:rsidRDefault="00CD7003" w:rsidP="00E02903">
      <w:pPr>
        <w:tabs>
          <w:tab w:val="center" w:pos="4680"/>
        </w:tabs>
        <w:rPr>
          <w:color w:val="000000"/>
        </w:rPr>
      </w:pPr>
    </w:p>
    <w:p w14:paraId="2B4CF668" w14:textId="77777777" w:rsidR="0099672C" w:rsidRPr="00161EC6" w:rsidRDefault="0099672C" w:rsidP="00E02903">
      <w:pPr>
        <w:rPr>
          <w:color w:val="000000"/>
        </w:rPr>
      </w:pPr>
    </w:p>
    <w:tbl>
      <w:tblPr>
        <w:tblW w:w="0" w:type="auto"/>
        <w:tblLayout w:type="fixed"/>
        <w:tblLook w:val="01E0" w:firstRow="1" w:lastRow="1" w:firstColumn="1" w:lastColumn="1" w:noHBand="0" w:noVBand="0"/>
      </w:tblPr>
      <w:tblGrid>
        <w:gridCol w:w="4552"/>
        <w:gridCol w:w="4553"/>
      </w:tblGrid>
      <w:tr w:rsidR="002546E7" w:rsidRPr="00214332" w14:paraId="46C82E86" w14:textId="77777777" w:rsidTr="00F94A72">
        <w:trPr>
          <w:cantSplit/>
        </w:trPr>
        <w:tc>
          <w:tcPr>
            <w:tcW w:w="4552" w:type="dxa"/>
            <w:shd w:val="clear" w:color="auto" w:fill="auto"/>
          </w:tcPr>
          <w:p w14:paraId="4295CA53"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Division of Banks</w:t>
            </w:r>
          </w:p>
        </w:tc>
        <w:tc>
          <w:tcPr>
            <w:tcW w:w="4553" w:type="dxa"/>
            <w:shd w:val="clear" w:color="auto" w:fill="auto"/>
          </w:tcPr>
          <w:p w14:paraId="077FA421"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Federal Deposit Insurance Corporation</w:t>
            </w:r>
          </w:p>
        </w:tc>
      </w:tr>
      <w:tr w:rsidR="002546E7" w:rsidRPr="00214332" w14:paraId="348A9552" w14:textId="77777777" w:rsidTr="00F94A72">
        <w:trPr>
          <w:cantSplit/>
        </w:trPr>
        <w:tc>
          <w:tcPr>
            <w:tcW w:w="4552" w:type="dxa"/>
            <w:shd w:val="clear" w:color="auto" w:fill="auto"/>
          </w:tcPr>
          <w:p w14:paraId="08ADAECA"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1000 Washington Street, 10</w:t>
            </w:r>
            <w:r w:rsidRPr="00043BA5">
              <w:rPr>
                <w:spacing w:val="-3"/>
                <w:vertAlign w:val="superscript"/>
              </w:rPr>
              <w:t>th</w:t>
            </w:r>
            <w:r w:rsidRPr="00043BA5">
              <w:rPr>
                <w:spacing w:val="-3"/>
              </w:rPr>
              <w:t xml:space="preserve"> Floor</w:t>
            </w:r>
          </w:p>
        </w:tc>
        <w:tc>
          <w:tcPr>
            <w:tcW w:w="4553" w:type="dxa"/>
            <w:shd w:val="clear" w:color="auto" w:fill="auto"/>
          </w:tcPr>
          <w:p w14:paraId="0A172246"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350 Fifth Avenue, Suite 1200</w:t>
            </w:r>
          </w:p>
        </w:tc>
      </w:tr>
      <w:tr w:rsidR="002546E7" w:rsidRPr="00214332" w14:paraId="410EBE51" w14:textId="77777777" w:rsidTr="00F94A72">
        <w:trPr>
          <w:cantSplit/>
        </w:trPr>
        <w:tc>
          <w:tcPr>
            <w:tcW w:w="4552" w:type="dxa"/>
            <w:shd w:val="clear" w:color="auto" w:fill="auto"/>
          </w:tcPr>
          <w:p w14:paraId="438F45FA"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 xml:space="preserve">Boston, Massachusetts </w:t>
            </w:r>
            <w:r w:rsidR="009E785F">
              <w:rPr>
                <w:spacing w:val="-3"/>
              </w:rPr>
              <w:t xml:space="preserve"> </w:t>
            </w:r>
            <w:r w:rsidRPr="00043BA5">
              <w:rPr>
                <w:spacing w:val="-3"/>
              </w:rPr>
              <w:t>02118</w:t>
            </w:r>
          </w:p>
        </w:tc>
        <w:tc>
          <w:tcPr>
            <w:tcW w:w="4553" w:type="dxa"/>
            <w:shd w:val="clear" w:color="auto" w:fill="auto"/>
          </w:tcPr>
          <w:p w14:paraId="6A7C63D4" w14:textId="77777777" w:rsidR="002546E7" w:rsidRPr="00043BA5" w:rsidRDefault="002546E7" w:rsidP="00F94A72">
            <w:pPr>
              <w:tabs>
                <w:tab w:val="left" w:pos="360"/>
                <w:tab w:val="left" w:pos="840"/>
                <w:tab w:val="left" w:pos="6720"/>
              </w:tabs>
              <w:suppressAutoHyphens/>
              <w:jc w:val="center"/>
              <w:rPr>
                <w:spacing w:val="-3"/>
              </w:rPr>
            </w:pPr>
            <w:r w:rsidRPr="00043BA5">
              <w:rPr>
                <w:spacing w:val="-3"/>
              </w:rPr>
              <w:t xml:space="preserve">New York, New York </w:t>
            </w:r>
            <w:r w:rsidR="009E785F">
              <w:rPr>
                <w:spacing w:val="-3"/>
              </w:rPr>
              <w:t xml:space="preserve"> </w:t>
            </w:r>
            <w:r w:rsidRPr="00043BA5">
              <w:rPr>
                <w:spacing w:val="-3"/>
              </w:rPr>
              <w:t>10118</w:t>
            </w:r>
          </w:p>
        </w:tc>
      </w:tr>
    </w:tbl>
    <w:p w14:paraId="6DA7FE64" w14:textId="77777777" w:rsidR="0099672C" w:rsidRPr="00161EC6" w:rsidRDefault="0099672C" w:rsidP="00775D41">
      <w:pPr>
        <w:tabs>
          <w:tab w:val="left" w:pos="-1440"/>
          <w:tab w:val="left" w:pos="3920"/>
        </w:tabs>
        <w:ind w:left="1440" w:hanging="1440"/>
        <w:jc w:val="both"/>
        <w:rPr>
          <w:color w:val="000000"/>
        </w:rPr>
      </w:pPr>
    </w:p>
    <w:p w14:paraId="60D741C8" w14:textId="77777777" w:rsidR="0099672C" w:rsidRPr="00161EC6" w:rsidRDefault="0099672C" w:rsidP="00E02903">
      <w:pPr>
        <w:tabs>
          <w:tab w:val="left" w:pos="-1440"/>
        </w:tabs>
        <w:ind w:left="1440" w:hanging="1440"/>
        <w:rPr>
          <w:color w:val="000000"/>
        </w:rPr>
      </w:pPr>
    </w:p>
    <w:p w14:paraId="3D036E72" w14:textId="77777777" w:rsidR="0099672C" w:rsidRPr="00161EC6" w:rsidRDefault="0099672C" w:rsidP="00E02903">
      <w:pPr>
        <w:tabs>
          <w:tab w:val="left" w:pos="-1440"/>
        </w:tabs>
        <w:ind w:left="1440" w:hanging="1440"/>
        <w:rPr>
          <w:color w:val="000000"/>
        </w:rPr>
      </w:pPr>
    </w:p>
    <w:p w14:paraId="47B0EE9E" w14:textId="77777777" w:rsidR="0099672C" w:rsidRPr="00161EC6" w:rsidRDefault="0099672C" w:rsidP="00E02903">
      <w:pPr>
        <w:tabs>
          <w:tab w:val="left" w:pos="-1440"/>
        </w:tabs>
        <w:ind w:left="1440" w:hanging="1440"/>
        <w:rPr>
          <w:color w:val="000000"/>
        </w:rPr>
      </w:pPr>
    </w:p>
    <w:p w14:paraId="69BF101E" w14:textId="77777777" w:rsidR="00B15592" w:rsidRDefault="0099672C" w:rsidP="00C67064">
      <w:pPr>
        <w:jc w:val="both"/>
        <w:rPr>
          <w:b/>
          <w:bCs/>
          <w:sz w:val="28"/>
          <w:szCs w:val="28"/>
        </w:rPr>
      </w:pPr>
      <w:r w:rsidRPr="00161EC6">
        <w:rPr>
          <w:color w:val="000000"/>
        </w:rPr>
        <w:t>This document is an evaluation of this institution’s record of meeting the credit needs of its entire community, including low- and moderate-income neighborhoods, consistent with safe and sound operation of the institution.</w:t>
      </w:r>
      <w:r w:rsidRPr="00161EC6">
        <w:rPr>
          <w:i/>
          <w:iCs/>
          <w:color w:val="000000"/>
        </w:rPr>
        <w:t xml:space="preserve">  </w:t>
      </w:r>
      <w:r w:rsidRPr="00161EC6">
        <w:rPr>
          <w:color w:val="000000"/>
        </w:rPr>
        <w:t xml:space="preserve">This evaluation is not, nor should it be construed as, an assessment of the financial condition of this institution.  </w:t>
      </w:r>
      <w:r w:rsidR="00E27C93" w:rsidRPr="00161EC6">
        <w:rPr>
          <w:color w:val="000000"/>
        </w:rPr>
        <w:t xml:space="preserve">The rating assigned to this institution does not represent an analysis, conclusion, or opinion of the </w:t>
      </w:r>
      <w:r w:rsidR="00E27C93">
        <w:rPr>
          <w:color w:val="000000"/>
        </w:rPr>
        <w:t xml:space="preserve">Division of Banks or the Federal Deposit Insurance Corporation </w:t>
      </w:r>
      <w:r w:rsidR="00E27C93" w:rsidRPr="00161EC6">
        <w:rPr>
          <w:color w:val="000000"/>
        </w:rPr>
        <w:t>concerning the safety and soundness of this financial institution.</w:t>
      </w:r>
      <w:r w:rsidR="00B15592">
        <w:rPr>
          <w:b/>
          <w:bCs/>
          <w:sz w:val="28"/>
          <w:szCs w:val="28"/>
        </w:rPr>
        <w:br w:type="page"/>
      </w:r>
    </w:p>
    <w:sdt>
      <w:sdtPr>
        <w:rPr>
          <w:rFonts w:ascii="Times New Roman" w:eastAsia="Times New Roman" w:hAnsi="Times New Roman" w:cs="Times New Roman"/>
          <w:b w:val="0"/>
          <w:bCs w:val="0"/>
          <w:color w:val="auto"/>
          <w:sz w:val="24"/>
          <w:szCs w:val="24"/>
          <w:lang w:eastAsia="en-US"/>
        </w:rPr>
        <w:id w:val="-570421728"/>
        <w:docPartObj>
          <w:docPartGallery w:val="Table of Contents"/>
          <w:docPartUnique/>
        </w:docPartObj>
      </w:sdtPr>
      <w:sdtEndPr>
        <w:rPr>
          <w:noProof/>
        </w:rPr>
      </w:sdtEndPr>
      <w:sdtContent>
        <w:p w14:paraId="61DA3E3D" w14:textId="77777777" w:rsidR="00301A2E" w:rsidRPr="005A741D" w:rsidRDefault="00301A2E">
          <w:pPr>
            <w:pStyle w:val="TOCHeading"/>
            <w:rPr>
              <w:rFonts w:ascii="Times New Roman" w:eastAsia="Times New Roman" w:hAnsi="Times New Roman" w:cs="Times New Roman"/>
              <w:color w:val="auto"/>
              <w:spacing w:val="-3"/>
              <w:szCs w:val="20"/>
              <w:lang w:eastAsia="en-US"/>
            </w:rPr>
          </w:pPr>
          <w:r w:rsidRPr="005A741D">
            <w:rPr>
              <w:rFonts w:ascii="Times New Roman" w:eastAsia="Times New Roman" w:hAnsi="Times New Roman" w:cs="Times New Roman"/>
              <w:color w:val="auto"/>
              <w:spacing w:val="-3"/>
              <w:szCs w:val="20"/>
              <w:lang w:eastAsia="en-US"/>
            </w:rPr>
            <w:t>Table of Contents</w:t>
          </w:r>
        </w:p>
        <w:p w14:paraId="0C92A738" w14:textId="77777777" w:rsidR="009D660E" w:rsidRPr="009D660E" w:rsidRDefault="009D660E" w:rsidP="009D660E">
          <w:pPr>
            <w:rPr>
              <w:lang w:eastAsia="ja-JP"/>
            </w:rPr>
          </w:pPr>
        </w:p>
        <w:p w14:paraId="7125C8E3" w14:textId="44EE85DD" w:rsidR="00301A2E" w:rsidRDefault="00301A2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684847" w:history="1">
            <w:r w:rsidRPr="00A2118E">
              <w:rPr>
                <w:rStyle w:val="Hyperlink"/>
                <w:noProof/>
              </w:rPr>
              <w:t>INSTITUTION RATING</w:t>
            </w:r>
            <w:r>
              <w:rPr>
                <w:noProof/>
                <w:webHidden/>
              </w:rPr>
              <w:tab/>
            </w:r>
            <w:r>
              <w:rPr>
                <w:noProof/>
                <w:webHidden/>
              </w:rPr>
              <w:fldChar w:fldCharType="begin"/>
            </w:r>
            <w:r>
              <w:rPr>
                <w:noProof/>
                <w:webHidden/>
              </w:rPr>
              <w:instrText xml:space="preserve"> PAGEREF _Toc63684847 \h </w:instrText>
            </w:r>
            <w:r>
              <w:rPr>
                <w:noProof/>
                <w:webHidden/>
              </w:rPr>
            </w:r>
            <w:r>
              <w:rPr>
                <w:noProof/>
                <w:webHidden/>
              </w:rPr>
              <w:fldChar w:fldCharType="separate"/>
            </w:r>
            <w:r w:rsidR="00A16AAF">
              <w:rPr>
                <w:noProof/>
                <w:webHidden/>
              </w:rPr>
              <w:t>1</w:t>
            </w:r>
            <w:r>
              <w:rPr>
                <w:noProof/>
                <w:webHidden/>
              </w:rPr>
              <w:fldChar w:fldCharType="end"/>
            </w:r>
          </w:hyperlink>
        </w:p>
        <w:p w14:paraId="5198997C" w14:textId="50D63341" w:rsidR="00301A2E" w:rsidRDefault="00A16AAF">
          <w:pPr>
            <w:pStyle w:val="TOC1"/>
            <w:tabs>
              <w:tab w:val="right" w:leader="dot" w:pos="9350"/>
            </w:tabs>
            <w:rPr>
              <w:rStyle w:val="Hyperlink"/>
              <w:noProof/>
            </w:rPr>
          </w:pPr>
          <w:hyperlink w:anchor="_Toc63684849" w:history="1">
            <w:r w:rsidR="00301A2E" w:rsidRPr="00A2118E">
              <w:rPr>
                <w:rStyle w:val="Hyperlink"/>
                <w:noProof/>
              </w:rPr>
              <w:t>DESCRIPTION OF INSTITUTION</w:t>
            </w:r>
            <w:r w:rsidR="00301A2E">
              <w:rPr>
                <w:noProof/>
                <w:webHidden/>
              </w:rPr>
              <w:tab/>
            </w:r>
            <w:r w:rsidR="00301A2E">
              <w:rPr>
                <w:noProof/>
                <w:webHidden/>
              </w:rPr>
              <w:fldChar w:fldCharType="begin"/>
            </w:r>
            <w:r w:rsidR="00301A2E">
              <w:rPr>
                <w:noProof/>
                <w:webHidden/>
              </w:rPr>
              <w:instrText xml:space="preserve"> PAGEREF _Toc63684849 \h </w:instrText>
            </w:r>
            <w:r w:rsidR="00301A2E">
              <w:rPr>
                <w:noProof/>
                <w:webHidden/>
              </w:rPr>
            </w:r>
            <w:r w:rsidR="00301A2E">
              <w:rPr>
                <w:noProof/>
                <w:webHidden/>
              </w:rPr>
              <w:fldChar w:fldCharType="separate"/>
            </w:r>
            <w:r>
              <w:rPr>
                <w:noProof/>
                <w:webHidden/>
              </w:rPr>
              <w:t>2</w:t>
            </w:r>
            <w:r w:rsidR="00301A2E">
              <w:rPr>
                <w:noProof/>
                <w:webHidden/>
              </w:rPr>
              <w:fldChar w:fldCharType="end"/>
            </w:r>
          </w:hyperlink>
        </w:p>
        <w:p w14:paraId="66450EF9" w14:textId="77777777" w:rsidR="00301A2E" w:rsidRPr="00301A2E" w:rsidRDefault="00301A2E" w:rsidP="00301A2E">
          <w:pPr>
            <w:spacing w:after="100"/>
            <w:rPr>
              <w:rFonts w:eastAsiaTheme="minorEastAsia"/>
              <w:noProof/>
            </w:rPr>
          </w:pPr>
          <w:r>
            <w:rPr>
              <w:rFonts w:eastAsiaTheme="minorEastAsia"/>
              <w:noProof/>
            </w:rPr>
            <w:t>DESCRIPTION OF ASSESSMENT AREA……………………………………………………...3</w:t>
          </w:r>
        </w:p>
        <w:p w14:paraId="025C5A00" w14:textId="77BFC0B8" w:rsidR="00301A2E" w:rsidRDefault="00A16AAF" w:rsidP="00301A2E">
          <w:pPr>
            <w:pStyle w:val="TOC1"/>
            <w:tabs>
              <w:tab w:val="right" w:leader="dot" w:pos="9350"/>
            </w:tabs>
            <w:rPr>
              <w:rFonts w:asciiTheme="minorHAnsi" w:eastAsiaTheme="minorEastAsia" w:hAnsiTheme="minorHAnsi" w:cstheme="minorBidi"/>
              <w:noProof/>
              <w:sz w:val="22"/>
              <w:szCs w:val="22"/>
            </w:rPr>
          </w:pPr>
          <w:hyperlink w:anchor="_Toc63684850" w:history="1">
            <w:r w:rsidR="00301A2E" w:rsidRPr="00A2118E">
              <w:rPr>
                <w:rStyle w:val="Hyperlink"/>
                <w:noProof/>
              </w:rPr>
              <w:t>SCOPE OF EVALUATION</w:t>
            </w:r>
            <w:r w:rsidR="00301A2E">
              <w:rPr>
                <w:noProof/>
                <w:webHidden/>
              </w:rPr>
              <w:tab/>
            </w:r>
            <w:r w:rsidR="00301A2E">
              <w:rPr>
                <w:noProof/>
                <w:webHidden/>
              </w:rPr>
              <w:fldChar w:fldCharType="begin"/>
            </w:r>
            <w:r w:rsidR="00301A2E">
              <w:rPr>
                <w:noProof/>
                <w:webHidden/>
              </w:rPr>
              <w:instrText xml:space="preserve"> PAGEREF _Toc63684850 \h </w:instrText>
            </w:r>
            <w:r w:rsidR="00301A2E">
              <w:rPr>
                <w:noProof/>
                <w:webHidden/>
              </w:rPr>
            </w:r>
            <w:r w:rsidR="00301A2E">
              <w:rPr>
                <w:noProof/>
                <w:webHidden/>
              </w:rPr>
              <w:fldChar w:fldCharType="separate"/>
            </w:r>
            <w:r>
              <w:rPr>
                <w:noProof/>
                <w:webHidden/>
              </w:rPr>
              <w:t>5</w:t>
            </w:r>
            <w:r w:rsidR="00301A2E">
              <w:rPr>
                <w:noProof/>
                <w:webHidden/>
              </w:rPr>
              <w:fldChar w:fldCharType="end"/>
            </w:r>
          </w:hyperlink>
          <w:r w:rsidR="00301A2E">
            <w:rPr>
              <w:rFonts w:asciiTheme="minorHAnsi" w:eastAsiaTheme="minorEastAsia" w:hAnsiTheme="minorHAnsi" w:cstheme="minorBidi"/>
              <w:noProof/>
              <w:sz w:val="22"/>
              <w:szCs w:val="22"/>
            </w:rPr>
            <w:t xml:space="preserve"> </w:t>
          </w:r>
        </w:p>
        <w:p w14:paraId="2BF568ED" w14:textId="55C63B47" w:rsidR="00301A2E" w:rsidRDefault="00A16AAF">
          <w:pPr>
            <w:pStyle w:val="TOC1"/>
            <w:tabs>
              <w:tab w:val="right" w:leader="dot" w:pos="9350"/>
            </w:tabs>
            <w:rPr>
              <w:rFonts w:asciiTheme="minorHAnsi" w:eastAsiaTheme="minorEastAsia" w:hAnsiTheme="minorHAnsi" w:cstheme="minorBidi"/>
              <w:noProof/>
              <w:sz w:val="22"/>
              <w:szCs w:val="22"/>
            </w:rPr>
          </w:pPr>
          <w:hyperlink w:anchor="_Toc63684852" w:history="1">
            <w:r w:rsidR="00301A2E" w:rsidRPr="00A2118E">
              <w:rPr>
                <w:rStyle w:val="Hyperlink"/>
                <w:noProof/>
              </w:rPr>
              <w:t>CONCLUSIONS ON PERFORMANCE CRITERIA</w:t>
            </w:r>
            <w:r w:rsidR="00301A2E">
              <w:rPr>
                <w:noProof/>
                <w:webHidden/>
              </w:rPr>
              <w:tab/>
            </w:r>
            <w:r w:rsidR="00301A2E">
              <w:rPr>
                <w:noProof/>
                <w:webHidden/>
              </w:rPr>
              <w:fldChar w:fldCharType="begin"/>
            </w:r>
            <w:r w:rsidR="00301A2E">
              <w:rPr>
                <w:noProof/>
                <w:webHidden/>
              </w:rPr>
              <w:instrText xml:space="preserve"> PAGEREF _Toc63684852 \h </w:instrText>
            </w:r>
            <w:r w:rsidR="00301A2E">
              <w:rPr>
                <w:noProof/>
                <w:webHidden/>
              </w:rPr>
            </w:r>
            <w:r w:rsidR="00301A2E">
              <w:rPr>
                <w:noProof/>
                <w:webHidden/>
              </w:rPr>
              <w:fldChar w:fldCharType="separate"/>
            </w:r>
            <w:r>
              <w:rPr>
                <w:noProof/>
                <w:webHidden/>
              </w:rPr>
              <w:t>6</w:t>
            </w:r>
            <w:r w:rsidR="00301A2E">
              <w:rPr>
                <w:noProof/>
                <w:webHidden/>
              </w:rPr>
              <w:fldChar w:fldCharType="end"/>
            </w:r>
          </w:hyperlink>
        </w:p>
        <w:p w14:paraId="00C7050D" w14:textId="26777423" w:rsidR="00301A2E" w:rsidRDefault="00A16AAF">
          <w:pPr>
            <w:pStyle w:val="TOC1"/>
            <w:tabs>
              <w:tab w:val="right" w:leader="dot" w:pos="9350"/>
            </w:tabs>
            <w:rPr>
              <w:rStyle w:val="Hyperlink"/>
              <w:noProof/>
            </w:rPr>
          </w:pPr>
          <w:hyperlink w:anchor="_Toc63684853" w:history="1">
            <w:r w:rsidR="00301A2E" w:rsidRPr="00A2118E">
              <w:rPr>
                <w:rStyle w:val="Hyperlink"/>
                <w:noProof/>
              </w:rPr>
              <w:t>DISCRIMINATORY OR OTHER ILLEGAL CREDIT PRACTICES REVIEW</w:t>
            </w:r>
            <w:r w:rsidR="00301A2E">
              <w:rPr>
                <w:noProof/>
                <w:webHidden/>
              </w:rPr>
              <w:tab/>
            </w:r>
            <w:r w:rsidR="00301A2E">
              <w:rPr>
                <w:noProof/>
                <w:webHidden/>
              </w:rPr>
              <w:fldChar w:fldCharType="begin"/>
            </w:r>
            <w:r w:rsidR="00301A2E">
              <w:rPr>
                <w:noProof/>
                <w:webHidden/>
              </w:rPr>
              <w:instrText xml:space="preserve"> PAGEREF _Toc63684853 \h </w:instrText>
            </w:r>
            <w:r w:rsidR="00301A2E">
              <w:rPr>
                <w:noProof/>
                <w:webHidden/>
              </w:rPr>
            </w:r>
            <w:r w:rsidR="00301A2E">
              <w:rPr>
                <w:noProof/>
                <w:webHidden/>
              </w:rPr>
              <w:fldChar w:fldCharType="separate"/>
            </w:r>
            <w:r>
              <w:rPr>
                <w:noProof/>
                <w:webHidden/>
              </w:rPr>
              <w:t>14</w:t>
            </w:r>
            <w:r w:rsidR="00301A2E">
              <w:rPr>
                <w:noProof/>
                <w:webHidden/>
              </w:rPr>
              <w:fldChar w:fldCharType="end"/>
            </w:r>
          </w:hyperlink>
        </w:p>
        <w:p w14:paraId="6E1969A2" w14:textId="7C67EF24" w:rsidR="006B5EFE" w:rsidRPr="006B5EFE" w:rsidRDefault="006B5EFE" w:rsidP="006B5EFE">
          <w:pPr>
            <w:spacing w:after="100"/>
            <w:rPr>
              <w:rFonts w:eastAsiaTheme="minorEastAsia"/>
              <w:noProof/>
            </w:rPr>
          </w:pPr>
          <w:r>
            <w:rPr>
              <w:rFonts w:eastAsiaTheme="minorEastAsia"/>
              <w:noProof/>
            </w:rPr>
            <w:t xml:space="preserve">DIVISION OF BANKS - </w:t>
          </w:r>
          <w:r w:rsidR="009019B1">
            <w:rPr>
              <w:rFonts w:eastAsiaTheme="minorEastAsia"/>
              <w:noProof/>
            </w:rPr>
            <w:t>FAIR LENDING PROCEDURES….</w:t>
          </w:r>
          <w:r>
            <w:rPr>
              <w:rFonts w:eastAsiaTheme="minorEastAsia"/>
              <w:noProof/>
            </w:rPr>
            <w:t>………………………………..</w:t>
          </w:r>
          <w:r w:rsidR="00165B20">
            <w:rPr>
              <w:rFonts w:eastAsiaTheme="minorEastAsia"/>
              <w:noProof/>
            </w:rPr>
            <w:t>1</w:t>
          </w:r>
          <w:r w:rsidR="005A741D">
            <w:rPr>
              <w:rFonts w:eastAsiaTheme="minorEastAsia"/>
              <w:noProof/>
            </w:rPr>
            <w:t>4</w:t>
          </w:r>
        </w:p>
        <w:p w14:paraId="5FF6689B" w14:textId="0EC75B60" w:rsidR="00301A2E" w:rsidRDefault="00A16AAF" w:rsidP="006B5EFE">
          <w:pPr>
            <w:pStyle w:val="TOC1"/>
            <w:tabs>
              <w:tab w:val="right" w:leader="dot" w:pos="9350"/>
            </w:tabs>
            <w:rPr>
              <w:rFonts w:asciiTheme="minorHAnsi" w:eastAsiaTheme="minorEastAsia" w:hAnsiTheme="minorHAnsi" w:cstheme="minorBidi"/>
              <w:noProof/>
              <w:sz w:val="22"/>
              <w:szCs w:val="22"/>
            </w:rPr>
          </w:pPr>
          <w:hyperlink w:anchor="_Toc63684854" w:history="1">
            <w:r w:rsidR="00301A2E" w:rsidRPr="00A2118E">
              <w:rPr>
                <w:rStyle w:val="Hyperlink"/>
                <w:noProof/>
              </w:rPr>
              <w:t>APPENDICES</w:t>
            </w:r>
            <w:r w:rsidR="00301A2E">
              <w:rPr>
                <w:noProof/>
                <w:webHidden/>
              </w:rPr>
              <w:tab/>
            </w:r>
            <w:r w:rsidR="00301A2E">
              <w:rPr>
                <w:noProof/>
                <w:webHidden/>
              </w:rPr>
              <w:fldChar w:fldCharType="begin"/>
            </w:r>
            <w:r w:rsidR="00301A2E">
              <w:rPr>
                <w:noProof/>
                <w:webHidden/>
              </w:rPr>
              <w:instrText xml:space="preserve"> PAGEREF _Toc63684854 \h </w:instrText>
            </w:r>
            <w:r w:rsidR="00301A2E">
              <w:rPr>
                <w:noProof/>
                <w:webHidden/>
              </w:rPr>
            </w:r>
            <w:r w:rsidR="00301A2E">
              <w:rPr>
                <w:noProof/>
                <w:webHidden/>
              </w:rPr>
              <w:fldChar w:fldCharType="separate"/>
            </w:r>
            <w:r>
              <w:rPr>
                <w:noProof/>
                <w:webHidden/>
              </w:rPr>
              <w:t>17</w:t>
            </w:r>
            <w:r w:rsidR="00301A2E">
              <w:rPr>
                <w:noProof/>
                <w:webHidden/>
              </w:rPr>
              <w:fldChar w:fldCharType="end"/>
            </w:r>
          </w:hyperlink>
          <w:bookmarkStart w:id="0" w:name="_GoBack"/>
          <w:bookmarkEnd w:id="0"/>
        </w:p>
        <w:p w14:paraId="0B17F853" w14:textId="28F8C7B4" w:rsidR="00301A2E" w:rsidRDefault="00A16AAF">
          <w:pPr>
            <w:pStyle w:val="TOC2"/>
            <w:tabs>
              <w:tab w:val="right" w:leader="dot" w:pos="9350"/>
            </w:tabs>
            <w:rPr>
              <w:rFonts w:asciiTheme="minorHAnsi" w:eastAsiaTheme="minorEastAsia" w:hAnsiTheme="minorHAnsi" w:cstheme="minorBidi"/>
              <w:noProof/>
              <w:sz w:val="22"/>
              <w:szCs w:val="22"/>
            </w:rPr>
          </w:pPr>
          <w:hyperlink w:anchor="_Toc63684855" w:history="1">
            <w:r w:rsidR="00301A2E" w:rsidRPr="00A2118E">
              <w:rPr>
                <w:rStyle w:val="Hyperlink"/>
                <w:noProof/>
              </w:rPr>
              <w:t>INTERMEDIATE SMALL BANK PERFORMANCE CRITERIA</w:t>
            </w:r>
            <w:r w:rsidR="00301A2E">
              <w:rPr>
                <w:noProof/>
                <w:webHidden/>
              </w:rPr>
              <w:tab/>
            </w:r>
            <w:r w:rsidR="00301A2E">
              <w:rPr>
                <w:noProof/>
                <w:webHidden/>
              </w:rPr>
              <w:fldChar w:fldCharType="begin"/>
            </w:r>
            <w:r w:rsidR="00301A2E">
              <w:rPr>
                <w:noProof/>
                <w:webHidden/>
              </w:rPr>
              <w:instrText xml:space="preserve"> PAGEREF _Toc63684855 \h </w:instrText>
            </w:r>
            <w:r w:rsidR="00301A2E">
              <w:rPr>
                <w:noProof/>
                <w:webHidden/>
              </w:rPr>
            </w:r>
            <w:r w:rsidR="00301A2E">
              <w:rPr>
                <w:noProof/>
                <w:webHidden/>
              </w:rPr>
              <w:fldChar w:fldCharType="separate"/>
            </w:r>
            <w:r>
              <w:rPr>
                <w:noProof/>
                <w:webHidden/>
              </w:rPr>
              <w:t>17</w:t>
            </w:r>
            <w:r w:rsidR="00301A2E">
              <w:rPr>
                <w:noProof/>
                <w:webHidden/>
              </w:rPr>
              <w:fldChar w:fldCharType="end"/>
            </w:r>
          </w:hyperlink>
        </w:p>
        <w:p w14:paraId="319E3EDA" w14:textId="2D449B77" w:rsidR="00301A2E" w:rsidRDefault="00A16AAF">
          <w:pPr>
            <w:pStyle w:val="TOC2"/>
            <w:tabs>
              <w:tab w:val="right" w:leader="dot" w:pos="9350"/>
            </w:tabs>
            <w:rPr>
              <w:rFonts w:asciiTheme="minorHAnsi" w:eastAsiaTheme="minorEastAsia" w:hAnsiTheme="minorHAnsi" w:cstheme="minorBidi"/>
              <w:noProof/>
              <w:sz w:val="22"/>
              <w:szCs w:val="22"/>
            </w:rPr>
          </w:pPr>
          <w:hyperlink w:anchor="_Toc63684856" w:history="1">
            <w:r w:rsidR="00301A2E" w:rsidRPr="00A2118E">
              <w:rPr>
                <w:rStyle w:val="Hyperlink"/>
                <w:noProof/>
              </w:rPr>
              <w:t>GLOSSARY</w:t>
            </w:r>
            <w:r w:rsidR="00301A2E">
              <w:rPr>
                <w:noProof/>
                <w:webHidden/>
              </w:rPr>
              <w:tab/>
            </w:r>
            <w:r w:rsidR="00301A2E">
              <w:rPr>
                <w:noProof/>
                <w:webHidden/>
              </w:rPr>
              <w:fldChar w:fldCharType="begin"/>
            </w:r>
            <w:r w:rsidR="00301A2E">
              <w:rPr>
                <w:noProof/>
                <w:webHidden/>
              </w:rPr>
              <w:instrText xml:space="preserve"> PAGEREF _Toc63684856 \h </w:instrText>
            </w:r>
            <w:r w:rsidR="00301A2E">
              <w:rPr>
                <w:noProof/>
                <w:webHidden/>
              </w:rPr>
            </w:r>
            <w:r w:rsidR="00301A2E">
              <w:rPr>
                <w:noProof/>
                <w:webHidden/>
              </w:rPr>
              <w:fldChar w:fldCharType="separate"/>
            </w:r>
            <w:r>
              <w:rPr>
                <w:noProof/>
                <w:webHidden/>
              </w:rPr>
              <w:t>18</w:t>
            </w:r>
            <w:r w:rsidR="00301A2E">
              <w:rPr>
                <w:noProof/>
                <w:webHidden/>
              </w:rPr>
              <w:fldChar w:fldCharType="end"/>
            </w:r>
          </w:hyperlink>
        </w:p>
        <w:p w14:paraId="1EDDFB9A" w14:textId="77777777" w:rsidR="00301A2E" w:rsidRDefault="00301A2E">
          <w:r>
            <w:rPr>
              <w:b/>
              <w:bCs/>
              <w:noProof/>
            </w:rPr>
            <w:fldChar w:fldCharType="end"/>
          </w:r>
        </w:p>
      </w:sdtContent>
    </w:sdt>
    <w:p w14:paraId="450A0495" w14:textId="77777777" w:rsidR="0099672C" w:rsidRPr="00161EC6" w:rsidRDefault="0099672C">
      <w:pPr>
        <w:sectPr w:rsidR="0099672C" w:rsidRPr="00161E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C5EA677" w14:textId="77777777" w:rsidR="0099672C" w:rsidRPr="00161EC6" w:rsidRDefault="0099672C" w:rsidP="000927D4">
      <w:pPr>
        <w:pStyle w:val="Heading1"/>
      </w:pPr>
      <w:bookmarkStart w:id="1" w:name="_Toc63684847"/>
      <w:r w:rsidRPr="00161EC6">
        <w:lastRenderedPageBreak/>
        <w:t>INSTITUTION RATING</w:t>
      </w:r>
      <w:bookmarkEnd w:id="1"/>
    </w:p>
    <w:p w14:paraId="4624F102" w14:textId="77777777" w:rsidR="0099672C" w:rsidRPr="00FB7E5F" w:rsidRDefault="0099672C" w:rsidP="00820FE2">
      <w:pPr>
        <w:rPr>
          <w:iCs/>
        </w:rPr>
      </w:pPr>
    </w:p>
    <w:p w14:paraId="123EA209" w14:textId="77777777" w:rsidR="00EE690A" w:rsidRPr="000812A1" w:rsidRDefault="0099672C" w:rsidP="00EE690A">
      <w:r w:rsidRPr="000812A1">
        <w:rPr>
          <w:b/>
          <w:bCs/>
        </w:rPr>
        <w:t xml:space="preserve">INSTITUTION’S CRA RATING:  </w:t>
      </w:r>
      <w:r w:rsidR="00EE690A" w:rsidRPr="000812A1">
        <w:t>This institution is rated</w:t>
      </w:r>
      <w:r w:rsidR="00EE690A" w:rsidRPr="000812A1">
        <w:rPr>
          <w:b/>
          <w:bCs/>
        </w:rPr>
        <w:t xml:space="preserve"> </w:t>
      </w:r>
      <w:r w:rsidR="00EE690A" w:rsidRPr="000812A1">
        <w:rPr>
          <w:b/>
          <w:bCs/>
          <w:u w:val="single"/>
        </w:rPr>
        <w:t>Satisfactory</w:t>
      </w:r>
      <w:r w:rsidR="00EE690A" w:rsidRPr="000812A1">
        <w:rPr>
          <w:b/>
          <w:bCs/>
        </w:rPr>
        <w:t xml:space="preserve"> </w:t>
      </w:r>
      <w:r w:rsidR="00EE690A" w:rsidRPr="000812A1">
        <w:rPr>
          <w:bCs/>
        </w:rPr>
        <w:t xml:space="preserve">by the </w:t>
      </w:r>
      <w:r w:rsidR="00190AAD">
        <w:rPr>
          <w:bCs/>
        </w:rPr>
        <w:t xml:space="preserve">FDIC and the </w:t>
      </w:r>
      <w:r w:rsidR="00EE690A" w:rsidRPr="000812A1">
        <w:rPr>
          <w:bCs/>
        </w:rPr>
        <w:t>Commonwealth of Mass</w:t>
      </w:r>
      <w:r w:rsidR="00355034">
        <w:rPr>
          <w:bCs/>
        </w:rPr>
        <w:t xml:space="preserve">achusetts Division of Banks </w:t>
      </w:r>
      <w:r w:rsidR="00C833BF">
        <w:rPr>
          <w:bCs/>
        </w:rPr>
        <w:t>(Division)</w:t>
      </w:r>
      <w:r w:rsidR="00EE690A" w:rsidRPr="000812A1">
        <w:rPr>
          <w:bCs/>
        </w:rPr>
        <w:t xml:space="preserve">.  </w:t>
      </w:r>
      <w:r w:rsidR="00EE690A" w:rsidRPr="000812A1">
        <w:t xml:space="preserve">An institution in this group has a satisfactory record of helping to meet the credit needs of its assessment areas, including low- and moderate-income neighborhoods, in a manner consistent with its resources and capabilities.  </w:t>
      </w:r>
    </w:p>
    <w:p w14:paraId="07DAF19D" w14:textId="77777777" w:rsidR="00EE690A" w:rsidRPr="000812A1" w:rsidRDefault="00EE690A" w:rsidP="00EE690A"/>
    <w:p w14:paraId="7573CC4E" w14:textId="77777777" w:rsidR="00EE690A" w:rsidRPr="000812A1" w:rsidRDefault="00EE690A" w:rsidP="00EE690A">
      <w:pPr>
        <w:rPr>
          <w:snapToGrid w:val="0"/>
        </w:rPr>
      </w:pPr>
      <w:r w:rsidRPr="000812A1">
        <w:t xml:space="preserve">The following points summarize </w:t>
      </w:r>
      <w:r w:rsidR="008D5150">
        <w:t xml:space="preserve">the bank’s </w:t>
      </w:r>
      <w:r w:rsidRPr="000812A1">
        <w:t>Lending Test and Community Development Test performance.</w:t>
      </w:r>
    </w:p>
    <w:p w14:paraId="7671B5FB" w14:textId="77777777" w:rsidR="00C67064" w:rsidRPr="000812A1" w:rsidRDefault="00C67064" w:rsidP="00EE690A">
      <w:pPr>
        <w:rPr>
          <w:snapToGrid w:val="0"/>
        </w:rPr>
      </w:pPr>
    </w:p>
    <w:p w14:paraId="035F62E3" w14:textId="77777777" w:rsidR="00EE690A" w:rsidRPr="000812A1" w:rsidRDefault="00EE690A" w:rsidP="00EE690A">
      <w:pPr>
        <w:rPr>
          <w:b/>
          <w:bCs/>
        </w:rPr>
      </w:pPr>
      <w:r w:rsidRPr="000812A1">
        <w:rPr>
          <w:b/>
          <w:bCs/>
        </w:rPr>
        <w:t xml:space="preserve">The Lending Test is rated </w:t>
      </w:r>
      <w:r w:rsidRPr="000812A1">
        <w:rPr>
          <w:b/>
          <w:bCs/>
          <w:u w:val="single"/>
        </w:rPr>
        <w:t>Satisfactory</w:t>
      </w:r>
      <w:r w:rsidRPr="000812A1">
        <w:rPr>
          <w:b/>
          <w:bCs/>
        </w:rPr>
        <w:t xml:space="preserve"> by the </w:t>
      </w:r>
      <w:r w:rsidR="00190AAD">
        <w:rPr>
          <w:b/>
          <w:bCs/>
        </w:rPr>
        <w:t xml:space="preserve">FDIC and </w:t>
      </w:r>
      <w:r w:rsidR="002E57A6">
        <w:rPr>
          <w:b/>
          <w:bCs/>
        </w:rPr>
        <w:t xml:space="preserve">the </w:t>
      </w:r>
      <w:r w:rsidR="00190AAD">
        <w:rPr>
          <w:b/>
          <w:bCs/>
        </w:rPr>
        <w:t>Division</w:t>
      </w:r>
      <w:r w:rsidRPr="000812A1">
        <w:rPr>
          <w:b/>
          <w:bCs/>
        </w:rPr>
        <w:t xml:space="preserve">. </w:t>
      </w:r>
    </w:p>
    <w:p w14:paraId="7D6145F3" w14:textId="77777777" w:rsidR="00EE690A" w:rsidRPr="000812A1" w:rsidRDefault="00EE690A" w:rsidP="00EE690A">
      <w:pPr>
        <w:rPr>
          <w:b/>
          <w:bCs/>
        </w:rPr>
      </w:pPr>
    </w:p>
    <w:p w14:paraId="17C570EB" w14:textId="77777777" w:rsidR="00EE690A" w:rsidRPr="000812A1" w:rsidRDefault="00EE690A" w:rsidP="00D645D2">
      <w:pPr>
        <w:numPr>
          <w:ilvl w:val="0"/>
          <w:numId w:val="3"/>
        </w:numPr>
        <w:autoSpaceDE w:val="0"/>
        <w:autoSpaceDN w:val="0"/>
        <w:adjustRightInd w:val="0"/>
        <w:rPr>
          <w:color w:val="000000"/>
        </w:rPr>
      </w:pPr>
      <w:r w:rsidRPr="000812A1">
        <w:rPr>
          <w:color w:val="000000"/>
        </w:rPr>
        <w:t xml:space="preserve">The loan-to-deposit (LTD) </w:t>
      </w:r>
      <w:r w:rsidR="000812A1" w:rsidRPr="000812A1">
        <w:rPr>
          <w:color w:val="000000"/>
        </w:rPr>
        <w:t xml:space="preserve">ratio </w:t>
      </w:r>
      <w:r w:rsidRPr="000812A1">
        <w:rPr>
          <w:color w:val="000000"/>
        </w:rPr>
        <w:t>is more than reasonable given the institution’s size, financial condition, a</w:t>
      </w:r>
      <w:r w:rsidR="00190AAD">
        <w:rPr>
          <w:color w:val="000000"/>
        </w:rPr>
        <w:t>nd assessment area credit needs</w:t>
      </w:r>
      <w:r w:rsidR="002E57A6">
        <w:rPr>
          <w:color w:val="000000"/>
        </w:rPr>
        <w:t>.</w:t>
      </w:r>
      <w:r w:rsidRPr="000812A1">
        <w:rPr>
          <w:color w:val="000000"/>
        </w:rPr>
        <w:t xml:space="preserve"> </w:t>
      </w:r>
    </w:p>
    <w:p w14:paraId="0C89A1BE" w14:textId="77777777" w:rsidR="00EE690A" w:rsidRPr="000812A1" w:rsidRDefault="00EE690A" w:rsidP="00EE690A">
      <w:pPr>
        <w:autoSpaceDE w:val="0"/>
        <w:autoSpaceDN w:val="0"/>
        <w:adjustRightInd w:val="0"/>
        <w:rPr>
          <w:color w:val="000000"/>
        </w:rPr>
      </w:pPr>
    </w:p>
    <w:p w14:paraId="170EBC9C" w14:textId="77777777" w:rsidR="00EE690A" w:rsidRPr="000812A1" w:rsidRDefault="00EE690A" w:rsidP="00D645D2">
      <w:pPr>
        <w:numPr>
          <w:ilvl w:val="0"/>
          <w:numId w:val="3"/>
        </w:numPr>
        <w:autoSpaceDE w:val="0"/>
        <w:autoSpaceDN w:val="0"/>
        <w:adjustRightInd w:val="0"/>
        <w:rPr>
          <w:color w:val="000000"/>
        </w:rPr>
      </w:pPr>
      <w:r w:rsidRPr="000812A1">
        <w:rPr>
          <w:color w:val="000000"/>
        </w:rPr>
        <w:t xml:space="preserve">The bank made a majority of its home mortgage and small business loans in the assessment area. </w:t>
      </w:r>
    </w:p>
    <w:p w14:paraId="2B666432" w14:textId="77777777" w:rsidR="00EE690A" w:rsidRPr="000812A1" w:rsidRDefault="00EE690A" w:rsidP="00EE690A">
      <w:pPr>
        <w:autoSpaceDE w:val="0"/>
        <w:autoSpaceDN w:val="0"/>
        <w:adjustRightInd w:val="0"/>
        <w:rPr>
          <w:rStyle w:val="SubtitleChar"/>
          <w:rFonts w:ascii="Times New Roman" w:hAnsi="Times New Roman"/>
        </w:rPr>
      </w:pPr>
    </w:p>
    <w:p w14:paraId="121E9C7F" w14:textId="77777777" w:rsidR="00EE690A" w:rsidRPr="000812A1" w:rsidRDefault="00EE690A" w:rsidP="00D645D2">
      <w:pPr>
        <w:numPr>
          <w:ilvl w:val="0"/>
          <w:numId w:val="3"/>
        </w:numPr>
        <w:autoSpaceDE w:val="0"/>
        <w:autoSpaceDN w:val="0"/>
        <w:adjustRightInd w:val="0"/>
        <w:rPr>
          <w:rStyle w:val="SubtitleChar"/>
          <w:rFonts w:ascii="Times New Roman" w:hAnsi="Times New Roman"/>
        </w:rPr>
      </w:pPr>
      <w:bookmarkStart w:id="2" w:name="_Toc61952427"/>
      <w:bookmarkStart w:id="3" w:name="_Toc63251239"/>
      <w:bookmarkStart w:id="4" w:name="_Toc63684848"/>
      <w:r w:rsidRPr="000812A1">
        <w:rPr>
          <w:rStyle w:val="SubtitleChar"/>
          <w:rFonts w:ascii="Times New Roman" w:hAnsi="Times New Roman"/>
        </w:rPr>
        <w:t>The geographic distribution of loans reflects reasonable dispersion throughout the assessment area.</w:t>
      </w:r>
      <w:bookmarkEnd w:id="2"/>
      <w:bookmarkEnd w:id="3"/>
      <w:bookmarkEnd w:id="4"/>
      <w:r w:rsidRPr="000812A1">
        <w:rPr>
          <w:rStyle w:val="SubtitleChar"/>
          <w:rFonts w:ascii="Times New Roman" w:hAnsi="Times New Roman"/>
        </w:rPr>
        <w:t xml:space="preserve"> </w:t>
      </w:r>
    </w:p>
    <w:p w14:paraId="3B666ECE" w14:textId="77777777" w:rsidR="00EE690A" w:rsidRPr="000812A1" w:rsidRDefault="00EE690A" w:rsidP="00EE690A">
      <w:pPr>
        <w:pStyle w:val="ListParagraph"/>
        <w:rPr>
          <w:rStyle w:val="SubtitleChar"/>
          <w:rFonts w:ascii="Times New Roman" w:hAnsi="Times New Roman" w:cs="Times New Roman"/>
        </w:rPr>
      </w:pPr>
    </w:p>
    <w:p w14:paraId="63B5B74A" w14:textId="77777777" w:rsidR="00EE690A" w:rsidRPr="000812A1" w:rsidRDefault="00EE690A" w:rsidP="00D645D2">
      <w:pPr>
        <w:numPr>
          <w:ilvl w:val="0"/>
          <w:numId w:val="3"/>
        </w:numPr>
        <w:autoSpaceDE w:val="0"/>
        <w:autoSpaceDN w:val="0"/>
        <w:adjustRightInd w:val="0"/>
        <w:rPr>
          <w:rStyle w:val="SubtitleChar"/>
          <w:rFonts w:ascii="Times New Roman" w:hAnsi="Times New Roman"/>
        </w:rPr>
      </w:pPr>
      <w:r w:rsidRPr="000812A1">
        <w:rPr>
          <w:color w:val="000000"/>
        </w:rPr>
        <w:t xml:space="preserve">The distribution of borrowers reflects reasonable penetration among individuals of different income levels and businesses of different sizes. </w:t>
      </w:r>
    </w:p>
    <w:p w14:paraId="4D4585A6" w14:textId="77777777" w:rsidR="00EE690A" w:rsidRPr="000812A1" w:rsidRDefault="00EE690A" w:rsidP="00EE690A">
      <w:pPr>
        <w:autoSpaceDE w:val="0"/>
        <w:autoSpaceDN w:val="0"/>
        <w:adjustRightInd w:val="0"/>
        <w:rPr>
          <w:color w:val="000000"/>
        </w:rPr>
      </w:pPr>
    </w:p>
    <w:p w14:paraId="7F24FD21" w14:textId="77777777" w:rsidR="00EE690A" w:rsidRPr="000812A1" w:rsidRDefault="00EE690A" w:rsidP="00D645D2">
      <w:pPr>
        <w:numPr>
          <w:ilvl w:val="0"/>
          <w:numId w:val="3"/>
        </w:numPr>
        <w:autoSpaceDE w:val="0"/>
        <w:autoSpaceDN w:val="0"/>
        <w:adjustRightInd w:val="0"/>
        <w:rPr>
          <w:color w:val="000000"/>
        </w:rPr>
      </w:pPr>
      <w:r w:rsidRPr="000812A1">
        <w:rPr>
          <w:color w:val="000000"/>
        </w:rPr>
        <w:t xml:space="preserve">The institution did not receive any CRA-related complaints since the previous evaluation; therefore, this factor did not affect the Lending Test rating. </w:t>
      </w:r>
    </w:p>
    <w:p w14:paraId="490FD44C" w14:textId="77777777" w:rsidR="00EE690A" w:rsidRPr="000812A1" w:rsidRDefault="00EE690A" w:rsidP="00EE690A">
      <w:pPr>
        <w:rPr>
          <w:snapToGrid w:val="0"/>
        </w:rPr>
      </w:pPr>
    </w:p>
    <w:p w14:paraId="7F504471" w14:textId="77777777" w:rsidR="00EE690A" w:rsidRPr="000812A1" w:rsidRDefault="00EE690A" w:rsidP="00EE690A">
      <w:pPr>
        <w:pStyle w:val="Default"/>
        <w:rPr>
          <w:b/>
        </w:rPr>
      </w:pPr>
      <w:r w:rsidRPr="000812A1">
        <w:rPr>
          <w:b/>
        </w:rPr>
        <w:t>The Comm</w:t>
      </w:r>
      <w:r w:rsidR="00355034">
        <w:rPr>
          <w:b/>
        </w:rPr>
        <w:t>unity Development Test is rated</w:t>
      </w:r>
      <w:r w:rsidRPr="000812A1">
        <w:rPr>
          <w:b/>
          <w:u w:val="single"/>
        </w:rPr>
        <w:t xml:space="preserve"> Satisfactory</w:t>
      </w:r>
      <w:r w:rsidRPr="000812A1">
        <w:rPr>
          <w:b/>
        </w:rPr>
        <w:t xml:space="preserve"> </w:t>
      </w:r>
      <w:r w:rsidR="00355034">
        <w:rPr>
          <w:b/>
        </w:rPr>
        <w:t xml:space="preserve">by the </w:t>
      </w:r>
      <w:r w:rsidR="008D5150">
        <w:rPr>
          <w:b/>
        </w:rPr>
        <w:t xml:space="preserve">FDIC and </w:t>
      </w:r>
      <w:r w:rsidR="002E57A6">
        <w:rPr>
          <w:b/>
        </w:rPr>
        <w:t xml:space="preserve">the </w:t>
      </w:r>
      <w:r w:rsidR="008D5150">
        <w:rPr>
          <w:b/>
        </w:rPr>
        <w:t>Division</w:t>
      </w:r>
      <w:r w:rsidRPr="000812A1">
        <w:rPr>
          <w:b/>
        </w:rPr>
        <w:t xml:space="preserve">. </w:t>
      </w:r>
    </w:p>
    <w:p w14:paraId="455EA547" w14:textId="77777777" w:rsidR="00EE690A" w:rsidRPr="000812A1" w:rsidRDefault="00EE690A" w:rsidP="00EE690A">
      <w:pPr>
        <w:pStyle w:val="Default"/>
        <w:rPr>
          <w:b/>
        </w:rPr>
      </w:pPr>
    </w:p>
    <w:p w14:paraId="5AF762F1" w14:textId="77777777" w:rsidR="00EE690A" w:rsidRPr="000812A1" w:rsidRDefault="00EE690A" w:rsidP="001C3FED">
      <w:pPr>
        <w:pStyle w:val="BulletOrder"/>
      </w:pPr>
      <w:r w:rsidRPr="000812A1">
        <w:t>The institution</w:t>
      </w:r>
      <w:r w:rsidR="00355034">
        <w:t xml:space="preserve">’s community development performance demonstrates adequate </w:t>
      </w:r>
      <w:r w:rsidRPr="000812A1">
        <w:t xml:space="preserve">responsiveness to </w:t>
      </w:r>
      <w:r w:rsidR="00355034">
        <w:t>community development needs in</w:t>
      </w:r>
      <w:r w:rsidRPr="000812A1">
        <w:t xml:space="preserve"> its assessment area through community development loans, qualified investments, and community development services, as appropriate.  Examiners considered the institution’s capacity and the need and availability of such opportunities for commu</w:t>
      </w:r>
      <w:r w:rsidR="00355034">
        <w:t>nity development in the institution’s</w:t>
      </w:r>
      <w:r w:rsidRPr="000812A1">
        <w:t xml:space="preserve"> assessment area. </w:t>
      </w:r>
    </w:p>
    <w:p w14:paraId="5F9BA2B2" w14:textId="77777777" w:rsidR="00200994" w:rsidRPr="000812A1" w:rsidRDefault="00200994" w:rsidP="00200994">
      <w:pPr>
        <w:contextualSpacing/>
      </w:pPr>
    </w:p>
    <w:p w14:paraId="70BD7D1F" w14:textId="77777777" w:rsidR="00FB7E5F" w:rsidRPr="000812A1" w:rsidRDefault="00FB7E5F" w:rsidP="00200994">
      <w:pPr>
        <w:contextualSpacing/>
      </w:pPr>
    </w:p>
    <w:p w14:paraId="30761522" w14:textId="77777777" w:rsidR="00FB7E5F" w:rsidRDefault="00FB7E5F" w:rsidP="00200994">
      <w:pPr>
        <w:contextualSpacing/>
      </w:pPr>
    </w:p>
    <w:p w14:paraId="3D159165" w14:textId="77777777" w:rsidR="00EE690A" w:rsidRDefault="00EE690A" w:rsidP="00200994">
      <w:pPr>
        <w:contextualSpacing/>
      </w:pPr>
    </w:p>
    <w:p w14:paraId="7F779393" w14:textId="77777777" w:rsidR="00EE690A" w:rsidRDefault="00EE690A" w:rsidP="00200994">
      <w:pPr>
        <w:contextualSpacing/>
      </w:pPr>
    </w:p>
    <w:p w14:paraId="29655DF9" w14:textId="77777777" w:rsidR="008C0539" w:rsidRDefault="008C0539" w:rsidP="00200994">
      <w:pPr>
        <w:contextualSpacing/>
      </w:pPr>
    </w:p>
    <w:p w14:paraId="30D2DEC4" w14:textId="77777777" w:rsidR="008C0539" w:rsidRDefault="008C0539" w:rsidP="00200994">
      <w:pPr>
        <w:contextualSpacing/>
      </w:pPr>
    </w:p>
    <w:p w14:paraId="24B8DFB8" w14:textId="77777777" w:rsidR="008C0539" w:rsidRDefault="008C0539" w:rsidP="00200994">
      <w:pPr>
        <w:contextualSpacing/>
      </w:pPr>
    </w:p>
    <w:p w14:paraId="636B5981" w14:textId="77777777" w:rsidR="00EE690A" w:rsidRDefault="00EE690A" w:rsidP="00200994">
      <w:pPr>
        <w:contextualSpacing/>
      </w:pPr>
    </w:p>
    <w:p w14:paraId="28558487" w14:textId="77777777" w:rsidR="00EE690A" w:rsidRDefault="00EE690A" w:rsidP="00200994">
      <w:pPr>
        <w:contextualSpacing/>
      </w:pPr>
    </w:p>
    <w:p w14:paraId="73CA00A3" w14:textId="77777777" w:rsidR="00EE690A" w:rsidRPr="00FB7E5F" w:rsidRDefault="00EE690A" w:rsidP="00200994">
      <w:pPr>
        <w:contextualSpacing/>
      </w:pPr>
    </w:p>
    <w:p w14:paraId="27876600" w14:textId="77777777" w:rsidR="0099672C" w:rsidRPr="00161EC6" w:rsidRDefault="0099672C" w:rsidP="000927D4">
      <w:pPr>
        <w:pStyle w:val="Heading1"/>
        <w:rPr>
          <w:sz w:val="24"/>
          <w:szCs w:val="24"/>
        </w:rPr>
      </w:pPr>
      <w:bookmarkStart w:id="5" w:name="_Toc63684849"/>
      <w:r w:rsidRPr="00161EC6">
        <w:lastRenderedPageBreak/>
        <w:t>DESCRIPTION OF INSTITUTION</w:t>
      </w:r>
      <w:bookmarkEnd w:id="5"/>
    </w:p>
    <w:p w14:paraId="1060E059" w14:textId="77777777" w:rsidR="00D75C34" w:rsidRDefault="00D75C34" w:rsidP="009A16EB">
      <w:pPr>
        <w:rPr>
          <w:bCs/>
          <w:iCs/>
          <w:color w:val="000000"/>
        </w:rPr>
      </w:pPr>
    </w:p>
    <w:p w14:paraId="6F8B81B5" w14:textId="77777777" w:rsidR="00C833BF" w:rsidRDefault="00794C2C" w:rsidP="00EA47E1">
      <w:pPr>
        <w:rPr>
          <w:rFonts w:eastAsia="Calibri"/>
        </w:rPr>
      </w:pPr>
      <w:r>
        <w:rPr>
          <w:rFonts w:eastAsia="Calibri"/>
        </w:rPr>
        <w:t xml:space="preserve">Savers Co-operative Bank </w:t>
      </w:r>
      <w:r w:rsidR="008D5150" w:rsidRPr="00287D57">
        <w:rPr>
          <w:rFonts w:eastAsia="Calibri"/>
        </w:rPr>
        <w:t>(</w:t>
      </w:r>
      <w:r w:rsidR="00287D57" w:rsidRPr="00287D57">
        <w:rPr>
          <w:rFonts w:eastAsia="Calibri"/>
        </w:rPr>
        <w:t>Savers</w:t>
      </w:r>
      <w:r w:rsidR="008D5150" w:rsidRPr="00287D57">
        <w:rPr>
          <w:rFonts w:eastAsia="Calibri"/>
        </w:rPr>
        <w:t>)</w:t>
      </w:r>
      <w:r w:rsidR="008D5150">
        <w:rPr>
          <w:rFonts w:eastAsia="Calibri"/>
        </w:rPr>
        <w:t xml:space="preserve"> </w:t>
      </w:r>
      <w:r>
        <w:rPr>
          <w:rFonts w:eastAsia="Calibri"/>
        </w:rPr>
        <w:t>is a state-chartered mutual savings bank founded in 1910</w:t>
      </w:r>
      <w:r w:rsidR="00724F8A">
        <w:rPr>
          <w:rFonts w:eastAsia="Calibri"/>
        </w:rPr>
        <w:t xml:space="preserve"> </w:t>
      </w:r>
      <w:r w:rsidR="00A73EC5">
        <w:rPr>
          <w:rFonts w:eastAsia="Calibri"/>
        </w:rPr>
        <w:t xml:space="preserve">and headquartered </w:t>
      </w:r>
      <w:r w:rsidR="00724F8A">
        <w:rPr>
          <w:rFonts w:eastAsia="Calibri"/>
        </w:rPr>
        <w:t xml:space="preserve">in </w:t>
      </w:r>
      <w:r w:rsidR="00FF6663" w:rsidRPr="00FF6663">
        <w:rPr>
          <w:rFonts w:eastAsia="Calibri"/>
        </w:rPr>
        <w:t>South</w:t>
      </w:r>
      <w:r w:rsidR="00724F8A" w:rsidRPr="00FF6663">
        <w:rPr>
          <w:rFonts w:eastAsia="Calibri"/>
        </w:rPr>
        <w:t>bridge,</w:t>
      </w:r>
      <w:r w:rsidR="00724F8A">
        <w:rPr>
          <w:rFonts w:eastAsia="Calibri"/>
        </w:rPr>
        <w:t xml:space="preserve"> Massachusetts</w:t>
      </w:r>
      <w:r>
        <w:rPr>
          <w:rFonts w:eastAsia="Calibri"/>
        </w:rPr>
        <w:t xml:space="preserve">.  </w:t>
      </w:r>
      <w:r w:rsidR="00EA47E1" w:rsidRPr="00E43F7D">
        <w:rPr>
          <w:rFonts w:eastAsia="Calibri"/>
        </w:rPr>
        <w:t xml:space="preserve">The FDIC and </w:t>
      </w:r>
      <w:r w:rsidR="00A21182">
        <w:rPr>
          <w:rFonts w:eastAsia="Calibri"/>
        </w:rPr>
        <w:t xml:space="preserve">the </w:t>
      </w:r>
      <w:r w:rsidR="00C833BF">
        <w:rPr>
          <w:rFonts w:eastAsia="Calibri"/>
        </w:rPr>
        <w:t>Division</w:t>
      </w:r>
      <w:r w:rsidR="00EA47E1" w:rsidRPr="00E43F7D">
        <w:rPr>
          <w:rFonts w:eastAsia="Calibri"/>
        </w:rPr>
        <w:t xml:space="preserve"> last evaluated </w:t>
      </w:r>
      <w:r w:rsidR="008D5150">
        <w:rPr>
          <w:rFonts w:eastAsia="Calibri"/>
        </w:rPr>
        <w:t>the bank’s</w:t>
      </w:r>
      <w:r w:rsidR="00EA47E1">
        <w:rPr>
          <w:rFonts w:eastAsia="Calibri"/>
        </w:rPr>
        <w:t xml:space="preserve"> CRA performance on October 23</w:t>
      </w:r>
      <w:r w:rsidR="00EA47E1" w:rsidRPr="00E43F7D">
        <w:rPr>
          <w:rFonts w:eastAsia="Calibri"/>
        </w:rPr>
        <w:t>, 2017</w:t>
      </w:r>
      <w:r w:rsidR="00A21182">
        <w:rPr>
          <w:rFonts w:eastAsia="Calibri"/>
        </w:rPr>
        <w:t>,</w:t>
      </w:r>
      <w:r w:rsidR="00C833BF">
        <w:rPr>
          <w:rFonts w:eastAsia="Calibri"/>
        </w:rPr>
        <w:t xml:space="preserve"> using the Federal Financial Institutions Examination Council</w:t>
      </w:r>
      <w:r w:rsidR="00F31CB7">
        <w:rPr>
          <w:rFonts w:eastAsia="Calibri"/>
        </w:rPr>
        <w:t>’s</w:t>
      </w:r>
      <w:r w:rsidR="00C833BF">
        <w:rPr>
          <w:rFonts w:eastAsia="Calibri"/>
        </w:rPr>
        <w:t xml:space="preserve"> </w:t>
      </w:r>
      <w:r w:rsidR="00E57438">
        <w:rPr>
          <w:rFonts w:eastAsia="Calibri"/>
        </w:rPr>
        <w:t xml:space="preserve">(FFIEC) </w:t>
      </w:r>
      <w:r w:rsidR="00C833BF">
        <w:rPr>
          <w:rFonts w:eastAsia="Calibri"/>
        </w:rPr>
        <w:t xml:space="preserve">Interagency </w:t>
      </w:r>
      <w:r w:rsidR="00E57438">
        <w:rPr>
          <w:rFonts w:eastAsia="Calibri"/>
        </w:rPr>
        <w:t xml:space="preserve">Intermediate Small Institution </w:t>
      </w:r>
      <w:r w:rsidR="002E57A6">
        <w:rPr>
          <w:rFonts w:eastAsia="Calibri"/>
        </w:rPr>
        <w:t xml:space="preserve">CRA </w:t>
      </w:r>
      <w:r w:rsidR="00C833BF">
        <w:rPr>
          <w:rFonts w:eastAsia="Calibri"/>
        </w:rPr>
        <w:t xml:space="preserve">Examination procedures.  The FDIC assigned a rating of Satisfactory and the Division assigned a rating of High Satisfactory. </w:t>
      </w:r>
      <w:r w:rsidR="00EA47E1">
        <w:rPr>
          <w:rFonts w:eastAsia="Calibri"/>
        </w:rPr>
        <w:t xml:space="preserve">  </w:t>
      </w:r>
    </w:p>
    <w:p w14:paraId="55FBF29D" w14:textId="77777777" w:rsidR="00C833BF" w:rsidRDefault="00C833BF" w:rsidP="00EA47E1">
      <w:pPr>
        <w:rPr>
          <w:rFonts w:eastAsia="Calibri"/>
        </w:rPr>
      </w:pPr>
    </w:p>
    <w:p w14:paraId="3D976699" w14:textId="77777777" w:rsidR="00724F8A" w:rsidRDefault="00724F8A" w:rsidP="00724F8A">
      <w:pPr>
        <w:rPr>
          <w:rFonts w:eastAsia="Calibri"/>
        </w:rPr>
      </w:pPr>
      <w:r>
        <w:rPr>
          <w:rFonts w:eastAsia="Calibri"/>
        </w:rPr>
        <w:t xml:space="preserve">Including its main office at 270 Main Street in Southbridge, Massachusetts, </w:t>
      </w:r>
      <w:r w:rsidR="008D5150">
        <w:rPr>
          <w:rFonts w:eastAsia="Calibri"/>
        </w:rPr>
        <w:t>the bank</w:t>
      </w:r>
      <w:r w:rsidRPr="00E43F7D">
        <w:rPr>
          <w:rFonts w:eastAsia="Calibri"/>
        </w:rPr>
        <w:t xml:space="preserve"> currently operates </w:t>
      </w:r>
      <w:r>
        <w:rPr>
          <w:rFonts w:eastAsia="Calibri"/>
        </w:rPr>
        <w:t xml:space="preserve">six full-service branches </w:t>
      </w:r>
      <w:r w:rsidRPr="00E43F7D">
        <w:rPr>
          <w:rFonts w:eastAsia="Calibri"/>
        </w:rPr>
        <w:t xml:space="preserve">within Massachusetts.  </w:t>
      </w:r>
      <w:r w:rsidRPr="00794C2C">
        <w:rPr>
          <w:rFonts w:eastAsia="Calibri"/>
        </w:rPr>
        <w:t xml:space="preserve">All of </w:t>
      </w:r>
      <w:r w:rsidR="008D5150">
        <w:rPr>
          <w:rFonts w:eastAsia="Calibri"/>
        </w:rPr>
        <w:t>the bank’s</w:t>
      </w:r>
      <w:r w:rsidRPr="00794C2C">
        <w:rPr>
          <w:rFonts w:eastAsia="Calibri"/>
        </w:rPr>
        <w:t xml:space="preserve"> branches have drive-up teller services and 24-hour deposit-taking automated teller machines (ATMs).  </w:t>
      </w:r>
    </w:p>
    <w:p w14:paraId="7447D532" w14:textId="77777777" w:rsidR="00724F8A" w:rsidRDefault="00724F8A" w:rsidP="00EA47E1">
      <w:pPr>
        <w:rPr>
          <w:rFonts w:eastAsia="Calibri"/>
        </w:rPr>
      </w:pPr>
    </w:p>
    <w:p w14:paraId="02CAC24C" w14:textId="77777777" w:rsidR="00EA47E1" w:rsidRPr="00E43F7D" w:rsidRDefault="00287D57" w:rsidP="00EA47E1">
      <w:pPr>
        <w:rPr>
          <w:rFonts w:eastAsia="Calibri"/>
        </w:rPr>
      </w:pPr>
      <w:r>
        <w:rPr>
          <w:rFonts w:eastAsia="Calibri"/>
        </w:rPr>
        <w:t>Savers</w:t>
      </w:r>
      <w:r w:rsidR="00EA47E1" w:rsidRPr="00E43F7D">
        <w:rPr>
          <w:rFonts w:eastAsia="Calibri"/>
        </w:rPr>
        <w:t xml:space="preserve"> offers a wide range of </w:t>
      </w:r>
      <w:r w:rsidR="008D5150">
        <w:rPr>
          <w:rFonts w:eastAsia="Calibri"/>
        </w:rPr>
        <w:t>consumer and commercial</w:t>
      </w:r>
      <w:r w:rsidR="00EA47E1" w:rsidRPr="00E43F7D">
        <w:rPr>
          <w:rFonts w:eastAsia="Calibri"/>
        </w:rPr>
        <w:t xml:space="preserve"> products.  Products include checking accounts, savings accounts, money market accounts, certificates of </w:t>
      </w:r>
      <w:r w:rsidR="00EA47E1">
        <w:rPr>
          <w:rFonts w:eastAsia="Calibri"/>
        </w:rPr>
        <w:t xml:space="preserve">deposits, </w:t>
      </w:r>
      <w:r w:rsidR="00A0694B">
        <w:rPr>
          <w:rFonts w:eastAsia="Calibri"/>
        </w:rPr>
        <w:t xml:space="preserve">and </w:t>
      </w:r>
      <w:r w:rsidR="00A21182">
        <w:rPr>
          <w:rFonts w:eastAsia="Calibri"/>
        </w:rPr>
        <w:t>individual retirement accounts (</w:t>
      </w:r>
      <w:r w:rsidR="00A0694B">
        <w:rPr>
          <w:rFonts w:eastAsia="Calibri"/>
        </w:rPr>
        <w:t>IRAs</w:t>
      </w:r>
      <w:r w:rsidR="00A21182">
        <w:rPr>
          <w:rFonts w:eastAsia="Calibri"/>
        </w:rPr>
        <w:t>)</w:t>
      </w:r>
      <w:r w:rsidR="00A0694B">
        <w:rPr>
          <w:rFonts w:eastAsia="Calibri"/>
        </w:rPr>
        <w:t xml:space="preserve">.  In addition, </w:t>
      </w:r>
      <w:r w:rsidR="008D5150">
        <w:rPr>
          <w:rFonts w:eastAsia="Calibri"/>
        </w:rPr>
        <w:t>the bank</w:t>
      </w:r>
      <w:r w:rsidR="00A0694B">
        <w:rPr>
          <w:rFonts w:eastAsia="Calibri"/>
        </w:rPr>
        <w:t xml:space="preserve"> offers </w:t>
      </w:r>
      <w:r w:rsidR="00EA47E1">
        <w:rPr>
          <w:rFonts w:eastAsia="Calibri"/>
        </w:rPr>
        <w:t>credit cards</w:t>
      </w:r>
      <w:r w:rsidR="00A21182">
        <w:rPr>
          <w:rFonts w:eastAsia="Calibri"/>
        </w:rPr>
        <w:t xml:space="preserve"> through a third-</w:t>
      </w:r>
      <w:r w:rsidR="00A0694B">
        <w:rPr>
          <w:rFonts w:eastAsia="Calibri"/>
        </w:rPr>
        <w:t>party relationship</w:t>
      </w:r>
      <w:r w:rsidR="00EA47E1">
        <w:rPr>
          <w:rFonts w:eastAsia="Calibri"/>
        </w:rPr>
        <w:t xml:space="preserve">.  </w:t>
      </w:r>
      <w:r w:rsidR="00010113">
        <w:rPr>
          <w:rFonts w:eastAsia="Calibri"/>
        </w:rPr>
        <w:t>The bank</w:t>
      </w:r>
      <w:r w:rsidR="00EA47E1" w:rsidRPr="00E43F7D">
        <w:rPr>
          <w:rFonts w:eastAsia="Calibri"/>
        </w:rPr>
        <w:t xml:space="preserve"> also offers </w:t>
      </w:r>
      <w:r w:rsidR="00E57438">
        <w:rPr>
          <w:rFonts w:eastAsia="Calibri"/>
        </w:rPr>
        <w:t xml:space="preserve">residential mortgage loans, </w:t>
      </w:r>
      <w:r w:rsidR="00EA47E1" w:rsidRPr="00E43F7D">
        <w:rPr>
          <w:rFonts w:eastAsia="Calibri"/>
        </w:rPr>
        <w:t>construction loans, consumer loans</w:t>
      </w:r>
      <w:r w:rsidR="00E57438">
        <w:rPr>
          <w:rFonts w:eastAsia="Calibri"/>
        </w:rPr>
        <w:t>,</w:t>
      </w:r>
      <w:r w:rsidR="00E57438" w:rsidRPr="00E43F7D">
        <w:rPr>
          <w:rFonts w:eastAsia="Calibri"/>
        </w:rPr>
        <w:t xml:space="preserve"> commercial real estate </w:t>
      </w:r>
      <w:r w:rsidR="00A21182">
        <w:rPr>
          <w:rFonts w:eastAsia="Calibri"/>
        </w:rPr>
        <w:t xml:space="preserve">loans, </w:t>
      </w:r>
      <w:r w:rsidR="00E57438" w:rsidRPr="00E43F7D">
        <w:rPr>
          <w:rFonts w:eastAsia="Calibri"/>
        </w:rPr>
        <w:t xml:space="preserve">and </w:t>
      </w:r>
      <w:r w:rsidR="00E57438">
        <w:rPr>
          <w:rFonts w:eastAsia="Calibri"/>
        </w:rPr>
        <w:t>small business loans</w:t>
      </w:r>
      <w:r w:rsidR="00EA47E1" w:rsidRPr="00E43F7D">
        <w:rPr>
          <w:rFonts w:eastAsia="Calibri"/>
        </w:rPr>
        <w:t>.  Customers also have access to alternative banking products such as remote deposit capture for businesses and 24</w:t>
      </w:r>
      <w:r w:rsidR="00EA47E1">
        <w:rPr>
          <w:rFonts w:eastAsia="Calibri"/>
        </w:rPr>
        <w:t>-</w:t>
      </w:r>
      <w:r w:rsidR="00EA47E1" w:rsidRPr="00E43F7D">
        <w:rPr>
          <w:rFonts w:eastAsia="Calibri"/>
        </w:rPr>
        <w:t xml:space="preserve">hour online and mobile banking.  </w:t>
      </w:r>
    </w:p>
    <w:p w14:paraId="378C9D13" w14:textId="77777777" w:rsidR="00EA47E1" w:rsidRDefault="00EA47E1" w:rsidP="00EA47E1">
      <w:pPr>
        <w:rPr>
          <w:rFonts w:eastAsia="Calibri"/>
        </w:rPr>
      </w:pPr>
    </w:p>
    <w:p w14:paraId="2872B5FA" w14:textId="77777777" w:rsidR="001C5348" w:rsidRDefault="00C84AC2" w:rsidP="00C84AC2">
      <w:pPr>
        <w:rPr>
          <w:rFonts w:eastAsia="Calibri"/>
        </w:rPr>
      </w:pPr>
      <w:r>
        <w:rPr>
          <w:rFonts w:eastAsia="Calibri"/>
        </w:rPr>
        <w:t xml:space="preserve">As of September 30, 2020, </w:t>
      </w:r>
      <w:r w:rsidR="00287D57">
        <w:rPr>
          <w:rFonts w:eastAsia="Calibri"/>
        </w:rPr>
        <w:t>Savers</w:t>
      </w:r>
      <w:r w:rsidRPr="00E43F7D">
        <w:rPr>
          <w:rFonts w:eastAsia="Calibri"/>
        </w:rPr>
        <w:t xml:space="preserve"> had to</w:t>
      </w:r>
      <w:r>
        <w:rPr>
          <w:rFonts w:eastAsia="Calibri"/>
        </w:rPr>
        <w:t>tal assets of $</w:t>
      </w:r>
      <w:r w:rsidR="00D74C05">
        <w:rPr>
          <w:rFonts w:eastAsia="Calibri"/>
        </w:rPr>
        <w:t xml:space="preserve">653.4 </w:t>
      </w:r>
      <w:r>
        <w:rPr>
          <w:rFonts w:eastAsia="Calibri"/>
        </w:rPr>
        <w:t>m</w:t>
      </w:r>
      <w:r w:rsidRPr="00E43F7D">
        <w:rPr>
          <w:rFonts w:eastAsia="Calibri"/>
        </w:rPr>
        <w:t>illion, w</w:t>
      </w:r>
      <w:r>
        <w:rPr>
          <w:rFonts w:eastAsia="Calibri"/>
        </w:rPr>
        <w:t>hich included total loans of $506.7</w:t>
      </w:r>
      <w:r w:rsidRPr="00E43F7D">
        <w:rPr>
          <w:rFonts w:eastAsia="Calibri"/>
        </w:rPr>
        <w:t xml:space="preserve"> </w:t>
      </w:r>
      <w:r>
        <w:rPr>
          <w:rFonts w:eastAsia="Calibri"/>
        </w:rPr>
        <w:t>m</w:t>
      </w:r>
      <w:r w:rsidRPr="00E43F7D">
        <w:rPr>
          <w:rFonts w:eastAsia="Calibri"/>
        </w:rPr>
        <w:t>illion</w:t>
      </w:r>
      <w:r w:rsidR="002E57A6">
        <w:rPr>
          <w:rFonts w:eastAsia="Calibri"/>
        </w:rPr>
        <w:t>,</w:t>
      </w:r>
      <w:r w:rsidRPr="00E43F7D">
        <w:rPr>
          <w:rFonts w:eastAsia="Calibri"/>
        </w:rPr>
        <w:t xml:space="preserve"> or </w:t>
      </w:r>
      <w:r w:rsidR="00D74C05">
        <w:rPr>
          <w:rFonts w:eastAsia="Calibri"/>
        </w:rPr>
        <w:t xml:space="preserve">77.5 </w:t>
      </w:r>
      <w:r w:rsidRPr="00E43F7D">
        <w:rPr>
          <w:rFonts w:eastAsia="Calibri"/>
        </w:rPr>
        <w:t xml:space="preserve">percent of total assets.  </w:t>
      </w:r>
      <w:r w:rsidR="002D5AB0">
        <w:rPr>
          <w:rFonts w:eastAsia="Calibri"/>
        </w:rPr>
        <w:t>As of the same period, total deposits amount</w:t>
      </w:r>
      <w:r w:rsidR="008D5150">
        <w:rPr>
          <w:rFonts w:eastAsia="Calibri"/>
        </w:rPr>
        <w:t>ed</w:t>
      </w:r>
      <w:r w:rsidR="002D5AB0">
        <w:rPr>
          <w:rFonts w:eastAsia="Calibri"/>
        </w:rPr>
        <w:t xml:space="preserve"> to $500.2 million.  </w:t>
      </w:r>
      <w:r w:rsidR="008D5150">
        <w:rPr>
          <w:rFonts w:eastAsia="Calibri"/>
        </w:rPr>
        <w:t>The bank’s</w:t>
      </w:r>
      <w:r w:rsidRPr="00E43F7D">
        <w:rPr>
          <w:rFonts w:eastAsia="Calibri"/>
        </w:rPr>
        <w:t xml:space="preserve"> net loan-to-deposit ratio was </w:t>
      </w:r>
      <w:r w:rsidR="001C5348">
        <w:rPr>
          <w:rFonts w:eastAsia="Calibri"/>
        </w:rPr>
        <w:t>100.3</w:t>
      </w:r>
      <w:r w:rsidRPr="00E43F7D">
        <w:rPr>
          <w:rFonts w:eastAsia="Calibri"/>
        </w:rPr>
        <w:t xml:space="preserve"> percent</w:t>
      </w:r>
      <w:r w:rsidR="002E57A6" w:rsidRPr="00E43F7D">
        <w:rPr>
          <w:rFonts w:eastAsia="Calibri"/>
        </w:rPr>
        <w:t>,</w:t>
      </w:r>
      <w:r w:rsidR="002E57A6" w:rsidRPr="002E57A6">
        <w:rPr>
          <w:rFonts w:eastAsia="Calibri"/>
        </w:rPr>
        <w:t xml:space="preserve"> </w:t>
      </w:r>
      <w:r w:rsidR="002E57A6" w:rsidRPr="00E43F7D">
        <w:rPr>
          <w:rFonts w:eastAsia="Calibri"/>
        </w:rPr>
        <w:t>as of the same date</w:t>
      </w:r>
      <w:r w:rsidRPr="00E43F7D">
        <w:rPr>
          <w:rFonts w:eastAsia="Calibri"/>
        </w:rPr>
        <w:t xml:space="preserve">.  </w:t>
      </w:r>
    </w:p>
    <w:p w14:paraId="53BBFAA8" w14:textId="77777777" w:rsidR="001C5348" w:rsidRDefault="001C5348" w:rsidP="00C84AC2">
      <w:pPr>
        <w:rPr>
          <w:rFonts w:eastAsia="Calibri"/>
        </w:rPr>
      </w:pPr>
    </w:p>
    <w:p w14:paraId="6D8BD9C4" w14:textId="77777777" w:rsidR="00C84AC2" w:rsidRPr="00E43F7D" w:rsidRDefault="00C84AC2" w:rsidP="00C84AC2">
      <w:pPr>
        <w:rPr>
          <w:rFonts w:eastAsia="Calibri"/>
        </w:rPr>
      </w:pPr>
      <w:r w:rsidRPr="00E43F7D">
        <w:rPr>
          <w:rFonts w:eastAsia="Calibri"/>
        </w:rPr>
        <w:t>Loans secured by one-to-four family and multifamily residential properties account for the largest portion of the portfolio, followed by loans secured by nonfarm nonresidential properties and commercial and industrial loans.  The following table illustrates the loan portfolio.</w:t>
      </w:r>
    </w:p>
    <w:p w14:paraId="292E3322" w14:textId="77777777" w:rsidR="00FB7E5F" w:rsidRDefault="00FB7E5F" w:rsidP="009A16EB">
      <w:pPr>
        <w:rPr>
          <w:bCs/>
          <w:iCs/>
          <w:color w:val="000000"/>
        </w:rPr>
      </w:pPr>
    </w:p>
    <w:tbl>
      <w:tblPr>
        <w:tblStyle w:val="TableGrid1"/>
        <w:tblW w:w="8668" w:type="dxa"/>
        <w:tblLayout w:type="fixed"/>
        <w:tblLook w:val="0000" w:firstRow="0" w:lastRow="0" w:firstColumn="0" w:lastColumn="0" w:noHBand="0" w:noVBand="0"/>
        <w:tblCaption w:val="Description of Institution: Loan Portofoli Distribution as of a certain date"/>
      </w:tblPr>
      <w:tblGrid>
        <w:gridCol w:w="5040"/>
        <w:gridCol w:w="1890"/>
        <w:gridCol w:w="1738"/>
      </w:tblGrid>
      <w:tr w:rsidR="006444DD" w:rsidRPr="006444DD" w14:paraId="16BD3222" w14:textId="77777777" w:rsidTr="006444DD">
        <w:trPr>
          <w:trHeight w:hRule="exact" w:val="360"/>
          <w:tblHeader/>
        </w:trPr>
        <w:tc>
          <w:tcPr>
            <w:tcW w:w="8668" w:type="dxa"/>
            <w:gridSpan w:val="3"/>
            <w:vAlign w:val="center"/>
          </w:tcPr>
          <w:p w14:paraId="6C6C6DCD" w14:textId="77777777" w:rsidR="006444DD" w:rsidRPr="006444DD" w:rsidRDefault="006444DD" w:rsidP="006444DD">
            <w:pPr>
              <w:keepNext/>
              <w:spacing w:line="276" w:lineRule="auto"/>
              <w:jc w:val="center"/>
              <w:rPr>
                <w:b/>
                <w:sz w:val="20"/>
                <w:szCs w:val="20"/>
              </w:rPr>
            </w:pPr>
            <w:r w:rsidRPr="006444DD">
              <w:rPr>
                <w:sz w:val="20"/>
                <w:szCs w:val="20"/>
              </w:rPr>
              <w:br w:type="page"/>
            </w:r>
            <w:r w:rsidRPr="006444DD">
              <w:rPr>
                <w:sz w:val="20"/>
                <w:szCs w:val="20"/>
              </w:rPr>
              <w:br w:type="page"/>
            </w:r>
            <w:r w:rsidRPr="006444DD">
              <w:rPr>
                <w:sz w:val="20"/>
                <w:szCs w:val="20"/>
              </w:rPr>
              <w:br w:type="page"/>
            </w:r>
            <w:r w:rsidRPr="006444DD">
              <w:rPr>
                <w:b/>
                <w:sz w:val="20"/>
                <w:szCs w:val="20"/>
              </w:rPr>
              <w:br w:type="page"/>
              <w:t xml:space="preserve">Loan Portfolio Distribution as of </w:t>
            </w:r>
            <w:r>
              <w:rPr>
                <w:b/>
                <w:sz w:val="20"/>
                <w:szCs w:val="20"/>
              </w:rPr>
              <w:t>09/30/2020</w:t>
            </w:r>
          </w:p>
        </w:tc>
      </w:tr>
      <w:tr w:rsidR="006444DD" w:rsidRPr="006444DD" w14:paraId="40FCC9D0" w14:textId="77777777" w:rsidTr="006444DD">
        <w:trPr>
          <w:trHeight w:val="288"/>
        </w:trPr>
        <w:tc>
          <w:tcPr>
            <w:tcW w:w="5040" w:type="dxa"/>
            <w:vAlign w:val="center"/>
          </w:tcPr>
          <w:p w14:paraId="7339021D" w14:textId="77777777" w:rsidR="006444DD" w:rsidRPr="006444DD" w:rsidRDefault="006444DD" w:rsidP="006444DD">
            <w:pPr>
              <w:keepNext/>
              <w:rPr>
                <w:b/>
                <w:sz w:val="20"/>
                <w:szCs w:val="22"/>
              </w:rPr>
            </w:pPr>
            <w:r w:rsidRPr="006444DD">
              <w:rPr>
                <w:b/>
                <w:sz w:val="20"/>
                <w:szCs w:val="22"/>
              </w:rPr>
              <w:t>Loan Category</w:t>
            </w:r>
          </w:p>
        </w:tc>
        <w:tc>
          <w:tcPr>
            <w:tcW w:w="1890" w:type="dxa"/>
            <w:vAlign w:val="center"/>
          </w:tcPr>
          <w:p w14:paraId="6D13027A" w14:textId="77777777" w:rsidR="006444DD" w:rsidRPr="006444DD" w:rsidRDefault="006444DD" w:rsidP="006444DD">
            <w:pPr>
              <w:keepNext/>
              <w:jc w:val="center"/>
              <w:rPr>
                <w:b/>
                <w:sz w:val="20"/>
                <w:szCs w:val="22"/>
              </w:rPr>
            </w:pPr>
            <w:r w:rsidRPr="006444DD">
              <w:rPr>
                <w:b/>
                <w:sz w:val="20"/>
                <w:szCs w:val="22"/>
              </w:rPr>
              <w:t>$(000s)</w:t>
            </w:r>
          </w:p>
        </w:tc>
        <w:tc>
          <w:tcPr>
            <w:tcW w:w="1738" w:type="dxa"/>
            <w:vAlign w:val="center"/>
          </w:tcPr>
          <w:p w14:paraId="0D52EA8D" w14:textId="77777777" w:rsidR="006444DD" w:rsidRPr="006444DD" w:rsidRDefault="006444DD" w:rsidP="006444DD">
            <w:pPr>
              <w:keepNext/>
              <w:jc w:val="center"/>
              <w:rPr>
                <w:b/>
                <w:sz w:val="20"/>
                <w:szCs w:val="22"/>
              </w:rPr>
            </w:pPr>
            <w:r w:rsidRPr="006444DD">
              <w:rPr>
                <w:b/>
                <w:sz w:val="20"/>
                <w:szCs w:val="22"/>
              </w:rPr>
              <w:t>%</w:t>
            </w:r>
          </w:p>
        </w:tc>
      </w:tr>
      <w:tr w:rsidR="006444DD" w:rsidRPr="006444DD" w14:paraId="6CF0E85D" w14:textId="77777777" w:rsidTr="006444DD">
        <w:trPr>
          <w:trHeight w:val="288"/>
        </w:trPr>
        <w:tc>
          <w:tcPr>
            <w:tcW w:w="5040" w:type="dxa"/>
            <w:vAlign w:val="center"/>
          </w:tcPr>
          <w:p w14:paraId="3CD6F8F2" w14:textId="77777777" w:rsidR="006444DD" w:rsidRPr="006444DD" w:rsidRDefault="006444DD" w:rsidP="006444DD">
            <w:pPr>
              <w:keepNext/>
              <w:rPr>
                <w:sz w:val="20"/>
                <w:szCs w:val="22"/>
              </w:rPr>
            </w:pPr>
            <w:r w:rsidRPr="006444DD">
              <w:rPr>
                <w:sz w:val="20"/>
                <w:szCs w:val="22"/>
              </w:rPr>
              <w:t>Construction, Land Development, and Other Land Loans</w:t>
            </w:r>
          </w:p>
        </w:tc>
        <w:tc>
          <w:tcPr>
            <w:tcW w:w="1890" w:type="dxa"/>
            <w:vAlign w:val="center"/>
          </w:tcPr>
          <w:p w14:paraId="1E19213A" w14:textId="77777777" w:rsidR="006444DD" w:rsidRPr="006444DD" w:rsidRDefault="006444DD" w:rsidP="006444DD">
            <w:pPr>
              <w:keepNext/>
              <w:jc w:val="right"/>
              <w:rPr>
                <w:sz w:val="20"/>
                <w:szCs w:val="22"/>
              </w:rPr>
            </w:pPr>
            <w:r>
              <w:rPr>
                <w:sz w:val="20"/>
                <w:szCs w:val="22"/>
              </w:rPr>
              <w:t>23,714</w:t>
            </w:r>
          </w:p>
        </w:tc>
        <w:tc>
          <w:tcPr>
            <w:tcW w:w="1738" w:type="dxa"/>
            <w:vAlign w:val="center"/>
          </w:tcPr>
          <w:p w14:paraId="451C6238" w14:textId="77777777" w:rsidR="006444DD" w:rsidRPr="006444DD" w:rsidRDefault="006444DD" w:rsidP="006444DD">
            <w:pPr>
              <w:keepNext/>
              <w:jc w:val="right"/>
              <w:rPr>
                <w:sz w:val="20"/>
                <w:szCs w:val="22"/>
              </w:rPr>
            </w:pPr>
            <w:r>
              <w:rPr>
                <w:sz w:val="20"/>
                <w:szCs w:val="22"/>
              </w:rPr>
              <w:t>4.7</w:t>
            </w:r>
          </w:p>
        </w:tc>
      </w:tr>
      <w:tr w:rsidR="006444DD" w:rsidRPr="006444DD" w14:paraId="7195217F" w14:textId="77777777" w:rsidTr="006444DD">
        <w:trPr>
          <w:trHeight w:val="288"/>
        </w:trPr>
        <w:tc>
          <w:tcPr>
            <w:tcW w:w="5040" w:type="dxa"/>
            <w:vAlign w:val="center"/>
          </w:tcPr>
          <w:p w14:paraId="710F38CF" w14:textId="77777777" w:rsidR="006444DD" w:rsidRPr="006444DD" w:rsidRDefault="006444DD" w:rsidP="006444DD">
            <w:pPr>
              <w:keepNext/>
              <w:rPr>
                <w:sz w:val="20"/>
                <w:szCs w:val="22"/>
              </w:rPr>
            </w:pPr>
            <w:r w:rsidRPr="006444DD">
              <w:rPr>
                <w:sz w:val="20"/>
                <w:szCs w:val="22"/>
              </w:rPr>
              <w:t>Secured by 1-4 Family Residential Properties</w:t>
            </w:r>
          </w:p>
        </w:tc>
        <w:tc>
          <w:tcPr>
            <w:tcW w:w="1890" w:type="dxa"/>
            <w:vAlign w:val="center"/>
          </w:tcPr>
          <w:p w14:paraId="7003554F" w14:textId="77777777" w:rsidR="006444DD" w:rsidRPr="006444DD" w:rsidRDefault="006444DD" w:rsidP="006444DD">
            <w:pPr>
              <w:keepNext/>
              <w:jc w:val="right"/>
              <w:rPr>
                <w:sz w:val="20"/>
                <w:szCs w:val="22"/>
              </w:rPr>
            </w:pPr>
            <w:r>
              <w:rPr>
                <w:sz w:val="20"/>
                <w:szCs w:val="22"/>
              </w:rPr>
              <w:t>225,529</w:t>
            </w:r>
          </w:p>
        </w:tc>
        <w:tc>
          <w:tcPr>
            <w:tcW w:w="1738" w:type="dxa"/>
            <w:vAlign w:val="center"/>
          </w:tcPr>
          <w:p w14:paraId="4AEC9822" w14:textId="77777777" w:rsidR="006444DD" w:rsidRPr="006444DD" w:rsidRDefault="006444DD" w:rsidP="006444DD">
            <w:pPr>
              <w:keepNext/>
              <w:jc w:val="right"/>
              <w:rPr>
                <w:sz w:val="20"/>
                <w:szCs w:val="22"/>
              </w:rPr>
            </w:pPr>
            <w:r>
              <w:rPr>
                <w:sz w:val="20"/>
                <w:szCs w:val="22"/>
              </w:rPr>
              <w:t>44.5</w:t>
            </w:r>
          </w:p>
        </w:tc>
      </w:tr>
      <w:tr w:rsidR="006444DD" w:rsidRPr="006444DD" w14:paraId="3160C02F" w14:textId="77777777" w:rsidTr="006444DD">
        <w:trPr>
          <w:trHeight w:val="288"/>
        </w:trPr>
        <w:tc>
          <w:tcPr>
            <w:tcW w:w="5040" w:type="dxa"/>
            <w:vAlign w:val="center"/>
          </w:tcPr>
          <w:p w14:paraId="0132FA7B" w14:textId="77777777" w:rsidR="006444DD" w:rsidRPr="006444DD" w:rsidRDefault="006444DD" w:rsidP="006444DD">
            <w:pPr>
              <w:keepNext/>
              <w:rPr>
                <w:sz w:val="20"/>
                <w:szCs w:val="22"/>
              </w:rPr>
            </w:pPr>
            <w:r w:rsidRPr="006444DD">
              <w:rPr>
                <w:sz w:val="20"/>
                <w:szCs w:val="22"/>
              </w:rPr>
              <w:t>Secured by Multifamily (5 or more) Residential Properties</w:t>
            </w:r>
          </w:p>
        </w:tc>
        <w:tc>
          <w:tcPr>
            <w:tcW w:w="1890" w:type="dxa"/>
            <w:vAlign w:val="center"/>
          </w:tcPr>
          <w:p w14:paraId="1BBFDF2F" w14:textId="77777777" w:rsidR="006444DD" w:rsidRPr="006444DD" w:rsidRDefault="006444DD" w:rsidP="006444DD">
            <w:pPr>
              <w:keepNext/>
              <w:jc w:val="right"/>
              <w:rPr>
                <w:sz w:val="20"/>
                <w:szCs w:val="22"/>
              </w:rPr>
            </w:pPr>
            <w:r>
              <w:rPr>
                <w:sz w:val="20"/>
                <w:szCs w:val="22"/>
              </w:rPr>
              <w:t>19,996</w:t>
            </w:r>
          </w:p>
        </w:tc>
        <w:tc>
          <w:tcPr>
            <w:tcW w:w="1738" w:type="dxa"/>
            <w:vAlign w:val="center"/>
          </w:tcPr>
          <w:p w14:paraId="2AE1BEC8" w14:textId="77777777" w:rsidR="006444DD" w:rsidRPr="006444DD" w:rsidRDefault="006444DD" w:rsidP="006444DD">
            <w:pPr>
              <w:keepNext/>
              <w:jc w:val="right"/>
              <w:rPr>
                <w:sz w:val="20"/>
                <w:szCs w:val="22"/>
              </w:rPr>
            </w:pPr>
            <w:r>
              <w:rPr>
                <w:sz w:val="20"/>
                <w:szCs w:val="22"/>
              </w:rPr>
              <w:t>4.0</w:t>
            </w:r>
          </w:p>
        </w:tc>
      </w:tr>
      <w:tr w:rsidR="006444DD" w:rsidRPr="006444DD" w14:paraId="38009814" w14:textId="77777777" w:rsidTr="006444DD">
        <w:trPr>
          <w:trHeight w:val="288"/>
        </w:trPr>
        <w:tc>
          <w:tcPr>
            <w:tcW w:w="5040" w:type="dxa"/>
            <w:vAlign w:val="center"/>
          </w:tcPr>
          <w:p w14:paraId="67B98BC6" w14:textId="77777777" w:rsidR="006444DD" w:rsidRPr="006444DD" w:rsidRDefault="006444DD" w:rsidP="006444DD">
            <w:pPr>
              <w:keepNext/>
              <w:rPr>
                <w:sz w:val="20"/>
                <w:szCs w:val="22"/>
              </w:rPr>
            </w:pPr>
            <w:r w:rsidRPr="006444DD">
              <w:rPr>
                <w:sz w:val="20"/>
                <w:szCs w:val="22"/>
              </w:rPr>
              <w:t>Secured by Nonfarm Nonresidential Properties</w:t>
            </w:r>
          </w:p>
        </w:tc>
        <w:tc>
          <w:tcPr>
            <w:tcW w:w="1890" w:type="dxa"/>
            <w:vAlign w:val="center"/>
          </w:tcPr>
          <w:p w14:paraId="54341211" w14:textId="77777777" w:rsidR="006444DD" w:rsidRPr="006444DD" w:rsidRDefault="006444DD" w:rsidP="006444DD">
            <w:pPr>
              <w:keepNext/>
              <w:jc w:val="right"/>
              <w:rPr>
                <w:sz w:val="20"/>
                <w:szCs w:val="22"/>
              </w:rPr>
            </w:pPr>
            <w:r>
              <w:rPr>
                <w:sz w:val="20"/>
                <w:szCs w:val="22"/>
              </w:rPr>
              <w:t>169,053</w:t>
            </w:r>
          </w:p>
        </w:tc>
        <w:tc>
          <w:tcPr>
            <w:tcW w:w="1738" w:type="dxa"/>
            <w:vAlign w:val="center"/>
          </w:tcPr>
          <w:p w14:paraId="6CA60451" w14:textId="77777777" w:rsidR="006444DD" w:rsidRPr="006444DD" w:rsidRDefault="00F172A9" w:rsidP="006444DD">
            <w:pPr>
              <w:keepNext/>
              <w:jc w:val="right"/>
              <w:rPr>
                <w:sz w:val="20"/>
                <w:szCs w:val="22"/>
              </w:rPr>
            </w:pPr>
            <w:r>
              <w:rPr>
                <w:sz w:val="20"/>
                <w:szCs w:val="22"/>
              </w:rPr>
              <w:t>33.3</w:t>
            </w:r>
          </w:p>
        </w:tc>
      </w:tr>
      <w:tr w:rsidR="006444DD" w:rsidRPr="006444DD" w14:paraId="1D833C8F" w14:textId="77777777" w:rsidTr="006444DD">
        <w:trPr>
          <w:trHeight w:val="288"/>
        </w:trPr>
        <w:tc>
          <w:tcPr>
            <w:tcW w:w="5040" w:type="dxa"/>
            <w:vAlign w:val="center"/>
          </w:tcPr>
          <w:p w14:paraId="09D70C76" w14:textId="77777777" w:rsidR="006444DD" w:rsidRPr="006444DD" w:rsidRDefault="006444DD" w:rsidP="006444DD">
            <w:pPr>
              <w:keepNext/>
              <w:rPr>
                <w:b/>
                <w:sz w:val="20"/>
                <w:szCs w:val="22"/>
              </w:rPr>
            </w:pPr>
            <w:r w:rsidRPr="006444DD">
              <w:rPr>
                <w:b/>
                <w:sz w:val="20"/>
                <w:szCs w:val="22"/>
              </w:rPr>
              <w:t>Total Real Estate Loans</w:t>
            </w:r>
          </w:p>
        </w:tc>
        <w:tc>
          <w:tcPr>
            <w:tcW w:w="1890" w:type="dxa"/>
            <w:vAlign w:val="center"/>
          </w:tcPr>
          <w:p w14:paraId="1A05D280" w14:textId="77777777" w:rsidR="006444DD" w:rsidRPr="006444DD" w:rsidRDefault="006444DD" w:rsidP="006444DD">
            <w:pPr>
              <w:keepNext/>
              <w:jc w:val="right"/>
              <w:rPr>
                <w:b/>
                <w:sz w:val="20"/>
                <w:szCs w:val="22"/>
              </w:rPr>
            </w:pPr>
            <w:r>
              <w:rPr>
                <w:b/>
                <w:sz w:val="20"/>
                <w:szCs w:val="22"/>
              </w:rPr>
              <w:t>438,292</w:t>
            </w:r>
          </w:p>
        </w:tc>
        <w:tc>
          <w:tcPr>
            <w:tcW w:w="1738" w:type="dxa"/>
            <w:vAlign w:val="center"/>
          </w:tcPr>
          <w:p w14:paraId="6C6944D9" w14:textId="77777777" w:rsidR="006444DD" w:rsidRPr="006444DD" w:rsidRDefault="00F172A9" w:rsidP="006444DD">
            <w:pPr>
              <w:keepNext/>
              <w:jc w:val="right"/>
              <w:rPr>
                <w:b/>
                <w:sz w:val="20"/>
                <w:szCs w:val="22"/>
              </w:rPr>
            </w:pPr>
            <w:r>
              <w:rPr>
                <w:b/>
                <w:sz w:val="20"/>
                <w:szCs w:val="22"/>
              </w:rPr>
              <w:t>86.5</w:t>
            </w:r>
          </w:p>
        </w:tc>
      </w:tr>
      <w:tr w:rsidR="006444DD" w:rsidRPr="006444DD" w14:paraId="4028A8CB" w14:textId="77777777" w:rsidTr="006444DD">
        <w:trPr>
          <w:trHeight w:val="288"/>
        </w:trPr>
        <w:tc>
          <w:tcPr>
            <w:tcW w:w="5040" w:type="dxa"/>
            <w:vAlign w:val="center"/>
          </w:tcPr>
          <w:p w14:paraId="4EB6FA03" w14:textId="77777777" w:rsidR="006444DD" w:rsidRPr="006444DD" w:rsidRDefault="006444DD" w:rsidP="006444DD">
            <w:pPr>
              <w:keepNext/>
              <w:rPr>
                <w:sz w:val="20"/>
                <w:szCs w:val="22"/>
              </w:rPr>
            </w:pPr>
            <w:r w:rsidRPr="006444DD">
              <w:rPr>
                <w:sz w:val="20"/>
                <w:szCs w:val="22"/>
              </w:rPr>
              <w:t>Commercial and Industrial Loans</w:t>
            </w:r>
          </w:p>
        </w:tc>
        <w:tc>
          <w:tcPr>
            <w:tcW w:w="1890" w:type="dxa"/>
            <w:vAlign w:val="center"/>
          </w:tcPr>
          <w:p w14:paraId="5CA22A8B" w14:textId="77777777" w:rsidR="006444DD" w:rsidRPr="006444DD" w:rsidRDefault="006444DD" w:rsidP="006444DD">
            <w:pPr>
              <w:keepNext/>
              <w:jc w:val="right"/>
              <w:rPr>
                <w:sz w:val="20"/>
                <w:szCs w:val="22"/>
              </w:rPr>
            </w:pPr>
            <w:r>
              <w:rPr>
                <w:sz w:val="20"/>
                <w:szCs w:val="22"/>
              </w:rPr>
              <w:t>44,672</w:t>
            </w:r>
          </w:p>
        </w:tc>
        <w:tc>
          <w:tcPr>
            <w:tcW w:w="1738" w:type="dxa"/>
            <w:vAlign w:val="center"/>
          </w:tcPr>
          <w:p w14:paraId="5446EE16" w14:textId="77777777" w:rsidR="006444DD" w:rsidRPr="006444DD" w:rsidRDefault="006444DD" w:rsidP="006444DD">
            <w:pPr>
              <w:keepNext/>
              <w:jc w:val="right"/>
              <w:rPr>
                <w:sz w:val="20"/>
                <w:szCs w:val="22"/>
              </w:rPr>
            </w:pPr>
            <w:r>
              <w:rPr>
                <w:sz w:val="20"/>
                <w:szCs w:val="22"/>
              </w:rPr>
              <w:t>8.8</w:t>
            </w:r>
          </w:p>
        </w:tc>
      </w:tr>
      <w:tr w:rsidR="006444DD" w:rsidRPr="006444DD" w14:paraId="3005852C" w14:textId="77777777" w:rsidTr="00C45697">
        <w:trPr>
          <w:trHeight w:val="305"/>
        </w:trPr>
        <w:tc>
          <w:tcPr>
            <w:tcW w:w="5040" w:type="dxa"/>
            <w:vAlign w:val="center"/>
          </w:tcPr>
          <w:p w14:paraId="72E055AD" w14:textId="77777777" w:rsidR="006444DD" w:rsidRPr="006444DD" w:rsidRDefault="006444DD" w:rsidP="006444DD">
            <w:pPr>
              <w:keepNext/>
              <w:rPr>
                <w:sz w:val="20"/>
                <w:szCs w:val="22"/>
              </w:rPr>
            </w:pPr>
            <w:r w:rsidRPr="006444DD">
              <w:rPr>
                <w:sz w:val="20"/>
                <w:szCs w:val="22"/>
              </w:rPr>
              <w:t>Consumer Loans</w:t>
            </w:r>
          </w:p>
        </w:tc>
        <w:tc>
          <w:tcPr>
            <w:tcW w:w="1890" w:type="dxa"/>
            <w:vAlign w:val="center"/>
          </w:tcPr>
          <w:p w14:paraId="2343B733" w14:textId="77777777" w:rsidR="006444DD" w:rsidRPr="006444DD" w:rsidRDefault="00F172A9" w:rsidP="006444DD">
            <w:pPr>
              <w:keepNext/>
              <w:jc w:val="right"/>
              <w:rPr>
                <w:sz w:val="20"/>
                <w:szCs w:val="22"/>
              </w:rPr>
            </w:pPr>
            <w:r>
              <w:rPr>
                <w:sz w:val="20"/>
                <w:szCs w:val="22"/>
              </w:rPr>
              <w:t>23,697</w:t>
            </w:r>
          </w:p>
        </w:tc>
        <w:tc>
          <w:tcPr>
            <w:tcW w:w="1738" w:type="dxa"/>
            <w:vAlign w:val="center"/>
          </w:tcPr>
          <w:p w14:paraId="77D7E1FC" w14:textId="77777777" w:rsidR="006444DD" w:rsidRPr="006444DD" w:rsidRDefault="006444DD" w:rsidP="006444DD">
            <w:pPr>
              <w:keepNext/>
              <w:jc w:val="right"/>
              <w:rPr>
                <w:sz w:val="20"/>
                <w:szCs w:val="22"/>
              </w:rPr>
            </w:pPr>
            <w:r>
              <w:rPr>
                <w:sz w:val="20"/>
                <w:szCs w:val="22"/>
              </w:rPr>
              <w:t>4.7</w:t>
            </w:r>
          </w:p>
        </w:tc>
      </w:tr>
      <w:tr w:rsidR="006444DD" w:rsidRPr="006444DD" w14:paraId="1149EEA1" w14:textId="77777777" w:rsidTr="006444DD">
        <w:trPr>
          <w:trHeight w:val="288"/>
        </w:trPr>
        <w:tc>
          <w:tcPr>
            <w:tcW w:w="5040" w:type="dxa"/>
            <w:vAlign w:val="center"/>
          </w:tcPr>
          <w:p w14:paraId="5ED2AFF1" w14:textId="77777777" w:rsidR="006444DD" w:rsidRPr="006444DD" w:rsidRDefault="006444DD" w:rsidP="006444DD">
            <w:pPr>
              <w:keepNext/>
              <w:rPr>
                <w:sz w:val="20"/>
                <w:szCs w:val="22"/>
              </w:rPr>
            </w:pPr>
            <w:r w:rsidRPr="006444DD">
              <w:rPr>
                <w:sz w:val="20"/>
                <w:szCs w:val="22"/>
              </w:rPr>
              <w:t>Other Loans</w:t>
            </w:r>
          </w:p>
        </w:tc>
        <w:tc>
          <w:tcPr>
            <w:tcW w:w="1890" w:type="dxa"/>
            <w:vAlign w:val="center"/>
          </w:tcPr>
          <w:p w14:paraId="53B48AEA" w14:textId="77777777" w:rsidR="006444DD" w:rsidRPr="006444DD" w:rsidRDefault="00F172A9" w:rsidP="006444DD">
            <w:pPr>
              <w:keepNext/>
              <w:jc w:val="right"/>
              <w:rPr>
                <w:sz w:val="20"/>
                <w:szCs w:val="22"/>
              </w:rPr>
            </w:pPr>
            <w:r>
              <w:rPr>
                <w:sz w:val="20"/>
                <w:szCs w:val="22"/>
              </w:rPr>
              <w:t>42</w:t>
            </w:r>
          </w:p>
        </w:tc>
        <w:tc>
          <w:tcPr>
            <w:tcW w:w="1738" w:type="dxa"/>
            <w:vAlign w:val="center"/>
          </w:tcPr>
          <w:p w14:paraId="50420F18" w14:textId="77777777" w:rsidR="006444DD" w:rsidRPr="006444DD" w:rsidRDefault="00F172A9" w:rsidP="006444DD">
            <w:pPr>
              <w:keepNext/>
              <w:jc w:val="right"/>
              <w:rPr>
                <w:sz w:val="20"/>
                <w:szCs w:val="22"/>
              </w:rPr>
            </w:pPr>
            <w:r>
              <w:rPr>
                <w:sz w:val="20"/>
                <w:szCs w:val="22"/>
              </w:rPr>
              <w:t>0.0</w:t>
            </w:r>
          </w:p>
        </w:tc>
      </w:tr>
      <w:tr w:rsidR="006444DD" w:rsidRPr="006444DD" w14:paraId="7C6B0D17" w14:textId="77777777" w:rsidTr="006444DD">
        <w:trPr>
          <w:trHeight w:val="288"/>
        </w:trPr>
        <w:tc>
          <w:tcPr>
            <w:tcW w:w="5040" w:type="dxa"/>
            <w:vAlign w:val="center"/>
          </w:tcPr>
          <w:p w14:paraId="5C5440F9" w14:textId="77777777" w:rsidR="006444DD" w:rsidRPr="006444DD" w:rsidRDefault="006444DD" w:rsidP="006444DD">
            <w:pPr>
              <w:keepNext/>
              <w:rPr>
                <w:b/>
                <w:sz w:val="20"/>
                <w:szCs w:val="22"/>
              </w:rPr>
            </w:pPr>
            <w:r w:rsidRPr="006444DD">
              <w:rPr>
                <w:b/>
                <w:sz w:val="20"/>
                <w:szCs w:val="22"/>
              </w:rPr>
              <w:t>Total Loans</w:t>
            </w:r>
          </w:p>
        </w:tc>
        <w:tc>
          <w:tcPr>
            <w:tcW w:w="1890" w:type="dxa"/>
            <w:vAlign w:val="center"/>
          </w:tcPr>
          <w:p w14:paraId="274D69EC" w14:textId="77777777" w:rsidR="006444DD" w:rsidRPr="006444DD" w:rsidRDefault="00F172A9" w:rsidP="006444DD">
            <w:pPr>
              <w:keepNext/>
              <w:jc w:val="right"/>
              <w:rPr>
                <w:b/>
                <w:sz w:val="20"/>
                <w:szCs w:val="22"/>
              </w:rPr>
            </w:pPr>
            <w:r>
              <w:rPr>
                <w:b/>
                <w:sz w:val="20"/>
                <w:szCs w:val="22"/>
              </w:rPr>
              <w:t>506,703</w:t>
            </w:r>
          </w:p>
        </w:tc>
        <w:tc>
          <w:tcPr>
            <w:tcW w:w="1738" w:type="dxa"/>
            <w:vAlign w:val="center"/>
          </w:tcPr>
          <w:p w14:paraId="5FE557ED" w14:textId="77777777" w:rsidR="006444DD" w:rsidRPr="006444DD" w:rsidRDefault="00F172A9" w:rsidP="006444DD">
            <w:pPr>
              <w:keepNext/>
              <w:jc w:val="right"/>
              <w:rPr>
                <w:b/>
                <w:sz w:val="20"/>
                <w:szCs w:val="22"/>
              </w:rPr>
            </w:pPr>
            <w:r>
              <w:rPr>
                <w:b/>
                <w:sz w:val="20"/>
                <w:szCs w:val="22"/>
              </w:rPr>
              <w:t>100.0</w:t>
            </w:r>
          </w:p>
        </w:tc>
      </w:tr>
      <w:tr w:rsidR="006444DD" w:rsidRPr="006444DD" w14:paraId="4AA875F9" w14:textId="77777777" w:rsidTr="006444DD">
        <w:trPr>
          <w:trHeight w:val="288"/>
        </w:trPr>
        <w:tc>
          <w:tcPr>
            <w:tcW w:w="8668" w:type="dxa"/>
            <w:gridSpan w:val="3"/>
            <w:vAlign w:val="center"/>
          </w:tcPr>
          <w:p w14:paraId="31E21E12" w14:textId="77777777" w:rsidR="006444DD" w:rsidRPr="006444DD" w:rsidRDefault="006444DD" w:rsidP="006444DD">
            <w:pPr>
              <w:keepNext/>
              <w:rPr>
                <w:sz w:val="20"/>
                <w:szCs w:val="22"/>
              </w:rPr>
            </w:pPr>
            <w:r w:rsidRPr="006444DD">
              <w:rPr>
                <w:i/>
                <w:sz w:val="16"/>
                <w:szCs w:val="16"/>
              </w:rPr>
              <w:t>Source:  Reports of Condition and Income</w:t>
            </w:r>
          </w:p>
        </w:tc>
      </w:tr>
    </w:tbl>
    <w:p w14:paraId="3BC2BEB4" w14:textId="77777777" w:rsidR="00FB7E5F" w:rsidRDefault="00FB7E5F" w:rsidP="009A16EB">
      <w:pPr>
        <w:rPr>
          <w:bCs/>
          <w:iCs/>
          <w:color w:val="000000"/>
        </w:rPr>
      </w:pPr>
    </w:p>
    <w:p w14:paraId="391AD2C9" w14:textId="77777777" w:rsidR="006444DD" w:rsidRPr="00EA47E1" w:rsidRDefault="00C84AC2" w:rsidP="00EA47E1">
      <w:pPr>
        <w:spacing w:after="160"/>
        <w:rPr>
          <w:rFonts w:eastAsia="Calibri"/>
        </w:rPr>
      </w:pPr>
      <w:r w:rsidRPr="00E43F7D">
        <w:rPr>
          <w:rFonts w:eastAsia="Calibri"/>
        </w:rPr>
        <w:t>There are no significant financial</w:t>
      </w:r>
      <w:r w:rsidR="001C5348">
        <w:rPr>
          <w:rFonts w:eastAsia="Calibri"/>
        </w:rPr>
        <w:t>, legal</w:t>
      </w:r>
      <w:r w:rsidR="00A21182">
        <w:rPr>
          <w:rFonts w:eastAsia="Calibri"/>
        </w:rPr>
        <w:t>,</w:t>
      </w:r>
      <w:r w:rsidR="001C5348">
        <w:rPr>
          <w:rFonts w:eastAsia="Calibri"/>
        </w:rPr>
        <w:t xml:space="preserve"> </w:t>
      </w:r>
      <w:r w:rsidRPr="00E43F7D">
        <w:rPr>
          <w:rFonts w:eastAsia="Calibri"/>
        </w:rPr>
        <w:t xml:space="preserve">or </w:t>
      </w:r>
      <w:r w:rsidR="001C5348">
        <w:rPr>
          <w:rFonts w:eastAsia="Calibri"/>
        </w:rPr>
        <w:t xml:space="preserve">other impediments </w:t>
      </w:r>
      <w:r w:rsidRPr="00E43F7D">
        <w:rPr>
          <w:rFonts w:eastAsia="Calibri"/>
        </w:rPr>
        <w:t xml:space="preserve">that would limit the bank’s ability to help meet the credit </w:t>
      </w:r>
      <w:r w:rsidR="001C5348">
        <w:rPr>
          <w:rFonts w:eastAsia="Calibri"/>
        </w:rPr>
        <w:t>needs</w:t>
      </w:r>
      <w:r w:rsidRPr="00E43F7D">
        <w:rPr>
          <w:rFonts w:eastAsia="Calibri"/>
        </w:rPr>
        <w:t xml:space="preserve"> of its assessment area.</w:t>
      </w:r>
    </w:p>
    <w:p w14:paraId="5515493A" w14:textId="77777777" w:rsidR="00A02BFE" w:rsidRDefault="00A02BFE" w:rsidP="004C54EC">
      <w:pPr>
        <w:jc w:val="center"/>
        <w:rPr>
          <w:b/>
          <w:sz w:val="28"/>
          <w:szCs w:val="28"/>
        </w:rPr>
      </w:pPr>
    </w:p>
    <w:p w14:paraId="2CA7189A" w14:textId="77777777" w:rsidR="004C54EC" w:rsidRDefault="004C54EC" w:rsidP="004C54EC">
      <w:pPr>
        <w:jc w:val="center"/>
        <w:rPr>
          <w:b/>
          <w:sz w:val="28"/>
          <w:szCs w:val="28"/>
        </w:rPr>
      </w:pPr>
      <w:r>
        <w:rPr>
          <w:b/>
          <w:sz w:val="28"/>
          <w:szCs w:val="28"/>
        </w:rPr>
        <w:lastRenderedPageBreak/>
        <w:t>DESCRIPTION OF ASSESSMENT AREA</w:t>
      </w:r>
    </w:p>
    <w:p w14:paraId="2167A051" w14:textId="77777777" w:rsidR="004C54EC" w:rsidRDefault="004C54EC" w:rsidP="004C54EC">
      <w:pPr>
        <w:jc w:val="center"/>
        <w:rPr>
          <w:b/>
          <w:sz w:val="28"/>
          <w:szCs w:val="28"/>
        </w:rPr>
      </w:pPr>
    </w:p>
    <w:p w14:paraId="1F7E0B22" w14:textId="77777777" w:rsidR="004C54EC" w:rsidRDefault="004C54EC" w:rsidP="004C54EC">
      <w:r>
        <w:t xml:space="preserve">The CRA requires </w:t>
      </w:r>
      <w:r w:rsidR="000306C6">
        <w:t xml:space="preserve">each </w:t>
      </w:r>
      <w:r>
        <w:t xml:space="preserve">financial institution to define </w:t>
      </w:r>
      <w:r w:rsidR="000306C6">
        <w:t xml:space="preserve">one or more </w:t>
      </w:r>
      <w:r>
        <w:t>assessment area</w:t>
      </w:r>
      <w:r w:rsidR="000306C6">
        <w:t>(s)</w:t>
      </w:r>
      <w:r>
        <w:t xml:space="preserve"> within which its CRA performance </w:t>
      </w:r>
      <w:r w:rsidR="000306C6">
        <w:t>is</w:t>
      </w:r>
      <w:r>
        <w:t xml:space="preserve"> evaluated.  </w:t>
      </w:r>
      <w:r w:rsidR="00287D57">
        <w:t>Savers</w:t>
      </w:r>
      <w:r>
        <w:t xml:space="preserve"> designated a single assessment area in Massachusetts consisting of portions of Worcester County.  </w:t>
      </w:r>
      <w:r w:rsidR="008D5150">
        <w:t>The bank</w:t>
      </w:r>
      <w:r>
        <w:t xml:space="preserve">’s assessment area includes the following towns: Auburn, Charlton, Douglas, Dudley, Grafton, Millbury, Northbridge, Oxford, Southbridge, Sturbridge, Sutton, Uxbridge, </w:t>
      </w:r>
      <w:r w:rsidR="00A02BFE">
        <w:t>Webster</w:t>
      </w:r>
      <w:r w:rsidR="00A21182">
        <w:t>,</w:t>
      </w:r>
      <w:r w:rsidR="00A02BFE">
        <w:t xml:space="preserve"> and </w:t>
      </w:r>
      <w:r>
        <w:t xml:space="preserve">Whitinsville.  </w:t>
      </w:r>
    </w:p>
    <w:p w14:paraId="417DEAAC" w14:textId="77777777" w:rsidR="00C705A5" w:rsidRDefault="00C705A5" w:rsidP="004C54EC"/>
    <w:p w14:paraId="16A0A1BA" w14:textId="77777777" w:rsidR="004C54EC" w:rsidRDefault="004C54EC" w:rsidP="004C54EC">
      <w:pPr>
        <w:rPr>
          <w:b/>
          <w:i/>
        </w:rPr>
      </w:pPr>
      <w:r>
        <w:rPr>
          <w:b/>
          <w:i/>
        </w:rPr>
        <w:t>Economic and Demographic Data</w:t>
      </w:r>
    </w:p>
    <w:p w14:paraId="2B691CDC" w14:textId="77777777" w:rsidR="004C54EC" w:rsidRDefault="004C54EC" w:rsidP="004C54EC">
      <w:pPr>
        <w:rPr>
          <w:b/>
          <w:i/>
        </w:rPr>
      </w:pPr>
    </w:p>
    <w:p w14:paraId="7A84F7EA" w14:textId="77777777" w:rsidR="001C3FED" w:rsidRDefault="004C54EC" w:rsidP="004C54EC">
      <w:r>
        <w:t xml:space="preserve">The </w:t>
      </w:r>
      <w:r w:rsidR="00A21182">
        <w:t xml:space="preserve">assessment area is composed of </w:t>
      </w:r>
      <w:r>
        <w:t xml:space="preserve">37 census tracts </w:t>
      </w:r>
      <w:r w:rsidR="00A21182">
        <w:t>with the f</w:t>
      </w:r>
      <w:r w:rsidR="001C3FED">
        <w:t>ollowing income designations according to the 201</w:t>
      </w:r>
      <w:r w:rsidR="000306C6">
        <w:t>5 A</w:t>
      </w:r>
      <w:r w:rsidR="00A21182">
        <w:t>merican Community Survey (A</w:t>
      </w:r>
      <w:r w:rsidR="000306C6">
        <w:t>CS</w:t>
      </w:r>
      <w:r w:rsidR="00A21182">
        <w:t>)</w:t>
      </w:r>
      <w:r w:rsidR="000306C6">
        <w:t xml:space="preserve"> data</w:t>
      </w:r>
      <w:r w:rsidR="00CD7003">
        <w:t>:</w:t>
      </w:r>
    </w:p>
    <w:p w14:paraId="5A27BD99" w14:textId="77777777" w:rsidR="001C3FED" w:rsidRDefault="001C3FED" w:rsidP="004C54EC"/>
    <w:p w14:paraId="41A17E82" w14:textId="77777777" w:rsidR="001C3FED" w:rsidRDefault="00A21182" w:rsidP="001C3FED">
      <w:pPr>
        <w:pStyle w:val="BulletOrder"/>
        <w:numPr>
          <w:ilvl w:val="0"/>
          <w:numId w:val="9"/>
        </w:numPr>
      </w:pPr>
      <w:r>
        <w:t xml:space="preserve">  </w:t>
      </w:r>
      <w:r w:rsidR="001C3FED">
        <w:t>2 low-income census tracts</w:t>
      </w:r>
    </w:p>
    <w:p w14:paraId="6B7F1897" w14:textId="77777777" w:rsidR="001C3FED" w:rsidRDefault="00A21182" w:rsidP="001C3FED">
      <w:pPr>
        <w:pStyle w:val="BulletOrder"/>
        <w:numPr>
          <w:ilvl w:val="0"/>
          <w:numId w:val="9"/>
        </w:numPr>
      </w:pPr>
      <w:r>
        <w:t xml:space="preserve">  </w:t>
      </w:r>
      <w:r w:rsidR="001C3FED">
        <w:t>6 moderate-income census tracts</w:t>
      </w:r>
    </w:p>
    <w:p w14:paraId="05DF511F" w14:textId="77777777" w:rsidR="001C3FED" w:rsidRDefault="001C3FED" w:rsidP="001C3FED">
      <w:pPr>
        <w:pStyle w:val="BulletOrder"/>
        <w:numPr>
          <w:ilvl w:val="0"/>
          <w:numId w:val="9"/>
        </w:numPr>
      </w:pPr>
      <w:r>
        <w:t>16 middle-income census tracts</w:t>
      </w:r>
    </w:p>
    <w:p w14:paraId="6337B3E7" w14:textId="77777777" w:rsidR="001C3FED" w:rsidRDefault="001C3FED" w:rsidP="001C3FED">
      <w:pPr>
        <w:pStyle w:val="BulletOrder"/>
        <w:numPr>
          <w:ilvl w:val="0"/>
          <w:numId w:val="9"/>
        </w:numPr>
      </w:pPr>
      <w:r>
        <w:t>13 upper-income census tracts</w:t>
      </w:r>
    </w:p>
    <w:p w14:paraId="6AFD941C" w14:textId="77777777" w:rsidR="001C3FED" w:rsidRDefault="001C3FED" w:rsidP="004C54EC"/>
    <w:p w14:paraId="1D27E54B" w14:textId="77777777" w:rsidR="004C54EC" w:rsidRDefault="004C54EC" w:rsidP="004C54EC">
      <w:r>
        <w:t>The two low-income census tracts are located in Southbridge.  The moderate-income census tracts are located in Dudley (</w:t>
      </w:r>
      <w:r w:rsidR="001C3FED">
        <w:t>1</w:t>
      </w:r>
      <w:r>
        <w:t>), Millbury (</w:t>
      </w:r>
      <w:r w:rsidR="001C3FED">
        <w:t>1</w:t>
      </w:r>
      <w:r>
        <w:t>), Southbridge (</w:t>
      </w:r>
      <w:r w:rsidR="001C3FED">
        <w:t>1</w:t>
      </w:r>
      <w:r>
        <w:t>), and Webster (</w:t>
      </w:r>
      <w:r w:rsidR="001C3FED">
        <w:t>3</w:t>
      </w:r>
      <w:r>
        <w:t>).</w:t>
      </w:r>
    </w:p>
    <w:p w14:paraId="1E94301C" w14:textId="77777777" w:rsidR="00A21182" w:rsidRDefault="00A21182" w:rsidP="004C54EC"/>
    <w:p w14:paraId="36066F0D" w14:textId="77777777" w:rsidR="004C54EC" w:rsidRDefault="004C54EC" w:rsidP="004C54EC">
      <w:r>
        <w:t>The following table illustrates select demographic characteristics of the assessment area.</w:t>
      </w:r>
    </w:p>
    <w:p w14:paraId="2FDF0723" w14:textId="77777777" w:rsidR="00A21182" w:rsidRDefault="00A21182" w:rsidP="004C54EC"/>
    <w:tbl>
      <w:tblPr>
        <w:tblW w:w="0" w:type="auto"/>
        <w:tblCellMar>
          <w:left w:w="0" w:type="dxa"/>
          <w:right w:w="0" w:type="dxa"/>
        </w:tblCellMar>
        <w:tblLook w:val="0000" w:firstRow="0" w:lastRow="0" w:firstColumn="0" w:lastColumn="0" w:noHBand="0" w:noVBand="0"/>
      </w:tblPr>
      <w:tblGrid>
        <w:gridCol w:w="3591"/>
        <w:gridCol w:w="900"/>
        <w:gridCol w:w="850"/>
        <w:gridCol w:w="1117"/>
        <w:gridCol w:w="1047"/>
        <w:gridCol w:w="1025"/>
        <w:gridCol w:w="1100"/>
      </w:tblGrid>
      <w:tr w:rsidR="004C54EC" w14:paraId="1516CC95" w14:textId="77777777" w:rsidTr="00A21182">
        <w:trPr>
          <w:trHeight w:val="304"/>
        </w:trPr>
        <w:tc>
          <w:tcPr>
            <w:tcW w:w="963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1A219326" w14:textId="77777777" w:rsidR="004C54EC" w:rsidRDefault="004C54EC" w:rsidP="001C3FED">
            <w:pPr>
              <w:keepNext/>
              <w:jc w:val="center"/>
            </w:pPr>
            <w:r>
              <w:rPr>
                <w:b/>
                <w:color w:val="000000"/>
                <w:sz w:val="20"/>
              </w:rPr>
              <w:t>Demographic Information of the Assessment Area</w:t>
            </w:r>
          </w:p>
        </w:tc>
      </w:tr>
      <w:tr w:rsidR="004C54EC" w14:paraId="0C3994E6" w14:textId="77777777" w:rsidTr="00A21182">
        <w:trPr>
          <w:trHeight w:val="426"/>
        </w:trPr>
        <w:tc>
          <w:tcPr>
            <w:tcW w:w="35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B33750" w14:textId="77777777" w:rsidR="004C54EC" w:rsidRDefault="002E57A6" w:rsidP="00CD7003">
            <w:pPr>
              <w:keepNext/>
            </w:pPr>
            <w:r>
              <w:rPr>
                <w:b/>
                <w:color w:val="000000"/>
                <w:sz w:val="20"/>
              </w:rPr>
              <w:t xml:space="preserve">  </w:t>
            </w:r>
            <w:r w:rsidR="004C54EC">
              <w:rPr>
                <w:b/>
                <w:color w:val="000000"/>
                <w:sz w:val="20"/>
              </w:rPr>
              <w:t>Demographic Characteristics</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5DC0F8" w14:textId="77777777" w:rsidR="004C54EC" w:rsidRDefault="004C54EC" w:rsidP="001C3FED">
            <w:pPr>
              <w:keepNext/>
              <w:jc w:val="center"/>
            </w:pPr>
            <w:r>
              <w:rPr>
                <w:b/>
                <w:color w:val="000000"/>
                <w:sz w:val="20"/>
              </w:rPr>
              <w:t>#</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C0B9D1" w14:textId="77777777" w:rsidR="004C54EC" w:rsidRDefault="004C54EC" w:rsidP="001C3FED">
            <w:pPr>
              <w:keepNext/>
              <w:jc w:val="center"/>
            </w:pPr>
            <w:r>
              <w:rPr>
                <w:b/>
                <w:color w:val="000000"/>
                <w:sz w:val="20"/>
              </w:rPr>
              <w:t>Low</w:t>
            </w:r>
            <w:r>
              <w:rPr>
                <w:b/>
                <w:color w:val="000000"/>
                <w:sz w:val="20"/>
              </w:rPr>
              <w:br/>
              <w:t xml:space="preserve"> % of #</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A56AF5" w14:textId="77777777" w:rsidR="004C54EC" w:rsidRDefault="004C54EC" w:rsidP="001C3FED">
            <w:pPr>
              <w:keepNext/>
              <w:jc w:val="center"/>
            </w:pPr>
            <w:r>
              <w:rPr>
                <w:b/>
                <w:color w:val="000000"/>
                <w:sz w:val="20"/>
              </w:rPr>
              <w:t>Moderate</w:t>
            </w:r>
            <w:r>
              <w:rPr>
                <w:b/>
                <w:color w:val="000000"/>
                <w:sz w:val="20"/>
              </w:rPr>
              <w:br/>
              <w:t xml:space="preserve"> % of #</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04FF49" w14:textId="77777777" w:rsidR="004C54EC" w:rsidRDefault="004C54EC" w:rsidP="001C3FED">
            <w:pPr>
              <w:keepNext/>
              <w:jc w:val="center"/>
            </w:pPr>
            <w:r>
              <w:rPr>
                <w:b/>
                <w:color w:val="000000"/>
                <w:sz w:val="20"/>
              </w:rPr>
              <w:t>Middle</w:t>
            </w:r>
            <w:r>
              <w:rPr>
                <w:b/>
                <w:color w:val="000000"/>
                <w:sz w:val="20"/>
              </w:rPr>
              <w:br/>
              <w:t xml:space="preserve"> % of #</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C27BE5" w14:textId="77777777" w:rsidR="004C54EC" w:rsidRDefault="004C54EC" w:rsidP="001C3FED">
            <w:pPr>
              <w:keepNext/>
              <w:jc w:val="center"/>
            </w:pPr>
            <w:r>
              <w:rPr>
                <w:b/>
                <w:color w:val="000000"/>
                <w:sz w:val="20"/>
              </w:rPr>
              <w:t>Upper</w:t>
            </w:r>
            <w:r>
              <w:rPr>
                <w:b/>
                <w:color w:val="000000"/>
                <w:sz w:val="20"/>
              </w:rPr>
              <w:br/>
              <w:t>% of #</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17DB00" w14:textId="77777777" w:rsidR="004C54EC" w:rsidRDefault="004C54EC" w:rsidP="001C3FED">
            <w:pPr>
              <w:keepNext/>
              <w:jc w:val="center"/>
            </w:pPr>
            <w:r>
              <w:rPr>
                <w:b/>
                <w:color w:val="000000"/>
                <w:sz w:val="20"/>
              </w:rPr>
              <w:t xml:space="preserve">NA* </w:t>
            </w:r>
            <w:r>
              <w:rPr>
                <w:b/>
                <w:color w:val="000000"/>
                <w:sz w:val="20"/>
              </w:rPr>
              <w:br/>
              <w:t>% of #</w:t>
            </w:r>
          </w:p>
        </w:tc>
      </w:tr>
      <w:tr w:rsidR="004C54EC" w14:paraId="4AC9B0B0"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81205D0" w14:textId="77777777" w:rsidR="004C54EC" w:rsidRDefault="004C54EC" w:rsidP="001C3FED">
            <w:pPr>
              <w:keepNext/>
            </w:pPr>
            <w:r>
              <w:rPr>
                <w:color w:val="000000"/>
                <w:sz w:val="20"/>
              </w:rPr>
              <w:t>Geographies (Census Tracts)</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5B044" w14:textId="77777777" w:rsidR="004C54EC" w:rsidRDefault="004C54EC" w:rsidP="001C3FED">
            <w:pPr>
              <w:keepNext/>
              <w:jc w:val="right"/>
            </w:pPr>
            <w:r>
              <w:rPr>
                <w:color w:val="000000"/>
                <w:sz w:val="20"/>
              </w:rPr>
              <w:t>37</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E0EA" w14:textId="77777777" w:rsidR="004C54EC" w:rsidRDefault="004C54EC" w:rsidP="00A21182">
            <w:pPr>
              <w:keepNext/>
              <w:jc w:val="center"/>
            </w:pPr>
            <w:r>
              <w:rPr>
                <w:color w:val="000000"/>
                <w:sz w:val="20"/>
              </w:rPr>
              <w:t>5.4</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6466" w14:textId="77777777" w:rsidR="004C54EC" w:rsidRDefault="004C54EC" w:rsidP="00A21182">
            <w:pPr>
              <w:keepNext/>
              <w:jc w:val="center"/>
            </w:pPr>
            <w:r>
              <w:rPr>
                <w:color w:val="000000"/>
                <w:sz w:val="20"/>
              </w:rPr>
              <w:t>16.2</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46C68" w14:textId="77777777" w:rsidR="004C54EC" w:rsidRDefault="004C54EC" w:rsidP="00A21182">
            <w:pPr>
              <w:keepNext/>
              <w:jc w:val="center"/>
            </w:pPr>
            <w:r>
              <w:rPr>
                <w:color w:val="000000"/>
                <w:sz w:val="20"/>
              </w:rPr>
              <w:t>43.2</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F92F8" w14:textId="77777777" w:rsidR="004C54EC" w:rsidRDefault="004C54EC" w:rsidP="00A21182">
            <w:pPr>
              <w:keepNext/>
              <w:jc w:val="center"/>
            </w:pPr>
            <w:r>
              <w:rPr>
                <w:color w:val="000000"/>
                <w:sz w:val="20"/>
              </w:rPr>
              <w:t>35.1</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0EFC" w14:textId="77777777" w:rsidR="004C54EC" w:rsidRDefault="004C54EC" w:rsidP="00A21182">
            <w:pPr>
              <w:keepNext/>
              <w:jc w:val="center"/>
            </w:pPr>
            <w:r>
              <w:rPr>
                <w:color w:val="000000"/>
                <w:sz w:val="20"/>
              </w:rPr>
              <w:t>0.0</w:t>
            </w:r>
          </w:p>
        </w:tc>
      </w:tr>
      <w:tr w:rsidR="004C54EC" w14:paraId="139ACCF8"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68C334B" w14:textId="77777777" w:rsidR="004C54EC" w:rsidRDefault="004C54EC" w:rsidP="001C3FED">
            <w:pPr>
              <w:keepNext/>
            </w:pPr>
            <w:r>
              <w:rPr>
                <w:color w:val="000000"/>
                <w:sz w:val="20"/>
              </w:rPr>
              <w:t>Population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8988B" w14:textId="77777777" w:rsidR="004C54EC" w:rsidRDefault="004C54EC" w:rsidP="001C3FED">
            <w:pPr>
              <w:keepNext/>
              <w:jc w:val="right"/>
            </w:pPr>
            <w:r>
              <w:rPr>
                <w:color w:val="000000"/>
                <w:sz w:val="20"/>
              </w:rPr>
              <w:t>177,312</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0CD3B" w14:textId="77777777" w:rsidR="004C54EC" w:rsidRDefault="004C54EC" w:rsidP="00A21182">
            <w:pPr>
              <w:keepNext/>
              <w:jc w:val="center"/>
            </w:pPr>
            <w:r>
              <w:rPr>
                <w:color w:val="000000"/>
                <w:sz w:val="20"/>
              </w:rPr>
              <w:t>2.8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E4E3D" w14:textId="77777777" w:rsidR="004C54EC" w:rsidRDefault="004C54EC" w:rsidP="00A21182">
            <w:pPr>
              <w:keepNext/>
              <w:jc w:val="center"/>
            </w:pPr>
            <w:r>
              <w:rPr>
                <w:color w:val="000000"/>
                <w:sz w:val="20"/>
              </w:rPr>
              <w:t>11.8</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C5307" w14:textId="77777777" w:rsidR="004C54EC" w:rsidRDefault="004C54EC" w:rsidP="00A21182">
            <w:pPr>
              <w:keepNext/>
              <w:jc w:val="center"/>
            </w:pPr>
            <w:r>
              <w:rPr>
                <w:color w:val="000000"/>
                <w:sz w:val="20"/>
              </w:rPr>
              <w:t>45.8</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F75B" w14:textId="77777777" w:rsidR="004C54EC" w:rsidRDefault="004C54EC" w:rsidP="00A21182">
            <w:pPr>
              <w:keepNext/>
              <w:jc w:val="center"/>
            </w:pPr>
            <w:r>
              <w:rPr>
                <w:color w:val="000000"/>
                <w:sz w:val="20"/>
              </w:rPr>
              <w:t>39.5</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204C" w14:textId="77777777" w:rsidR="004C54EC" w:rsidRDefault="004C54EC" w:rsidP="00A21182">
            <w:pPr>
              <w:keepNext/>
              <w:jc w:val="center"/>
            </w:pPr>
            <w:r>
              <w:rPr>
                <w:color w:val="000000"/>
                <w:sz w:val="20"/>
              </w:rPr>
              <w:t>0.0</w:t>
            </w:r>
          </w:p>
        </w:tc>
      </w:tr>
      <w:tr w:rsidR="004C54EC" w14:paraId="43FB6A02"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4B5F2E7" w14:textId="77777777" w:rsidR="004C54EC" w:rsidRDefault="004C54EC" w:rsidP="001C3FED">
            <w:pPr>
              <w:keepNext/>
            </w:pPr>
            <w:r>
              <w:rPr>
                <w:color w:val="000000"/>
                <w:sz w:val="20"/>
              </w:rPr>
              <w:t>Housing Units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45339" w14:textId="77777777" w:rsidR="004C54EC" w:rsidRDefault="004C54EC" w:rsidP="001C3FED">
            <w:pPr>
              <w:keepNext/>
              <w:jc w:val="right"/>
            </w:pPr>
            <w:r>
              <w:rPr>
                <w:color w:val="000000"/>
                <w:sz w:val="20"/>
              </w:rPr>
              <w:t>71,388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97A3D" w14:textId="77777777" w:rsidR="004C54EC" w:rsidRDefault="004C54EC" w:rsidP="00A21182">
            <w:pPr>
              <w:keepNext/>
              <w:jc w:val="center"/>
            </w:pPr>
            <w:r>
              <w:rPr>
                <w:color w:val="000000"/>
                <w:sz w:val="20"/>
              </w:rPr>
              <w:t>3.5</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4967" w14:textId="77777777" w:rsidR="004C54EC" w:rsidRDefault="004C54EC" w:rsidP="00A21182">
            <w:pPr>
              <w:keepNext/>
              <w:jc w:val="center"/>
            </w:pPr>
            <w:r>
              <w:rPr>
                <w:color w:val="000000"/>
                <w:sz w:val="20"/>
              </w:rPr>
              <w:t>12.8</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ED0E" w14:textId="77777777" w:rsidR="004C54EC" w:rsidRDefault="004C54EC" w:rsidP="00A21182">
            <w:pPr>
              <w:keepNext/>
              <w:jc w:val="center"/>
            </w:pPr>
            <w:r>
              <w:rPr>
                <w:color w:val="000000"/>
                <w:sz w:val="20"/>
              </w:rPr>
              <w:t>45.9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F6A5" w14:textId="77777777" w:rsidR="004C54EC" w:rsidRDefault="004C54EC" w:rsidP="00A21182">
            <w:pPr>
              <w:keepNext/>
              <w:jc w:val="center"/>
            </w:pPr>
            <w:r>
              <w:rPr>
                <w:color w:val="000000"/>
                <w:sz w:val="20"/>
              </w:rPr>
              <w:t>37.8</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7F97F" w14:textId="77777777" w:rsidR="004C54EC" w:rsidRDefault="004C54EC" w:rsidP="00A21182">
            <w:pPr>
              <w:keepNext/>
              <w:jc w:val="center"/>
            </w:pPr>
            <w:r>
              <w:rPr>
                <w:color w:val="000000"/>
                <w:sz w:val="20"/>
              </w:rPr>
              <w:t>0.0</w:t>
            </w:r>
          </w:p>
        </w:tc>
      </w:tr>
      <w:tr w:rsidR="004C54EC" w14:paraId="7CD71709"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F1EA5A5" w14:textId="77777777" w:rsidR="004C54EC" w:rsidRDefault="004C54EC" w:rsidP="001C3FED">
            <w:pPr>
              <w:keepNext/>
            </w:pPr>
            <w:r>
              <w:rPr>
                <w:color w:val="000000"/>
                <w:sz w:val="20"/>
              </w:rPr>
              <w:t>Owner-Occupied Units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7963" w14:textId="77777777" w:rsidR="004C54EC" w:rsidRDefault="004C54EC" w:rsidP="001C3FED">
            <w:pPr>
              <w:keepNext/>
              <w:jc w:val="right"/>
            </w:pPr>
            <w:r>
              <w:rPr>
                <w:color w:val="000000"/>
                <w:sz w:val="20"/>
              </w:rPr>
              <w:t>47,291</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ED1FD" w14:textId="77777777" w:rsidR="004C54EC" w:rsidRDefault="004C54EC" w:rsidP="00A21182">
            <w:pPr>
              <w:keepNext/>
              <w:jc w:val="center"/>
            </w:pPr>
            <w:r>
              <w:rPr>
                <w:color w:val="000000"/>
                <w:sz w:val="20"/>
              </w:rPr>
              <w:t>0.7</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A96AD" w14:textId="77777777" w:rsidR="004C54EC" w:rsidRDefault="004C54EC" w:rsidP="00A21182">
            <w:pPr>
              <w:keepNext/>
              <w:jc w:val="center"/>
            </w:pPr>
            <w:r>
              <w:rPr>
                <w:color w:val="000000"/>
                <w:sz w:val="20"/>
              </w:rPr>
              <w:t>7.7</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3346D" w14:textId="77777777" w:rsidR="004C54EC" w:rsidRDefault="004C54EC" w:rsidP="00A21182">
            <w:pPr>
              <w:keepNext/>
              <w:jc w:val="center"/>
            </w:pPr>
            <w:r>
              <w:rPr>
                <w:color w:val="000000"/>
                <w:sz w:val="20"/>
              </w:rPr>
              <w:t>47.9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21AC" w14:textId="77777777" w:rsidR="004C54EC" w:rsidRDefault="004C54EC" w:rsidP="00A21182">
            <w:pPr>
              <w:keepNext/>
              <w:jc w:val="center"/>
            </w:pPr>
            <w:r>
              <w:rPr>
                <w:color w:val="000000"/>
                <w:sz w:val="20"/>
              </w:rPr>
              <w:t>43.7</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BA8CB" w14:textId="77777777" w:rsidR="004C54EC" w:rsidRDefault="004C54EC" w:rsidP="00A21182">
            <w:pPr>
              <w:keepNext/>
              <w:jc w:val="center"/>
            </w:pPr>
            <w:r>
              <w:rPr>
                <w:color w:val="000000"/>
                <w:sz w:val="20"/>
              </w:rPr>
              <w:t>0.0</w:t>
            </w:r>
          </w:p>
        </w:tc>
      </w:tr>
      <w:tr w:rsidR="004C54EC" w14:paraId="6C0B233F"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29BA350" w14:textId="77777777" w:rsidR="004C54EC" w:rsidRDefault="004C54EC" w:rsidP="001C3FED">
            <w:pPr>
              <w:keepNext/>
            </w:pPr>
            <w:r>
              <w:rPr>
                <w:color w:val="000000"/>
                <w:sz w:val="20"/>
              </w:rPr>
              <w:t>Occupied Rental Units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51566" w14:textId="77777777" w:rsidR="004C54EC" w:rsidRDefault="004C54EC" w:rsidP="001C3FED">
            <w:pPr>
              <w:keepNext/>
              <w:jc w:val="right"/>
            </w:pPr>
            <w:r>
              <w:rPr>
                <w:color w:val="000000"/>
                <w:sz w:val="20"/>
              </w:rPr>
              <w:t>18,949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9BA9" w14:textId="77777777" w:rsidR="004C54EC" w:rsidRDefault="004C54EC" w:rsidP="00A21182">
            <w:pPr>
              <w:keepNext/>
              <w:jc w:val="center"/>
            </w:pPr>
            <w:r>
              <w:rPr>
                <w:color w:val="000000"/>
                <w:sz w:val="20"/>
              </w:rPr>
              <w:t>9.5</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5F50" w14:textId="77777777" w:rsidR="004C54EC" w:rsidRDefault="004C54EC" w:rsidP="00A21182">
            <w:pPr>
              <w:keepNext/>
              <w:jc w:val="center"/>
            </w:pPr>
            <w:r>
              <w:rPr>
                <w:color w:val="000000"/>
                <w:sz w:val="20"/>
              </w:rPr>
              <w:t>23.8</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74D64" w14:textId="77777777" w:rsidR="004C54EC" w:rsidRDefault="004C54EC" w:rsidP="00A21182">
            <w:pPr>
              <w:keepNext/>
              <w:jc w:val="center"/>
            </w:pPr>
            <w:r>
              <w:rPr>
                <w:color w:val="000000"/>
                <w:sz w:val="20"/>
              </w:rPr>
              <w:t>40.6</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BA30" w14:textId="77777777" w:rsidR="004C54EC" w:rsidRDefault="004C54EC" w:rsidP="00A21182">
            <w:pPr>
              <w:keepNext/>
              <w:jc w:val="center"/>
            </w:pPr>
            <w:r>
              <w:rPr>
                <w:color w:val="000000"/>
                <w:sz w:val="20"/>
              </w:rPr>
              <w:t>26.1</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9A80" w14:textId="77777777" w:rsidR="004C54EC" w:rsidRDefault="004C54EC" w:rsidP="00A21182">
            <w:pPr>
              <w:keepNext/>
              <w:jc w:val="center"/>
            </w:pPr>
            <w:r>
              <w:rPr>
                <w:color w:val="000000"/>
                <w:sz w:val="20"/>
              </w:rPr>
              <w:t>0.0</w:t>
            </w:r>
          </w:p>
        </w:tc>
      </w:tr>
      <w:tr w:rsidR="004C54EC" w14:paraId="47C11943"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25426BF" w14:textId="77777777" w:rsidR="004C54EC" w:rsidRDefault="004C54EC" w:rsidP="001C3FED">
            <w:pPr>
              <w:keepNext/>
            </w:pPr>
            <w:r>
              <w:rPr>
                <w:color w:val="000000"/>
                <w:sz w:val="20"/>
              </w:rPr>
              <w:t>Vacant Units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F0E6D" w14:textId="77777777" w:rsidR="004C54EC" w:rsidRDefault="004C54EC" w:rsidP="001C3FED">
            <w:pPr>
              <w:keepNext/>
              <w:jc w:val="right"/>
            </w:pPr>
            <w:r>
              <w:rPr>
                <w:color w:val="000000"/>
                <w:sz w:val="20"/>
              </w:rPr>
              <w:t>5,148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96FC5" w14:textId="77777777" w:rsidR="004C54EC" w:rsidRDefault="004C54EC" w:rsidP="00A21182">
            <w:pPr>
              <w:keepNext/>
              <w:jc w:val="center"/>
            </w:pPr>
            <w:r>
              <w:rPr>
                <w:color w:val="000000"/>
                <w:sz w:val="20"/>
              </w:rPr>
              <w:t>6.8</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D95E" w14:textId="77777777" w:rsidR="004C54EC" w:rsidRDefault="004C54EC" w:rsidP="00A21182">
            <w:pPr>
              <w:keepNext/>
              <w:jc w:val="center"/>
            </w:pPr>
            <w:r>
              <w:rPr>
                <w:color w:val="000000"/>
                <w:sz w:val="20"/>
              </w:rPr>
              <w:t>19.4</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CCE35" w14:textId="77777777" w:rsidR="004C54EC" w:rsidRDefault="004C54EC" w:rsidP="00A21182">
            <w:pPr>
              <w:keepNext/>
              <w:jc w:val="center"/>
            </w:pPr>
            <w:r>
              <w:rPr>
                <w:color w:val="000000"/>
                <w:sz w:val="20"/>
              </w:rPr>
              <w:t>46.8</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F7FD4" w14:textId="77777777" w:rsidR="004C54EC" w:rsidRDefault="004C54EC" w:rsidP="00A21182">
            <w:pPr>
              <w:keepNext/>
              <w:jc w:val="center"/>
            </w:pPr>
            <w:r>
              <w:rPr>
                <w:color w:val="000000"/>
                <w:sz w:val="20"/>
              </w:rPr>
              <w:t>27.0</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A0D1" w14:textId="77777777" w:rsidR="004C54EC" w:rsidRDefault="004C54EC" w:rsidP="00A21182">
            <w:pPr>
              <w:keepNext/>
              <w:jc w:val="center"/>
            </w:pPr>
            <w:r>
              <w:rPr>
                <w:color w:val="000000"/>
                <w:sz w:val="20"/>
              </w:rPr>
              <w:t>0.0</w:t>
            </w:r>
          </w:p>
        </w:tc>
      </w:tr>
      <w:tr w:rsidR="004C54EC" w14:paraId="1517C6F5"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5F3070A" w14:textId="77777777" w:rsidR="004C54EC" w:rsidRDefault="004C54EC" w:rsidP="001C3FED">
            <w:pPr>
              <w:keepNext/>
            </w:pPr>
            <w:r>
              <w:rPr>
                <w:color w:val="000000"/>
                <w:sz w:val="20"/>
              </w:rPr>
              <w:t>Businesses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1F375" w14:textId="77777777" w:rsidR="004C54EC" w:rsidRDefault="004C54EC" w:rsidP="001C3FED">
            <w:pPr>
              <w:keepNext/>
              <w:jc w:val="right"/>
            </w:pPr>
            <w:r>
              <w:rPr>
                <w:color w:val="000000"/>
                <w:sz w:val="20"/>
              </w:rPr>
              <w:t>10,559</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5ADC4" w14:textId="77777777" w:rsidR="004C54EC" w:rsidRDefault="004C54EC" w:rsidP="00A21182">
            <w:pPr>
              <w:keepNext/>
              <w:jc w:val="center"/>
            </w:pPr>
            <w:r>
              <w:rPr>
                <w:color w:val="000000"/>
                <w:sz w:val="20"/>
              </w:rPr>
              <w:t>3.5</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7FF03" w14:textId="77777777" w:rsidR="004C54EC" w:rsidRDefault="004C54EC" w:rsidP="00A21182">
            <w:pPr>
              <w:keepNext/>
              <w:jc w:val="center"/>
            </w:pPr>
            <w:r>
              <w:rPr>
                <w:color w:val="000000"/>
                <w:sz w:val="20"/>
              </w:rPr>
              <w:t>9.6</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E284" w14:textId="77777777" w:rsidR="004C54EC" w:rsidRDefault="004C54EC" w:rsidP="00A21182">
            <w:pPr>
              <w:keepNext/>
              <w:jc w:val="center"/>
            </w:pPr>
            <w:r>
              <w:rPr>
                <w:color w:val="000000"/>
                <w:sz w:val="20"/>
              </w:rPr>
              <w:t>44.9</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4C648" w14:textId="77777777" w:rsidR="004C54EC" w:rsidRDefault="004C54EC" w:rsidP="00A21182">
            <w:pPr>
              <w:keepNext/>
              <w:jc w:val="center"/>
            </w:pPr>
            <w:r>
              <w:rPr>
                <w:color w:val="000000"/>
                <w:sz w:val="20"/>
              </w:rPr>
              <w:t>42.0</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79A51" w14:textId="77777777" w:rsidR="004C54EC" w:rsidRDefault="004C54EC" w:rsidP="00A21182">
            <w:pPr>
              <w:keepNext/>
              <w:jc w:val="center"/>
            </w:pPr>
            <w:r>
              <w:rPr>
                <w:color w:val="000000"/>
                <w:sz w:val="20"/>
              </w:rPr>
              <w:t>0.0</w:t>
            </w:r>
          </w:p>
        </w:tc>
      </w:tr>
      <w:tr w:rsidR="004C54EC" w14:paraId="1B62AEF7"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C385AF4" w14:textId="77777777" w:rsidR="004C54EC" w:rsidRDefault="004C54EC" w:rsidP="001C3FED">
            <w:pPr>
              <w:keepNext/>
            </w:pPr>
            <w:r>
              <w:rPr>
                <w:color w:val="000000"/>
                <w:sz w:val="20"/>
              </w:rPr>
              <w:t>Farms by Geography</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1417" w14:textId="77777777" w:rsidR="004C54EC" w:rsidRDefault="004C54EC" w:rsidP="001C3FED">
            <w:pPr>
              <w:keepNext/>
              <w:jc w:val="right"/>
            </w:pPr>
            <w:r>
              <w:rPr>
                <w:color w:val="000000"/>
                <w:sz w:val="20"/>
              </w:rPr>
              <w:t>348</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D7AD6" w14:textId="77777777" w:rsidR="004C54EC" w:rsidRDefault="004C54EC" w:rsidP="00A21182">
            <w:pPr>
              <w:keepNext/>
              <w:jc w:val="center"/>
            </w:pPr>
            <w:r>
              <w:rPr>
                <w:color w:val="000000"/>
                <w:sz w:val="20"/>
              </w:rPr>
              <w:t>0.6</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E64B1" w14:textId="77777777" w:rsidR="004C54EC" w:rsidRDefault="004C54EC" w:rsidP="00A21182">
            <w:pPr>
              <w:keepNext/>
              <w:jc w:val="center"/>
            </w:pPr>
            <w:r>
              <w:rPr>
                <w:color w:val="000000"/>
                <w:sz w:val="20"/>
              </w:rPr>
              <w:t>5.7</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9CB4B" w14:textId="77777777" w:rsidR="004C54EC" w:rsidRDefault="004C54EC" w:rsidP="00A21182">
            <w:pPr>
              <w:keepNext/>
              <w:jc w:val="center"/>
            </w:pPr>
            <w:r>
              <w:rPr>
                <w:color w:val="000000"/>
                <w:sz w:val="20"/>
              </w:rPr>
              <w:t>45.7</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8D2CB" w14:textId="77777777" w:rsidR="004C54EC" w:rsidRDefault="004C54EC" w:rsidP="00A21182">
            <w:pPr>
              <w:keepNext/>
              <w:jc w:val="center"/>
            </w:pPr>
            <w:r>
              <w:rPr>
                <w:color w:val="000000"/>
                <w:sz w:val="20"/>
              </w:rPr>
              <w:t>48.0</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B615B" w14:textId="77777777" w:rsidR="004C54EC" w:rsidRDefault="004C54EC" w:rsidP="00A21182">
            <w:pPr>
              <w:keepNext/>
              <w:jc w:val="center"/>
            </w:pPr>
            <w:r>
              <w:rPr>
                <w:color w:val="000000"/>
                <w:sz w:val="20"/>
              </w:rPr>
              <w:t>0.0</w:t>
            </w:r>
          </w:p>
        </w:tc>
      </w:tr>
      <w:tr w:rsidR="004C54EC" w14:paraId="0DC30EFC"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3DEE81D" w14:textId="77777777" w:rsidR="004C54EC" w:rsidRDefault="004C54EC" w:rsidP="001C3FED">
            <w:pPr>
              <w:keepNext/>
            </w:pPr>
            <w:r>
              <w:rPr>
                <w:color w:val="000000"/>
                <w:sz w:val="20"/>
              </w:rPr>
              <w:t>Family Distribution by Income Level</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64B9" w14:textId="77777777" w:rsidR="004C54EC" w:rsidRDefault="004C54EC" w:rsidP="001C3FED">
            <w:pPr>
              <w:keepNext/>
              <w:jc w:val="right"/>
            </w:pPr>
            <w:r>
              <w:rPr>
                <w:color w:val="000000"/>
                <w:sz w:val="20"/>
              </w:rPr>
              <w:t>45,960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3CBEC" w14:textId="77777777" w:rsidR="004C54EC" w:rsidRDefault="004C54EC" w:rsidP="00A21182">
            <w:pPr>
              <w:keepNext/>
              <w:jc w:val="center"/>
            </w:pPr>
            <w:r>
              <w:rPr>
                <w:color w:val="000000"/>
                <w:sz w:val="20"/>
              </w:rPr>
              <w:t>19.7</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F7D9" w14:textId="77777777" w:rsidR="004C54EC" w:rsidRDefault="004C54EC" w:rsidP="00A21182">
            <w:pPr>
              <w:keepNext/>
              <w:jc w:val="center"/>
            </w:pPr>
            <w:r>
              <w:rPr>
                <w:color w:val="000000"/>
                <w:sz w:val="20"/>
              </w:rPr>
              <w:t>15.7</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14E1" w14:textId="77777777" w:rsidR="004C54EC" w:rsidRDefault="004C54EC" w:rsidP="00A21182">
            <w:pPr>
              <w:keepNext/>
              <w:jc w:val="center"/>
            </w:pPr>
            <w:r>
              <w:rPr>
                <w:color w:val="000000"/>
                <w:sz w:val="20"/>
              </w:rPr>
              <w:t>20.4</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B570" w14:textId="77777777" w:rsidR="004C54EC" w:rsidRDefault="004C54EC" w:rsidP="00A21182">
            <w:pPr>
              <w:keepNext/>
              <w:jc w:val="center"/>
            </w:pPr>
            <w:r>
              <w:rPr>
                <w:color w:val="000000"/>
                <w:sz w:val="20"/>
              </w:rPr>
              <w:t>44.2</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937EC" w14:textId="77777777" w:rsidR="004C54EC" w:rsidRDefault="004C54EC" w:rsidP="00A21182">
            <w:pPr>
              <w:keepNext/>
              <w:jc w:val="center"/>
            </w:pPr>
            <w:r>
              <w:rPr>
                <w:color w:val="000000"/>
                <w:sz w:val="20"/>
              </w:rPr>
              <w:t>0.0</w:t>
            </w:r>
          </w:p>
        </w:tc>
      </w:tr>
      <w:tr w:rsidR="004C54EC" w14:paraId="647CA2CB" w14:textId="77777777" w:rsidTr="00A21182">
        <w:trPr>
          <w:trHeight w:val="188"/>
        </w:trPr>
        <w:tc>
          <w:tcPr>
            <w:tcW w:w="3591"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F22A082" w14:textId="77777777" w:rsidR="004C54EC" w:rsidRDefault="004C54EC" w:rsidP="001C3FED">
            <w:pPr>
              <w:keepNext/>
            </w:pPr>
            <w:r>
              <w:rPr>
                <w:color w:val="000000"/>
                <w:sz w:val="20"/>
              </w:rPr>
              <w:t>Household Distribution by Income Level</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4F3A" w14:textId="77777777" w:rsidR="004C54EC" w:rsidRDefault="004C54EC" w:rsidP="001C3FED">
            <w:pPr>
              <w:keepNext/>
              <w:jc w:val="right"/>
            </w:pPr>
            <w:r>
              <w:rPr>
                <w:color w:val="000000"/>
                <w:sz w:val="20"/>
              </w:rPr>
              <w:t>66,240</w:t>
            </w:r>
          </w:p>
        </w:tc>
        <w:tc>
          <w:tcPr>
            <w:tcW w:w="8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04029" w14:textId="77777777" w:rsidR="004C54EC" w:rsidRDefault="004C54EC" w:rsidP="00A21182">
            <w:pPr>
              <w:keepNext/>
              <w:jc w:val="center"/>
            </w:pPr>
            <w:r>
              <w:rPr>
                <w:color w:val="000000"/>
                <w:sz w:val="20"/>
              </w:rPr>
              <w:t>22.7</w:t>
            </w:r>
          </w:p>
        </w:tc>
        <w:tc>
          <w:tcPr>
            <w:tcW w:w="11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A216F" w14:textId="77777777" w:rsidR="004C54EC" w:rsidRDefault="004C54EC" w:rsidP="00A21182">
            <w:pPr>
              <w:keepNext/>
              <w:jc w:val="center"/>
            </w:pPr>
            <w:r>
              <w:rPr>
                <w:color w:val="000000"/>
                <w:sz w:val="20"/>
              </w:rPr>
              <w:t>13.8</w:t>
            </w:r>
          </w:p>
        </w:tc>
        <w:tc>
          <w:tcPr>
            <w:tcW w:w="10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9689" w14:textId="77777777" w:rsidR="004C54EC" w:rsidRDefault="004C54EC" w:rsidP="00A21182">
            <w:pPr>
              <w:keepNext/>
              <w:jc w:val="center"/>
            </w:pPr>
            <w:r>
              <w:rPr>
                <w:color w:val="000000"/>
                <w:sz w:val="20"/>
              </w:rPr>
              <w:t>17.4</w:t>
            </w:r>
          </w:p>
        </w:tc>
        <w:tc>
          <w:tcPr>
            <w:tcW w:w="10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8DF50" w14:textId="77777777" w:rsidR="004C54EC" w:rsidRDefault="004C54EC" w:rsidP="00A21182">
            <w:pPr>
              <w:keepNext/>
              <w:jc w:val="center"/>
            </w:pPr>
            <w:r>
              <w:rPr>
                <w:color w:val="000000"/>
                <w:sz w:val="20"/>
              </w:rPr>
              <w:t>46.2</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BB5DC" w14:textId="77777777" w:rsidR="004C54EC" w:rsidRDefault="004C54EC" w:rsidP="00A21182">
            <w:pPr>
              <w:keepNext/>
              <w:jc w:val="center"/>
            </w:pPr>
            <w:r>
              <w:rPr>
                <w:color w:val="000000"/>
                <w:sz w:val="20"/>
              </w:rPr>
              <w:t>0.0</w:t>
            </w:r>
          </w:p>
        </w:tc>
      </w:tr>
      <w:tr w:rsidR="004C54EC" w14:paraId="39E64E37" w14:textId="77777777" w:rsidTr="00A21182">
        <w:trPr>
          <w:trHeight w:val="188"/>
        </w:trPr>
        <w:tc>
          <w:tcPr>
            <w:tcW w:w="3591" w:type="dxa"/>
            <w:tcBorders>
              <w:top w:val="single" w:sz="7" w:space="0" w:color="000000"/>
              <w:left w:val="single" w:sz="7" w:space="0" w:color="000000"/>
              <w:bottom w:val="single" w:sz="7" w:space="0" w:color="000000"/>
            </w:tcBorders>
            <w:tcMar>
              <w:top w:w="39" w:type="dxa"/>
              <w:left w:w="239" w:type="dxa"/>
              <w:bottom w:w="39" w:type="dxa"/>
              <w:right w:w="39" w:type="dxa"/>
            </w:tcMar>
          </w:tcPr>
          <w:p w14:paraId="1C7E38D7" w14:textId="77777777" w:rsidR="004C54EC" w:rsidRDefault="004C54EC" w:rsidP="001C3FED">
            <w:pPr>
              <w:keepNext/>
            </w:pPr>
            <w:r>
              <w:rPr>
                <w:color w:val="000000"/>
                <w:sz w:val="20"/>
              </w:rPr>
              <w:t>Median Family Income MSA - 49340 Worcester, MA-CT MSA</w:t>
            </w:r>
          </w:p>
        </w:tc>
        <w:tc>
          <w:tcPr>
            <w:tcW w:w="900" w:type="dxa"/>
            <w:tcBorders>
              <w:top w:val="single" w:sz="7" w:space="0" w:color="000000"/>
              <w:bottom w:val="single" w:sz="7" w:space="0" w:color="000000"/>
            </w:tcBorders>
            <w:tcMar>
              <w:top w:w="39" w:type="dxa"/>
              <w:left w:w="239" w:type="dxa"/>
              <w:bottom w:w="39" w:type="dxa"/>
              <w:right w:w="39" w:type="dxa"/>
            </w:tcMar>
          </w:tcPr>
          <w:p w14:paraId="31574395" w14:textId="77777777" w:rsidR="004C54EC" w:rsidRDefault="004C54EC" w:rsidP="001C3FED">
            <w:pPr>
              <w:keepNext/>
            </w:pPr>
          </w:p>
        </w:tc>
        <w:tc>
          <w:tcPr>
            <w:tcW w:w="850" w:type="dxa"/>
            <w:tcBorders>
              <w:top w:val="single" w:sz="7" w:space="0" w:color="000000"/>
              <w:left w:val="single" w:sz="7" w:space="0" w:color="000000"/>
              <w:bottom w:val="single" w:sz="7" w:space="0" w:color="000000"/>
            </w:tcBorders>
            <w:tcMar>
              <w:top w:w="39" w:type="dxa"/>
              <w:left w:w="39" w:type="dxa"/>
              <w:bottom w:w="39" w:type="dxa"/>
              <w:right w:w="39" w:type="dxa"/>
            </w:tcMar>
          </w:tcPr>
          <w:p w14:paraId="7BC87CCC" w14:textId="77777777" w:rsidR="004C54EC" w:rsidRDefault="004C54EC" w:rsidP="001C3FED">
            <w:pPr>
              <w:keepNext/>
              <w:jc w:val="right"/>
            </w:pPr>
            <w:r>
              <w:rPr>
                <w:color w:val="000000"/>
                <w:sz w:val="20"/>
              </w:rPr>
              <w:t>$81,137</w:t>
            </w: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9DDC" w14:textId="77777777" w:rsidR="004C54EC" w:rsidRDefault="004C54EC" w:rsidP="001C3FED">
            <w:pPr>
              <w:keepNext/>
            </w:pPr>
            <w:r>
              <w:rPr>
                <w:color w:val="000000"/>
                <w:sz w:val="20"/>
              </w:rPr>
              <w:t>Median Housing Value</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CF596" w14:textId="77777777" w:rsidR="004C54EC" w:rsidRDefault="004C54EC" w:rsidP="001C3FED">
            <w:pPr>
              <w:keepNext/>
              <w:jc w:val="right"/>
            </w:pPr>
            <w:r>
              <w:rPr>
                <w:color w:val="000000"/>
                <w:sz w:val="20"/>
              </w:rPr>
              <w:t>$261,732</w:t>
            </w:r>
          </w:p>
        </w:tc>
      </w:tr>
      <w:tr w:rsidR="004C54EC" w14:paraId="5D1C35E0" w14:textId="77777777" w:rsidTr="00A21182">
        <w:trPr>
          <w:trHeight w:val="188"/>
        </w:trPr>
        <w:tc>
          <w:tcPr>
            <w:tcW w:w="3591" w:type="dxa"/>
            <w:tcBorders>
              <w:left w:val="single" w:sz="7" w:space="0" w:color="000000"/>
            </w:tcBorders>
            <w:tcMar>
              <w:top w:w="39" w:type="dxa"/>
              <w:left w:w="239" w:type="dxa"/>
              <w:bottom w:w="39" w:type="dxa"/>
              <w:right w:w="39" w:type="dxa"/>
            </w:tcMar>
          </w:tcPr>
          <w:p w14:paraId="53535BD6" w14:textId="77777777" w:rsidR="004C54EC" w:rsidRDefault="004C54EC" w:rsidP="001C3FED">
            <w:pPr>
              <w:keepNext/>
            </w:pPr>
          </w:p>
        </w:tc>
        <w:tc>
          <w:tcPr>
            <w:tcW w:w="900" w:type="dxa"/>
            <w:tcMar>
              <w:top w:w="39" w:type="dxa"/>
              <w:left w:w="239" w:type="dxa"/>
              <w:bottom w:w="39" w:type="dxa"/>
              <w:right w:w="39" w:type="dxa"/>
            </w:tcMar>
          </w:tcPr>
          <w:p w14:paraId="3FF70200" w14:textId="77777777" w:rsidR="004C54EC" w:rsidRDefault="004C54EC" w:rsidP="001C3FED">
            <w:pPr>
              <w:keepNext/>
            </w:pPr>
          </w:p>
        </w:tc>
        <w:tc>
          <w:tcPr>
            <w:tcW w:w="850" w:type="dxa"/>
            <w:tcMar>
              <w:top w:w="39" w:type="dxa"/>
              <w:left w:w="39" w:type="dxa"/>
              <w:bottom w:w="39" w:type="dxa"/>
              <w:right w:w="39" w:type="dxa"/>
            </w:tcMar>
          </w:tcPr>
          <w:p w14:paraId="02148B00" w14:textId="77777777" w:rsidR="004C54EC" w:rsidRDefault="004C54EC" w:rsidP="001C3FED">
            <w:pPr>
              <w:keepNext/>
            </w:pP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54009" w14:textId="77777777" w:rsidR="004C54EC" w:rsidRDefault="004C54EC" w:rsidP="001C3FED">
            <w:pPr>
              <w:keepNext/>
            </w:pPr>
            <w:r>
              <w:rPr>
                <w:color w:val="000000"/>
                <w:sz w:val="20"/>
              </w:rPr>
              <w:t>Median Gross Rent</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68C96" w14:textId="77777777" w:rsidR="004C54EC" w:rsidRDefault="004C54EC" w:rsidP="001C3FED">
            <w:pPr>
              <w:keepNext/>
              <w:jc w:val="right"/>
            </w:pPr>
            <w:r>
              <w:rPr>
                <w:color w:val="000000"/>
                <w:sz w:val="20"/>
              </w:rPr>
              <w:t>$905</w:t>
            </w:r>
          </w:p>
        </w:tc>
      </w:tr>
      <w:tr w:rsidR="004C54EC" w14:paraId="17043BDA" w14:textId="77777777" w:rsidTr="00A21182">
        <w:trPr>
          <w:trHeight w:val="124"/>
        </w:trPr>
        <w:tc>
          <w:tcPr>
            <w:tcW w:w="3591" w:type="dxa"/>
            <w:tcBorders>
              <w:left w:val="single" w:sz="7" w:space="0" w:color="000000"/>
              <w:bottom w:val="single" w:sz="7" w:space="0" w:color="000000"/>
            </w:tcBorders>
            <w:tcMar>
              <w:top w:w="39" w:type="dxa"/>
              <w:left w:w="239" w:type="dxa"/>
              <w:bottom w:w="39" w:type="dxa"/>
              <w:right w:w="39" w:type="dxa"/>
            </w:tcMar>
          </w:tcPr>
          <w:p w14:paraId="1E4BB4FC" w14:textId="77777777" w:rsidR="004C54EC" w:rsidRDefault="004C54EC" w:rsidP="001C3FED">
            <w:pPr>
              <w:keepNext/>
            </w:pPr>
          </w:p>
        </w:tc>
        <w:tc>
          <w:tcPr>
            <w:tcW w:w="900" w:type="dxa"/>
            <w:tcBorders>
              <w:bottom w:val="single" w:sz="7" w:space="0" w:color="000000"/>
            </w:tcBorders>
            <w:tcMar>
              <w:top w:w="39" w:type="dxa"/>
              <w:left w:w="239" w:type="dxa"/>
              <w:bottom w:w="39" w:type="dxa"/>
              <w:right w:w="39" w:type="dxa"/>
            </w:tcMar>
          </w:tcPr>
          <w:p w14:paraId="596ADC85" w14:textId="77777777" w:rsidR="004C54EC" w:rsidRDefault="004C54EC" w:rsidP="001C3FED">
            <w:pPr>
              <w:keepNext/>
            </w:pPr>
          </w:p>
        </w:tc>
        <w:tc>
          <w:tcPr>
            <w:tcW w:w="850" w:type="dxa"/>
            <w:tcBorders>
              <w:bottom w:val="single" w:sz="7" w:space="0" w:color="000000"/>
            </w:tcBorders>
            <w:tcMar>
              <w:top w:w="39" w:type="dxa"/>
              <w:left w:w="39" w:type="dxa"/>
              <w:bottom w:w="39" w:type="dxa"/>
              <w:right w:w="39" w:type="dxa"/>
            </w:tcMar>
          </w:tcPr>
          <w:p w14:paraId="739AC443" w14:textId="77777777" w:rsidR="004C54EC" w:rsidRDefault="004C54EC" w:rsidP="001C3FED">
            <w:pPr>
              <w:keepNext/>
            </w:pPr>
          </w:p>
        </w:tc>
        <w:tc>
          <w:tcPr>
            <w:tcW w:w="318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83867" w14:textId="77777777" w:rsidR="004C54EC" w:rsidRDefault="004C54EC" w:rsidP="001C3FED">
            <w:pPr>
              <w:keepNext/>
            </w:pPr>
            <w:r>
              <w:rPr>
                <w:color w:val="000000"/>
                <w:sz w:val="20"/>
              </w:rPr>
              <w:t>Families Below Poverty Level</w:t>
            </w:r>
          </w:p>
        </w:tc>
        <w:tc>
          <w:tcPr>
            <w:tcW w:w="1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76DA" w14:textId="77777777" w:rsidR="004C54EC" w:rsidRDefault="004C54EC" w:rsidP="001C3FED">
            <w:pPr>
              <w:keepNext/>
              <w:jc w:val="right"/>
            </w:pPr>
            <w:r>
              <w:rPr>
                <w:color w:val="000000"/>
                <w:sz w:val="20"/>
              </w:rPr>
              <w:t>6.2%</w:t>
            </w:r>
          </w:p>
        </w:tc>
      </w:tr>
      <w:tr w:rsidR="004C54EC" w14:paraId="062558BC" w14:textId="77777777" w:rsidTr="00A21182">
        <w:trPr>
          <w:trHeight w:val="382"/>
        </w:trPr>
        <w:tc>
          <w:tcPr>
            <w:tcW w:w="963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1878C595" w14:textId="77777777" w:rsidR="004C54EC" w:rsidRDefault="004C54EC" w:rsidP="001C3FED">
            <w:pPr>
              <w:keepNext/>
            </w:pPr>
            <w:r>
              <w:rPr>
                <w:i/>
                <w:color w:val="000000"/>
                <w:sz w:val="16"/>
              </w:rPr>
              <w:t xml:space="preserve">Source: 2015 </w:t>
            </w:r>
            <w:r w:rsidR="00E866F4">
              <w:rPr>
                <w:i/>
                <w:color w:val="000000"/>
                <w:sz w:val="16"/>
              </w:rPr>
              <w:t>ACS and</w:t>
            </w:r>
            <w:r>
              <w:rPr>
                <w:i/>
                <w:color w:val="000000"/>
                <w:sz w:val="16"/>
              </w:rPr>
              <w:t xml:space="preserve"> 2018 D&amp;B Data</w:t>
            </w:r>
            <w:r w:rsidR="00E866F4">
              <w:rPr>
                <w:i/>
                <w:color w:val="000000"/>
                <w:sz w:val="16"/>
              </w:rPr>
              <w:t xml:space="preserve">.  </w:t>
            </w:r>
            <w:r>
              <w:rPr>
                <w:i/>
                <w:color w:val="000000"/>
                <w:sz w:val="16"/>
              </w:rPr>
              <w:t>Due to rounding, totals may not equal 100.0%</w:t>
            </w:r>
            <w:r w:rsidR="00A21182">
              <w:rPr>
                <w:i/>
                <w:color w:val="000000"/>
                <w:sz w:val="16"/>
              </w:rPr>
              <w:t>.</w:t>
            </w:r>
          </w:p>
          <w:p w14:paraId="6C409F1F" w14:textId="77777777" w:rsidR="004C54EC" w:rsidRDefault="004C54EC" w:rsidP="001C3FED">
            <w:pPr>
              <w:keepNext/>
            </w:pPr>
            <w:r>
              <w:rPr>
                <w:i/>
                <w:color w:val="000000"/>
                <w:sz w:val="16"/>
              </w:rPr>
              <w:t>(*) The NA category consists of geographies that have not been assigned an income classification.</w:t>
            </w:r>
          </w:p>
        </w:tc>
      </w:tr>
    </w:tbl>
    <w:p w14:paraId="61C9CA22" w14:textId="77777777" w:rsidR="004C54EC" w:rsidRDefault="004C54EC" w:rsidP="004C54EC"/>
    <w:p w14:paraId="155C7024" w14:textId="77777777" w:rsidR="00DB7C7C" w:rsidRPr="00713EF5" w:rsidRDefault="00DB7C7C" w:rsidP="00DB7C7C">
      <w:r w:rsidRPr="00713EF5">
        <w:lastRenderedPageBreak/>
        <w:t xml:space="preserve">The Geographic Distribution criterion compares </w:t>
      </w:r>
      <w:r w:rsidR="00A21182">
        <w:t xml:space="preserve">the distribution of the bank’s </w:t>
      </w:r>
      <w:r w:rsidRPr="00713EF5">
        <w:t>home mortgage loans to the distribution of owner-occupied housing units.</w:t>
      </w:r>
      <w:r>
        <w:t xml:space="preserve">  </w:t>
      </w:r>
      <w:r w:rsidR="008D5150">
        <w:t>While t</w:t>
      </w:r>
      <w:r w:rsidR="000306C6">
        <w:t xml:space="preserve">he majority of the housing units </w:t>
      </w:r>
      <w:r w:rsidR="00A21182">
        <w:t xml:space="preserve">in the assessment area </w:t>
      </w:r>
      <w:r w:rsidR="000306C6">
        <w:t>are owner-occupied</w:t>
      </w:r>
      <w:r w:rsidR="008D5150">
        <w:t xml:space="preserve">, </w:t>
      </w:r>
      <w:r>
        <w:t xml:space="preserve">less than one percent of </w:t>
      </w:r>
      <w:r w:rsidR="00C705A5">
        <w:t>those</w:t>
      </w:r>
      <w:r>
        <w:t xml:space="preserve"> units </w:t>
      </w:r>
      <w:r w:rsidR="000306C6">
        <w:t xml:space="preserve">are located </w:t>
      </w:r>
      <w:r>
        <w:t xml:space="preserve">in the low-income census tract and less than ten percent </w:t>
      </w:r>
      <w:r w:rsidR="00A21182">
        <w:t>are in the</w:t>
      </w:r>
      <w:r>
        <w:t xml:space="preserve"> moderate-income census tracts.  </w:t>
      </w:r>
      <w:r w:rsidR="000306C6">
        <w:t xml:space="preserve">The </w:t>
      </w:r>
      <w:r w:rsidR="00A21182">
        <w:t>limited number of</w:t>
      </w:r>
      <w:r w:rsidR="000306C6">
        <w:t xml:space="preserve"> owner-occupied units in </w:t>
      </w:r>
      <w:r w:rsidR="00A21182">
        <w:t xml:space="preserve">the </w:t>
      </w:r>
      <w:r w:rsidR="000306C6">
        <w:t>low-</w:t>
      </w:r>
      <w:r w:rsidR="00136BDF">
        <w:t>and moderate-</w:t>
      </w:r>
      <w:r w:rsidR="000306C6">
        <w:t xml:space="preserve">income census tracts may </w:t>
      </w:r>
      <w:r w:rsidR="00136BDF">
        <w:t>affect</w:t>
      </w:r>
      <w:r w:rsidR="000306C6">
        <w:t xml:space="preserve"> </w:t>
      </w:r>
      <w:r w:rsidR="008D5150">
        <w:t>the bank</w:t>
      </w:r>
      <w:r w:rsidR="000306C6">
        <w:t xml:space="preserve">’s ability to originate </w:t>
      </w:r>
      <w:r w:rsidR="00136BDF">
        <w:t>home mortgage loans in those areas.</w:t>
      </w:r>
    </w:p>
    <w:p w14:paraId="1646DD3D" w14:textId="77777777" w:rsidR="00DB7C7C" w:rsidRDefault="00DB7C7C" w:rsidP="004C54EC"/>
    <w:p w14:paraId="37A21D91" w14:textId="77777777" w:rsidR="00136BDF" w:rsidRPr="00713EF5" w:rsidRDefault="008D5150" w:rsidP="00136BDF">
      <w:r>
        <w:t xml:space="preserve">Examiners used </w:t>
      </w:r>
      <w:r w:rsidR="00136BDF">
        <w:t xml:space="preserve">FFIEC median family income (MFI) levels to analyze home mortgage loans under the Borrower Profile criterion.  The following table presents </w:t>
      </w:r>
      <w:r w:rsidR="00A21182">
        <w:t xml:space="preserve">the </w:t>
      </w:r>
      <w:r w:rsidR="00136BDF">
        <w:t xml:space="preserve">MFI </w:t>
      </w:r>
      <w:r w:rsidR="00A21182">
        <w:t xml:space="preserve">ranges </w:t>
      </w:r>
      <w:r w:rsidR="00136BDF">
        <w:t xml:space="preserve">for </w:t>
      </w:r>
      <w:r w:rsidR="00A21182">
        <w:t xml:space="preserve">the </w:t>
      </w:r>
      <w:r>
        <w:t xml:space="preserve">different income level </w:t>
      </w:r>
      <w:r w:rsidR="00136BDF">
        <w:t>categories in the Worcester, MA-CT MSA.</w:t>
      </w:r>
    </w:p>
    <w:p w14:paraId="61550430" w14:textId="77777777" w:rsidR="00136BDF" w:rsidRDefault="00136BDF" w:rsidP="00136BDF"/>
    <w:tbl>
      <w:tblPr>
        <w:tblW w:w="0" w:type="auto"/>
        <w:tblCellMar>
          <w:left w:w="0" w:type="dxa"/>
          <w:right w:w="0" w:type="dxa"/>
        </w:tblCellMar>
        <w:tblLook w:val="0000" w:firstRow="0" w:lastRow="0" w:firstColumn="0" w:lastColumn="0" w:noHBand="0" w:noVBand="0"/>
      </w:tblPr>
      <w:tblGrid>
        <w:gridCol w:w="2601"/>
        <w:gridCol w:w="1357"/>
        <w:gridCol w:w="2103"/>
        <w:gridCol w:w="2198"/>
        <w:gridCol w:w="1371"/>
      </w:tblGrid>
      <w:tr w:rsidR="00136BDF" w14:paraId="18F75E79" w14:textId="77777777" w:rsidTr="00CC2696">
        <w:trPr>
          <w:trHeight w:val="282"/>
        </w:trPr>
        <w:tc>
          <w:tcPr>
            <w:tcW w:w="10455"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158E8E57" w14:textId="77777777" w:rsidR="00136BDF" w:rsidRDefault="00136BDF" w:rsidP="00CC2696">
            <w:pPr>
              <w:keepNext/>
              <w:spacing w:after="100" w:afterAutospacing="1"/>
              <w:jc w:val="center"/>
            </w:pPr>
            <w:r>
              <w:rPr>
                <w:b/>
                <w:color w:val="000000"/>
                <w:sz w:val="20"/>
              </w:rPr>
              <w:t>Median Family Income Ranges</w:t>
            </w:r>
          </w:p>
        </w:tc>
      </w:tr>
      <w:tr w:rsidR="00136BDF" w14:paraId="09B92CA6" w14:textId="77777777" w:rsidTr="00CC2696">
        <w:trPr>
          <w:trHeight w:val="426"/>
        </w:trPr>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F00AA4" w14:textId="77777777" w:rsidR="00136BDF" w:rsidRDefault="00136BDF" w:rsidP="00CC2696">
            <w:pPr>
              <w:keepNext/>
              <w:spacing w:after="100" w:afterAutospacing="1"/>
            </w:pPr>
            <w:r>
              <w:rPr>
                <w:b/>
                <w:color w:val="000000"/>
                <w:sz w:val="20"/>
              </w:rPr>
              <w:t>Median Family Incomes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D528BE" w14:textId="77777777" w:rsidR="00136BDF" w:rsidRDefault="00136BDF" w:rsidP="00CC2696">
            <w:pPr>
              <w:keepNext/>
              <w:spacing w:after="100" w:afterAutospacing="1"/>
              <w:jc w:val="center"/>
            </w:pPr>
            <w:r>
              <w:rPr>
                <w:b/>
                <w:color w:val="000000"/>
                <w:sz w:val="20"/>
              </w:rPr>
              <w:t>Low</w:t>
            </w:r>
            <w:r>
              <w:rPr>
                <w:b/>
                <w:color w:val="000000"/>
                <w:sz w:val="20"/>
              </w:rPr>
              <w:br/>
              <w:t xml:space="preserve"> &lt;50%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88E1D4" w14:textId="77777777" w:rsidR="00136BDF" w:rsidRDefault="00136BDF" w:rsidP="00CC2696">
            <w:pPr>
              <w:keepNext/>
              <w:spacing w:after="100" w:afterAutospacing="1"/>
              <w:jc w:val="center"/>
            </w:pPr>
            <w:r>
              <w:rPr>
                <w:b/>
                <w:color w:val="000000"/>
                <w:sz w:val="20"/>
              </w:rPr>
              <w:t>Moderate</w:t>
            </w:r>
            <w:r>
              <w:rPr>
                <w:b/>
                <w:color w:val="000000"/>
                <w:sz w:val="20"/>
              </w:rPr>
              <w:br/>
              <w:t>50% to &lt;80%</w:t>
            </w:r>
          </w:p>
        </w:tc>
        <w:tc>
          <w:tcPr>
            <w:tcW w:w="2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4C75EE" w14:textId="77777777" w:rsidR="00136BDF" w:rsidRDefault="00136BDF" w:rsidP="00CC2696">
            <w:pPr>
              <w:keepNext/>
              <w:spacing w:after="100" w:afterAutospacing="1"/>
              <w:jc w:val="center"/>
            </w:pPr>
            <w:r>
              <w:rPr>
                <w:b/>
                <w:color w:val="000000"/>
                <w:sz w:val="20"/>
              </w:rPr>
              <w:t>Middle</w:t>
            </w:r>
            <w:r>
              <w:rPr>
                <w:b/>
                <w:color w:val="000000"/>
                <w:sz w:val="20"/>
              </w:rPr>
              <w:br/>
              <w:t>80% to &lt;120%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55054C" w14:textId="77777777" w:rsidR="00136BDF" w:rsidRDefault="00136BDF" w:rsidP="00CC2696">
            <w:pPr>
              <w:keepNext/>
              <w:spacing w:after="100" w:afterAutospacing="1"/>
              <w:jc w:val="center"/>
            </w:pPr>
            <w:r>
              <w:rPr>
                <w:b/>
                <w:color w:val="000000"/>
                <w:sz w:val="20"/>
              </w:rPr>
              <w:t>Upper</w:t>
            </w:r>
            <w:r>
              <w:rPr>
                <w:b/>
                <w:color w:val="000000"/>
                <w:sz w:val="20"/>
              </w:rPr>
              <w:br/>
              <w:t>≥120%</w:t>
            </w:r>
          </w:p>
        </w:tc>
      </w:tr>
      <w:tr w:rsidR="00136BDF" w14:paraId="37717E1B" w14:textId="77777777" w:rsidTr="00CC2696">
        <w:trPr>
          <w:trHeight w:val="181"/>
        </w:trPr>
        <w:tc>
          <w:tcPr>
            <w:tcW w:w="10455"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F28F55" w14:textId="77777777" w:rsidR="00136BDF" w:rsidRDefault="00136BDF" w:rsidP="00CC2696">
            <w:pPr>
              <w:keepNext/>
              <w:spacing w:after="100" w:afterAutospacing="1"/>
              <w:jc w:val="center"/>
            </w:pPr>
            <w:r>
              <w:rPr>
                <w:b/>
                <w:color w:val="000000"/>
                <w:sz w:val="20"/>
              </w:rPr>
              <w:t>Worcester, MA-CT MSA Median Family Income (49340)</w:t>
            </w:r>
          </w:p>
        </w:tc>
      </w:tr>
      <w:tr w:rsidR="00136BDF" w14:paraId="7CD6A345" w14:textId="77777777" w:rsidTr="00CC2696">
        <w:trPr>
          <w:trHeight w:val="188"/>
        </w:trPr>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FF9D90" w14:textId="77777777" w:rsidR="00136BDF" w:rsidRDefault="00136BDF" w:rsidP="00CC2696">
            <w:pPr>
              <w:keepNext/>
              <w:spacing w:after="100" w:afterAutospacing="1"/>
            </w:pPr>
            <w:r>
              <w:rPr>
                <w:color w:val="000000"/>
                <w:sz w:val="20"/>
              </w:rPr>
              <w:t>2018 ($86,900)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C694A" w14:textId="77777777" w:rsidR="00136BDF" w:rsidRDefault="00136BDF" w:rsidP="00CC2696">
            <w:pPr>
              <w:keepNext/>
              <w:spacing w:after="100" w:afterAutospacing="1"/>
              <w:jc w:val="center"/>
            </w:pPr>
            <w:r>
              <w:rPr>
                <w:color w:val="000000"/>
                <w:sz w:val="20"/>
              </w:rPr>
              <w:t>&lt;$43,450</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01CC4" w14:textId="77777777" w:rsidR="00136BDF" w:rsidRDefault="00136BDF" w:rsidP="00CC2696">
            <w:pPr>
              <w:keepNext/>
              <w:spacing w:after="100" w:afterAutospacing="1"/>
              <w:jc w:val="center"/>
            </w:pPr>
            <w:r>
              <w:rPr>
                <w:color w:val="000000"/>
                <w:sz w:val="20"/>
              </w:rPr>
              <w:t>$43,450 to &lt;$69,520</w:t>
            </w:r>
          </w:p>
        </w:tc>
        <w:tc>
          <w:tcPr>
            <w:tcW w:w="2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C5FB8" w14:textId="77777777" w:rsidR="00136BDF" w:rsidRDefault="00136BDF" w:rsidP="00CC2696">
            <w:pPr>
              <w:keepNext/>
              <w:spacing w:after="100" w:afterAutospacing="1"/>
              <w:jc w:val="center"/>
            </w:pPr>
            <w:r>
              <w:rPr>
                <w:color w:val="000000"/>
                <w:sz w:val="20"/>
              </w:rPr>
              <w:t>$69,520 to &lt;$104,280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11DA" w14:textId="77777777" w:rsidR="00136BDF" w:rsidRDefault="00136BDF" w:rsidP="00CC2696">
            <w:pPr>
              <w:keepNext/>
              <w:spacing w:after="100" w:afterAutospacing="1"/>
              <w:jc w:val="center"/>
            </w:pPr>
            <w:r>
              <w:rPr>
                <w:color w:val="000000"/>
                <w:sz w:val="20"/>
              </w:rPr>
              <w:t>≥$104,280</w:t>
            </w:r>
          </w:p>
        </w:tc>
      </w:tr>
      <w:tr w:rsidR="00136BDF" w14:paraId="4980F02D" w14:textId="77777777" w:rsidTr="00CC2696">
        <w:trPr>
          <w:trHeight w:val="188"/>
        </w:trPr>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428E6B" w14:textId="77777777" w:rsidR="00136BDF" w:rsidRDefault="00136BDF" w:rsidP="00CC2696">
            <w:pPr>
              <w:keepNext/>
              <w:spacing w:after="100" w:afterAutospacing="1"/>
            </w:pPr>
            <w:r>
              <w:rPr>
                <w:color w:val="000000"/>
                <w:sz w:val="20"/>
              </w:rPr>
              <w:t>2019 ($95,300)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E7E8F" w14:textId="77777777" w:rsidR="00136BDF" w:rsidRDefault="00136BDF" w:rsidP="00CC2696">
            <w:pPr>
              <w:keepNext/>
              <w:spacing w:after="100" w:afterAutospacing="1"/>
              <w:jc w:val="center"/>
            </w:pPr>
            <w:r>
              <w:rPr>
                <w:color w:val="000000"/>
                <w:sz w:val="20"/>
              </w:rPr>
              <w:t>&lt;$47,650</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9E5B4" w14:textId="77777777" w:rsidR="00136BDF" w:rsidRDefault="00136BDF" w:rsidP="00CC2696">
            <w:pPr>
              <w:keepNext/>
              <w:spacing w:after="100" w:afterAutospacing="1"/>
              <w:jc w:val="center"/>
            </w:pPr>
            <w:r>
              <w:rPr>
                <w:color w:val="000000"/>
                <w:sz w:val="20"/>
              </w:rPr>
              <w:t>$47,650 to &lt;$76,240</w:t>
            </w:r>
          </w:p>
        </w:tc>
        <w:tc>
          <w:tcPr>
            <w:tcW w:w="2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DF53E" w14:textId="77777777" w:rsidR="00136BDF" w:rsidRDefault="00136BDF" w:rsidP="00CC2696">
            <w:pPr>
              <w:keepNext/>
              <w:spacing w:after="100" w:afterAutospacing="1"/>
              <w:jc w:val="center"/>
            </w:pPr>
            <w:r>
              <w:rPr>
                <w:color w:val="000000"/>
                <w:sz w:val="20"/>
              </w:rPr>
              <w:t>$76,240 to &lt;$114,360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64279" w14:textId="77777777" w:rsidR="00136BDF" w:rsidRDefault="00136BDF" w:rsidP="00CC2696">
            <w:pPr>
              <w:keepNext/>
              <w:spacing w:after="100" w:afterAutospacing="1"/>
              <w:jc w:val="center"/>
            </w:pPr>
            <w:r>
              <w:rPr>
                <w:color w:val="000000"/>
                <w:sz w:val="20"/>
              </w:rPr>
              <w:t>≥$114,360</w:t>
            </w:r>
          </w:p>
        </w:tc>
      </w:tr>
      <w:tr w:rsidR="00136BDF" w14:paraId="5220203F" w14:textId="77777777" w:rsidTr="00A21182">
        <w:trPr>
          <w:trHeight w:val="160"/>
        </w:trPr>
        <w:tc>
          <w:tcPr>
            <w:tcW w:w="10455"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CE7A" w14:textId="77777777" w:rsidR="00136BDF" w:rsidRDefault="00136BDF" w:rsidP="00CC2696">
            <w:pPr>
              <w:keepNext/>
              <w:spacing w:after="100" w:afterAutospacing="1"/>
            </w:pPr>
            <w:r>
              <w:rPr>
                <w:i/>
                <w:color w:val="000000"/>
                <w:sz w:val="16"/>
              </w:rPr>
              <w:t>Source: FFIEC</w:t>
            </w:r>
          </w:p>
        </w:tc>
      </w:tr>
    </w:tbl>
    <w:p w14:paraId="3581E987" w14:textId="77777777" w:rsidR="00136BDF" w:rsidRDefault="00136BDF" w:rsidP="00136BDF"/>
    <w:p w14:paraId="53E8B54F" w14:textId="77777777" w:rsidR="00C705A5" w:rsidRDefault="00C705A5" w:rsidP="004C54EC">
      <w:r>
        <w:t xml:space="preserve">According to 2020 </w:t>
      </w:r>
      <w:r w:rsidR="00160E27">
        <w:t>Dun &amp; Bradstreet (</w:t>
      </w:r>
      <w:r>
        <w:t>D&amp;B</w:t>
      </w:r>
      <w:r w:rsidR="00160E27">
        <w:t>)</w:t>
      </w:r>
      <w:r>
        <w:t xml:space="preserve"> data, there were 12,572 businesses in the assessment area.  Service industries represent the largest portion of businesses at 36.5 percent, followed by non-classifiable businesses at 15.6 percent, retail trade at 12.7 percent, and construction at 10.5 percent.</w:t>
      </w:r>
    </w:p>
    <w:p w14:paraId="21808CAA" w14:textId="77777777" w:rsidR="00C705A5" w:rsidRDefault="00C705A5" w:rsidP="004C54EC"/>
    <w:p w14:paraId="5BA11DFD" w14:textId="77777777" w:rsidR="002A0C6D" w:rsidRDefault="00DB7C7C" w:rsidP="004C54EC">
      <w:r>
        <w:t>The Borrower Profile criterion c</w:t>
      </w:r>
      <w:r w:rsidR="002A0C6D">
        <w:t xml:space="preserve">ompares the distribution of </w:t>
      </w:r>
      <w:r w:rsidR="00A21182">
        <w:t xml:space="preserve">the bank’s small business loans to the distribution of </w:t>
      </w:r>
      <w:r w:rsidR="002A0C6D">
        <w:t xml:space="preserve">businesses by </w:t>
      </w:r>
      <w:r w:rsidR="00712A7C">
        <w:t xml:space="preserve">gross annual revenue </w:t>
      </w:r>
      <w:r w:rsidR="00C705A5">
        <w:t xml:space="preserve">(GAR) </w:t>
      </w:r>
      <w:r w:rsidR="002A0C6D">
        <w:t xml:space="preserve">level.  </w:t>
      </w:r>
      <w:r w:rsidR="004C54EC">
        <w:t>According to 2020 D&amp;B data,</w:t>
      </w:r>
      <w:r w:rsidR="00C705A5">
        <w:t xml:space="preserve"> the businesses in the assessment area had the following GARs:  </w:t>
      </w:r>
    </w:p>
    <w:p w14:paraId="4F0850A5" w14:textId="77777777" w:rsidR="00C705A5" w:rsidRDefault="00C705A5" w:rsidP="004C54EC"/>
    <w:p w14:paraId="0D0AACB3" w14:textId="77777777" w:rsidR="004C54EC" w:rsidRDefault="00713EF5" w:rsidP="002A0C6D">
      <w:pPr>
        <w:pStyle w:val="BulletOrder"/>
      </w:pPr>
      <w:r>
        <w:t>85.3 percent have GAR</w:t>
      </w:r>
      <w:r w:rsidR="00C705A5">
        <w:t>s</w:t>
      </w:r>
      <w:r w:rsidR="004C54EC">
        <w:t xml:space="preserve"> of $1 mi</w:t>
      </w:r>
      <w:r w:rsidR="002A0C6D">
        <w:t>llion or less</w:t>
      </w:r>
    </w:p>
    <w:p w14:paraId="6D9011F0" w14:textId="77777777" w:rsidR="004C54EC" w:rsidRDefault="00C705A5" w:rsidP="002A0C6D">
      <w:pPr>
        <w:pStyle w:val="BulletOrder"/>
      </w:pPr>
      <w:r>
        <w:t xml:space="preserve">  </w:t>
      </w:r>
      <w:r w:rsidR="004C54EC">
        <w:t>5.0 percent ha</w:t>
      </w:r>
      <w:r w:rsidR="00713EF5">
        <w:t>ve GAR</w:t>
      </w:r>
      <w:r>
        <w:t>s</w:t>
      </w:r>
      <w:r w:rsidR="002A0C6D">
        <w:t xml:space="preserve"> of more than $1 million</w:t>
      </w:r>
    </w:p>
    <w:p w14:paraId="4B0D05E5" w14:textId="77777777" w:rsidR="004C54EC" w:rsidRDefault="00C705A5" w:rsidP="002A0C6D">
      <w:pPr>
        <w:pStyle w:val="BulletOrder"/>
      </w:pPr>
      <w:r>
        <w:t xml:space="preserve">  </w:t>
      </w:r>
      <w:r w:rsidR="004C54EC">
        <w:t>9.</w:t>
      </w:r>
      <w:r w:rsidR="002A0C6D">
        <w:t>7 percent have unknown revenues</w:t>
      </w:r>
    </w:p>
    <w:p w14:paraId="4DA7F6A3" w14:textId="77777777" w:rsidR="00DB7C7C" w:rsidRDefault="00DB7C7C" w:rsidP="004C54EC"/>
    <w:p w14:paraId="3FAD99E4" w14:textId="77777777" w:rsidR="006444DD" w:rsidRDefault="00B161CC" w:rsidP="00E02903">
      <w:pPr>
        <w:tabs>
          <w:tab w:val="center" w:pos="4680"/>
        </w:tabs>
        <w:rPr>
          <w:b/>
          <w:i/>
        </w:rPr>
      </w:pPr>
      <w:r>
        <w:rPr>
          <w:b/>
          <w:i/>
        </w:rPr>
        <w:t>Competition</w:t>
      </w:r>
    </w:p>
    <w:p w14:paraId="01F58F08" w14:textId="77777777" w:rsidR="00D44E23" w:rsidRDefault="00D44E23" w:rsidP="00E02903">
      <w:pPr>
        <w:tabs>
          <w:tab w:val="center" w:pos="4680"/>
        </w:tabs>
        <w:rPr>
          <w:b/>
          <w:i/>
        </w:rPr>
      </w:pPr>
    </w:p>
    <w:p w14:paraId="447CD928" w14:textId="77777777" w:rsidR="006444DD" w:rsidRDefault="00C705A5" w:rsidP="00E02903">
      <w:pPr>
        <w:tabs>
          <w:tab w:val="center" w:pos="4680"/>
        </w:tabs>
      </w:pPr>
      <w:r>
        <w:t>T</w:t>
      </w:r>
      <w:r w:rsidR="009A3CE3">
        <w:t xml:space="preserve">here is a high level of competition for home mortgage loans among large national banks, non-depository mortgage lenders, and other community banks. </w:t>
      </w:r>
      <w:r w:rsidR="00010113">
        <w:t xml:space="preserve"> </w:t>
      </w:r>
      <w:r>
        <w:t xml:space="preserve">According to 2019 aggregate Home Mortgage Disclosure Act (HMDA) data, </w:t>
      </w:r>
      <w:r w:rsidR="005566F4">
        <w:t>316 lenders reported 7,499</w:t>
      </w:r>
      <w:r w:rsidR="009F42A7">
        <w:t xml:space="preserve"> residential mortgage loans originated or purchased within the assessment area.  </w:t>
      </w:r>
      <w:r w:rsidR="00287D57">
        <w:t>Savers</w:t>
      </w:r>
      <w:r w:rsidR="00B22365">
        <w:t xml:space="preserve"> </w:t>
      </w:r>
      <w:r w:rsidR="005566F4">
        <w:t xml:space="preserve">ranked </w:t>
      </w:r>
      <w:r w:rsidR="00465B41">
        <w:t>ei</w:t>
      </w:r>
      <w:r w:rsidR="00F90F20">
        <w:t>ghth with a market share of 2.6</w:t>
      </w:r>
      <w:r w:rsidR="00465B41">
        <w:t xml:space="preserve"> percent by number</w:t>
      </w:r>
      <w:r w:rsidR="00B22365">
        <w:t xml:space="preserve"> of loans</w:t>
      </w:r>
      <w:r w:rsidR="00465B41">
        <w:t xml:space="preserve">.  </w:t>
      </w:r>
      <w:r w:rsidR="009A3CE3">
        <w:t xml:space="preserve">The top three lenders, </w:t>
      </w:r>
      <w:r w:rsidR="00465B41">
        <w:t>Quicken Loans, Fairway Independent Mortgage Corporation, and Wells Fargo</w:t>
      </w:r>
      <w:r w:rsidR="0074460D">
        <w:t>,</w:t>
      </w:r>
      <w:r w:rsidR="00465B41">
        <w:t xml:space="preserve"> </w:t>
      </w:r>
      <w:r w:rsidR="009A3CE3">
        <w:t>accounted</w:t>
      </w:r>
      <w:r w:rsidR="00465B41">
        <w:t xml:space="preserve"> for 15.1 percent of total market share.</w:t>
      </w:r>
    </w:p>
    <w:p w14:paraId="04A3B6AB" w14:textId="77777777" w:rsidR="009A3CE3" w:rsidRDefault="009A3CE3" w:rsidP="00E02903">
      <w:pPr>
        <w:tabs>
          <w:tab w:val="center" w:pos="4680"/>
        </w:tabs>
      </w:pPr>
    </w:p>
    <w:p w14:paraId="17A36E27" w14:textId="77777777" w:rsidR="00465B41" w:rsidRDefault="00465B41" w:rsidP="00E02903">
      <w:pPr>
        <w:tabs>
          <w:tab w:val="center" w:pos="4680"/>
        </w:tabs>
        <w:rPr>
          <w:b/>
          <w:i/>
        </w:rPr>
      </w:pPr>
      <w:r>
        <w:rPr>
          <w:b/>
          <w:i/>
        </w:rPr>
        <w:t>Community Contact</w:t>
      </w:r>
    </w:p>
    <w:p w14:paraId="73C59233" w14:textId="77777777" w:rsidR="00465B41" w:rsidRDefault="00465B41" w:rsidP="00E02903">
      <w:pPr>
        <w:tabs>
          <w:tab w:val="center" w:pos="4680"/>
        </w:tabs>
        <w:rPr>
          <w:b/>
          <w:i/>
        </w:rPr>
      </w:pPr>
    </w:p>
    <w:p w14:paraId="7D86AC07" w14:textId="77777777" w:rsidR="00465B41" w:rsidRDefault="00465B41" w:rsidP="00E02903">
      <w:pPr>
        <w:tabs>
          <w:tab w:val="center" w:pos="4680"/>
        </w:tabs>
      </w:pPr>
      <w:r>
        <w:t xml:space="preserve">As part of the evaluation process, examiners contact third parties active in the assessment area to assist in identifying the </w:t>
      </w:r>
      <w:r w:rsidR="0074460D">
        <w:t xml:space="preserve">area’s </w:t>
      </w:r>
      <w:r>
        <w:t>credit and community development need</w:t>
      </w:r>
      <w:r w:rsidR="0074460D">
        <w:t>s and opportunitie</w:t>
      </w:r>
      <w:r>
        <w:t xml:space="preserve">s.  This information </w:t>
      </w:r>
      <w:r w:rsidR="0074460D">
        <w:t xml:space="preserve">also </w:t>
      </w:r>
      <w:r>
        <w:t xml:space="preserve">helps </w:t>
      </w:r>
      <w:r w:rsidR="0074460D">
        <w:t xml:space="preserve">examiners </w:t>
      </w:r>
      <w:r>
        <w:t xml:space="preserve">determine whether local financial institutions are responsive to </w:t>
      </w:r>
      <w:r>
        <w:lastRenderedPageBreak/>
        <w:t xml:space="preserve">these needs.  </w:t>
      </w:r>
      <w:r w:rsidR="0074460D">
        <w:t xml:space="preserve">For the </w:t>
      </w:r>
      <w:r w:rsidR="00287D57">
        <w:t>Savers</w:t>
      </w:r>
      <w:r w:rsidR="00FF6663">
        <w:t>’</w:t>
      </w:r>
      <w:r w:rsidR="0074460D">
        <w:t xml:space="preserve"> evaluation, e</w:t>
      </w:r>
      <w:r>
        <w:t xml:space="preserve">xaminers contacted a representative from </w:t>
      </w:r>
      <w:r w:rsidR="00F01F90">
        <w:t>an affordable housing organization</w:t>
      </w:r>
      <w:r w:rsidR="0074460D">
        <w:t xml:space="preserve"> that </w:t>
      </w:r>
      <w:r w:rsidR="00F01F90">
        <w:t xml:space="preserve">serves the assessment area.  The contact stated that affordable housing remains a significant need, especially for disabled residents.  The contact also stated that transportation is an issue for low- and moderate-income residents due to </w:t>
      </w:r>
      <w:r w:rsidR="0074460D">
        <w:t xml:space="preserve">the </w:t>
      </w:r>
      <w:r w:rsidR="00F01F90">
        <w:t xml:space="preserve">recent </w:t>
      </w:r>
      <w:r w:rsidR="004A10C1">
        <w:t>budget cuts of the transit authority.</w:t>
      </w:r>
    </w:p>
    <w:p w14:paraId="32829256" w14:textId="77777777" w:rsidR="00F01F90" w:rsidRDefault="00F01F90" w:rsidP="00E02903">
      <w:pPr>
        <w:tabs>
          <w:tab w:val="center" w:pos="4680"/>
        </w:tabs>
      </w:pPr>
    </w:p>
    <w:p w14:paraId="5634C894" w14:textId="77777777" w:rsidR="00F01F90" w:rsidRPr="00F01F90" w:rsidRDefault="00F01F90" w:rsidP="00E02903">
      <w:pPr>
        <w:tabs>
          <w:tab w:val="center" w:pos="4680"/>
        </w:tabs>
        <w:rPr>
          <w:b/>
          <w:i/>
        </w:rPr>
      </w:pPr>
      <w:r>
        <w:rPr>
          <w:b/>
          <w:i/>
        </w:rPr>
        <w:t>Credit and Community Development Needs and Opportunities</w:t>
      </w:r>
    </w:p>
    <w:p w14:paraId="41FFBFB7" w14:textId="77777777" w:rsidR="00F01F90" w:rsidRDefault="00F01F90" w:rsidP="00E02903">
      <w:pPr>
        <w:tabs>
          <w:tab w:val="center" w:pos="4680"/>
        </w:tabs>
      </w:pPr>
    </w:p>
    <w:p w14:paraId="0B6AA32E" w14:textId="77777777" w:rsidR="00FB7E5F" w:rsidRDefault="009A3CE3" w:rsidP="00E02903">
      <w:pPr>
        <w:tabs>
          <w:tab w:val="center" w:pos="4680"/>
        </w:tabs>
      </w:pPr>
      <w:r w:rsidRPr="00875A83">
        <w:t>Considering informa</w:t>
      </w:r>
      <w:r>
        <w:t>tion from the community contact</w:t>
      </w:r>
      <w:r w:rsidRPr="00875A83">
        <w:t xml:space="preserve">, </w:t>
      </w:r>
      <w:r>
        <w:t xml:space="preserve">discussions with </w:t>
      </w:r>
      <w:r w:rsidRPr="00875A83">
        <w:t>management, and demographic and economic</w:t>
      </w:r>
      <w:r w:rsidR="00FF6663">
        <w:t xml:space="preserve"> data, examiners identified that the area’s </w:t>
      </w:r>
      <w:r w:rsidRPr="00875A83">
        <w:t xml:space="preserve">primary </w:t>
      </w:r>
      <w:r>
        <w:t>community development need is affordable housing.</w:t>
      </w:r>
    </w:p>
    <w:p w14:paraId="1502CB12" w14:textId="77777777" w:rsidR="009A3CE3" w:rsidRDefault="009A3CE3" w:rsidP="00E02903">
      <w:pPr>
        <w:tabs>
          <w:tab w:val="center" w:pos="4680"/>
        </w:tabs>
      </w:pPr>
    </w:p>
    <w:p w14:paraId="27351D39" w14:textId="77777777" w:rsidR="004C31A6" w:rsidRPr="00161EC6" w:rsidRDefault="004C31A6" w:rsidP="000927D4">
      <w:pPr>
        <w:pStyle w:val="Heading1"/>
      </w:pPr>
      <w:bookmarkStart w:id="6" w:name="_Toc63684850"/>
      <w:r w:rsidRPr="00161EC6">
        <w:t>SCOPE OF EVALUATION</w:t>
      </w:r>
      <w:bookmarkEnd w:id="6"/>
    </w:p>
    <w:p w14:paraId="3BAEE993" w14:textId="77777777" w:rsidR="004C31A6" w:rsidRPr="00F82DA4" w:rsidRDefault="004C31A6" w:rsidP="004C31A6">
      <w:pPr>
        <w:pStyle w:val="Heading1"/>
        <w:jc w:val="left"/>
        <w:rPr>
          <w:b w:val="0"/>
          <w:sz w:val="24"/>
          <w:szCs w:val="24"/>
        </w:rPr>
      </w:pPr>
    </w:p>
    <w:p w14:paraId="40438C63" w14:textId="77777777" w:rsidR="004C31A6" w:rsidRDefault="004C31A6" w:rsidP="004C31A6">
      <w:pPr>
        <w:tabs>
          <w:tab w:val="left" w:pos="1260"/>
        </w:tabs>
        <w:rPr>
          <w:b/>
          <w:bCs/>
          <w:iCs/>
          <w:u w:val="single"/>
        </w:rPr>
      </w:pPr>
      <w:r w:rsidRPr="00D75C34">
        <w:rPr>
          <w:b/>
          <w:bCs/>
          <w:iCs/>
          <w:u w:val="single"/>
        </w:rPr>
        <w:t>General Information</w:t>
      </w:r>
    </w:p>
    <w:p w14:paraId="7A6D7F96" w14:textId="77777777" w:rsidR="00455CAA" w:rsidRDefault="00455CAA" w:rsidP="004C31A6">
      <w:pPr>
        <w:tabs>
          <w:tab w:val="left" w:pos="1260"/>
        </w:tabs>
        <w:rPr>
          <w:b/>
          <w:bCs/>
          <w:iCs/>
          <w:u w:val="single"/>
        </w:rPr>
      </w:pPr>
    </w:p>
    <w:p w14:paraId="55C4A496" w14:textId="77777777" w:rsidR="00455CAA" w:rsidRDefault="00455CAA" w:rsidP="00455CAA">
      <w:pPr>
        <w:pStyle w:val="Heading2"/>
        <w:jc w:val="left"/>
        <w:rPr>
          <w:b w:val="0"/>
          <w:sz w:val="24"/>
          <w:szCs w:val="24"/>
        </w:rPr>
      </w:pPr>
      <w:bookmarkStart w:id="7" w:name="_Toc54688391"/>
      <w:bookmarkStart w:id="8" w:name="_Toc61952431"/>
      <w:bookmarkStart w:id="9" w:name="_Toc63251242"/>
      <w:bookmarkStart w:id="10" w:name="_Toc63684851"/>
      <w:r>
        <w:rPr>
          <w:b w:val="0"/>
          <w:sz w:val="24"/>
          <w:szCs w:val="24"/>
        </w:rPr>
        <w:t>This evaluation covers the period from the prior evaluation dated October 23, 2017, to the current evaluation date</w:t>
      </w:r>
      <w:r w:rsidR="00DB42CD">
        <w:rPr>
          <w:b w:val="0"/>
          <w:sz w:val="24"/>
          <w:szCs w:val="24"/>
        </w:rPr>
        <w:t xml:space="preserve">d </w:t>
      </w:r>
      <w:r>
        <w:rPr>
          <w:b w:val="0"/>
          <w:sz w:val="24"/>
          <w:szCs w:val="24"/>
        </w:rPr>
        <w:t xml:space="preserve">January 11, 2021.  Examiners used </w:t>
      </w:r>
      <w:r w:rsidR="00FF6663">
        <w:rPr>
          <w:b w:val="0"/>
          <w:sz w:val="24"/>
          <w:szCs w:val="24"/>
        </w:rPr>
        <w:t xml:space="preserve">the </w:t>
      </w:r>
      <w:r w:rsidR="00712A7C">
        <w:rPr>
          <w:b w:val="0"/>
          <w:sz w:val="24"/>
          <w:szCs w:val="24"/>
        </w:rPr>
        <w:t xml:space="preserve">FFIEC </w:t>
      </w:r>
      <w:r>
        <w:rPr>
          <w:b w:val="0"/>
          <w:sz w:val="24"/>
          <w:szCs w:val="24"/>
        </w:rPr>
        <w:t xml:space="preserve">Interagency Intermediate Small </w:t>
      </w:r>
      <w:r w:rsidR="00FF6663">
        <w:rPr>
          <w:b w:val="0"/>
          <w:sz w:val="24"/>
          <w:szCs w:val="24"/>
        </w:rPr>
        <w:t>Institution CRA</w:t>
      </w:r>
      <w:r w:rsidR="00902AE1">
        <w:rPr>
          <w:b w:val="0"/>
          <w:sz w:val="24"/>
          <w:szCs w:val="24"/>
        </w:rPr>
        <w:t xml:space="preserve"> Examination</w:t>
      </w:r>
      <w:r w:rsidR="00CB77FB">
        <w:rPr>
          <w:b w:val="0"/>
          <w:sz w:val="24"/>
          <w:szCs w:val="24"/>
        </w:rPr>
        <w:t xml:space="preserve"> Procedures to evaluate </w:t>
      </w:r>
      <w:r w:rsidR="00010113">
        <w:rPr>
          <w:b w:val="0"/>
          <w:sz w:val="24"/>
          <w:szCs w:val="24"/>
        </w:rPr>
        <w:t>the bank’s</w:t>
      </w:r>
      <w:r>
        <w:rPr>
          <w:b w:val="0"/>
          <w:sz w:val="24"/>
          <w:szCs w:val="24"/>
        </w:rPr>
        <w:t xml:space="preserve"> CRA performance.  </w:t>
      </w:r>
      <w:r w:rsidR="00E57C37">
        <w:rPr>
          <w:b w:val="0"/>
          <w:sz w:val="24"/>
          <w:szCs w:val="24"/>
        </w:rPr>
        <w:t xml:space="preserve">The procedures include the Small Bank Lending Test and the Community Development Test.  </w:t>
      </w:r>
      <w:r>
        <w:rPr>
          <w:b w:val="0"/>
          <w:sz w:val="24"/>
          <w:szCs w:val="24"/>
        </w:rPr>
        <w:t>Refer to the appendices for more information about each test.</w:t>
      </w:r>
      <w:bookmarkEnd w:id="7"/>
      <w:bookmarkEnd w:id="8"/>
      <w:bookmarkEnd w:id="9"/>
      <w:bookmarkEnd w:id="10"/>
      <w:r>
        <w:rPr>
          <w:b w:val="0"/>
          <w:sz w:val="24"/>
          <w:szCs w:val="24"/>
        </w:rPr>
        <w:t xml:space="preserve">  </w:t>
      </w:r>
    </w:p>
    <w:p w14:paraId="73EAFB83" w14:textId="77777777" w:rsidR="00E57C37" w:rsidRDefault="00E57C37" w:rsidP="00E57C37"/>
    <w:p w14:paraId="18BFB572" w14:textId="77777777" w:rsidR="00E57C37" w:rsidRPr="00E57C37" w:rsidRDefault="00287D57" w:rsidP="00E57C37">
      <w:r>
        <w:t>Savers</w:t>
      </w:r>
      <w:r w:rsidR="00E57C37">
        <w:t xml:space="preserve"> must achieve at least a Satisfactory rating under each test to obtain an overall Satisfactory rating. </w:t>
      </w:r>
      <w:r w:rsidR="00712A7C">
        <w:t xml:space="preserve"> </w:t>
      </w:r>
      <w:r w:rsidR="00E57C37">
        <w:t>This evaluation does not include any lending activities performed by affiliates.</w:t>
      </w:r>
    </w:p>
    <w:p w14:paraId="0DA09CC6" w14:textId="77777777" w:rsidR="00FB7E5F" w:rsidRPr="00FB7E5F" w:rsidRDefault="00FB7E5F" w:rsidP="00FB7E5F"/>
    <w:p w14:paraId="65AB20E8" w14:textId="77777777" w:rsidR="004C31A6" w:rsidRDefault="00E31056" w:rsidP="004C31A6">
      <w:pPr>
        <w:tabs>
          <w:tab w:val="left" w:pos="1260"/>
        </w:tabs>
        <w:rPr>
          <w:b/>
          <w:bCs/>
          <w:iCs/>
          <w:u w:val="single"/>
        </w:rPr>
      </w:pPr>
      <w:r>
        <w:rPr>
          <w:b/>
          <w:bCs/>
          <w:iCs/>
          <w:u w:val="single"/>
        </w:rPr>
        <w:t xml:space="preserve">Activities </w:t>
      </w:r>
      <w:r w:rsidR="004C31A6" w:rsidRPr="00D75C34">
        <w:rPr>
          <w:b/>
          <w:bCs/>
          <w:iCs/>
          <w:u w:val="single"/>
        </w:rPr>
        <w:t>Reviewed</w:t>
      </w:r>
    </w:p>
    <w:p w14:paraId="711A6155" w14:textId="77777777" w:rsidR="004C31A6" w:rsidRDefault="004C31A6" w:rsidP="004C31A6">
      <w:pPr>
        <w:pStyle w:val="QuickFormat1"/>
        <w:jc w:val="left"/>
        <w:rPr>
          <w:b w:val="0"/>
          <w:color w:val="auto"/>
          <w:sz w:val="24"/>
          <w:szCs w:val="28"/>
          <w:lang w:val="en-US"/>
        </w:rPr>
      </w:pPr>
    </w:p>
    <w:p w14:paraId="1C150027" w14:textId="77777777" w:rsidR="00455CAA" w:rsidRDefault="00455CAA" w:rsidP="00455CAA">
      <w:pPr>
        <w:pStyle w:val="QuickFormat1"/>
        <w:jc w:val="left"/>
        <w:rPr>
          <w:b w:val="0"/>
          <w:color w:val="auto"/>
          <w:sz w:val="24"/>
          <w:szCs w:val="28"/>
          <w:lang w:val="en-US"/>
        </w:rPr>
      </w:pPr>
      <w:r>
        <w:rPr>
          <w:b w:val="0"/>
          <w:color w:val="auto"/>
          <w:sz w:val="24"/>
          <w:szCs w:val="28"/>
          <w:lang w:val="en-US"/>
        </w:rPr>
        <w:t xml:space="preserve">Examiners </w:t>
      </w:r>
      <w:r w:rsidR="00287D57">
        <w:rPr>
          <w:b w:val="0"/>
          <w:color w:val="auto"/>
          <w:sz w:val="24"/>
          <w:szCs w:val="28"/>
          <w:lang w:val="en-US"/>
        </w:rPr>
        <w:t>reviewed Saver</w:t>
      </w:r>
      <w:r w:rsidR="00DB42CD">
        <w:rPr>
          <w:b w:val="0"/>
          <w:color w:val="auto"/>
          <w:sz w:val="24"/>
          <w:szCs w:val="28"/>
          <w:lang w:val="en-US"/>
        </w:rPr>
        <w:t>s</w:t>
      </w:r>
      <w:r w:rsidR="00287D57">
        <w:rPr>
          <w:b w:val="0"/>
          <w:color w:val="auto"/>
          <w:sz w:val="24"/>
          <w:szCs w:val="28"/>
          <w:lang w:val="en-US"/>
        </w:rPr>
        <w:t>’</w:t>
      </w:r>
      <w:r w:rsidR="00DB42CD">
        <w:rPr>
          <w:b w:val="0"/>
          <w:color w:val="auto"/>
          <w:sz w:val="24"/>
          <w:szCs w:val="28"/>
          <w:lang w:val="en-US"/>
        </w:rPr>
        <w:t xml:space="preserve"> home mortgage and small business loans to assess the bank’s performance, as these loans represent the institution’s </w:t>
      </w:r>
      <w:r>
        <w:rPr>
          <w:b w:val="0"/>
          <w:color w:val="auto"/>
          <w:sz w:val="24"/>
          <w:szCs w:val="28"/>
          <w:lang w:val="en-US"/>
        </w:rPr>
        <w:t xml:space="preserve">major product lines based on the number and dollar volume of loans originated and purchased during the evaluation period.  </w:t>
      </w:r>
      <w:r w:rsidR="00DB42CD">
        <w:rPr>
          <w:b w:val="0"/>
          <w:color w:val="auto"/>
          <w:sz w:val="24"/>
          <w:szCs w:val="28"/>
          <w:lang w:val="en-US"/>
        </w:rPr>
        <w:t xml:space="preserve">Examiners did not analyze </w:t>
      </w:r>
      <w:r w:rsidR="00160E27">
        <w:rPr>
          <w:b w:val="0"/>
          <w:color w:val="auto"/>
          <w:sz w:val="24"/>
          <w:szCs w:val="28"/>
          <w:lang w:val="en-US"/>
        </w:rPr>
        <w:t>farm lending</w:t>
      </w:r>
      <w:r w:rsidR="00DB42CD">
        <w:rPr>
          <w:b w:val="0"/>
          <w:color w:val="auto"/>
          <w:sz w:val="24"/>
          <w:szCs w:val="28"/>
          <w:lang w:val="en-US"/>
        </w:rPr>
        <w:t xml:space="preserve">, as </w:t>
      </w:r>
      <w:r w:rsidR="00160E27">
        <w:rPr>
          <w:b w:val="0"/>
          <w:color w:val="auto"/>
          <w:sz w:val="24"/>
          <w:szCs w:val="28"/>
          <w:lang w:val="en-US"/>
        </w:rPr>
        <w:t>the bank did not originate any small farm loans during the evaluation period</w:t>
      </w:r>
      <w:r w:rsidR="00DB42CD">
        <w:rPr>
          <w:b w:val="0"/>
          <w:color w:val="auto"/>
          <w:sz w:val="24"/>
          <w:szCs w:val="28"/>
          <w:lang w:val="en-US"/>
        </w:rPr>
        <w:t xml:space="preserve">.  </w:t>
      </w:r>
      <w:r w:rsidR="00902AE1">
        <w:rPr>
          <w:b w:val="0"/>
          <w:color w:val="auto"/>
          <w:sz w:val="24"/>
          <w:szCs w:val="28"/>
          <w:lang w:val="en-US"/>
        </w:rPr>
        <w:t xml:space="preserve">Examiners </w:t>
      </w:r>
      <w:r w:rsidR="001E2432">
        <w:rPr>
          <w:b w:val="0"/>
          <w:color w:val="auto"/>
          <w:sz w:val="24"/>
          <w:szCs w:val="28"/>
          <w:lang w:val="en-US"/>
        </w:rPr>
        <w:t>gave more weight to</w:t>
      </w:r>
      <w:r w:rsidR="00902AE1">
        <w:rPr>
          <w:b w:val="0"/>
          <w:color w:val="auto"/>
          <w:sz w:val="24"/>
          <w:szCs w:val="28"/>
          <w:lang w:val="en-US"/>
        </w:rPr>
        <w:t xml:space="preserve"> </w:t>
      </w:r>
      <w:r w:rsidR="00DB42CD">
        <w:rPr>
          <w:b w:val="0"/>
          <w:color w:val="auto"/>
          <w:sz w:val="24"/>
          <w:szCs w:val="28"/>
          <w:lang w:val="en-US"/>
        </w:rPr>
        <w:t xml:space="preserve">the bank’s </w:t>
      </w:r>
      <w:r w:rsidR="00902AE1">
        <w:rPr>
          <w:b w:val="0"/>
          <w:color w:val="auto"/>
          <w:sz w:val="24"/>
          <w:szCs w:val="28"/>
          <w:lang w:val="en-US"/>
        </w:rPr>
        <w:t>home mortgage lending</w:t>
      </w:r>
      <w:r w:rsidR="00C45697">
        <w:rPr>
          <w:b w:val="0"/>
          <w:color w:val="auto"/>
          <w:sz w:val="24"/>
          <w:szCs w:val="28"/>
          <w:lang w:val="en-US"/>
        </w:rPr>
        <w:t xml:space="preserve"> in the analysis</w:t>
      </w:r>
      <w:r w:rsidR="00DB42CD">
        <w:rPr>
          <w:b w:val="0"/>
          <w:color w:val="auto"/>
          <w:sz w:val="24"/>
          <w:szCs w:val="28"/>
          <w:lang w:val="en-US"/>
        </w:rPr>
        <w:t>, as the</w:t>
      </w:r>
      <w:r w:rsidR="00902AE1">
        <w:rPr>
          <w:b w:val="0"/>
          <w:color w:val="auto"/>
          <w:sz w:val="24"/>
          <w:szCs w:val="28"/>
          <w:lang w:val="en-US"/>
        </w:rPr>
        <w:t xml:space="preserve"> home mortgage loans make up a larger percentage of the loan portfolio than small business loans.  </w:t>
      </w:r>
      <w:r w:rsidR="00DB42CD">
        <w:rPr>
          <w:b w:val="0"/>
          <w:color w:val="auto"/>
          <w:sz w:val="24"/>
          <w:szCs w:val="28"/>
          <w:lang w:val="en-US"/>
        </w:rPr>
        <w:t>Additionally, a</w:t>
      </w:r>
      <w:r w:rsidR="001E2432">
        <w:rPr>
          <w:b w:val="0"/>
          <w:color w:val="auto"/>
          <w:sz w:val="24"/>
          <w:szCs w:val="28"/>
          <w:lang w:val="en-US"/>
        </w:rPr>
        <w:t>lthough the Lending Test reflects the number and dollar volume of loans, examiners gave more weight to the number of loans</w:t>
      </w:r>
      <w:r w:rsidR="00C45697">
        <w:rPr>
          <w:b w:val="0"/>
          <w:color w:val="auto"/>
          <w:sz w:val="24"/>
          <w:szCs w:val="28"/>
          <w:lang w:val="en-US"/>
        </w:rPr>
        <w:t>,</w:t>
      </w:r>
      <w:r w:rsidR="001E2432">
        <w:rPr>
          <w:b w:val="0"/>
          <w:color w:val="auto"/>
          <w:sz w:val="24"/>
          <w:szCs w:val="28"/>
          <w:lang w:val="en-US"/>
        </w:rPr>
        <w:t xml:space="preserve"> as it better indicates the number of individuals and businesses served. </w:t>
      </w:r>
    </w:p>
    <w:p w14:paraId="6CB39ED3" w14:textId="77777777" w:rsidR="00CC4788" w:rsidRDefault="00CC4788" w:rsidP="00F94A72">
      <w:pPr>
        <w:pStyle w:val="QuickFormat1"/>
        <w:jc w:val="left"/>
        <w:rPr>
          <w:b w:val="0"/>
          <w:color w:val="auto"/>
          <w:sz w:val="24"/>
          <w:szCs w:val="28"/>
          <w:lang w:val="en-US"/>
        </w:rPr>
      </w:pPr>
    </w:p>
    <w:p w14:paraId="41E0E982" w14:textId="77777777" w:rsidR="00902AE1" w:rsidRDefault="00F94A72" w:rsidP="00F94A72">
      <w:pPr>
        <w:pStyle w:val="QuickFormat1"/>
        <w:jc w:val="left"/>
        <w:rPr>
          <w:b w:val="0"/>
          <w:color w:val="auto"/>
          <w:sz w:val="24"/>
          <w:szCs w:val="28"/>
          <w:lang w:val="en-US"/>
        </w:rPr>
      </w:pPr>
      <w:r w:rsidRPr="00CC4788">
        <w:rPr>
          <w:b w:val="0"/>
          <w:color w:val="auto"/>
          <w:sz w:val="24"/>
          <w:szCs w:val="28"/>
          <w:lang w:val="en-US"/>
        </w:rPr>
        <w:t xml:space="preserve">Examiners </w:t>
      </w:r>
      <w:r w:rsidR="00902AE1" w:rsidRPr="00CC4788">
        <w:rPr>
          <w:b w:val="0"/>
          <w:color w:val="auto"/>
          <w:sz w:val="24"/>
          <w:szCs w:val="28"/>
          <w:lang w:val="en-US"/>
        </w:rPr>
        <w:t xml:space="preserve">analyzed all home mortgage loans reported on </w:t>
      </w:r>
      <w:r w:rsidR="00F9456B" w:rsidRPr="00CC4788">
        <w:rPr>
          <w:b w:val="0"/>
          <w:color w:val="auto"/>
          <w:sz w:val="24"/>
          <w:szCs w:val="28"/>
          <w:lang w:val="en-US"/>
        </w:rPr>
        <w:t>the bank’s</w:t>
      </w:r>
      <w:r w:rsidR="00902AE1" w:rsidRPr="00CC4788">
        <w:rPr>
          <w:b w:val="0"/>
          <w:color w:val="auto"/>
          <w:sz w:val="24"/>
          <w:szCs w:val="28"/>
          <w:lang w:val="en-US"/>
        </w:rPr>
        <w:t xml:space="preserve"> 2017, 2018, and 2019 HMDA Loan Application Registers</w:t>
      </w:r>
      <w:r w:rsidR="00CA6D4C" w:rsidRPr="00CC4788">
        <w:rPr>
          <w:b w:val="0"/>
          <w:color w:val="auto"/>
          <w:sz w:val="24"/>
          <w:szCs w:val="28"/>
          <w:lang w:val="en-US"/>
        </w:rPr>
        <w:t xml:space="preserve"> (LARs)</w:t>
      </w:r>
      <w:r w:rsidR="00902AE1" w:rsidRPr="00CC4788">
        <w:rPr>
          <w:b w:val="0"/>
          <w:color w:val="auto"/>
          <w:sz w:val="24"/>
          <w:szCs w:val="28"/>
          <w:lang w:val="en-US"/>
        </w:rPr>
        <w:t xml:space="preserve">.  </w:t>
      </w:r>
      <w:r w:rsidR="00287D57" w:rsidRPr="00CC4788">
        <w:rPr>
          <w:b w:val="0"/>
          <w:color w:val="auto"/>
          <w:sz w:val="24"/>
          <w:szCs w:val="28"/>
          <w:lang w:val="en-US"/>
        </w:rPr>
        <w:t>Savers</w:t>
      </w:r>
      <w:r w:rsidRPr="00CC4788">
        <w:rPr>
          <w:b w:val="0"/>
          <w:color w:val="auto"/>
          <w:sz w:val="24"/>
          <w:szCs w:val="28"/>
          <w:lang w:val="en-US"/>
        </w:rPr>
        <w:t xml:space="preserve"> reported </w:t>
      </w:r>
      <w:r w:rsidR="007009FE" w:rsidRPr="00CC4788">
        <w:rPr>
          <w:b w:val="0"/>
          <w:color w:val="auto"/>
          <w:sz w:val="24"/>
          <w:szCs w:val="28"/>
          <w:lang w:val="en-US"/>
        </w:rPr>
        <w:t>234</w:t>
      </w:r>
      <w:r w:rsidRPr="00CC4788">
        <w:rPr>
          <w:b w:val="0"/>
          <w:color w:val="auto"/>
          <w:sz w:val="24"/>
          <w:szCs w:val="28"/>
          <w:lang w:val="en-US"/>
        </w:rPr>
        <w:t xml:space="preserve"> home mortgage loans totaling $</w:t>
      </w:r>
      <w:r w:rsidR="007009FE" w:rsidRPr="00CC4788">
        <w:rPr>
          <w:b w:val="0"/>
          <w:color w:val="auto"/>
          <w:sz w:val="24"/>
          <w:szCs w:val="28"/>
          <w:lang w:val="en-US"/>
        </w:rPr>
        <w:t>45.2</w:t>
      </w:r>
      <w:r w:rsidRPr="00CC4788">
        <w:rPr>
          <w:b w:val="0"/>
          <w:color w:val="auto"/>
          <w:sz w:val="24"/>
          <w:szCs w:val="28"/>
          <w:lang w:val="en-US"/>
        </w:rPr>
        <w:t xml:space="preserve"> million in 2017, </w:t>
      </w:r>
      <w:r w:rsidR="00A3184A" w:rsidRPr="00CC4788">
        <w:rPr>
          <w:b w:val="0"/>
          <w:color w:val="auto"/>
          <w:sz w:val="24"/>
          <w:szCs w:val="28"/>
          <w:lang w:val="en-US"/>
        </w:rPr>
        <w:t>261</w:t>
      </w:r>
      <w:r w:rsidRPr="00CC4788">
        <w:rPr>
          <w:b w:val="0"/>
          <w:color w:val="auto"/>
          <w:sz w:val="24"/>
          <w:szCs w:val="28"/>
          <w:lang w:val="en-US"/>
        </w:rPr>
        <w:t xml:space="preserve"> loans totaling $</w:t>
      </w:r>
      <w:r w:rsidR="00A3184A" w:rsidRPr="00CC4788">
        <w:rPr>
          <w:b w:val="0"/>
          <w:color w:val="auto"/>
          <w:sz w:val="24"/>
          <w:szCs w:val="28"/>
          <w:lang w:val="en-US"/>
        </w:rPr>
        <w:t>46.6</w:t>
      </w:r>
      <w:r w:rsidRPr="00CC4788">
        <w:rPr>
          <w:b w:val="0"/>
          <w:color w:val="auto"/>
          <w:sz w:val="24"/>
          <w:szCs w:val="28"/>
          <w:lang w:val="en-US"/>
        </w:rPr>
        <w:t xml:space="preserve"> million in 2018, and </w:t>
      </w:r>
      <w:r w:rsidR="00A3184A" w:rsidRPr="00CC4788">
        <w:rPr>
          <w:b w:val="0"/>
          <w:color w:val="auto"/>
          <w:sz w:val="24"/>
          <w:szCs w:val="28"/>
          <w:lang w:val="en-US"/>
        </w:rPr>
        <w:t>280</w:t>
      </w:r>
      <w:r w:rsidRPr="00CC4788">
        <w:rPr>
          <w:b w:val="0"/>
          <w:color w:val="auto"/>
          <w:sz w:val="24"/>
          <w:szCs w:val="28"/>
          <w:lang w:val="en-US"/>
        </w:rPr>
        <w:t xml:space="preserve"> loans totaling $</w:t>
      </w:r>
      <w:r w:rsidR="00A3184A" w:rsidRPr="00CC4788">
        <w:rPr>
          <w:b w:val="0"/>
          <w:color w:val="auto"/>
          <w:sz w:val="24"/>
          <w:szCs w:val="28"/>
          <w:lang w:val="en-US"/>
        </w:rPr>
        <w:t>56.6</w:t>
      </w:r>
      <w:r w:rsidRPr="00CC4788">
        <w:rPr>
          <w:b w:val="0"/>
          <w:color w:val="auto"/>
          <w:sz w:val="24"/>
          <w:szCs w:val="28"/>
          <w:lang w:val="en-US"/>
        </w:rPr>
        <w:t xml:space="preserve"> million in 2019.  While </w:t>
      </w:r>
      <w:r w:rsidR="00CC4788" w:rsidRPr="00CC4788">
        <w:rPr>
          <w:b w:val="0"/>
          <w:color w:val="auto"/>
          <w:sz w:val="24"/>
          <w:szCs w:val="28"/>
          <w:lang w:val="en-US"/>
        </w:rPr>
        <w:t>this evaluation presents</w:t>
      </w:r>
      <w:r w:rsidR="00CC4788">
        <w:rPr>
          <w:b w:val="0"/>
          <w:color w:val="auto"/>
          <w:sz w:val="24"/>
          <w:szCs w:val="28"/>
          <w:lang w:val="en-US"/>
        </w:rPr>
        <w:t xml:space="preserve"> </w:t>
      </w:r>
      <w:r w:rsidRPr="00CC4788">
        <w:rPr>
          <w:b w:val="0"/>
          <w:color w:val="auto"/>
          <w:sz w:val="24"/>
          <w:szCs w:val="28"/>
          <w:lang w:val="en-US"/>
        </w:rPr>
        <w:t xml:space="preserve">home mortgage </w:t>
      </w:r>
      <w:r w:rsidR="00CC4788" w:rsidRPr="00CC4788">
        <w:rPr>
          <w:b w:val="0"/>
          <w:color w:val="auto"/>
          <w:sz w:val="24"/>
          <w:szCs w:val="28"/>
          <w:lang w:val="en-US"/>
        </w:rPr>
        <w:t>loan</w:t>
      </w:r>
      <w:r w:rsidRPr="00CC4788">
        <w:rPr>
          <w:b w:val="0"/>
          <w:color w:val="auto"/>
          <w:sz w:val="24"/>
          <w:szCs w:val="28"/>
          <w:lang w:val="en-US"/>
        </w:rPr>
        <w:t xml:space="preserve"> data for </w:t>
      </w:r>
      <w:r w:rsidR="00902AE1" w:rsidRPr="00CC4788">
        <w:rPr>
          <w:b w:val="0"/>
          <w:color w:val="auto"/>
          <w:sz w:val="24"/>
          <w:szCs w:val="28"/>
          <w:lang w:val="en-US"/>
        </w:rPr>
        <w:t>all three years</w:t>
      </w:r>
      <w:r w:rsidR="00CC4788" w:rsidRPr="00CC4788">
        <w:rPr>
          <w:b w:val="0"/>
          <w:color w:val="auto"/>
          <w:sz w:val="24"/>
          <w:szCs w:val="28"/>
          <w:lang w:val="en-US"/>
        </w:rPr>
        <w:t xml:space="preserve"> in the Assessment Area Concentration criterion, it presents only the 2018 and 2019 data in the Geographic Distribution and Borrower Profile </w:t>
      </w:r>
      <w:r w:rsidR="00CC4788">
        <w:rPr>
          <w:b w:val="0"/>
          <w:color w:val="auto"/>
          <w:sz w:val="24"/>
          <w:szCs w:val="28"/>
          <w:lang w:val="en-US"/>
        </w:rPr>
        <w:t>sections</w:t>
      </w:r>
      <w:r w:rsidR="00CC4788" w:rsidRPr="00CC4788">
        <w:rPr>
          <w:b w:val="0"/>
          <w:color w:val="auto"/>
          <w:sz w:val="24"/>
          <w:szCs w:val="28"/>
          <w:lang w:val="en-US"/>
        </w:rPr>
        <w:t xml:space="preserve">, as performance in 2017 was consistent with </w:t>
      </w:r>
      <w:r w:rsidR="00CC4788">
        <w:rPr>
          <w:b w:val="0"/>
          <w:color w:val="auto"/>
          <w:sz w:val="24"/>
          <w:szCs w:val="28"/>
          <w:lang w:val="en-US"/>
        </w:rPr>
        <w:t>2018</w:t>
      </w:r>
      <w:r w:rsidR="00CC4788" w:rsidRPr="00CC4788">
        <w:rPr>
          <w:b w:val="0"/>
          <w:color w:val="auto"/>
          <w:sz w:val="24"/>
          <w:szCs w:val="28"/>
          <w:lang w:val="en-US"/>
        </w:rPr>
        <w:t>.  E</w:t>
      </w:r>
      <w:r w:rsidRPr="00CC4788">
        <w:rPr>
          <w:b w:val="0"/>
          <w:color w:val="auto"/>
          <w:sz w:val="24"/>
          <w:szCs w:val="28"/>
          <w:lang w:val="en-US"/>
        </w:rPr>
        <w:t xml:space="preserve">xaminers compared </w:t>
      </w:r>
      <w:r w:rsidR="00712A7C" w:rsidRPr="00CC4788">
        <w:rPr>
          <w:b w:val="0"/>
          <w:color w:val="auto"/>
          <w:sz w:val="24"/>
          <w:szCs w:val="28"/>
          <w:lang w:val="en-US"/>
        </w:rPr>
        <w:t>the bank’</w:t>
      </w:r>
      <w:r w:rsidRPr="00CC4788">
        <w:rPr>
          <w:b w:val="0"/>
          <w:color w:val="auto"/>
          <w:sz w:val="24"/>
          <w:szCs w:val="28"/>
          <w:lang w:val="en-US"/>
        </w:rPr>
        <w:t xml:space="preserve">s </w:t>
      </w:r>
      <w:r w:rsidR="00C45697" w:rsidRPr="00CC4788">
        <w:rPr>
          <w:b w:val="0"/>
          <w:color w:val="auto"/>
          <w:sz w:val="24"/>
          <w:szCs w:val="28"/>
          <w:lang w:val="en-US"/>
        </w:rPr>
        <w:t xml:space="preserve">home mortgage </w:t>
      </w:r>
      <w:r w:rsidRPr="00CC4788">
        <w:rPr>
          <w:b w:val="0"/>
          <w:color w:val="auto"/>
          <w:sz w:val="24"/>
          <w:szCs w:val="28"/>
          <w:lang w:val="en-US"/>
        </w:rPr>
        <w:t xml:space="preserve">lending data to </w:t>
      </w:r>
      <w:r w:rsidR="00CC4788">
        <w:rPr>
          <w:b w:val="0"/>
          <w:color w:val="auto"/>
          <w:sz w:val="24"/>
          <w:szCs w:val="28"/>
          <w:lang w:val="en-US"/>
        </w:rPr>
        <w:t xml:space="preserve">the applicable </w:t>
      </w:r>
      <w:r w:rsidRPr="00CC4788">
        <w:rPr>
          <w:b w:val="0"/>
          <w:color w:val="auto"/>
          <w:sz w:val="24"/>
          <w:szCs w:val="28"/>
          <w:lang w:val="en-US"/>
        </w:rPr>
        <w:t xml:space="preserve">demographic and aggregate </w:t>
      </w:r>
      <w:r w:rsidR="00C45697" w:rsidRPr="00CC4788">
        <w:rPr>
          <w:b w:val="0"/>
          <w:color w:val="auto"/>
          <w:sz w:val="24"/>
          <w:szCs w:val="28"/>
          <w:lang w:val="en-US"/>
        </w:rPr>
        <w:t xml:space="preserve">HMDA </w:t>
      </w:r>
      <w:r w:rsidRPr="00CC4788">
        <w:rPr>
          <w:b w:val="0"/>
          <w:color w:val="auto"/>
          <w:sz w:val="24"/>
          <w:szCs w:val="28"/>
          <w:lang w:val="en-US"/>
        </w:rPr>
        <w:t xml:space="preserve">data for all three years.  </w:t>
      </w:r>
      <w:r w:rsidR="00712A7C" w:rsidRPr="00CC4788">
        <w:rPr>
          <w:b w:val="0"/>
          <w:color w:val="auto"/>
          <w:sz w:val="24"/>
          <w:szCs w:val="28"/>
          <w:lang w:val="en-US"/>
        </w:rPr>
        <w:t>The bank’s</w:t>
      </w:r>
      <w:r w:rsidRPr="00CC4788">
        <w:rPr>
          <w:b w:val="0"/>
          <w:color w:val="auto"/>
          <w:sz w:val="24"/>
          <w:szCs w:val="28"/>
          <w:lang w:val="en-US"/>
        </w:rPr>
        <w:t xml:space="preserve"> home mortgage lending performance in 2019 carried the most weight</w:t>
      </w:r>
      <w:r w:rsidR="00C45697" w:rsidRPr="00CC4788">
        <w:rPr>
          <w:b w:val="0"/>
          <w:color w:val="auto"/>
          <w:sz w:val="24"/>
          <w:szCs w:val="28"/>
          <w:lang w:val="en-US"/>
        </w:rPr>
        <w:t xml:space="preserve"> in the analysis</w:t>
      </w:r>
      <w:r w:rsidRPr="00CC4788">
        <w:rPr>
          <w:b w:val="0"/>
          <w:color w:val="auto"/>
          <w:sz w:val="24"/>
          <w:szCs w:val="28"/>
          <w:lang w:val="en-US"/>
        </w:rPr>
        <w:t>, as it is the most recent full calendar year with aggregate data.</w:t>
      </w:r>
      <w:r>
        <w:rPr>
          <w:b w:val="0"/>
          <w:color w:val="auto"/>
          <w:sz w:val="24"/>
          <w:szCs w:val="28"/>
          <w:lang w:val="en-US"/>
        </w:rPr>
        <w:t xml:space="preserve">  </w:t>
      </w:r>
    </w:p>
    <w:p w14:paraId="6C6AE695" w14:textId="77777777" w:rsidR="00F94A72" w:rsidRPr="000A6146" w:rsidRDefault="00C45697" w:rsidP="00160E27">
      <w:pPr>
        <w:rPr>
          <w:b/>
        </w:rPr>
      </w:pPr>
      <w:r>
        <w:rPr>
          <w:b/>
          <w:szCs w:val="28"/>
        </w:rPr>
        <w:br w:type="page"/>
      </w:r>
      <w:r w:rsidR="000A6146" w:rsidRPr="000A6146">
        <w:lastRenderedPageBreak/>
        <w:t xml:space="preserve">Examiners analyzed the bank’s small business lending for 2018 and 2019.  Since </w:t>
      </w:r>
      <w:r w:rsidR="00287D57">
        <w:t>Savers</w:t>
      </w:r>
      <w:r w:rsidR="000A6146" w:rsidRPr="000A6146">
        <w:t xml:space="preserve"> meets the CRA regulation’s definition of an Intermediate Small Institution, the bank is exempt from reporting small business loan data.  However, the bank opted to collect small business loan data, though it did not report the data. </w:t>
      </w:r>
      <w:r w:rsidR="001E2432" w:rsidRPr="000A6146">
        <w:t xml:space="preserve"> Bank records reflect </w:t>
      </w:r>
      <w:r w:rsidRPr="000A6146">
        <w:t>that it</w:t>
      </w:r>
      <w:r w:rsidR="00F94A72" w:rsidRPr="000A6146">
        <w:t xml:space="preserve"> originated </w:t>
      </w:r>
      <w:r w:rsidR="00A3184A" w:rsidRPr="000A6146">
        <w:t xml:space="preserve">25 </w:t>
      </w:r>
      <w:r w:rsidR="00F94A72" w:rsidRPr="000A6146">
        <w:t>small business loans totaling $</w:t>
      </w:r>
      <w:r w:rsidR="00A3184A" w:rsidRPr="000A6146">
        <w:t>2.1</w:t>
      </w:r>
      <w:r w:rsidR="00F94A72" w:rsidRPr="000A6146">
        <w:t xml:space="preserve"> million in 2018 and </w:t>
      </w:r>
      <w:r w:rsidR="00A3184A" w:rsidRPr="000A6146">
        <w:t xml:space="preserve">20 </w:t>
      </w:r>
      <w:r w:rsidR="00F94A72" w:rsidRPr="000A6146">
        <w:t>loans totaling $</w:t>
      </w:r>
      <w:r w:rsidR="00A3184A" w:rsidRPr="000A6146">
        <w:t>1.8</w:t>
      </w:r>
      <w:r w:rsidR="00F94A72" w:rsidRPr="000A6146">
        <w:t xml:space="preserve"> million in 2019.  </w:t>
      </w:r>
      <w:r w:rsidR="001E2432" w:rsidRPr="000A6146">
        <w:t xml:space="preserve">Examiners considered demographic data when evaluating </w:t>
      </w:r>
      <w:r w:rsidRPr="000A6146">
        <w:t xml:space="preserve">the bank’s </w:t>
      </w:r>
      <w:r w:rsidR="001E2432" w:rsidRPr="000A6146">
        <w:t>small business loan activity.</w:t>
      </w:r>
    </w:p>
    <w:p w14:paraId="5C1CD179" w14:textId="77777777" w:rsidR="008F31BD" w:rsidRPr="000A6146" w:rsidRDefault="008F31BD" w:rsidP="00F94A72">
      <w:pPr>
        <w:pStyle w:val="QuickFormat1"/>
        <w:jc w:val="left"/>
        <w:rPr>
          <w:b w:val="0"/>
          <w:color w:val="auto"/>
          <w:sz w:val="24"/>
          <w:szCs w:val="24"/>
          <w:lang w:val="en-US"/>
        </w:rPr>
      </w:pPr>
    </w:p>
    <w:p w14:paraId="589CE5CC" w14:textId="77777777" w:rsidR="00F94A72" w:rsidRDefault="00C45697" w:rsidP="00F94A72">
      <w:pPr>
        <w:pStyle w:val="QuickFormat1"/>
        <w:jc w:val="left"/>
        <w:rPr>
          <w:b w:val="0"/>
          <w:color w:val="auto"/>
          <w:sz w:val="24"/>
          <w:szCs w:val="28"/>
          <w:lang w:val="en-US"/>
        </w:rPr>
      </w:pPr>
      <w:r>
        <w:rPr>
          <w:b w:val="0"/>
          <w:color w:val="auto"/>
          <w:sz w:val="24"/>
          <w:szCs w:val="28"/>
          <w:lang w:val="en-US"/>
        </w:rPr>
        <w:t>For the Community Development Test, e</w:t>
      </w:r>
      <w:r w:rsidR="001E2432">
        <w:rPr>
          <w:b w:val="0"/>
          <w:color w:val="auto"/>
          <w:sz w:val="24"/>
          <w:szCs w:val="28"/>
          <w:lang w:val="en-US"/>
        </w:rPr>
        <w:t>xaminers considered the bank’s c</w:t>
      </w:r>
      <w:r w:rsidR="00F94A72">
        <w:rPr>
          <w:b w:val="0"/>
          <w:color w:val="auto"/>
          <w:sz w:val="24"/>
          <w:szCs w:val="28"/>
          <w:lang w:val="en-US"/>
        </w:rPr>
        <w:t>ommunity development loans, qualified investments, and community development services since the prior CRA evaluation dated October 23, 2017</w:t>
      </w:r>
      <w:r w:rsidR="001E2432">
        <w:rPr>
          <w:b w:val="0"/>
          <w:color w:val="auto"/>
          <w:sz w:val="24"/>
          <w:szCs w:val="28"/>
          <w:lang w:val="en-US"/>
        </w:rPr>
        <w:t>.</w:t>
      </w:r>
    </w:p>
    <w:p w14:paraId="1628B0F5" w14:textId="77777777" w:rsidR="007241AC" w:rsidRDefault="007241AC" w:rsidP="004C31A6">
      <w:pPr>
        <w:pStyle w:val="QuickFormat1"/>
        <w:jc w:val="left"/>
        <w:rPr>
          <w:b w:val="0"/>
          <w:color w:val="auto"/>
          <w:sz w:val="24"/>
          <w:szCs w:val="28"/>
          <w:lang w:val="en-US"/>
        </w:rPr>
      </w:pPr>
    </w:p>
    <w:p w14:paraId="3219656C" w14:textId="77777777" w:rsidR="00E15DD6" w:rsidRPr="00E15DD6" w:rsidRDefault="00E15DD6" w:rsidP="000927D4">
      <w:pPr>
        <w:pStyle w:val="Heading1"/>
      </w:pPr>
      <w:bookmarkStart w:id="11" w:name="_Toc63684852"/>
      <w:r w:rsidRPr="00E15DD6">
        <w:t>CONCLUSIONS ON PERFORMANCE CRITERIA</w:t>
      </w:r>
      <w:bookmarkEnd w:id="11"/>
    </w:p>
    <w:p w14:paraId="13549F7A" w14:textId="77777777" w:rsidR="00E15DD6" w:rsidRDefault="00E15DD6" w:rsidP="00E15DD6">
      <w:pPr>
        <w:rPr>
          <w:color w:val="000000"/>
        </w:rPr>
      </w:pPr>
    </w:p>
    <w:p w14:paraId="3076CA7C" w14:textId="77777777" w:rsidR="00E15DD6" w:rsidRPr="00F72663" w:rsidRDefault="00E15DD6" w:rsidP="00E15DD6">
      <w:pPr>
        <w:rPr>
          <w:b/>
          <w:bCs/>
          <w:color w:val="000000"/>
        </w:rPr>
      </w:pPr>
      <w:r w:rsidRPr="00F72663">
        <w:rPr>
          <w:b/>
          <w:bCs/>
          <w:color w:val="000000"/>
        </w:rPr>
        <w:t>LENDING TEST</w:t>
      </w:r>
    </w:p>
    <w:p w14:paraId="5842D59B" w14:textId="77777777" w:rsidR="00E15DD6" w:rsidRDefault="00E15DD6" w:rsidP="00E15DD6">
      <w:pPr>
        <w:ind w:right="-360"/>
        <w:rPr>
          <w:iCs/>
          <w:color w:val="000000"/>
        </w:rPr>
      </w:pPr>
    </w:p>
    <w:p w14:paraId="17097DFE" w14:textId="77777777" w:rsidR="00A0538B" w:rsidRPr="00005BFA" w:rsidRDefault="00287D57" w:rsidP="00A0538B">
      <w:pPr>
        <w:ind w:right="-360"/>
        <w:rPr>
          <w:iCs/>
          <w:color w:val="000000"/>
        </w:rPr>
      </w:pPr>
      <w:r>
        <w:rPr>
          <w:iCs/>
          <w:color w:val="000000"/>
        </w:rPr>
        <w:t>Saver</w:t>
      </w:r>
      <w:r w:rsidR="00010113">
        <w:rPr>
          <w:iCs/>
          <w:color w:val="000000"/>
        </w:rPr>
        <w:t>s</w:t>
      </w:r>
      <w:r>
        <w:rPr>
          <w:iCs/>
          <w:color w:val="000000"/>
        </w:rPr>
        <w:t>’</w:t>
      </w:r>
      <w:r w:rsidR="00C6103C">
        <w:rPr>
          <w:iCs/>
          <w:color w:val="000000"/>
        </w:rPr>
        <w:t xml:space="preserve"> Lending Test performance is </w:t>
      </w:r>
      <w:r w:rsidR="00C345E3">
        <w:rPr>
          <w:iCs/>
          <w:color w:val="000000"/>
        </w:rPr>
        <w:t>s</w:t>
      </w:r>
      <w:r w:rsidR="00C6103C">
        <w:rPr>
          <w:iCs/>
          <w:color w:val="000000"/>
        </w:rPr>
        <w:t xml:space="preserve">atisfactory.  </w:t>
      </w:r>
      <w:r w:rsidR="00A0538B" w:rsidRPr="00005BFA">
        <w:rPr>
          <w:iCs/>
          <w:color w:val="000000"/>
        </w:rPr>
        <w:t xml:space="preserve">The </w:t>
      </w:r>
      <w:r w:rsidR="00A0538B">
        <w:rPr>
          <w:iCs/>
          <w:color w:val="000000"/>
        </w:rPr>
        <w:t>bank’s geographic distribution</w:t>
      </w:r>
      <w:r w:rsidR="00A0538B" w:rsidRPr="00005BFA">
        <w:rPr>
          <w:iCs/>
          <w:color w:val="000000"/>
        </w:rPr>
        <w:t xml:space="preserve"> and borrower profile performance provide primary support for this conclusion</w:t>
      </w:r>
      <w:r w:rsidR="00A0538B">
        <w:rPr>
          <w:iCs/>
          <w:color w:val="000000"/>
        </w:rPr>
        <w:t xml:space="preserve">.  </w:t>
      </w:r>
    </w:p>
    <w:p w14:paraId="62333537" w14:textId="77777777" w:rsidR="00FB7E5F" w:rsidRPr="00AD3B1A" w:rsidRDefault="00FB7E5F" w:rsidP="00E15DD6">
      <w:pPr>
        <w:ind w:right="-360"/>
        <w:rPr>
          <w:iCs/>
          <w:color w:val="000000"/>
        </w:rPr>
      </w:pPr>
    </w:p>
    <w:p w14:paraId="618D64CE" w14:textId="77777777" w:rsidR="00D12B41" w:rsidRPr="00161EC6" w:rsidRDefault="00D12B41" w:rsidP="00D12B41">
      <w:pPr>
        <w:rPr>
          <w:color w:val="000000"/>
        </w:rPr>
      </w:pPr>
      <w:r w:rsidRPr="00161EC6">
        <w:rPr>
          <w:b/>
          <w:bCs/>
          <w:spacing w:val="-3"/>
          <w:u w:val="single"/>
        </w:rPr>
        <w:t>Loan-to-Deposit Ratio</w:t>
      </w:r>
    </w:p>
    <w:p w14:paraId="08612D46" w14:textId="77777777" w:rsidR="00D12B41" w:rsidRPr="00FB7E5F" w:rsidRDefault="00D12B41" w:rsidP="00D12B41">
      <w:pPr>
        <w:pStyle w:val="ListParagraph"/>
        <w:ind w:left="0"/>
        <w:rPr>
          <w:rFonts w:ascii="Times New Roman" w:hAnsi="Times New Roman" w:cs="Times New Roman"/>
          <w:color w:val="000000"/>
        </w:rPr>
      </w:pPr>
    </w:p>
    <w:p w14:paraId="13128244" w14:textId="77777777" w:rsidR="00C345E3" w:rsidRDefault="00A0538B" w:rsidP="00A0538B">
      <w:pPr>
        <w:pStyle w:val="ListParagraph"/>
        <w:ind w:left="0"/>
        <w:rPr>
          <w:rFonts w:ascii="Times New Roman" w:hAnsi="Times New Roman" w:cs="Times New Roman"/>
          <w:color w:val="000000"/>
        </w:rPr>
      </w:pPr>
      <w:r w:rsidRPr="00C42D69">
        <w:rPr>
          <w:rFonts w:ascii="Times New Roman" w:hAnsi="Times New Roman" w:cs="Times New Roman"/>
          <w:color w:val="000000"/>
        </w:rPr>
        <w:t>The loan-</w:t>
      </w:r>
      <w:r>
        <w:rPr>
          <w:rFonts w:ascii="Times New Roman" w:hAnsi="Times New Roman" w:cs="Times New Roman"/>
          <w:color w:val="000000"/>
        </w:rPr>
        <w:t xml:space="preserve">to-deposit (LTD) ratio is </w:t>
      </w:r>
      <w:r w:rsidR="000B12DB">
        <w:rPr>
          <w:rFonts w:ascii="Times New Roman" w:hAnsi="Times New Roman" w:cs="Times New Roman"/>
          <w:color w:val="000000"/>
        </w:rPr>
        <w:t xml:space="preserve">more than </w:t>
      </w:r>
      <w:r>
        <w:rPr>
          <w:rFonts w:ascii="Times New Roman" w:hAnsi="Times New Roman" w:cs="Times New Roman"/>
          <w:color w:val="000000"/>
        </w:rPr>
        <w:t xml:space="preserve">reasonable </w:t>
      </w:r>
      <w:r w:rsidRPr="00C42D69">
        <w:rPr>
          <w:rFonts w:ascii="Times New Roman" w:hAnsi="Times New Roman" w:cs="Times New Roman"/>
          <w:color w:val="000000"/>
        </w:rPr>
        <w:t>given the institution’s</w:t>
      </w:r>
      <w:r>
        <w:rPr>
          <w:rFonts w:ascii="Times New Roman" w:hAnsi="Times New Roman" w:cs="Times New Roman"/>
          <w:color w:val="000000"/>
        </w:rPr>
        <w:t xml:space="preserve"> </w:t>
      </w:r>
      <w:r w:rsidRPr="00C42D69">
        <w:rPr>
          <w:rFonts w:ascii="Times New Roman" w:hAnsi="Times New Roman" w:cs="Times New Roman"/>
          <w:color w:val="000000"/>
        </w:rPr>
        <w:t>size, financial condition, and assessment area credit needs</w:t>
      </w:r>
      <w:r>
        <w:rPr>
          <w:rFonts w:ascii="Times New Roman" w:hAnsi="Times New Roman" w:cs="Times New Roman"/>
          <w:color w:val="000000"/>
        </w:rPr>
        <w:t xml:space="preserve">.  </w:t>
      </w:r>
      <w:r w:rsidR="0095163F">
        <w:rPr>
          <w:rFonts w:ascii="Times New Roman" w:hAnsi="Times New Roman" w:cs="Times New Roman"/>
          <w:color w:val="000000"/>
        </w:rPr>
        <w:t>The</w:t>
      </w:r>
      <w:r>
        <w:rPr>
          <w:rFonts w:ascii="Times New Roman" w:hAnsi="Times New Roman" w:cs="Times New Roman"/>
          <w:color w:val="000000"/>
        </w:rPr>
        <w:t xml:space="preserve"> LTD ratio</w:t>
      </w:r>
      <w:r w:rsidR="000B4F36">
        <w:rPr>
          <w:rFonts w:ascii="Times New Roman" w:hAnsi="Times New Roman" w:cs="Times New Roman"/>
          <w:color w:val="000000"/>
        </w:rPr>
        <w:t xml:space="preserve"> </w:t>
      </w:r>
      <w:r>
        <w:rPr>
          <w:rFonts w:ascii="Times New Roman" w:hAnsi="Times New Roman" w:cs="Times New Roman"/>
          <w:color w:val="000000"/>
        </w:rPr>
        <w:t xml:space="preserve">averaged </w:t>
      </w:r>
      <w:r w:rsidR="00CA4E8D">
        <w:rPr>
          <w:rFonts w:ascii="Times New Roman" w:hAnsi="Times New Roman" w:cs="Times New Roman"/>
          <w:color w:val="000000"/>
        </w:rPr>
        <w:t>111.7</w:t>
      </w:r>
      <w:r>
        <w:rPr>
          <w:rFonts w:ascii="Times New Roman" w:hAnsi="Times New Roman" w:cs="Times New Roman"/>
          <w:color w:val="000000"/>
        </w:rPr>
        <w:t xml:space="preserve"> percent over the past 12 quarters from December 31, 2017 to September 30, 2020.  The ratio ranged from a </w:t>
      </w:r>
      <w:r w:rsidR="0095163F">
        <w:rPr>
          <w:rFonts w:ascii="Times New Roman" w:hAnsi="Times New Roman" w:cs="Times New Roman"/>
          <w:color w:val="000000"/>
        </w:rPr>
        <w:t>high of 117.0 as of December 31, 2017</w:t>
      </w:r>
      <w:r w:rsidR="00C345E3">
        <w:rPr>
          <w:rFonts w:ascii="Times New Roman" w:hAnsi="Times New Roman" w:cs="Times New Roman"/>
          <w:color w:val="000000"/>
        </w:rPr>
        <w:t>,</w:t>
      </w:r>
      <w:r w:rsidR="0095163F">
        <w:rPr>
          <w:rFonts w:ascii="Times New Roman" w:hAnsi="Times New Roman" w:cs="Times New Roman"/>
          <w:color w:val="000000"/>
        </w:rPr>
        <w:t xml:space="preserve"> to a </w:t>
      </w:r>
      <w:r>
        <w:rPr>
          <w:rFonts w:ascii="Times New Roman" w:hAnsi="Times New Roman" w:cs="Times New Roman"/>
          <w:color w:val="000000"/>
        </w:rPr>
        <w:t xml:space="preserve">low of </w:t>
      </w:r>
      <w:r w:rsidR="000B12DB">
        <w:rPr>
          <w:rFonts w:ascii="Times New Roman" w:hAnsi="Times New Roman" w:cs="Times New Roman"/>
          <w:color w:val="000000"/>
        </w:rPr>
        <w:t xml:space="preserve">100.4 </w:t>
      </w:r>
      <w:r>
        <w:rPr>
          <w:rFonts w:ascii="Times New Roman" w:hAnsi="Times New Roman" w:cs="Times New Roman"/>
          <w:color w:val="000000"/>
        </w:rPr>
        <w:t xml:space="preserve">percent as of </w:t>
      </w:r>
      <w:r w:rsidR="000B12DB">
        <w:rPr>
          <w:rFonts w:ascii="Times New Roman" w:hAnsi="Times New Roman" w:cs="Times New Roman"/>
          <w:color w:val="000000"/>
        </w:rPr>
        <w:t>September 30, 2020</w:t>
      </w:r>
      <w:r w:rsidR="0095163F">
        <w:rPr>
          <w:rFonts w:ascii="Times New Roman" w:hAnsi="Times New Roman" w:cs="Times New Roman"/>
          <w:color w:val="000000"/>
        </w:rPr>
        <w:t xml:space="preserve">. </w:t>
      </w:r>
      <w:r w:rsidR="000B4F36">
        <w:rPr>
          <w:rFonts w:ascii="Times New Roman" w:hAnsi="Times New Roman" w:cs="Times New Roman"/>
          <w:color w:val="000000"/>
        </w:rPr>
        <w:t xml:space="preserve"> </w:t>
      </w:r>
      <w:r w:rsidR="0095163F">
        <w:rPr>
          <w:rFonts w:ascii="Times New Roman" w:hAnsi="Times New Roman" w:cs="Times New Roman"/>
          <w:color w:val="000000"/>
        </w:rPr>
        <w:t>While the ratio decreased d</w:t>
      </w:r>
      <w:r>
        <w:rPr>
          <w:rFonts w:ascii="Times New Roman" w:hAnsi="Times New Roman" w:cs="Times New Roman"/>
          <w:color w:val="000000"/>
        </w:rPr>
        <w:t>uring the evaluation</w:t>
      </w:r>
      <w:r w:rsidR="0095163F">
        <w:rPr>
          <w:rFonts w:ascii="Times New Roman" w:hAnsi="Times New Roman" w:cs="Times New Roman"/>
          <w:color w:val="000000"/>
        </w:rPr>
        <w:t xml:space="preserve"> period</w:t>
      </w:r>
      <w:r>
        <w:rPr>
          <w:rFonts w:ascii="Times New Roman" w:hAnsi="Times New Roman" w:cs="Times New Roman"/>
          <w:color w:val="000000"/>
        </w:rPr>
        <w:t xml:space="preserve">, </w:t>
      </w:r>
      <w:r w:rsidR="00C345E3">
        <w:rPr>
          <w:rFonts w:ascii="Times New Roman" w:hAnsi="Times New Roman" w:cs="Times New Roman"/>
          <w:color w:val="000000"/>
        </w:rPr>
        <w:t>it remained at a high level.</w:t>
      </w:r>
    </w:p>
    <w:p w14:paraId="481C2825" w14:textId="77777777" w:rsidR="00C345E3" w:rsidRDefault="00C345E3" w:rsidP="00A0538B">
      <w:pPr>
        <w:pStyle w:val="ListParagraph"/>
        <w:ind w:left="0"/>
        <w:rPr>
          <w:rFonts w:ascii="Times New Roman" w:hAnsi="Times New Roman" w:cs="Times New Roman"/>
          <w:color w:val="000000"/>
        </w:rPr>
      </w:pPr>
    </w:p>
    <w:p w14:paraId="7B3CEB2E" w14:textId="77777777" w:rsidR="00A0538B" w:rsidRDefault="00C345E3" w:rsidP="00A0538B">
      <w:pPr>
        <w:pStyle w:val="ListParagraph"/>
        <w:ind w:left="0"/>
        <w:rPr>
          <w:rFonts w:ascii="Times New Roman" w:hAnsi="Times New Roman" w:cs="Times New Roman"/>
          <w:color w:val="000000"/>
        </w:rPr>
      </w:pPr>
      <w:r>
        <w:rPr>
          <w:rFonts w:ascii="Times New Roman" w:hAnsi="Times New Roman" w:cs="Times New Roman"/>
          <w:color w:val="000000"/>
        </w:rPr>
        <w:t>Examiners compared the bank’s average net LTD ratio to that of several similarly situated institutions</w:t>
      </w:r>
      <w:r w:rsidR="001C636C">
        <w:rPr>
          <w:rFonts w:ascii="Times New Roman" w:hAnsi="Times New Roman" w:cs="Times New Roman"/>
          <w:color w:val="000000"/>
        </w:rPr>
        <w:t xml:space="preserve">.  </w:t>
      </w:r>
      <w:r>
        <w:rPr>
          <w:rFonts w:ascii="Times New Roman" w:hAnsi="Times New Roman" w:cs="Times New Roman"/>
          <w:color w:val="000000"/>
        </w:rPr>
        <w:t xml:space="preserve">Examiners selected the similarly situated institutions based on </w:t>
      </w:r>
      <w:r w:rsidR="00A0538B">
        <w:rPr>
          <w:rFonts w:ascii="Times New Roman" w:hAnsi="Times New Roman" w:cs="Times New Roman"/>
          <w:color w:val="000000"/>
        </w:rPr>
        <w:t>asset size, geographic location, and lending focus.</w:t>
      </w:r>
      <w:r w:rsidR="0095163F">
        <w:rPr>
          <w:rFonts w:ascii="Times New Roman" w:hAnsi="Times New Roman" w:cs="Times New Roman"/>
          <w:color w:val="000000"/>
        </w:rPr>
        <w:t xml:space="preserve">  </w:t>
      </w:r>
      <w:r w:rsidR="001C636C">
        <w:rPr>
          <w:rFonts w:ascii="Times New Roman" w:hAnsi="Times New Roman" w:cs="Times New Roman"/>
          <w:color w:val="000000"/>
        </w:rPr>
        <w:t>As s</w:t>
      </w:r>
      <w:r w:rsidR="00287D57">
        <w:rPr>
          <w:rFonts w:ascii="Times New Roman" w:hAnsi="Times New Roman" w:cs="Times New Roman"/>
          <w:color w:val="000000"/>
        </w:rPr>
        <w:t>hown in the following table, Saver</w:t>
      </w:r>
      <w:r w:rsidR="001C636C">
        <w:rPr>
          <w:rFonts w:ascii="Times New Roman" w:hAnsi="Times New Roman" w:cs="Times New Roman"/>
          <w:color w:val="000000"/>
        </w:rPr>
        <w:t>s</w:t>
      </w:r>
      <w:r w:rsidR="00287D57">
        <w:rPr>
          <w:rFonts w:ascii="Times New Roman" w:hAnsi="Times New Roman" w:cs="Times New Roman"/>
          <w:color w:val="000000"/>
        </w:rPr>
        <w:t>’</w:t>
      </w:r>
      <w:r w:rsidR="001C636C">
        <w:rPr>
          <w:rFonts w:ascii="Times New Roman" w:hAnsi="Times New Roman" w:cs="Times New Roman"/>
          <w:color w:val="000000"/>
        </w:rPr>
        <w:t xml:space="preserve"> average net LTD </w:t>
      </w:r>
      <w:r w:rsidR="00CA6D4C">
        <w:rPr>
          <w:rFonts w:ascii="Times New Roman" w:hAnsi="Times New Roman" w:cs="Times New Roman"/>
          <w:color w:val="000000"/>
        </w:rPr>
        <w:t xml:space="preserve">ratio </w:t>
      </w:r>
      <w:r w:rsidR="001C636C">
        <w:rPr>
          <w:rFonts w:ascii="Times New Roman" w:hAnsi="Times New Roman" w:cs="Times New Roman"/>
          <w:color w:val="000000"/>
        </w:rPr>
        <w:t xml:space="preserve">was greater than each of the similarly situated institutions. </w:t>
      </w:r>
      <w:r w:rsidR="003B4D21">
        <w:rPr>
          <w:rFonts w:ascii="Times New Roman" w:hAnsi="Times New Roman" w:cs="Times New Roman"/>
          <w:color w:val="000000"/>
        </w:rPr>
        <w:t xml:space="preserve"> </w:t>
      </w:r>
      <w:r w:rsidR="00A0538B">
        <w:rPr>
          <w:rFonts w:ascii="Times New Roman" w:hAnsi="Times New Roman" w:cs="Times New Roman"/>
          <w:color w:val="000000"/>
        </w:rPr>
        <w:t xml:space="preserve"> </w:t>
      </w:r>
    </w:p>
    <w:p w14:paraId="6B173872" w14:textId="77777777" w:rsidR="00A0538B" w:rsidRPr="00FB7E5F" w:rsidRDefault="00A0538B" w:rsidP="00A0538B">
      <w:pPr>
        <w:pStyle w:val="ListParagraph"/>
        <w:ind w:left="0"/>
        <w:rPr>
          <w:rFonts w:ascii="Times New Roman" w:hAnsi="Times New Roman" w:cs="Times New Roman"/>
          <w:color w:val="000000"/>
        </w:rPr>
      </w:pPr>
    </w:p>
    <w:tbl>
      <w:tblPr>
        <w:tblStyle w:val="TableGrid2"/>
        <w:tblW w:w="0" w:type="auto"/>
        <w:tblLayout w:type="fixed"/>
        <w:tblLook w:val="01E0" w:firstRow="1" w:lastRow="1" w:firstColumn="1" w:lastColumn="1" w:noHBand="0" w:noVBand="0"/>
        <w:tblCaption w:val="Loan-to-Deposit (LTD) Ration Comparison"/>
      </w:tblPr>
      <w:tblGrid>
        <w:gridCol w:w="3516"/>
        <w:gridCol w:w="3049"/>
        <w:gridCol w:w="2790"/>
      </w:tblGrid>
      <w:tr w:rsidR="00A0538B" w:rsidRPr="007E7D21" w14:paraId="6DC31825" w14:textId="77777777" w:rsidTr="0095163F">
        <w:trPr>
          <w:trHeight w:hRule="exact" w:val="360"/>
          <w:tblHeader/>
        </w:trPr>
        <w:tc>
          <w:tcPr>
            <w:tcW w:w="9355" w:type="dxa"/>
            <w:gridSpan w:val="3"/>
            <w:vAlign w:val="center"/>
          </w:tcPr>
          <w:p w14:paraId="74DD6D9D" w14:textId="77777777" w:rsidR="00A0538B" w:rsidRPr="0095163F" w:rsidRDefault="00A0538B" w:rsidP="004009EA">
            <w:pPr>
              <w:keepNext/>
              <w:jc w:val="center"/>
              <w:rPr>
                <w:rFonts w:eastAsiaTheme="minorHAnsi"/>
                <w:b/>
                <w:color w:val="000000"/>
                <w:sz w:val="20"/>
                <w:szCs w:val="20"/>
              </w:rPr>
            </w:pPr>
            <w:r w:rsidRPr="0095163F">
              <w:rPr>
                <w:rFonts w:eastAsiaTheme="minorHAnsi"/>
                <w:b/>
                <w:color w:val="000000"/>
                <w:sz w:val="20"/>
                <w:szCs w:val="20"/>
              </w:rPr>
              <w:t>Loan-to-Deposit (LTD) Ratio Comparison</w:t>
            </w:r>
          </w:p>
        </w:tc>
      </w:tr>
      <w:tr w:rsidR="00A0538B" w:rsidRPr="007E7D21" w14:paraId="7884409A" w14:textId="77777777" w:rsidTr="0095163F">
        <w:trPr>
          <w:trHeight w:val="288"/>
        </w:trPr>
        <w:tc>
          <w:tcPr>
            <w:tcW w:w="3516" w:type="dxa"/>
            <w:vAlign w:val="center"/>
          </w:tcPr>
          <w:p w14:paraId="708223DF" w14:textId="77777777" w:rsidR="00A0538B" w:rsidRPr="0095163F" w:rsidRDefault="00A0538B" w:rsidP="004009EA">
            <w:pPr>
              <w:keepNext/>
              <w:rPr>
                <w:rFonts w:eastAsiaTheme="minorHAnsi"/>
                <w:b/>
                <w:sz w:val="20"/>
                <w:szCs w:val="20"/>
              </w:rPr>
            </w:pPr>
            <w:r w:rsidRPr="0095163F">
              <w:rPr>
                <w:rFonts w:eastAsiaTheme="minorHAnsi"/>
                <w:b/>
                <w:sz w:val="20"/>
                <w:szCs w:val="20"/>
              </w:rPr>
              <w:t>Bank</w:t>
            </w:r>
          </w:p>
        </w:tc>
        <w:tc>
          <w:tcPr>
            <w:tcW w:w="3049" w:type="dxa"/>
            <w:vAlign w:val="center"/>
          </w:tcPr>
          <w:p w14:paraId="4BA71986" w14:textId="77777777" w:rsidR="00A0538B" w:rsidRPr="0095163F" w:rsidRDefault="00A0538B" w:rsidP="004009EA">
            <w:pPr>
              <w:keepNext/>
              <w:jc w:val="center"/>
              <w:rPr>
                <w:rFonts w:eastAsiaTheme="minorHAnsi"/>
                <w:b/>
                <w:sz w:val="20"/>
                <w:szCs w:val="20"/>
              </w:rPr>
            </w:pPr>
            <w:r w:rsidRPr="0095163F">
              <w:rPr>
                <w:rFonts w:eastAsiaTheme="minorHAnsi"/>
                <w:b/>
                <w:sz w:val="20"/>
                <w:szCs w:val="20"/>
              </w:rPr>
              <w:t>Total Assets as of</w:t>
            </w:r>
          </w:p>
          <w:p w14:paraId="648AF8BA" w14:textId="77777777" w:rsidR="00A0538B" w:rsidRPr="0095163F" w:rsidRDefault="00A0538B" w:rsidP="004009EA">
            <w:pPr>
              <w:keepNext/>
              <w:jc w:val="center"/>
              <w:rPr>
                <w:rFonts w:eastAsiaTheme="minorHAnsi"/>
                <w:b/>
                <w:sz w:val="20"/>
                <w:szCs w:val="20"/>
              </w:rPr>
            </w:pPr>
            <w:r w:rsidRPr="0095163F">
              <w:rPr>
                <w:rFonts w:eastAsiaTheme="minorHAnsi"/>
                <w:b/>
                <w:sz w:val="20"/>
                <w:szCs w:val="20"/>
              </w:rPr>
              <w:t>09/30/2020</w:t>
            </w:r>
          </w:p>
          <w:p w14:paraId="4274E99D" w14:textId="77777777" w:rsidR="00A0538B" w:rsidRPr="0095163F" w:rsidRDefault="00A0538B" w:rsidP="004009EA">
            <w:pPr>
              <w:keepNext/>
              <w:jc w:val="center"/>
              <w:rPr>
                <w:rFonts w:eastAsiaTheme="minorHAnsi"/>
                <w:b/>
                <w:sz w:val="20"/>
                <w:szCs w:val="20"/>
              </w:rPr>
            </w:pPr>
            <w:r w:rsidRPr="0095163F">
              <w:rPr>
                <w:rFonts w:eastAsiaTheme="minorHAnsi"/>
                <w:b/>
                <w:sz w:val="20"/>
                <w:szCs w:val="20"/>
              </w:rPr>
              <w:t>($000s)</w:t>
            </w:r>
          </w:p>
        </w:tc>
        <w:tc>
          <w:tcPr>
            <w:tcW w:w="2790" w:type="dxa"/>
            <w:vAlign w:val="center"/>
          </w:tcPr>
          <w:p w14:paraId="1A32F10C" w14:textId="77777777" w:rsidR="00A0538B" w:rsidRPr="0095163F" w:rsidRDefault="00A0538B" w:rsidP="004009EA">
            <w:pPr>
              <w:keepNext/>
              <w:jc w:val="center"/>
              <w:rPr>
                <w:rFonts w:eastAsiaTheme="minorHAnsi"/>
                <w:b/>
                <w:color w:val="000000"/>
                <w:sz w:val="20"/>
                <w:szCs w:val="20"/>
              </w:rPr>
            </w:pPr>
            <w:r w:rsidRPr="0095163F">
              <w:rPr>
                <w:rFonts w:eastAsiaTheme="minorHAnsi"/>
                <w:b/>
                <w:color w:val="000000"/>
                <w:sz w:val="20"/>
                <w:szCs w:val="20"/>
              </w:rPr>
              <w:t xml:space="preserve">Average Net </w:t>
            </w:r>
          </w:p>
          <w:p w14:paraId="2F561800" w14:textId="77777777" w:rsidR="00A0538B" w:rsidRPr="0095163F" w:rsidRDefault="00A0538B" w:rsidP="004009EA">
            <w:pPr>
              <w:keepNext/>
              <w:jc w:val="center"/>
              <w:rPr>
                <w:rFonts w:eastAsiaTheme="minorHAnsi"/>
                <w:b/>
                <w:color w:val="000000"/>
                <w:sz w:val="20"/>
                <w:szCs w:val="20"/>
              </w:rPr>
            </w:pPr>
            <w:r w:rsidRPr="0095163F">
              <w:rPr>
                <w:rFonts w:eastAsiaTheme="minorHAnsi"/>
                <w:b/>
                <w:color w:val="000000"/>
                <w:sz w:val="20"/>
                <w:szCs w:val="20"/>
              </w:rPr>
              <w:t>LTD Ratio</w:t>
            </w:r>
          </w:p>
          <w:p w14:paraId="14E38C26" w14:textId="77777777" w:rsidR="00A0538B" w:rsidRPr="0095163F" w:rsidRDefault="00A0538B" w:rsidP="004009EA">
            <w:pPr>
              <w:keepNext/>
              <w:jc w:val="center"/>
              <w:rPr>
                <w:rFonts w:eastAsiaTheme="minorHAnsi"/>
                <w:b/>
                <w:color w:val="000000"/>
                <w:sz w:val="20"/>
                <w:szCs w:val="20"/>
              </w:rPr>
            </w:pPr>
            <w:r w:rsidRPr="0095163F">
              <w:rPr>
                <w:rFonts w:eastAsiaTheme="minorHAnsi"/>
                <w:b/>
                <w:color w:val="000000"/>
                <w:sz w:val="20"/>
                <w:szCs w:val="20"/>
              </w:rPr>
              <w:t>(%)</w:t>
            </w:r>
          </w:p>
        </w:tc>
      </w:tr>
      <w:tr w:rsidR="00A0538B" w:rsidRPr="007E7D21" w14:paraId="7A306A0C" w14:textId="77777777" w:rsidTr="0095163F">
        <w:trPr>
          <w:trHeight w:val="288"/>
        </w:trPr>
        <w:tc>
          <w:tcPr>
            <w:tcW w:w="3516" w:type="dxa"/>
            <w:vAlign w:val="center"/>
          </w:tcPr>
          <w:p w14:paraId="04AF59FF" w14:textId="77777777" w:rsidR="00A0538B" w:rsidRPr="0095163F" w:rsidRDefault="000B12DB" w:rsidP="004009EA">
            <w:pPr>
              <w:keepNext/>
              <w:rPr>
                <w:rFonts w:eastAsiaTheme="minorHAnsi"/>
                <w:b/>
                <w:sz w:val="20"/>
                <w:szCs w:val="20"/>
              </w:rPr>
            </w:pPr>
            <w:r w:rsidRPr="0095163F">
              <w:rPr>
                <w:rFonts w:eastAsiaTheme="minorHAnsi"/>
                <w:b/>
                <w:sz w:val="20"/>
                <w:szCs w:val="20"/>
              </w:rPr>
              <w:t>Savers Co-operative Bank</w:t>
            </w:r>
          </w:p>
        </w:tc>
        <w:tc>
          <w:tcPr>
            <w:tcW w:w="3049" w:type="dxa"/>
            <w:vAlign w:val="center"/>
          </w:tcPr>
          <w:p w14:paraId="561C3D77" w14:textId="77777777" w:rsidR="00A0538B" w:rsidRPr="0095163F" w:rsidRDefault="000B12DB" w:rsidP="004009EA">
            <w:pPr>
              <w:keepNext/>
              <w:jc w:val="center"/>
              <w:rPr>
                <w:rFonts w:eastAsiaTheme="minorHAnsi"/>
                <w:b/>
                <w:sz w:val="20"/>
                <w:szCs w:val="20"/>
              </w:rPr>
            </w:pPr>
            <w:r w:rsidRPr="0095163F">
              <w:rPr>
                <w:rFonts w:eastAsiaTheme="minorHAnsi"/>
                <w:b/>
                <w:sz w:val="20"/>
                <w:szCs w:val="20"/>
              </w:rPr>
              <w:t>653.4</w:t>
            </w:r>
          </w:p>
        </w:tc>
        <w:tc>
          <w:tcPr>
            <w:tcW w:w="2790" w:type="dxa"/>
            <w:vAlign w:val="center"/>
          </w:tcPr>
          <w:p w14:paraId="146ED00E" w14:textId="77777777" w:rsidR="00A0538B" w:rsidRPr="0095163F" w:rsidRDefault="000B12DB" w:rsidP="004009EA">
            <w:pPr>
              <w:keepNext/>
              <w:jc w:val="center"/>
              <w:rPr>
                <w:rFonts w:eastAsiaTheme="minorHAnsi"/>
                <w:b/>
                <w:color w:val="000000"/>
                <w:sz w:val="20"/>
                <w:szCs w:val="20"/>
              </w:rPr>
            </w:pPr>
            <w:r w:rsidRPr="0095163F">
              <w:rPr>
                <w:rFonts w:eastAsiaTheme="minorHAnsi"/>
                <w:b/>
                <w:color w:val="000000"/>
                <w:sz w:val="20"/>
                <w:szCs w:val="20"/>
              </w:rPr>
              <w:t>111.7</w:t>
            </w:r>
          </w:p>
        </w:tc>
      </w:tr>
      <w:tr w:rsidR="00A0538B" w:rsidRPr="007E7D21" w14:paraId="36B21276" w14:textId="77777777" w:rsidTr="0095163F">
        <w:trPr>
          <w:trHeight w:val="288"/>
        </w:trPr>
        <w:tc>
          <w:tcPr>
            <w:tcW w:w="3516" w:type="dxa"/>
            <w:vAlign w:val="center"/>
          </w:tcPr>
          <w:p w14:paraId="2E613AB5" w14:textId="77777777" w:rsidR="00A0538B" w:rsidRPr="0095163F" w:rsidRDefault="000B12DB" w:rsidP="004009EA">
            <w:pPr>
              <w:keepNext/>
              <w:rPr>
                <w:rFonts w:eastAsiaTheme="minorHAnsi"/>
                <w:sz w:val="20"/>
                <w:szCs w:val="20"/>
              </w:rPr>
            </w:pPr>
            <w:r w:rsidRPr="0095163F">
              <w:rPr>
                <w:rFonts w:eastAsiaTheme="minorHAnsi"/>
                <w:sz w:val="20"/>
                <w:szCs w:val="20"/>
              </w:rPr>
              <w:t>Adams Community Bank</w:t>
            </w:r>
          </w:p>
        </w:tc>
        <w:tc>
          <w:tcPr>
            <w:tcW w:w="3049" w:type="dxa"/>
            <w:vAlign w:val="center"/>
          </w:tcPr>
          <w:p w14:paraId="6315FE67" w14:textId="77777777" w:rsidR="00A0538B" w:rsidRPr="0095163F" w:rsidRDefault="000B12DB" w:rsidP="004009EA">
            <w:pPr>
              <w:keepNext/>
              <w:jc w:val="center"/>
              <w:rPr>
                <w:rFonts w:eastAsiaTheme="minorHAnsi"/>
                <w:sz w:val="20"/>
                <w:szCs w:val="20"/>
              </w:rPr>
            </w:pPr>
            <w:r w:rsidRPr="0095163F">
              <w:rPr>
                <w:rFonts w:eastAsiaTheme="minorHAnsi"/>
                <w:sz w:val="20"/>
                <w:szCs w:val="20"/>
              </w:rPr>
              <w:t>706.9</w:t>
            </w:r>
          </w:p>
        </w:tc>
        <w:tc>
          <w:tcPr>
            <w:tcW w:w="2790" w:type="dxa"/>
            <w:vAlign w:val="center"/>
          </w:tcPr>
          <w:p w14:paraId="5DCDAEA7" w14:textId="77777777" w:rsidR="00A0538B" w:rsidRPr="0095163F" w:rsidRDefault="000B12DB" w:rsidP="004009EA">
            <w:pPr>
              <w:keepNext/>
              <w:jc w:val="center"/>
              <w:rPr>
                <w:rFonts w:eastAsiaTheme="minorHAnsi"/>
                <w:color w:val="000000"/>
                <w:sz w:val="20"/>
                <w:szCs w:val="20"/>
              </w:rPr>
            </w:pPr>
            <w:r w:rsidRPr="0095163F">
              <w:rPr>
                <w:rFonts w:eastAsiaTheme="minorHAnsi"/>
                <w:color w:val="000000"/>
                <w:sz w:val="20"/>
                <w:szCs w:val="20"/>
              </w:rPr>
              <w:t>102.9</w:t>
            </w:r>
          </w:p>
        </w:tc>
      </w:tr>
      <w:tr w:rsidR="00A0538B" w:rsidRPr="007E7D21" w14:paraId="4A198EE8" w14:textId="77777777" w:rsidTr="0095163F">
        <w:trPr>
          <w:trHeight w:val="288"/>
        </w:trPr>
        <w:tc>
          <w:tcPr>
            <w:tcW w:w="3516" w:type="dxa"/>
            <w:vAlign w:val="center"/>
          </w:tcPr>
          <w:p w14:paraId="687B11E1" w14:textId="77777777" w:rsidR="00A0538B" w:rsidRPr="0095163F" w:rsidRDefault="000B12DB" w:rsidP="004009EA">
            <w:pPr>
              <w:keepNext/>
              <w:rPr>
                <w:rFonts w:eastAsiaTheme="minorHAnsi"/>
                <w:sz w:val="20"/>
                <w:szCs w:val="20"/>
              </w:rPr>
            </w:pPr>
            <w:r w:rsidRPr="0095163F">
              <w:rPr>
                <w:rFonts w:eastAsiaTheme="minorHAnsi"/>
                <w:sz w:val="20"/>
                <w:szCs w:val="20"/>
              </w:rPr>
              <w:t>Athol Savings Bank</w:t>
            </w:r>
          </w:p>
        </w:tc>
        <w:tc>
          <w:tcPr>
            <w:tcW w:w="3049" w:type="dxa"/>
            <w:vAlign w:val="center"/>
          </w:tcPr>
          <w:p w14:paraId="5469DCD9" w14:textId="77777777" w:rsidR="00A0538B" w:rsidRPr="0095163F" w:rsidRDefault="000B12DB" w:rsidP="004009EA">
            <w:pPr>
              <w:keepNext/>
              <w:jc w:val="center"/>
              <w:rPr>
                <w:rFonts w:eastAsiaTheme="minorHAnsi"/>
                <w:sz w:val="20"/>
                <w:szCs w:val="20"/>
              </w:rPr>
            </w:pPr>
            <w:r w:rsidRPr="0095163F">
              <w:rPr>
                <w:rFonts w:eastAsiaTheme="minorHAnsi"/>
                <w:sz w:val="20"/>
                <w:szCs w:val="20"/>
              </w:rPr>
              <w:t>506.8</w:t>
            </w:r>
          </w:p>
        </w:tc>
        <w:tc>
          <w:tcPr>
            <w:tcW w:w="2790" w:type="dxa"/>
            <w:vAlign w:val="center"/>
          </w:tcPr>
          <w:p w14:paraId="7C4A5130" w14:textId="77777777" w:rsidR="00A0538B" w:rsidRPr="0095163F" w:rsidRDefault="000B12DB" w:rsidP="004009EA">
            <w:pPr>
              <w:keepNext/>
              <w:jc w:val="center"/>
              <w:rPr>
                <w:rFonts w:eastAsiaTheme="minorHAnsi"/>
                <w:color w:val="000000"/>
                <w:sz w:val="20"/>
                <w:szCs w:val="20"/>
              </w:rPr>
            </w:pPr>
            <w:r w:rsidRPr="0095163F">
              <w:rPr>
                <w:rFonts w:eastAsiaTheme="minorHAnsi"/>
                <w:color w:val="000000"/>
                <w:sz w:val="20"/>
                <w:szCs w:val="20"/>
              </w:rPr>
              <w:t>80.4</w:t>
            </w:r>
          </w:p>
        </w:tc>
      </w:tr>
      <w:tr w:rsidR="00A0538B" w:rsidRPr="007E7D21" w14:paraId="07EE734E" w14:textId="77777777" w:rsidTr="0095163F">
        <w:trPr>
          <w:trHeight w:val="288"/>
        </w:trPr>
        <w:tc>
          <w:tcPr>
            <w:tcW w:w="3516" w:type="dxa"/>
            <w:vAlign w:val="center"/>
          </w:tcPr>
          <w:p w14:paraId="518C267C" w14:textId="77777777" w:rsidR="00A0538B" w:rsidRPr="0095163F" w:rsidRDefault="000B12DB" w:rsidP="004009EA">
            <w:pPr>
              <w:keepNext/>
              <w:rPr>
                <w:rFonts w:eastAsiaTheme="minorHAnsi"/>
                <w:sz w:val="20"/>
                <w:szCs w:val="20"/>
              </w:rPr>
            </w:pPr>
            <w:r w:rsidRPr="0095163F">
              <w:rPr>
                <w:rFonts w:eastAsiaTheme="minorHAnsi"/>
                <w:sz w:val="20"/>
                <w:szCs w:val="20"/>
              </w:rPr>
              <w:t>Greenfield Co-operative Bank</w:t>
            </w:r>
          </w:p>
        </w:tc>
        <w:tc>
          <w:tcPr>
            <w:tcW w:w="3049" w:type="dxa"/>
            <w:vAlign w:val="center"/>
          </w:tcPr>
          <w:p w14:paraId="08AD3279" w14:textId="77777777" w:rsidR="00A0538B" w:rsidRPr="0095163F" w:rsidRDefault="000B12DB" w:rsidP="004009EA">
            <w:pPr>
              <w:keepNext/>
              <w:jc w:val="center"/>
              <w:rPr>
                <w:rFonts w:eastAsiaTheme="minorHAnsi"/>
                <w:sz w:val="20"/>
                <w:szCs w:val="20"/>
              </w:rPr>
            </w:pPr>
            <w:r w:rsidRPr="0095163F">
              <w:rPr>
                <w:rFonts w:eastAsiaTheme="minorHAnsi"/>
                <w:sz w:val="20"/>
                <w:szCs w:val="20"/>
              </w:rPr>
              <w:t>732.3</w:t>
            </w:r>
          </w:p>
        </w:tc>
        <w:tc>
          <w:tcPr>
            <w:tcW w:w="2790" w:type="dxa"/>
            <w:vAlign w:val="center"/>
          </w:tcPr>
          <w:p w14:paraId="7776141C" w14:textId="77777777" w:rsidR="00A0538B" w:rsidRPr="0095163F" w:rsidRDefault="000B12DB" w:rsidP="004009EA">
            <w:pPr>
              <w:keepNext/>
              <w:jc w:val="center"/>
              <w:rPr>
                <w:rFonts w:eastAsiaTheme="minorHAnsi"/>
                <w:color w:val="000000"/>
                <w:sz w:val="20"/>
                <w:szCs w:val="20"/>
              </w:rPr>
            </w:pPr>
            <w:r w:rsidRPr="0095163F">
              <w:rPr>
                <w:rFonts w:eastAsiaTheme="minorHAnsi"/>
                <w:color w:val="000000"/>
                <w:sz w:val="20"/>
                <w:szCs w:val="20"/>
              </w:rPr>
              <w:t>77.0</w:t>
            </w:r>
          </w:p>
        </w:tc>
      </w:tr>
      <w:tr w:rsidR="00A0538B" w:rsidRPr="007E7D21" w14:paraId="25D3287A" w14:textId="77777777" w:rsidTr="000A6146">
        <w:trPr>
          <w:trHeight w:val="206"/>
        </w:trPr>
        <w:tc>
          <w:tcPr>
            <w:tcW w:w="9355" w:type="dxa"/>
            <w:gridSpan w:val="3"/>
          </w:tcPr>
          <w:p w14:paraId="61CA37FF" w14:textId="77777777" w:rsidR="00A0538B" w:rsidRPr="007E7D21" w:rsidRDefault="00A0538B" w:rsidP="004009EA">
            <w:pPr>
              <w:keepNext/>
              <w:rPr>
                <w:rFonts w:eastAsiaTheme="minorHAnsi"/>
                <w:i/>
                <w:color w:val="000000"/>
                <w:sz w:val="16"/>
                <w:szCs w:val="16"/>
              </w:rPr>
            </w:pPr>
            <w:r w:rsidRPr="007E7D21">
              <w:rPr>
                <w:rFonts w:eastAsiaTheme="minorHAnsi"/>
                <w:i/>
                <w:color w:val="000000"/>
                <w:sz w:val="16"/>
                <w:szCs w:val="16"/>
              </w:rPr>
              <w:t>Source:  Re</w:t>
            </w:r>
            <w:r w:rsidR="003B41D7">
              <w:rPr>
                <w:rFonts w:eastAsiaTheme="minorHAnsi"/>
                <w:i/>
                <w:color w:val="000000"/>
                <w:sz w:val="16"/>
                <w:szCs w:val="16"/>
              </w:rPr>
              <w:t>ports of Condition and Income 12/31/2017 – 09</w:t>
            </w:r>
            <w:r w:rsidRPr="007E7D21">
              <w:rPr>
                <w:rFonts w:eastAsiaTheme="minorHAnsi"/>
                <w:i/>
                <w:color w:val="000000"/>
                <w:sz w:val="16"/>
                <w:szCs w:val="16"/>
              </w:rPr>
              <w:t>/30/2020</w:t>
            </w:r>
          </w:p>
        </w:tc>
      </w:tr>
    </w:tbl>
    <w:p w14:paraId="30C486F2" w14:textId="77777777" w:rsidR="00FB7E5F" w:rsidRDefault="00FB7E5F" w:rsidP="00D12B41">
      <w:pPr>
        <w:pStyle w:val="ListParagraph"/>
        <w:ind w:left="0"/>
        <w:rPr>
          <w:rFonts w:ascii="Times New Roman" w:hAnsi="Times New Roman" w:cs="Times New Roman"/>
          <w:color w:val="000000"/>
        </w:rPr>
      </w:pPr>
    </w:p>
    <w:p w14:paraId="7E79B559" w14:textId="77777777" w:rsidR="00D12B41" w:rsidRPr="000927D4" w:rsidRDefault="00D12B41" w:rsidP="000927D4">
      <w:pPr>
        <w:rPr>
          <w:b/>
          <w:u w:val="single"/>
        </w:rPr>
      </w:pPr>
      <w:r w:rsidRPr="000927D4">
        <w:rPr>
          <w:b/>
          <w:u w:val="single"/>
        </w:rPr>
        <w:t>Assessment Area Concentration</w:t>
      </w:r>
    </w:p>
    <w:p w14:paraId="1E2F0375" w14:textId="77777777" w:rsidR="00D12B41" w:rsidRDefault="00D12B41" w:rsidP="00D12B41">
      <w:pPr>
        <w:rPr>
          <w:iCs/>
        </w:rPr>
      </w:pPr>
    </w:p>
    <w:p w14:paraId="0CA4572E" w14:textId="77777777" w:rsidR="00701A97" w:rsidRDefault="00701A97" w:rsidP="00701A97">
      <w:pPr>
        <w:rPr>
          <w:iCs/>
        </w:rPr>
      </w:pPr>
      <w:r w:rsidRPr="00752C50">
        <w:rPr>
          <w:iCs/>
        </w:rPr>
        <w:t xml:space="preserve">A majority of loans and other lending related activities are </w:t>
      </w:r>
      <w:r>
        <w:rPr>
          <w:iCs/>
        </w:rPr>
        <w:t>inside</w:t>
      </w:r>
      <w:r w:rsidRPr="00752C50">
        <w:rPr>
          <w:iCs/>
        </w:rPr>
        <w:t xml:space="preserve"> the institution’s assessment area</w:t>
      </w:r>
      <w:r>
        <w:rPr>
          <w:iCs/>
        </w:rPr>
        <w:t xml:space="preserve">.  The following table </w:t>
      </w:r>
      <w:r w:rsidR="0095163F">
        <w:rPr>
          <w:iCs/>
        </w:rPr>
        <w:t>illustrates</w:t>
      </w:r>
      <w:r>
        <w:rPr>
          <w:iCs/>
        </w:rPr>
        <w:t xml:space="preserve"> th</w:t>
      </w:r>
      <w:r w:rsidR="0095163F">
        <w:rPr>
          <w:iCs/>
        </w:rPr>
        <w:t xml:space="preserve">e home mortgage and small business </w:t>
      </w:r>
      <w:r>
        <w:rPr>
          <w:iCs/>
        </w:rPr>
        <w:t xml:space="preserve">lending </w:t>
      </w:r>
      <w:r w:rsidR="0095163F">
        <w:rPr>
          <w:iCs/>
        </w:rPr>
        <w:t xml:space="preserve">activity </w:t>
      </w:r>
      <w:r>
        <w:rPr>
          <w:iCs/>
        </w:rPr>
        <w:t xml:space="preserve">inside and outside of the assessment area.  </w:t>
      </w:r>
    </w:p>
    <w:tbl>
      <w:tblPr>
        <w:tblW w:w="0" w:type="auto"/>
        <w:tblCellMar>
          <w:left w:w="0" w:type="dxa"/>
          <w:right w:w="0" w:type="dxa"/>
        </w:tblCellMar>
        <w:tblLook w:val="0000" w:firstRow="0" w:lastRow="0" w:firstColumn="0" w:lastColumn="0" w:noHBand="0" w:noVBand="0"/>
      </w:tblPr>
      <w:tblGrid>
        <w:gridCol w:w="9648"/>
      </w:tblGrid>
      <w:tr w:rsidR="002C7EEB" w:rsidRPr="002C7EEB" w14:paraId="270EADD1" w14:textId="77777777" w:rsidTr="00EA47E1">
        <w:tc>
          <w:tcPr>
            <w:tcW w:w="9648" w:type="dxa"/>
          </w:tcPr>
          <w:tbl>
            <w:tblPr>
              <w:tblW w:w="0" w:type="auto"/>
              <w:tblCellMar>
                <w:left w:w="0" w:type="dxa"/>
                <w:right w:w="0" w:type="dxa"/>
              </w:tblCellMar>
              <w:tblLook w:val="0000" w:firstRow="0" w:lastRow="0" w:firstColumn="0" w:lastColumn="0" w:noHBand="0" w:noVBand="0"/>
            </w:tblPr>
            <w:tblGrid>
              <w:gridCol w:w="1800"/>
              <w:gridCol w:w="874"/>
              <w:gridCol w:w="597"/>
              <w:gridCol w:w="874"/>
              <w:gridCol w:w="597"/>
              <w:gridCol w:w="876"/>
              <w:gridCol w:w="944"/>
              <w:gridCol w:w="597"/>
              <w:gridCol w:w="944"/>
              <w:gridCol w:w="597"/>
              <w:gridCol w:w="930"/>
            </w:tblGrid>
            <w:tr w:rsidR="007124F0" w14:paraId="03C92CD4" w14:textId="77777777" w:rsidTr="004009EA">
              <w:trPr>
                <w:trHeight w:val="282"/>
              </w:trPr>
              <w:tc>
                <w:tcPr>
                  <w:tcW w:w="11083"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17B1319E" w14:textId="77777777" w:rsidR="007124F0" w:rsidRDefault="007124F0" w:rsidP="0095163F">
                  <w:pPr>
                    <w:keepNext/>
                    <w:jc w:val="center"/>
                  </w:pPr>
                  <w:r>
                    <w:rPr>
                      <w:b/>
                      <w:color w:val="000000"/>
                      <w:sz w:val="20"/>
                    </w:rPr>
                    <w:lastRenderedPageBreak/>
                    <w:t>Lending Inside and Outside of the Assessment Area</w:t>
                  </w:r>
                </w:p>
              </w:tc>
            </w:tr>
            <w:tr w:rsidR="007124F0" w14:paraId="19FC00F6" w14:textId="77777777" w:rsidTr="004009EA">
              <w:trPr>
                <w:trHeight w:val="210"/>
              </w:trPr>
              <w:tc>
                <w:tcPr>
                  <w:tcW w:w="2159"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57C97DDB" w14:textId="77777777" w:rsidR="007124F0" w:rsidRDefault="007124F0" w:rsidP="0095163F">
                  <w:pPr>
                    <w:keepNext/>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EE2747" w14:textId="77777777" w:rsidR="007124F0" w:rsidRDefault="007124F0" w:rsidP="0095163F">
                  <w:pPr>
                    <w:keepNext/>
                    <w:jc w:val="center"/>
                  </w:pPr>
                  <w:r>
                    <w:rPr>
                      <w:b/>
                      <w:color w:val="000000"/>
                      <w:sz w:val="20"/>
                    </w:rPr>
                    <w:t>Number of Loans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665BE23" w14:textId="77777777" w:rsidR="007124F0" w:rsidRDefault="007124F0" w:rsidP="0095163F">
                  <w:pPr>
                    <w:keepNext/>
                  </w:pPr>
                </w:p>
              </w:tc>
              <w:tc>
                <w:tcPr>
                  <w:tcW w:w="345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3C1B67" w14:textId="77777777" w:rsidR="007124F0" w:rsidRDefault="007124F0" w:rsidP="0095163F">
                  <w:pPr>
                    <w:keepNext/>
                    <w:jc w:val="center"/>
                  </w:pPr>
                  <w:r>
                    <w:rPr>
                      <w:b/>
                      <w:color w:val="000000"/>
                      <w:sz w:val="20"/>
                    </w:rPr>
                    <w:t>Dollar Amount of Loans $(000s)</w:t>
                  </w:r>
                </w:p>
              </w:tc>
              <w:tc>
                <w:tcPr>
                  <w:tcW w:w="1008"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4F444B1" w14:textId="77777777" w:rsidR="007124F0" w:rsidRDefault="007124F0" w:rsidP="0095163F">
                  <w:pPr>
                    <w:keepNext/>
                  </w:pPr>
                </w:p>
              </w:tc>
            </w:tr>
            <w:tr w:rsidR="007124F0" w14:paraId="3E9645BA" w14:textId="77777777" w:rsidTr="004009EA">
              <w:trPr>
                <w:trHeight w:val="210"/>
              </w:trPr>
              <w:tc>
                <w:tcPr>
                  <w:tcW w:w="2159" w:type="dxa"/>
                  <w:tcBorders>
                    <w:left w:val="single" w:sz="7" w:space="0" w:color="000000"/>
                    <w:right w:val="single" w:sz="7" w:space="0" w:color="000000"/>
                  </w:tcBorders>
                  <w:tcMar>
                    <w:top w:w="39" w:type="dxa"/>
                    <w:left w:w="39" w:type="dxa"/>
                    <w:bottom w:w="39" w:type="dxa"/>
                    <w:right w:w="39" w:type="dxa"/>
                  </w:tcMar>
                  <w:vAlign w:val="center"/>
                </w:tcPr>
                <w:p w14:paraId="73BD9BDB" w14:textId="77777777" w:rsidR="007124F0" w:rsidRDefault="007124F0" w:rsidP="0095163F">
                  <w:pPr>
                    <w:keepNext/>
                  </w:pPr>
                  <w:r>
                    <w:rPr>
                      <w:b/>
                      <w:color w:val="000000"/>
                      <w:sz w:val="20"/>
                    </w:rPr>
                    <w:t>Loan Category</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110D21" w14:textId="77777777" w:rsidR="007124F0" w:rsidRDefault="007124F0" w:rsidP="0095163F">
                  <w:pPr>
                    <w:keepNext/>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318C78" w14:textId="77777777" w:rsidR="007124F0" w:rsidRDefault="007124F0" w:rsidP="0095163F">
                  <w:pPr>
                    <w:keepNext/>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18E6BD80" w14:textId="77777777" w:rsidR="007124F0" w:rsidRDefault="007124F0" w:rsidP="0095163F">
                  <w:pPr>
                    <w:keepNext/>
                    <w:jc w:val="center"/>
                  </w:pPr>
                  <w:r>
                    <w:rPr>
                      <w:b/>
                      <w:color w:val="000000"/>
                      <w:sz w:val="20"/>
                    </w:rPr>
                    <w:t>Total</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008C2C" w14:textId="77777777" w:rsidR="007124F0" w:rsidRDefault="007124F0" w:rsidP="0095163F">
                  <w:pPr>
                    <w:keepNext/>
                    <w:jc w:val="center"/>
                  </w:pPr>
                  <w:r>
                    <w:rPr>
                      <w:b/>
                      <w:color w:val="000000"/>
                      <w:sz w:val="20"/>
                    </w:rPr>
                    <w:t>Inside</w:t>
                  </w:r>
                </w:p>
              </w:tc>
              <w:tc>
                <w:tcPr>
                  <w:tcW w:w="172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0E686D" w14:textId="77777777" w:rsidR="007124F0" w:rsidRDefault="007124F0" w:rsidP="0095163F">
                  <w:pPr>
                    <w:keepNext/>
                    <w:jc w:val="center"/>
                  </w:pPr>
                  <w:r>
                    <w:rPr>
                      <w:b/>
                      <w:color w:val="000000"/>
                      <w:sz w:val="20"/>
                    </w:rPr>
                    <w:t>Outside</w:t>
                  </w:r>
                </w:p>
              </w:tc>
              <w:tc>
                <w:tcPr>
                  <w:tcW w:w="1008" w:type="dxa"/>
                  <w:tcBorders>
                    <w:left w:val="single" w:sz="7" w:space="0" w:color="000000"/>
                    <w:right w:val="single" w:sz="7" w:space="0" w:color="000000"/>
                  </w:tcBorders>
                  <w:tcMar>
                    <w:top w:w="0" w:type="dxa"/>
                    <w:left w:w="39" w:type="dxa"/>
                    <w:bottom w:w="39" w:type="dxa"/>
                    <w:right w:w="39" w:type="dxa"/>
                  </w:tcMar>
                </w:tcPr>
                <w:p w14:paraId="12C8DB6B" w14:textId="77777777" w:rsidR="007124F0" w:rsidRDefault="007124F0" w:rsidP="0095163F">
                  <w:pPr>
                    <w:keepNext/>
                    <w:jc w:val="center"/>
                  </w:pPr>
                  <w:r>
                    <w:rPr>
                      <w:b/>
                      <w:color w:val="000000"/>
                      <w:sz w:val="20"/>
                    </w:rPr>
                    <w:t>Total</w:t>
                  </w:r>
                </w:p>
              </w:tc>
            </w:tr>
            <w:tr w:rsidR="007124F0" w14:paraId="70846811" w14:textId="77777777" w:rsidTr="004009EA">
              <w:trPr>
                <w:trHeight w:val="210"/>
              </w:trPr>
              <w:tc>
                <w:tcPr>
                  <w:tcW w:w="2159"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25FDD0B5" w14:textId="77777777" w:rsidR="007124F0" w:rsidRDefault="007124F0" w:rsidP="0095163F">
                  <w:pPr>
                    <w:keepNext/>
                  </w:pP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3C64F5" w14:textId="77777777" w:rsidR="007124F0" w:rsidRDefault="007124F0" w:rsidP="0095163F">
                  <w:pPr>
                    <w:keepNext/>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8F9BD21" w14:textId="77777777" w:rsidR="007124F0" w:rsidRDefault="007124F0" w:rsidP="0095163F">
                  <w:pPr>
                    <w:keepNext/>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D988AF" w14:textId="77777777" w:rsidR="007124F0" w:rsidRDefault="007124F0" w:rsidP="0095163F">
                  <w:pPr>
                    <w:keepNext/>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5D786A" w14:textId="77777777" w:rsidR="007124F0" w:rsidRDefault="007124F0" w:rsidP="0095163F">
                  <w:pPr>
                    <w:keepNext/>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67E1685A" w14:textId="77777777" w:rsidR="007124F0" w:rsidRDefault="007124F0" w:rsidP="0095163F">
                  <w:pPr>
                    <w:keepNext/>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6D2979" w14:textId="77777777" w:rsidR="007124F0" w:rsidRDefault="007124F0" w:rsidP="0095163F">
                  <w:pPr>
                    <w:keepNext/>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DCEC8F" w14:textId="77777777" w:rsidR="007124F0" w:rsidRDefault="007124F0" w:rsidP="0095163F">
                  <w:pPr>
                    <w:keepNext/>
                    <w:jc w:val="center"/>
                  </w:pPr>
                  <w:r>
                    <w:rPr>
                      <w:b/>
                      <w:color w:val="000000"/>
                      <w:sz w:val="20"/>
                    </w:rPr>
                    <w:t>%</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6C0F7B" w14:textId="77777777" w:rsidR="007124F0" w:rsidRDefault="007124F0" w:rsidP="0095163F">
                  <w:pPr>
                    <w:keepNext/>
                    <w:jc w:val="center"/>
                  </w:pPr>
                  <w:r>
                    <w:rPr>
                      <w:b/>
                      <w:color w:val="000000"/>
                      <w:sz w:val="20"/>
                    </w:rPr>
                    <w:t>$</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9A99F5" w14:textId="77777777" w:rsidR="007124F0" w:rsidRDefault="007124F0" w:rsidP="0095163F">
                  <w:pPr>
                    <w:keepNext/>
                    <w:jc w:val="center"/>
                  </w:pPr>
                  <w:r>
                    <w:rPr>
                      <w:b/>
                      <w:color w:val="000000"/>
                      <w:sz w:val="20"/>
                    </w:rPr>
                    <w:t>%</w:t>
                  </w:r>
                </w:p>
              </w:tc>
              <w:tc>
                <w:tcPr>
                  <w:tcW w:w="1008" w:type="dxa"/>
                  <w:tcBorders>
                    <w:left w:val="single" w:sz="7" w:space="0" w:color="000000"/>
                    <w:bottom w:val="single" w:sz="7" w:space="0" w:color="000000"/>
                    <w:right w:val="single" w:sz="7" w:space="0" w:color="000000"/>
                  </w:tcBorders>
                  <w:tcMar>
                    <w:top w:w="0" w:type="dxa"/>
                    <w:left w:w="39" w:type="dxa"/>
                    <w:bottom w:w="39" w:type="dxa"/>
                    <w:right w:w="39" w:type="dxa"/>
                  </w:tcMar>
                </w:tcPr>
                <w:p w14:paraId="73110F49" w14:textId="77777777" w:rsidR="007124F0" w:rsidRDefault="007124F0" w:rsidP="0095163F">
                  <w:pPr>
                    <w:keepNext/>
                    <w:jc w:val="center"/>
                  </w:pPr>
                  <w:r>
                    <w:rPr>
                      <w:b/>
                      <w:color w:val="000000"/>
                      <w:sz w:val="20"/>
                    </w:rPr>
                    <w:t>$(000s)</w:t>
                  </w:r>
                </w:p>
              </w:tc>
            </w:tr>
            <w:tr w:rsidR="007124F0" w14:paraId="01BA2BBD" w14:textId="77777777" w:rsidTr="004009EA">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993A74" w14:textId="77777777" w:rsidR="007124F0" w:rsidRDefault="007124F0" w:rsidP="0095163F">
                  <w:pPr>
                    <w:keepNext/>
                  </w:pPr>
                  <w:r>
                    <w:rPr>
                      <w:color w:val="000000"/>
                      <w:sz w:val="20"/>
                    </w:rPr>
                    <w:t>Home Mortgage</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44BBB" w14:textId="77777777" w:rsidR="007124F0" w:rsidRDefault="007124F0" w:rsidP="0095163F">
                  <w:pPr>
                    <w:keepNext/>
                  </w:pPr>
                </w:p>
              </w:tc>
            </w:tr>
            <w:tr w:rsidR="007124F0" w14:paraId="11052D74" w14:textId="77777777" w:rsidTr="004009EA">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E2CAD3A" w14:textId="77777777" w:rsidR="007124F0" w:rsidRDefault="007124F0" w:rsidP="0095163F">
                  <w:pPr>
                    <w:keepNext/>
                    <w:jc w:val="right"/>
                  </w:pPr>
                  <w:r>
                    <w:rPr>
                      <w:color w:val="000000"/>
                      <w:sz w:val="20"/>
                    </w:rPr>
                    <w:t>2017</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E736B" w14:textId="77777777" w:rsidR="007124F0" w:rsidRDefault="007124F0" w:rsidP="0095163F">
                  <w:pPr>
                    <w:keepNext/>
                    <w:jc w:val="center"/>
                  </w:pPr>
                  <w:r>
                    <w:rPr>
                      <w:color w:val="000000"/>
                      <w:sz w:val="20"/>
                    </w:rPr>
                    <w:t>159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ECF8D" w14:textId="77777777" w:rsidR="007124F0" w:rsidRDefault="007124F0" w:rsidP="0095163F">
                  <w:pPr>
                    <w:keepNext/>
                    <w:jc w:val="center"/>
                  </w:pPr>
                  <w:r>
                    <w:rPr>
                      <w:color w:val="000000"/>
                      <w:sz w:val="20"/>
                    </w:rPr>
                    <w:t>67.9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D1B7B" w14:textId="77777777" w:rsidR="007124F0" w:rsidRDefault="007124F0" w:rsidP="0095163F">
                  <w:pPr>
                    <w:keepNext/>
                    <w:jc w:val="center"/>
                  </w:pPr>
                  <w:r>
                    <w:rPr>
                      <w:color w:val="000000"/>
                      <w:sz w:val="20"/>
                    </w:rPr>
                    <w:t>75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0D90" w14:textId="77777777" w:rsidR="007124F0" w:rsidRDefault="007124F0" w:rsidP="0095163F">
                  <w:pPr>
                    <w:keepNext/>
                    <w:jc w:val="center"/>
                  </w:pPr>
                  <w:r>
                    <w:rPr>
                      <w:color w:val="000000"/>
                      <w:sz w:val="20"/>
                    </w:rPr>
                    <w:t>32.1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F28D" w14:textId="77777777" w:rsidR="007124F0" w:rsidRDefault="007124F0" w:rsidP="0095163F">
                  <w:pPr>
                    <w:keepNext/>
                    <w:jc w:val="center"/>
                  </w:pPr>
                  <w:r>
                    <w:rPr>
                      <w:color w:val="000000"/>
                      <w:sz w:val="20"/>
                    </w:rPr>
                    <w:t>234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DEFA1" w14:textId="77777777" w:rsidR="007124F0" w:rsidRDefault="007124F0" w:rsidP="0095163F">
                  <w:pPr>
                    <w:keepNext/>
                    <w:jc w:val="center"/>
                  </w:pPr>
                  <w:r>
                    <w:rPr>
                      <w:color w:val="000000"/>
                      <w:sz w:val="20"/>
                    </w:rPr>
                    <w:t>29,320</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C1CB" w14:textId="77777777" w:rsidR="007124F0" w:rsidRDefault="007124F0" w:rsidP="0095163F">
                  <w:pPr>
                    <w:keepNext/>
                    <w:jc w:val="center"/>
                  </w:pPr>
                  <w:r>
                    <w:rPr>
                      <w:color w:val="000000"/>
                      <w:sz w:val="20"/>
                    </w:rPr>
                    <w:t>64.8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D351A" w14:textId="77777777" w:rsidR="007124F0" w:rsidRDefault="007124F0" w:rsidP="0095163F">
                  <w:pPr>
                    <w:keepNext/>
                    <w:jc w:val="center"/>
                  </w:pPr>
                  <w:r>
                    <w:rPr>
                      <w:color w:val="000000"/>
                      <w:sz w:val="20"/>
                    </w:rPr>
                    <w:t>15,903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14AA" w14:textId="77777777" w:rsidR="007124F0" w:rsidRDefault="007124F0" w:rsidP="0095163F">
                  <w:pPr>
                    <w:keepNext/>
                    <w:jc w:val="center"/>
                  </w:pPr>
                  <w:r>
                    <w:rPr>
                      <w:color w:val="000000"/>
                      <w:sz w:val="20"/>
                    </w:rPr>
                    <w:t>35.2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49F04" w14:textId="77777777" w:rsidR="007124F0" w:rsidRDefault="007124F0" w:rsidP="0095163F">
                  <w:pPr>
                    <w:keepNext/>
                    <w:jc w:val="center"/>
                  </w:pPr>
                  <w:r>
                    <w:rPr>
                      <w:color w:val="000000"/>
                      <w:sz w:val="20"/>
                    </w:rPr>
                    <w:t>45,223</w:t>
                  </w:r>
                </w:p>
              </w:tc>
            </w:tr>
            <w:tr w:rsidR="007124F0" w14:paraId="786B1588" w14:textId="77777777" w:rsidTr="004009EA">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AD7C2F" w14:textId="77777777" w:rsidR="007124F0" w:rsidRDefault="007124F0" w:rsidP="0095163F">
                  <w:pPr>
                    <w:keepNext/>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1BDAA" w14:textId="77777777" w:rsidR="007124F0" w:rsidRDefault="007124F0" w:rsidP="0095163F">
                  <w:pPr>
                    <w:keepNext/>
                    <w:jc w:val="center"/>
                  </w:pPr>
                  <w:r>
                    <w:rPr>
                      <w:color w:val="000000"/>
                      <w:sz w:val="20"/>
                    </w:rPr>
                    <w:t>158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5EB23" w14:textId="77777777" w:rsidR="007124F0" w:rsidRDefault="007124F0" w:rsidP="0095163F">
                  <w:pPr>
                    <w:keepNext/>
                    <w:jc w:val="center"/>
                  </w:pPr>
                  <w:r>
                    <w:rPr>
                      <w:color w:val="000000"/>
                      <w:sz w:val="20"/>
                    </w:rPr>
                    <w:t>60.5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A8964" w14:textId="77777777" w:rsidR="007124F0" w:rsidRDefault="007124F0" w:rsidP="0095163F">
                  <w:pPr>
                    <w:keepNext/>
                    <w:jc w:val="center"/>
                  </w:pPr>
                  <w:r>
                    <w:rPr>
                      <w:color w:val="000000"/>
                      <w:sz w:val="20"/>
                    </w:rPr>
                    <w:t>103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758F" w14:textId="77777777" w:rsidR="007124F0" w:rsidRDefault="007124F0" w:rsidP="0095163F">
                  <w:pPr>
                    <w:keepNext/>
                    <w:jc w:val="center"/>
                  </w:pPr>
                  <w:r>
                    <w:rPr>
                      <w:color w:val="000000"/>
                      <w:sz w:val="20"/>
                    </w:rPr>
                    <w:t>39.5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B9337" w14:textId="77777777" w:rsidR="007124F0" w:rsidRDefault="007124F0" w:rsidP="0095163F">
                  <w:pPr>
                    <w:keepNext/>
                    <w:jc w:val="center"/>
                  </w:pPr>
                  <w:r>
                    <w:rPr>
                      <w:color w:val="000000"/>
                      <w:sz w:val="20"/>
                    </w:rPr>
                    <w:t>261</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B7B85" w14:textId="77777777" w:rsidR="007124F0" w:rsidRDefault="007124F0" w:rsidP="0095163F">
                  <w:pPr>
                    <w:keepNext/>
                    <w:jc w:val="center"/>
                  </w:pPr>
                  <w:r>
                    <w:rPr>
                      <w:color w:val="000000"/>
                      <w:sz w:val="20"/>
                    </w:rPr>
                    <w:t>26,535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E95A7" w14:textId="77777777" w:rsidR="007124F0" w:rsidRDefault="007124F0" w:rsidP="0095163F">
                  <w:pPr>
                    <w:keepNext/>
                    <w:jc w:val="center"/>
                  </w:pPr>
                  <w:r>
                    <w:rPr>
                      <w:color w:val="000000"/>
                      <w:sz w:val="20"/>
                    </w:rPr>
                    <w:t>56.9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FF691" w14:textId="77777777" w:rsidR="007124F0" w:rsidRDefault="007124F0" w:rsidP="0095163F">
                  <w:pPr>
                    <w:keepNext/>
                    <w:jc w:val="center"/>
                  </w:pPr>
                  <w:r>
                    <w:rPr>
                      <w:color w:val="000000"/>
                      <w:sz w:val="20"/>
                    </w:rPr>
                    <w:t>20,078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2FCC7" w14:textId="77777777" w:rsidR="007124F0" w:rsidRDefault="007124F0" w:rsidP="0095163F">
                  <w:pPr>
                    <w:keepNext/>
                    <w:jc w:val="center"/>
                  </w:pPr>
                  <w:r>
                    <w:rPr>
                      <w:color w:val="000000"/>
                      <w:sz w:val="20"/>
                    </w:rPr>
                    <w:t>43.1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851E8" w14:textId="77777777" w:rsidR="007124F0" w:rsidRDefault="007124F0" w:rsidP="0095163F">
                  <w:pPr>
                    <w:keepNext/>
                    <w:jc w:val="center"/>
                  </w:pPr>
                  <w:r>
                    <w:rPr>
                      <w:color w:val="000000"/>
                      <w:sz w:val="20"/>
                    </w:rPr>
                    <w:t>46,612</w:t>
                  </w:r>
                </w:p>
              </w:tc>
            </w:tr>
            <w:tr w:rsidR="007124F0" w14:paraId="3940989E" w14:textId="77777777" w:rsidTr="004009EA">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F2603F5" w14:textId="77777777" w:rsidR="007124F0" w:rsidRDefault="007124F0" w:rsidP="0095163F">
                  <w:pPr>
                    <w:keepNext/>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2AA18" w14:textId="77777777" w:rsidR="007124F0" w:rsidRDefault="007124F0" w:rsidP="0095163F">
                  <w:pPr>
                    <w:keepNext/>
                    <w:jc w:val="center"/>
                  </w:pPr>
                  <w:r>
                    <w:rPr>
                      <w:color w:val="000000"/>
                      <w:sz w:val="20"/>
                    </w:rPr>
                    <w:t>194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41743" w14:textId="77777777" w:rsidR="007124F0" w:rsidRDefault="007124F0" w:rsidP="0095163F">
                  <w:pPr>
                    <w:keepNext/>
                    <w:jc w:val="center"/>
                  </w:pPr>
                  <w:r>
                    <w:rPr>
                      <w:color w:val="000000"/>
                      <w:sz w:val="20"/>
                    </w:rPr>
                    <w:t>69.3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D3630" w14:textId="77777777" w:rsidR="007124F0" w:rsidRDefault="007124F0" w:rsidP="0095163F">
                  <w:pPr>
                    <w:keepNext/>
                    <w:jc w:val="center"/>
                  </w:pPr>
                  <w:r>
                    <w:rPr>
                      <w:color w:val="000000"/>
                      <w:sz w:val="20"/>
                    </w:rPr>
                    <w:t>86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4A8E7" w14:textId="77777777" w:rsidR="007124F0" w:rsidRDefault="007124F0" w:rsidP="0095163F">
                  <w:pPr>
                    <w:keepNext/>
                    <w:jc w:val="center"/>
                  </w:pPr>
                  <w:r>
                    <w:rPr>
                      <w:color w:val="000000"/>
                      <w:sz w:val="20"/>
                    </w:rPr>
                    <w:t>30.7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7B1D" w14:textId="77777777" w:rsidR="007124F0" w:rsidRDefault="007124F0" w:rsidP="0095163F">
                  <w:pPr>
                    <w:keepNext/>
                    <w:jc w:val="center"/>
                  </w:pPr>
                  <w:r>
                    <w:rPr>
                      <w:color w:val="000000"/>
                      <w:sz w:val="20"/>
                    </w:rPr>
                    <w:t>280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CF2A" w14:textId="77777777" w:rsidR="007124F0" w:rsidRDefault="007124F0" w:rsidP="0095163F">
                  <w:pPr>
                    <w:keepNext/>
                    <w:jc w:val="center"/>
                  </w:pPr>
                  <w:r>
                    <w:rPr>
                      <w:color w:val="000000"/>
                      <w:sz w:val="20"/>
                    </w:rPr>
                    <w:t>37,299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B70F9" w14:textId="77777777" w:rsidR="007124F0" w:rsidRDefault="007124F0" w:rsidP="0095163F">
                  <w:pPr>
                    <w:keepNext/>
                    <w:jc w:val="center"/>
                  </w:pPr>
                  <w:r>
                    <w:rPr>
                      <w:color w:val="000000"/>
                      <w:sz w:val="20"/>
                    </w:rPr>
                    <w:t>65.9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DDD2" w14:textId="77777777" w:rsidR="007124F0" w:rsidRDefault="007124F0" w:rsidP="0095163F">
                  <w:pPr>
                    <w:keepNext/>
                    <w:jc w:val="center"/>
                  </w:pPr>
                  <w:r>
                    <w:rPr>
                      <w:color w:val="000000"/>
                      <w:sz w:val="20"/>
                    </w:rPr>
                    <w:t>19,275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F8135" w14:textId="77777777" w:rsidR="007124F0" w:rsidRDefault="007124F0" w:rsidP="0095163F">
                  <w:pPr>
                    <w:keepNext/>
                    <w:jc w:val="center"/>
                  </w:pPr>
                  <w:r>
                    <w:rPr>
                      <w:color w:val="000000"/>
                      <w:sz w:val="20"/>
                    </w:rPr>
                    <w:t>34.1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7F68" w14:textId="77777777" w:rsidR="007124F0" w:rsidRDefault="007124F0" w:rsidP="0095163F">
                  <w:pPr>
                    <w:keepNext/>
                    <w:jc w:val="center"/>
                  </w:pPr>
                  <w:r>
                    <w:rPr>
                      <w:color w:val="000000"/>
                      <w:sz w:val="20"/>
                    </w:rPr>
                    <w:t>56,574</w:t>
                  </w:r>
                </w:p>
              </w:tc>
            </w:tr>
            <w:tr w:rsidR="007124F0" w14:paraId="420FEB0A" w14:textId="77777777" w:rsidTr="004009EA">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2BB08C" w14:textId="77777777" w:rsidR="007124F0" w:rsidRDefault="007124F0" w:rsidP="0095163F">
                  <w:pPr>
                    <w:keepNext/>
                  </w:pPr>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0F22D" w14:textId="77777777" w:rsidR="007124F0" w:rsidRDefault="007124F0" w:rsidP="0095163F">
                  <w:pPr>
                    <w:keepNext/>
                    <w:jc w:val="center"/>
                  </w:pPr>
                  <w:r>
                    <w:rPr>
                      <w:b/>
                      <w:color w:val="000000"/>
                      <w:sz w:val="20"/>
                    </w:rPr>
                    <w:t>511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7AA5A" w14:textId="77777777" w:rsidR="007124F0" w:rsidRDefault="007124F0" w:rsidP="0095163F">
                  <w:pPr>
                    <w:keepNext/>
                    <w:jc w:val="center"/>
                  </w:pPr>
                  <w:r>
                    <w:rPr>
                      <w:b/>
                      <w:color w:val="000000"/>
                      <w:sz w:val="20"/>
                    </w:rPr>
                    <w:t>65.9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EF7DD" w14:textId="77777777" w:rsidR="007124F0" w:rsidRDefault="007124F0" w:rsidP="0095163F">
                  <w:pPr>
                    <w:keepNext/>
                    <w:jc w:val="center"/>
                  </w:pPr>
                  <w:r>
                    <w:rPr>
                      <w:b/>
                      <w:color w:val="000000"/>
                      <w:sz w:val="20"/>
                    </w:rPr>
                    <w:t>264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C9D4" w14:textId="77777777" w:rsidR="007124F0" w:rsidRDefault="007124F0" w:rsidP="0095163F">
                  <w:pPr>
                    <w:keepNext/>
                    <w:jc w:val="center"/>
                  </w:pPr>
                  <w:r>
                    <w:rPr>
                      <w:b/>
                      <w:color w:val="000000"/>
                      <w:sz w:val="20"/>
                    </w:rPr>
                    <w:t>34.1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69D43" w14:textId="77777777" w:rsidR="007124F0" w:rsidRDefault="007124F0" w:rsidP="0095163F">
                  <w:pPr>
                    <w:keepNext/>
                    <w:jc w:val="center"/>
                  </w:pPr>
                  <w:r>
                    <w:rPr>
                      <w:b/>
                      <w:color w:val="000000"/>
                      <w:sz w:val="20"/>
                    </w:rPr>
                    <w:t>775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E59C" w14:textId="77777777" w:rsidR="007124F0" w:rsidRDefault="007124F0" w:rsidP="0095163F">
                  <w:pPr>
                    <w:keepNext/>
                    <w:jc w:val="center"/>
                  </w:pPr>
                  <w:r>
                    <w:rPr>
                      <w:b/>
                      <w:color w:val="000000"/>
                      <w:sz w:val="20"/>
                    </w:rPr>
                    <w:t>93,153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47C73" w14:textId="77777777" w:rsidR="007124F0" w:rsidRDefault="007124F0" w:rsidP="0095163F">
                  <w:pPr>
                    <w:keepNext/>
                    <w:jc w:val="center"/>
                  </w:pPr>
                  <w:r>
                    <w:rPr>
                      <w:b/>
                      <w:color w:val="000000"/>
                      <w:sz w:val="20"/>
                    </w:rPr>
                    <w:t>62.8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6F509" w14:textId="77777777" w:rsidR="007124F0" w:rsidRDefault="007124F0" w:rsidP="0095163F">
                  <w:pPr>
                    <w:keepNext/>
                    <w:jc w:val="center"/>
                  </w:pPr>
                  <w:r>
                    <w:rPr>
                      <w:b/>
                      <w:color w:val="000000"/>
                      <w:sz w:val="20"/>
                    </w:rPr>
                    <w:t>55,256</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2905" w14:textId="77777777" w:rsidR="007124F0" w:rsidRDefault="007124F0" w:rsidP="0095163F">
                  <w:pPr>
                    <w:keepNext/>
                    <w:jc w:val="center"/>
                  </w:pPr>
                  <w:r>
                    <w:rPr>
                      <w:b/>
                      <w:color w:val="000000"/>
                      <w:sz w:val="20"/>
                    </w:rPr>
                    <w:t>37.2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97AFC" w14:textId="77777777" w:rsidR="007124F0" w:rsidRDefault="007124F0" w:rsidP="0095163F">
                  <w:pPr>
                    <w:keepNext/>
                    <w:jc w:val="center"/>
                  </w:pPr>
                  <w:r>
                    <w:rPr>
                      <w:b/>
                      <w:color w:val="000000"/>
                      <w:sz w:val="20"/>
                    </w:rPr>
                    <w:t>148,409</w:t>
                  </w:r>
                </w:p>
              </w:tc>
            </w:tr>
            <w:tr w:rsidR="007124F0" w14:paraId="46D114D9" w14:textId="77777777" w:rsidTr="004009EA">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B8C222" w14:textId="77777777" w:rsidR="007124F0" w:rsidRDefault="007124F0" w:rsidP="0095163F">
                  <w:pPr>
                    <w:keepNext/>
                  </w:pPr>
                  <w:r>
                    <w:rPr>
                      <w:color w:val="000000"/>
                      <w:sz w:val="20"/>
                    </w:rPr>
                    <w:t>Small Business</w:t>
                  </w:r>
                </w:p>
              </w:tc>
              <w:tc>
                <w:tcPr>
                  <w:tcW w:w="8924"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9AF3" w14:textId="77777777" w:rsidR="007124F0" w:rsidRDefault="007124F0" w:rsidP="0095163F">
                  <w:pPr>
                    <w:keepNext/>
                  </w:pPr>
                </w:p>
              </w:tc>
            </w:tr>
            <w:tr w:rsidR="007124F0" w14:paraId="163254A9" w14:textId="77777777" w:rsidTr="004009EA">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E19A7FD" w14:textId="77777777" w:rsidR="007124F0" w:rsidRDefault="007124F0" w:rsidP="0095163F">
                  <w:pPr>
                    <w:keepNext/>
                    <w:jc w:val="right"/>
                  </w:pPr>
                  <w:r>
                    <w:rPr>
                      <w:color w:val="000000"/>
                      <w:sz w:val="20"/>
                    </w:rPr>
                    <w:t>2018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88FA" w14:textId="77777777" w:rsidR="007124F0" w:rsidRDefault="007124F0" w:rsidP="0095163F">
                  <w:pPr>
                    <w:keepNext/>
                    <w:jc w:val="center"/>
                  </w:pPr>
                  <w:r>
                    <w:rPr>
                      <w:color w:val="000000"/>
                      <w:sz w:val="20"/>
                    </w:rPr>
                    <w:t>21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9A028" w14:textId="77777777" w:rsidR="007124F0" w:rsidRDefault="007124F0" w:rsidP="0095163F">
                  <w:pPr>
                    <w:keepNext/>
                    <w:jc w:val="center"/>
                  </w:pPr>
                  <w:r>
                    <w:rPr>
                      <w:color w:val="000000"/>
                      <w:sz w:val="20"/>
                    </w:rPr>
                    <w:t>84.0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2075B" w14:textId="77777777" w:rsidR="007124F0" w:rsidRDefault="007124F0" w:rsidP="0095163F">
                  <w:pPr>
                    <w:keepNext/>
                    <w:jc w:val="center"/>
                  </w:pPr>
                  <w:r>
                    <w:rPr>
                      <w:color w:val="000000"/>
                      <w:sz w:val="20"/>
                    </w:rPr>
                    <w:t>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10C64" w14:textId="77777777" w:rsidR="007124F0" w:rsidRDefault="007124F0" w:rsidP="0095163F">
                  <w:pPr>
                    <w:keepNext/>
                    <w:jc w:val="center"/>
                  </w:pPr>
                  <w:r>
                    <w:rPr>
                      <w:color w:val="000000"/>
                      <w:sz w:val="20"/>
                    </w:rPr>
                    <w:t>16.0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4C78" w14:textId="77777777" w:rsidR="007124F0" w:rsidRDefault="007124F0" w:rsidP="0095163F">
                  <w:pPr>
                    <w:keepNext/>
                    <w:jc w:val="center"/>
                  </w:pPr>
                  <w:r>
                    <w:rPr>
                      <w:color w:val="000000"/>
                      <w:sz w:val="20"/>
                    </w:rPr>
                    <w:t>25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35FE6" w14:textId="77777777" w:rsidR="007124F0" w:rsidRDefault="007124F0" w:rsidP="0095163F">
                  <w:pPr>
                    <w:keepNext/>
                    <w:jc w:val="center"/>
                  </w:pPr>
                  <w:r>
                    <w:rPr>
                      <w:color w:val="000000"/>
                      <w:sz w:val="20"/>
                    </w:rPr>
                    <w:t>1,074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2DF42" w14:textId="77777777" w:rsidR="007124F0" w:rsidRDefault="007124F0" w:rsidP="0095163F">
                  <w:pPr>
                    <w:keepNext/>
                    <w:jc w:val="center"/>
                  </w:pPr>
                  <w:r>
                    <w:rPr>
                      <w:color w:val="000000"/>
                      <w:sz w:val="20"/>
                    </w:rPr>
                    <w:t>50.4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BC59C" w14:textId="77777777" w:rsidR="007124F0" w:rsidRDefault="007124F0" w:rsidP="0095163F">
                  <w:pPr>
                    <w:keepNext/>
                    <w:jc w:val="center"/>
                  </w:pPr>
                  <w:r>
                    <w:rPr>
                      <w:color w:val="000000"/>
                      <w:sz w:val="20"/>
                    </w:rPr>
                    <w:t>1,057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8DB52" w14:textId="77777777" w:rsidR="007124F0" w:rsidRDefault="007124F0" w:rsidP="0095163F">
                  <w:pPr>
                    <w:keepNext/>
                    <w:jc w:val="center"/>
                  </w:pPr>
                  <w:r>
                    <w:rPr>
                      <w:color w:val="000000"/>
                      <w:sz w:val="20"/>
                    </w:rPr>
                    <w:t>49.6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2B6FA" w14:textId="77777777" w:rsidR="007124F0" w:rsidRDefault="007124F0" w:rsidP="0095163F">
                  <w:pPr>
                    <w:keepNext/>
                    <w:jc w:val="center"/>
                  </w:pPr>
                  <w:r>
                    <w:rPr>
                      <w:color w:val="000000"/>
                      <w:sz w:val="20"/>
                    </w:rPr>
                    <w:t>2,131</w:t>
                  </w:r>
                </w:p>
              </w:tc>
            </w:tr>
            <w:tr w:rsidR="007124F0" w14:paraId="1D18477F" w14:textId="77777777" w:rsidTr="004009EA">
              <w:trPr>
                <w:trHeight w:val="181"/>
              </w:trPr>
              <w:tc>
                <w:tcPr>
                  <w:tcW w:w="2159"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3E6A7F2" w14:textId="77777777" w:rsidR="007124F0" w:rsidRDefault="007124F0" w:rsidP="0095163F">
                  <w:pPr>
                    <w:keepNext/>
                    <w:jc w:val="right"/>
                  </w:pPr>
                  <w:r>
                    <w:rPr>
                      <w:color w:val="000000"/>
                      <w:sz w:val="20"/>
                    </w:rPr>
                    <w:t>2019</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5AC81" w14:textId="77777777" w:rsidR="007124F0" w:rsidRDefault="007124F0" w:rsidP="0095163F">
                  <w:pPr>
                    <w:keepNext/>
                    <w:jc w:val="center"/>
                  </w:pPr>
                  <w:r>
                    <w:rPr>
                      <w:color w:val="000000"/>
                      <w:sz w:val="20"/>
                    </w:rPr>
                    <w:t>17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B68A" w14:textId="77777777" w:rsidR="007124F0" w:rsidRDefault="007124F0" w:rsidP="0095163F">
                  <w:pPr>
                    <w:keepNext/>
                    <w:jc w:val="center"/>
                  </w:pPr>
                  <w:r>
                    <w:rPr>
                      <w:color w:val="000000"/>
                      <w:sz w:val="20"/>
                    </w:rPr>
                    <w:t>85.0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2B8A2" w14:textId="77777777" w:rsidR="007124F0" w:rsidRDefault="007124F0" w:rsidP="0095163F">
                  <w:pPr>
                    <w:keepNext/>
                    <w:jc w:val="center"/>
                  </w:pPr>
                  <w:r>
                    <w:rPr>
                      <w:color w:val="000000"/>
                      <w:sz w:val="20"/>
                    </w:rPr>
                    <w:t>3</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1D2ED" w14:textId="77777777" w:rsidR="007124F0" w:rsidRDefault="007124F0" w:rsidP="0095163F">
                  <w:pPr>
                    <w:keepNext/>
                    <w:jc w:val="center"/>
                  </w:pPr>
                  <w:r>
                    <w:rPr>
                      <w:color w:val="000000"/>
                      <w:sz w:val="20"/>
                    </w:rPr>
                    <w:t>15.0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5B128" w14:textId="77777777" w:rsidR="007124F0" w:rsidRDefault="007124F0" w:rsidP="0095163F">
                  <w:pPr>
                    <w:keepNext/>
                    <w:jc w:val="center"/>
                  </w:pPr>
                  <w:r>
                    <w:rPr>
                      <w:color w:val="000000"/>
                      <w:sz w:val="20"/>
                    </w:rPr>
                    <w:t>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A041A" w14:textId="77777777" w:rsidR="007124F0" w:rsidRDefault="007124F0" w:rsidP="0095163F">
                  <w:pPr>
                    <w:keepNext/>
                    <w:jc w:val="center"/>
                  </w:pPr>
                  <w:r>
                    <w:rPr>
                      <w:color w:val="000000"/>
                      <w:sz w:val="20"/>
                    </w:rPr>
                    <w:t>1,515</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389A" w14:textId="77777777" w:rsidR="007124F0" w:rsidRDefault="007124F0" w:rsidP="0095163F">
                  <w:pPr>
                    <w:keepNext/>
                    <w:jc w:val="center"/>
                  </w:pPr>
                  <w:r>
                    <w:rPr>
                      <w:color w:val="000000"/>
                      <w:sz w:val="20"/>
                    </w:rPr>
                    <w:t>83.3</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46003" w14:textId="77777777" w:rsidR="007124F0" w:rsidRDefault="007124F0" w:rsidP="0095163F">
                  <w:pPr>
                    <w:keepNext/>
                    <w:jc w:val="center"/>
                  </w:pPr>
                  <w:r>
                    <w:rPr>
                      <w:color w:val="000000"/>
                      <w:sz w:val="20"/>
                    </w:rPr>
                    <w:t>304</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4146E" w14:textId="77777777" w:rsidR="007124F0" w:rsidRDefault="007124F0" w:rsidP="0095163F">
                  <w:pPr>
                    <w:keepNext/>
                    <w:jc w:val="center"/>
                  </w:pPr>
                  <w:r>
                    <w:rPr>
                      <w:color w:val="000000"/>
                      <w:sz w:val="20"/>
                    </w:rPr>
                    <w:t>16.7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826C" w14:textId="77777777" w:rsidR="007124F0" w:rsidRDefault="007124F0" w:rsidP="0095163F">
                  <w:pPr>
                    <w:keepNext/>
                    <w:jc w:val="center"/>
                  </w:pPr>
                  <w:r>
                    <w:rPr>
                      <w:color w:val="000000"/>
                      <w:sz w:val="20"/>
                    </w:rPr>
                    <w:t>1,819</w:t>
                  </w:r>
                </w:p>
              </w:tc>
            </w:tr>
            <w:tr w:rsidR="007124F0" w14:paraId="008710D7" w14:textId="77777777" w:rsidTr="004009EA">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7B99F2" w14:textId="77777777" w:rsidR="007124F0" w:rsidRDefault="007124F0" w:rsidP="0095163F">
                  <w:pPr>
                    <w:keepNext/>
                  </w:pPr>
                  <w:r>
                    <w:rPr>
                      <w:b/>
                      <w:color w:val="000000"/>
                      <w:sz w:val="20"/>
                    </w:rPr>
                    <w:t>Subtotal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A557" w14:textId="77777777" w:rsidR="007124F0" w:rsidRDefault="007124F0" w:rsidP="0095163F">
                  <w:pPr>
                    <w:keepNext/>
                    <w:jc w:val="center"/>
                  </w:pPr>
                  <w:r>
                    <w:rPr>
                      <w:b/>
                      <w:color w:val="000000"/>
                      <w:sz w:val="20"/>
                    </w:rPr>
                    <w:t>38</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CDEEF" w14:textId="77777777" w:rsidR="007124F0" w:rsidRDefault="007124F0" w:rsidP="0095163F">
                  <w:pPr>
                    <w:keepNext/>
                    <w:jc w:val="center"/>
                  </w:pPr>
                  <w:r>
                    <w:rPr>
                      <w:b/>
                      <w:color w:val="000000"/>
                      <w:sz w:val="20"/>
                    </w:rPr>
                    <w:t>84.4</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1590E" w14:textId="77777777" w:rsidR="007124F0" w:rsidRDefault="007124F0" w:rsidP="0095163F">
                  <w:pPr>
                    <w:keepNext/>
                    <w:jc w:val="center"/>
                  </w:pPr>
                  <w:r>
                    <w:rPr>
                      <w:b/>
                      <w:color w:val="000000"/>
                      <w:sz w:val="20"/>
                    </w:rPr>
                    <w:t>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24CF2" w14:textId="77777777" w:rsidR="007124F0" w:rsidRDefault="007124F0" w:rsidP="0095163F">
                  <w:pPr>
                    <w:keepNext/>
                    <w:jc w:val="center"/>
                  </w:pPr>
                  <w:r>
                    <w:rPr>
                      <w:b/>
                      <w:color w:val="000000"/>
                      <w:sz w:val="20"/>
                    </w:rPr>
                    <w:t>15.6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EB81C" w14:textId="77777777" w:rsidR="007124F0" w:rsidRDefault="007124F0" w:rsidP="0095163F">
                  <w:pPr>
                    <w:keepNext/>
                    <w:jc w:val="center"/>
                  </w:pPr>
                  <w:r>
                    <w:rPr>
                      <w:b/>
                      <w:color w:val="000000"/>
                      <w:sz w:val="20"/>
                    </w:rPr>
                    <w:t>45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9B5A2" w14:textId="77777777" w:rsidR="007124F0" w:rsidRDefault="007124F0" w:rsidP="0095163F">
                  <w:pPr>
                    <w:keepNext/>
                    <w:jc w:val="center"/>
                  </w:pPr>
                  <w:r>
                    <w:rPr>
                      <w:b/>
                      <w:color w:val="000000"/>
                      <w:sz w:val="20"/>
                    </w:rPr>
                    <w:t>2,589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9C8D0" w14:textId="77777777" w:rsidR="007124F0" w:rsidRDefault="007124F0" w:rsidP="0095163F">
                  <w:pPr>
                    <w:keepNext/>
                    <w:jc w:val="center"/>
                  </w:pPr>
                  <w:r>
                    <w:rPr>
                      <w:b/>
                      <w:color w:val="000000"/>
                      <w:sz w:val="20"/>
                    </w:rPr>
                    <w:t>65.5</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9D6E9" w14:textId="77777777" w:rsidR="007124F0" w:rsidRDefault="007124F0" w:rsidP="0095163F">
                  <w:pPr>
                    <w:keepNext/>
                    <w:jc w:val="center"/>
                  </w:pPr>
                  <w:r>
                    <w:rPr>
                      <w:b/>
                      <w:color w:val="000000"/>
                      <w:sz w:val="20"/>
                    </w:rPr>
                    <w:t>1,361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9285" w14:textId="77777777" w:rsidR="007124F0" w:rsidRDefault="007124F0" w:rsidP="0095163F">
                  <w:pPr>
                    <w:keepNext/>
                    <w:jc w:val="center"/>
                  </w:pPr>
                  <w:r>
                    <w:rPr>
                      <w:b/>
                      <w:color w:val="000000"/>
                      <w:sz w:val="20"/>
                    </w:rPr>
                    <w:t>34.5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C50C" w14:textId="77777777" w:rsidR="007124F0" w:rsidRDefault="007124F0" w:rsidP="0095163F">
                  <w:pPr>
                    <w:keepNext/>
                    <w:jc w:val="center"/>
                  </w:pPr>
                  <w:r>
                    <w:rPr>
                      <w:b/>
                      <w:color w:val="000000"/>
                      <w:sz w:val="20"/>
                    </w:rPr>
                    <w:t>3,950</w:t>
                  </w:r>
                </w:p>
              </w:tc>
            </w:tr>
            <w:tr w:rsidR="007124F0" w14:paraId="522EC432" w14:textId="77777777" w:rsidTr="004009EA">
              <w:trPr>
                <w:trHeight w:val="210"/>
              </w:trPr>
              <w:tc>
                <w:tcPr>
                  <w:tcW w:w="21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9DB36A" w14:textId="77777777" w:rsidR="007124F0" w:rsidRDefault="007124F0" w:rsidP="0095163F">
                  <w:pPr>
                    <w:keepNext/>
                  </w:pPr>
                  <w:r>
                    <w:rPr>
                      <w:b/>
                      <w:color w:val="000000"/>
                      <w:sz w:val="20"/>
                    </w:rPr>
                    <w:t>Total</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8C2E6" w14:textId="77777777" w:rsidR="007124F0" w:rsidRDefault="007124F0" w:rsidP="0095163F">
                  <w:pPr>
                    <w:keepNext/>
                    <w:jc w:val="center"/>
                  </w:pPr>
                  <w:r>
                    <w:rPr>
                      <w:b/>
                      <w:color w:val="000000"/>
                      <w:sz w:val="20"/>
                    </w:rPr>
                    <w:t>549</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9CB3E" w14:textId="77777777" w:rsidR="007124F0" w:rsidRDefault="007124F0" w:rsidP="0095163F">
                  <w:pPr>
                    <w:keepNext/>
                    <w:jc w:val="center"/>
                  </w:pPr>
                  <w:r>
                    <w:rPr>
                      <w:b/>
                      <w:color w:val="000000"/>
                      <w:sz w:val="20"/>
                    </w:rPr>
                    <w:t>67.0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6F39E" w14:textId="77777777" w:rsidR="007124F0" w:rsidRDefault="007124F0" w:rsidP="0095163F">
                  <w:pPr>
                    <w:keepNext/>
                    <w:jc w:val="center"/>
                  </w:pPr>
                  <w:r>
                    <w:rPr>
                      <w:b/>
                      <w:color w:val="000000"/>
                      <w:sz w:val="20"/>
                    </w:rPr>
                    <w:t>271</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CFC65" w14:textId="77777777" w:rsidR="007124F0" w:rsidRDefault="007124F0" w:rsidP="0095163F">
                  <w:pPr>
                    <w:keepNext/>
                    <w:jc w:val="center"/>
                  </w:pPr>
                  <w:r>
                    <w:rPr>
                      <w:b/>
                      <w:color w:val="000000"/>
                      <w:sz w:val="20"/>
                    </w:rPr>
                    <w:t>33.0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B7C3E" w14:textId="77777777" w:rsidR="007124F0" w:rsidRDefault="007124F0" w:rsidP="0095163F">
                  <w:pPr>
                    <w:keepNext/>
                    <w:jc w:val="center"/>
                  </w:pPr>
                  <w:r>
                    <w:rPr>
                      <w:b/>
                      <w:color w:val="000000"/>
                      <w:sz w:val="20"/>
                    </w:rPr>
                    <w:t>820</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A304A" w14:textId="77777777" w:rsidR="007124F0" w:rsidRDefault="007124F0" w:rsidP="0095163F">
                  <w:pPr>
                    <w:keepNext/>
                    <w:jc w:val="center"/>
                  </w:pPr>
                  <w:r>
                    <w:rPr>
                      <w:b/>
                      <w:color w:val="000000"/>
                      <w:sz w:val="20"/>
                    </w:rPr>
                    <w:t>95,742</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B5196" w14:textId="77777777" w:rsidR="007124F0" w:rsidRDefault="007124F0" w:rsidP="0095163F">
                  <w:pPr>
                    <w:keepNext/>
                    <w:jc w:val="center"/>
                  </w:pPr>
                  <w:r>
                    <w:rPr>
                      <w:b/>
                      <w:color w:val="000000"/>
                      <w:sz w:val="20"/>
                    </w:rPr>
                    <w:t>62.8</w:t>
                  </w:r>
                </w:p>
              </w:tc>
              <w:tc>
                <w:tcPr>
                  <w:tcW w:w="10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5C501" w14:textId="77777777" w:rsidR="007124F0" w:rsidRDefault="007124F0" w:rsidP="0095163F">
                  <w:pPr>
                    <w:keepNext/>
                    <w:jc w:val="center"/>
                  </w:pPr>
                  <w:r>
                    <w:rPr>
                      <w:b/>
                      <w:color w:val="000000"/>
                      <w:sz w:val="20"/>
                    </w:rPr>
                    <w:t>56,617</w:t>
                  </w:r>
                </w:p>
              </w:tc>
              <w:tc>
                <w:tcPr>
                  <w:tcW w:w="6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8537" w14:textId="77777777" w:rsidR="007124F0" w:rsidRDefault="007124F0" w:rsidP="0095163F">
                  <w:pPr>
                    <w:keepNext/>
                    <w:jc w:val="center"/>
                  </w:pPr>
                  <w:r>
                    <w:rPr>
                      <w:b/>
                      <w:color w:val="000000"/>
                      <w:sz w:val="20"/>
                    </w:rPr>
                    <w:t>37.2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A5E40" w14:textId="77777777" w:rsidR="007124F0" w:rsidRDefault="007124F0" w:rsidP="0095163F">
                  <w:pPr>
                    <w:keepNext/>
                    <w:jc w:val="center"/>
                  </w:pPr>
                  <w:r>
                    <w:rPr>
                      <w:b/>
                      <w:color w:val="000000"/>
                      <w:sz w:val="20"/>
                    </w:rPr>
                    <w:t>152,359</w:t>
                  </w:r>
                </w:p>
              </w:tc>
            </w:tr>
            <w:tr w:rsidR="007124F0" w14:paraId="40B60AFC" w14:textId="77777777" w:rsidTr="00C45697">
              <w:trPr>
                <w:trHeight w:val="21"/>
              </w:trPr>
              <w:tc>
                <w:tcPr>
                  <w:tcW w:w="11083"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6729913F" w14:textId="77777777" w:rsidR="007124F0" w:rsidRDefault="007124F0" w:rsidP="00C45697">
                  <w:pPr>
                    <w:keepNext/>
                  </w:pPr>
                  <w:r>
                    <w:rPr>
                      <w:i/>
                      <w:color w:val="000000"/>
                      <w:sz w:val="16"/>
                    </w:rPr>
                    <w:t>Source: Bank Data</w:t>
                  </w:r>
                  <w:r w:rsidR="00C45697">
                    <w:rPr>
                      <w:i/>
                      <w:color w:val="000000"/>
                      <w:sz w:val="16"/>
                    </w:rPr>
                    <w:t xml:space="preserve">.  </w:t>
                  </w:r>
                  <w:r>
                    <w:rPr>
                      <w:i/>
                      <w:color w:val="000000"/>
                      <w:sz w:val="16"/>
                    </w:rPr>
                    <w:t>Due to rounding, totals may not equal 100.0%</w:t>
                  </w:r>
                  <w:r w:rsidR="00C45697">
                    <w:rPr>
                      <w:i/>
                      <w:color w:val="000000"/>
                      <w:sz w:val="16"/>
                    </w:rPr>
                    <w:t>.</w:t>
                  </w:r>
                </w:p>
              </w:tc>
            </w:tr>
          </w:tbl>
          <w:p w14:paraId="22D02B02" w14:textId="77777777" w:rsidR="002C7EEB" w:rsidRPr="002C7EEB" w:rsidRDefault="002C7EEB" w:rsidP="002C7EEB">
            <w:pPr>
              <w:rPr>
                <w:sz w:val="20"/>
                <w:szCs w:val="20"/>
              </w:rPr>
            </w:pPr>
          </w:p>
        </w:tc>
      </w:tr>
    </w:tbl>
    <w:p w14:paraId="792EE657" w14:textId="77777777" w:rsidR="00FB7E5F" w:rsidRDefault="00FB7E5F" w:rsidP="00D12B41">
      <w:pPr>
        <w:rPr>
          <w:iCs/>
        </w:rPr>
      </w:pPr>
    </w:p>
    <w:p w14:paraId="17479962" w14:textId="77777777" w:rsidR="00E15DD6" w:rsidRPr="00161EC6" w:rsidRDefault="00E15DD6" w:rsidP="00660B31">
      <w:pPr>
        <w:rPr>
          <w:b/>
          <w:bCs/>
          <w:color w:val="000000"/>
          <w:u w:val="single"/>
        </w:rPr>
      </w:pPr>
      <w:r w:rsidRPr="00161EC6">
        <w:rPr>
          <w:b/>
          <w:bCs/>
          <w:color w:val="000000"/>
          <w:u w:val="single"/>
        </w:rPr>
        <w:t>Geographic Distribution</w:t>
      </w:r>
    </w:p>
    <w:p w14:paraId="30D40F28" w14:textId="77777777" w:rsidR="00E15DD6" w:rsidRDefault="00E15DD6" w:rsidP="00E15DD6"/>
    <w:p w14:paraId="5256411B" w14:textId="77777777" w:rsidR="00701A97" w:rsidRDefault="00ED48AF" w:rsidP="00E15DD6">
      <w:r w:rsidRPr="00D17EDD">
        <w:t xml:space="preserve">The geographic distribution of loans reflects </w:t>
      </w:r>
      <w:r>
        <w:t>reasonable</w:t>
      </w:r>
      <w:r w:rsidRPr="00D17EDD">
        <w:t xml:space="preserve"> dispersion t</w:t>
      </w:r>
      <w:r>
        <w:t>hroughout the assessment area.</w:t>
      </w:r>
    </w:p>
    <w:p w14:paraId="520C7EE7" w14:textId="77777777" w:rsidR="00ED48AF" w:rsidRDefault="00ED48AF" w:rsidP="00E15DD6"/>
    <w:p w14:paraId="446D3271" w14:textId="77777777" w:rsidR="00701A97" w:rsidRPr="00701A97" w:rsidRDefault="00701A97" w:rsidP="00E15DD6">
      <w:pPr>
        <w:rPr>
          <w:b/>
        </w:rPr>
      </w:pPr>
      <w:r w:rsidRPr="00701A97">
        <w:rPr>
          <w:b/>
          <w:i/>
        </w:rPr>
        <w:t>Home Mortgage Loans</w:t>
      </w:r>
    </w:p>
    <w:p w14:paraId="2C3500AE" w14:textId="77777777" w:rsidR="00701A97" w:rsidRDefault="00701A97" w:rsidP="00E15DD6"/>
    <w:p w14:paraId="0867CEB5" w14:textId="77777777" w:rsidR="004009EA" w:rsidRDefault="00ED48AF" w:rsidP="004009EA">
      <w:pPr>
        <w:ind w:right="-270"/>
        <w:rPr>
          <w:bCs/>
          <w:color w:val="000000"/>
        </w:rPr>
      </w:pPr>
      <w:r>
        <w:rPr>
          <w:bCs/>
          <w:color w:val="000000"/>
        </w:rPr>
        <w:t xml:space="preserve">The geographic distribution of home mortgage loans reflects reasonable dispersion throughout the assessment area.  </w:t>
      </w:r>
      <w:r w:rsidR="00305954">
        <w:rPr>
          <w:bCs/>
          <w:color w:val="000000"/>
        </w:rPr>
        <w:t>The bank’s</w:t>
      </w:r>
      <w:r w:rsidR="004009EA">
        <w:rPr>
          <w:bCs/>
          <w:color w:val="000000"/>
        </w:rPr>
        <w:t xml:space="preserve"> </w:t>
      </w:r>
      <w:r w:rsidR="00157687">
        <w:rPr>
          <w:bCs/>
          <w:color w:val="000000"/>
        </w:rPr>
        <w:t xml:space="preserve">2018 and 2019 </w:t>
      </w:r>
      <w:r w:rsidR="004009EA">
        <w:rPr>
          <w:bCs/>
          <w:color w:val="000000"/>
        </w:rPr>
        <w:t>performance exceeded both the percent</w:t>
      </w:r>
      <w:r w:rsidR="0095163F">
        <w:rPr>
          <w:bCs/>
          <w:color w:val="000000"/>
        </w:rPr>
        <w:t>age</w:t>
      </w:r>
      <w:r w:rsidR="004009EA">
        <w:rPr>
          <w:bCs/>
          <w:color w:val="000000"/>
        </w:rPr>
        <w:t xml:space="preserve"> of owner-occupied housing units and the aggregate performance in the low-income census tract.  </w:t>
      </w:r>
      <w:r w:rsidR="001C636C">
        <w:rPr>
          <w:bCs/>
          <w:color w:val="000000"/>
        </w:rPr>
        <w:t>T</w:t>
      </w:r>
      <w:r w:rsidR="004009EA">
        <w:rPr>
          <w:bCs/>
          <w:color w:val="000000"/>
        </w:rPr>
        <w:t>he</w:t>
      </w:r>
      <w:r w:rsidR="001C636C">
        <w:rPr>
          <w:bCs/>
          <w:color w:val="000000"/>
        </w:rPr>
        <w:t xml:space="preserve"> bank’s</w:t>
      </w:r>
      <w:r w:rsidR="004009EA">
        <w:rPr>
          <w:bCs/>
          <w:color w:val="000000"/>
        </w:rPr>
        <w:t xml:space="preserve"> </w:t>
      </w:r>
      <w:r w:rsidR="0095163F">
        <w:rPr>
          <w:bCs/>
          <w:color w:val="000000"/>
        </w:rPr>
        <w:t>performance</w:t>
      </w:r>
      <w:r w:rsidR="004009EA">
        <w:rPr>
          <w:bCs/>
          <w:color w:val="000000"/>
        </w:rPr>
        <w:t xml:space="preserve"> in the moderate-income census tracts </w:t>
      </w:r>
      <w:r w:rsidR="0095163F">
        <w:rPr>
          <w:bCs/>
          <w:color w:val="000000"/>
        </w:rPr>
        <w:t>was</w:t>
      </w:r>
      <w:r w:rsidR="001C636C">
        <w:rPr>
          <w:bCs/>
          <w:color w:val="000000"/>
        </w:rPr>
        <w:t xml:space="preserve"> below </w:t>
      </w:r>
      <w:r w:rsidR="004009EA">
        <w:rPr>
          <w:bCs/>
          <w:color w:val="000000"/>
        </w:rPr>
        <w:t xml:space="preserve">the </w:t>
      </w:r>
      <w:r w:rsidR="0095163F">
        <w:rPr>
          <w:bCs/>
          <w:color w:val="000000"/>
        </w:rPr>
        <w:t>percentage</w:t>
      </w:r>
      <w:r w:rsidR="004009EA">
        <w:rPr>
          <w:bCs/>
          <w:color w:val="000000"/>
        </w:rPr>
        <w:t xml:space="preserve"> of owner-occupied units and </w:t>
      </w:r>
      <w:r w:rsidR="001C636C">
        <w:rPr>
          <w:bCs/>
          <w:color w:val="000000"/>
        </w:rPr>
        <w:t xml:space="preserve">the </w:t>
      </w:r>
      <w:r w:rsidR="004009EA">
        <w:rPr>
          <w:bCs/>
          <w:color w:val="000000"/>
        </w:rPr>
        <w:t>aggregate performance</w:t>
      </w:r>
      <w:r w:rsidR="001C636C">
        <w:rPr>
          <w:bCs/>
          <w:color w:val="000000"/>
        </w:rPr>
        <w:t xml:space="preserve"> for both years; however, </w:t>
      </w:r>
      <w:r w:rsidR="0095163F">
        <w:rPr>
          <w:bCs/>
          <w:color w:val="000000"/>
        </w:rPr>
        <w:t xml:space="preserve">performance increased </w:t>
      </w:r>
      <w:r w:rsidR="001C636C">
        <w:rPr>
          <w:bCs/>
          <w:color w:val="000000"/>
        </w:rPr>
        <w:t xml:space="preserve">significantly </w:t>
      </w:r>
      <w:r w:rsidR="004009EA">
        <w:rPr>
          <w:bCs/>
          <w:color w:val="000000"/>
        </w:rPr>
        <w:t>from 2018 to 2019</w:t>
      </w:r>
      <w:r w:rsidR="001C636C">
        <w:rPr>
          <w:bCs/>
          <w:color w:val="000000"/>
        </w:rPr>
        <w:t xml:space="preserve">, and was more in line with the demographics and aggregate performance in 2019. </w:t>
      </w:r>
      <w:r w:rsidR="004009EA">
        <w:rPr>
          <w:bCs/>
          <w:color w:val="000000"/>
        </w:rPr>
        <w:t xml:space="preserve">   </w:t>
      </w:r>
    </w:p>
    <w:p w14:paraId="1171B1C6" w14:textId="77777777" w:rsidR="00ED48AF" w:rsidRDefault="00ED48AF" w:rsidP="00E15DD6"/>
    <w:p w14:paraId="51BDBF5D" w14:textId="77777777" w:rsidR="00F9356D" w:rsidRDefault="001C636C" w:rsidP="00F9356D">
      <w:pPr>
        <w:ind w:right="-270"/>
        <w:rPr>
          <w:bCs/>
          <w:color w:val="000000"/>
        </w:rPr>
      </w:pPr>
      <w:r>
        <w:rPr>
          <w:bCs/>
          <w:color w:val="000000"/>
        </w:rPr>
        <w:t xml:space="preserve">Market rank data supports the reasonable dispersion conclusion.  </w:t>
      </w:r>
      <w:r w:rsidR="00157687">
        <w:rPr>
          <w:bCs/>
          <w:color w:val="000000"/>
        </w:rPr>
        <w:t>In 2019, the bank</w:t>
      </w:r>
      <w:r w:rsidR="00F9356D">
        <w:rPr>
          <w:bCs/>
          <w:color w:val="000000"/>
        </w:rPr>
        <w:t xml:space="preserve"> ranked </w:t>
      </w:r>
      <w:r w:rsidR="00FF6663">
        <w:rPr>
          <w:bCs/>
          <w:color w:val="000000"/>
        </w:rPr>
        <w:t>twelfth</w:t>
      </w:r>
      <w:r w:rsidR="00F9356D">
        <w:rPr>
          <w:bCs/>
          <w:color w:val="000000"/>
        </w:rPr>
        <w:t xml:space="preserve"> of 45 lenders </w:t>
      </w:r>
      <w:r w:rsidR="009839D0">
        <w:rPr>
          <w:bCs/>
          <w:color w:val="000000"/>
        </w:rPr>
        <w:t>that originated home mortgage loans in the</w:t>
      </w:r>
      <w:r w:rsidR="00F9356D">
        <w:rPr>
          <w:bCs/>
          <w:color w:val="000000"/>
        </w:rPr>
        <w:t xml:space="preserve"> low-income</w:t>
      </w:r>
      <w:r w:rsidR="00157687">
        <w:rPr>
          <w:bCs/>
          <w:color w:val="000000"/>
        </w:rPr>
        <w:t xml:space="preserve"> census tract</w:t>
      </w:r>
      <w:r w:rsidR="009839D0">
        <w:rPr>
          <w:bCs/>
          <w:color w:val="000000"/>
        </w:rPr>
        <w:t>.  T</w:t>
      </w:r>
      <w:r w:rsidR="00157687">
        <w:rPr>
          <w:bCs/>
          <w:color w:val="000000"/>
        </w:rPr>
        <w:t xml:space="preserve">he </w:t>
      </w:r>
      <w:r w:rsidR="00F9356D">
        <w:rPr>
          <w:bCs/>
          <w:color w:val="000000"/>
        </w:rPr>
        <w:t xml:space="preserve">performance </w:t>
      </w:r>
      <w:r w:rsidR="009839D0">
        <w:rPr>
          <w:bCs/>
          <w:color w:val="000000"/>
        </w:rPr>
        <w:t xml:space="preserve">in this geography </w:t>
      </w:r>
      <w:r w:rsidR="00F9356D">
        <w:rPr>
          <w:bCs/>
          <w:color w:val="000000"/>
        </w:rPr>
        <w:t>exceed</w:t>
      </w:r>
      <w:r w:rsidR="009839D0">
        <w:rPr>
          <w:bCs/>
          <w:color w:val="000000"/>
        </w:rPr>
        <w:t xml:space="preserve">ed </w:t>
      </w:r>
      <w:r w:rsidR="00F9356D">
        <w:rPr>
          <w:bCs/>
          <w:color w:val="000000"/>
        </w:rPr>
        <w:t xml:space="preserve">the other community banks that originated loans within the tract.  </w:t>
      </w:r>
      <w:r w:rsidR="009839D0">
        <w:rPr>
          <w:bCs/>
          <w:color w:val="000000"/>
        </w:rPr>
        <w:t xml:space="preserve">Additionally, in 2019 the bank ranked </w:t>
      </w:r>
      <w:r w:rsidR="00FF6663">
        <w:rPr>
          <w:bCs/>
          <w:color w:val="000000"/>
        </w:rPr>
        <w:t>fourteenth</w:t>
      </w:r>
      <w:r w:rsidR="009839D0">
        <w:rPr>
          <w:bCs/>
          <w:color w:val="000000"/>
        </w:rPr>
        <w:t xml:space="preserve"> of 122 lenders within the moderate-income tracts.  </w:t>
      </w:r>
      <w:r w:rsidR="00F9356D">
        <w:rPr>
          <w:bCs/>
          <w:color w:val="000000"/>
        </w:rPr>
        <w:t xml:space="preserve">The majority of </w:t>
      </w:r>
      <w:r w:rsidR="00CA6D4C">
        <w:rPr>
          <w:bCs/>
          <w:color w:val="000000"/>
        </w:rPr>
        <w:t xml:space="preserve">the </w:t>
      </w:r>
      <w:r w:rsidR="00F9356D">
        <w:rPr>
          <w:bCs/>
          <w:color w:val="000000"/>
        </w:rPr>
        <w:t xml:space="preserve">competition in the moderate-income tracts is comprised of large national banks and </w:t>
      </w:r>
      <w:r w:rsidR="00D820EA">
        <w:rPr>
          <w:bCs/>
          <w:color w:val="000000"/>
        </w:rPr>
        <w:t xml:space="preserve">non-bank </w:t>
      </w:r>
      <w:r w:rsidR="00F9356D">
        <w:rPr>
          <w:bCs/>
          <w:color w:val="000000"/>
        </w:rPr>
        <w:t xml:space="preserve">mortgage </w:t>
      </w:r>
      <w:r w:rsidR="009839D0">
        <w:rPr>
          <w:bCs/>
          <w:color w:val="000000"/>
        </w:rPr>
        <w:t>lenders</w:t>
      </w:r>
      <w:r w:rsidR="00F9356D">
        <w:rPr>
          <w:bCs/>
          <w:color w:val="000000"/>
        </w:rPr>
        <w:t xml:space="preserve">.  </w:t>
      </w:r>
    </w:p>
    <w:p w14:paraId="776322BB" w14:textId="77777777" w:rsidR="009839D0" w:rsidRDefault="009839D0" w:rsidP="00F9356D">
      <w:pPr>
        <w:ind w:right="-270"/>
        <w:rPr>
          <w:bCs/>
          <w:color w:val="000000"/>
        </w:rPr>
      </w:pPr>
    </w:p>
    <w:p w14:paraId="313858DE" w14:textId="77777777" w:rsidR="00F9356D" w:rsidRPr="00262038" w:rsidRDefault="00F9356D" w:rsidP="00F9356D">
      <w:pPr>
        <w:ind w:right="-270"/>
        <w:rPr>
          <w:bCs/>
          <w:color w:val="000000"/>
        </w:rPr>
      </w:pPr>
      <w:r>
        <w:rPr>
          <w:bCs/>
          <w:color w:val="000000"/>
        </w:rPr>
        <w:t xml:space="preserve">The </w:t>
      </w:r>
      <w:r w:rsidR="009839D0">
        <w:rPr>
          <w:bCs/>
          <w:color w:val="000000"/>
        </w:rPr>
        <w:t>following table illustrates</w:t>
      </w:r>
      <w:r>
        <w:rPr>
          <w:bCs/>
          <w:color w:val="000000"/>
        </w:rPr>
        <w:t xml:space="preserve"> the geographic distribution of home mortgage loans by </w:t>
      </w:r>
      <w:r w:rsidR="001C636C">
        <w:rPr>
          <w:bCs/>
          <w:color w:val="000000"/>
        </w:rPr>
        <w:t xml:space="preserve">census </w:t>
      </w:r>
      <w:r w:rsidR="000B4F36">
        <w:rPr>
          <w:bCs/>
          <w:color w:val="000000"/>
        </w:rPr>
        <w:t xml:space="preserve">tract income designation </w:t>
      </w:r>
      <w:r w:rsidR="006023DC">
        <w:rPr>
          <w:bCs/>
          <w:color w:val="000000"/>
        </w:rPr>
        <w:t>with</w:t>
      </w:r>
      <w:r w:rsidR="000B4F36">
        <w:rPr>
          <w:bCs/>
          <w:color w:val="000000"/>
        </w:rPr>
        <w:t>in the assessment area.</w:t>
      </w:r>
    </w:p>
    <w:p w14:paraId="59B61D14" w14:textId="77777777" w:rsidR="00ED48AF" w:rsidRPr="00701A97" w:rsidRDefault="00ED48AF" w:rsidP="00E15DD6"/>
    <w:tbl>
      <w:tblPr>
        <w:tblW w:w="0" w:type="auto"/>
        <w:tblCellMar>
          <w:left w:w="0" w:type="dxa"/>
          <w:right w:w="0" w:type="dxa"/>
        </w:tblCellMar>
        <w:tblLook w:val="0000" w:firstRow="0" w:lastRow="0" w:firstColumn="0" w:lastColumn="0" w:noHBand="0" w:noVBand="0"/>
      </w:tblPr>
      <w:tblGrid>
        <w:gridCol w:w="2592"/>
        <w:gridCol w:w="1584"/>
        <w:gridCol w:w="1440"/>
        <w:gridCol w:w="1239"/>
        <w:gridCol w:w="869"/>
        <w:gridCol w:w="1028"/>
        <w:gridCol w:w="834"/>
      </w:tblGrid>
      <w:tr w:rsidR="00E10916" w:rsidRPr="00E10916" w14:paraId="54DDE465" w14:textId="77777777" w:rsidTr="00F94A72">
        <w:trPr>
          <w:trHeight w:val="282"/>
        </w:trPr>
        <w:tc>
          <w:tcPr>
            <w:tcW w:w="958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3A867FB4" w14:textId="77777777" w:rsidR="00E10916" w:rsidRPr="00E10916" w:rsidRDefault="00E10916" w:rsidP="0095163F">
            <w:pPr>
              <w:keepNext/>
              <w:jc w:val="center"/>
              <w:rPr>
                <w:sz w:val="20"/>
                <w:szCs w:val="20"/>
              </w:rPr>
            </w:pPr>
            <w:r w:rsidRPr="00E10916">
              <w:rPr>
                <w:b/>
                <w:color w:val="000000"/>
                <w:sz w:val="20"/>
                <w:szCs w:val="20"/>
              </w:rPr>
              <w:lastRenderedPageBreak/>
              <w:t>Geographic Distribution of Home Mortgage Loans</w:t>
            </w:r>
          </w:p>
        </w:tc>
      </w:tr>
      <w:tr w:rsidR="00E10916" w:rsidRPr="00E10916" w14:paraId="2E8CA385" w14:textId="77777777" w:rsidTr="00F94A72">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8FE5E2" w14:textId="77777777" w:rsidR="00E10916" w:rsidRPr="00E10916" w:rsidRDefault="00E10916" w:rsidP="0095163F">
            <w:pPr>
              <w:keepNext/>
              <w:rPr>
                <w:sz w:val="20"/>
                <w:szCs w:val="20"/>
              </w:rPr>
            </w:pPr>
            <w:r w:rsidRPr="00E10916">
              <w:rPr>
                <w:b/>
                <w:color w:val="000000"/>
                <w:sz w:val="20"/>
                <w:szCs w:val="20"/>
              </w:rPr>
              <w:t>Tract Income Level</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72FE39" w14:textId="77777777" w:rsidR="00E10916" w:rsidRPr="00E10916" w:rsidRDefault="00E10916" w:rsidP="0095163F">
            <w:pPr>
              <w:keepNext/>
              <w:jc w:val="center"/>
              <w:rPr>
                <w:sz w:val="20"/>
                <w:szCs w:val="20"/>
              </w:rPr>
            </w:pPr>
            <w:r w:rsidRPr="00E10916">
              <w:rPr>
                <w:b/>
                <w:color w:val="000000"/>
                <w:sz w:val="20"/>
                <w:szCs w:val="20"/>
              </w:rPr>
              <w:t>% of  Owner-Occupied Housing Units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8F927F" w14:textId="77777777" w:rsidR="00E10916" w:rsidRPr="00E10916" w:rsidRDefault="00E10916" w:rsidP="0095163F">
            <w:pPr>
              <w:keepNext/>
              <w:jc w:val="center"/>
              <w:rPr>
                <w:sz w:val="20"/>
                <w:szCs w:val="20"/>
              </w:rPr>
            </w:pPr>
            <w:r w:rsidRPr="00E10916">
              <w:rPr>
                <w:b/>
                <w:color w:val="000000"/>
                <w:sz w:val="20"/>
                <w:szCs w:val="20"/>
              </w:rPr>
              <w:t>Aggregate Performance</w:t>
            </w:r>
            <w:r w:rsidRPr="00E10916">
              <w:rPr>
                <w:b/>
                <w:color w:val="000000"/>
                <w:sz w:val="20"/>
                <w:szCs w:val="20"/>
              </w:rPr>
              <w:br/>
              <w:t>% of #</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F3D80B" w14:textId="77777777" w:rsidR="00E10916" w:rsidRPr="00E10916" w:rsidRDefault="00E10916" w:rsidP="0095163F">
            <w:pPr>
              <w:keepNext/>
              <w:jc w:val="center"/>
              <w:rPr>
                <w:sz w:val="20"/>
                <w:szCs w:val="20"/>
              </w:rPr>
            </w:pPr>
            <w:r w:rsidRPr="00E10916">
              <w:rPr>
                <w:b/>
                <w:color w:val="000000"/>
                <w:sz w:val="20"/>
                <w:szCs w:val="20"/>
              </w:rPr>
              <w:t>#</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B409E4" w14:textId="77777777" w:rsidR="00E10916" w:rsidRPr="00E10916" w:rsidRDefault="00E10916" w:rsidP="0095163F">
            <w:pPr>
              <w:keepNext/>
              <w:jc w:val="center"/>
              <w:rPr>
                <w:sz w:val="20"/>
                <w:szCs w:val="20"/>
              </w:rPr>
            </w:pPr>
            <w:r w:rsidRPr="00E10916">
              <w:rPr>
                <w:b/>
                <w:color w:val="000000"/>
                <w:sz w:val="20"/>
                <w:szCs w:val="20"/>
              </w:rPr>
              <w:t>%</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EC5F3F" w14:textId="77777777" w:rsidR="00E10916" w:rsidRPr="00E10916" w:rsidRDefault="00E10916" w:rsidP="0095163F">
            <w:pPr>
              <w:keepNext/>
              <w:jc w:val="center"/>
              <w:rPr>
                <w:sz w:val="20"/>
                <w:szCs w:val="20"/>
              </w:rPr>
            </w:pPr>
            <w:r w:rsidRPr="00E10916">
              <w:rPr>
                <w:b/>
                <w:color w:val="000000"/>
                <w:sz w:val="20"/>
                <w:szCs w:val="20"/>
              </w:rPr>
              <w:t>$(000s)</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0ED1A0" w14:textId="77777777" w:rsidR="00E10916" w:rsidRPr="00E10916" w:rsidRDefault="00E10916" w:rsidP="0095163F">
            <w:pPr>
              <w:keepNext/>
              <w:jc w:val="center"/>
              <w:rPr>
                <w:sz w:val="20"/>
                <w:szCs w:val="20"/>
              </w:rPr>
            </w:pPr>
            <w:r w:rsidRPr="00E10916">
              <w:rPr>
                <w:b/>
                <w:color w:val="000000"/>
                <w:sz w:val="20"/>
                <w:szCs w:val="20"/>
              </w:rPr>
              <w:t>%</w:t>
            </w:r>
          </w:p>
        </w:tc>
      </w:tr>
      <w:tr w:rsidR="00E10916" w:rsidRPr="00E10916" w14:paraId="451BD8BD"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69E83A" w14:textId="77777777" w:rsidR="00E10916" w:rsidRPr="00E10916" w:rsidRDefault="00E10916" w:rsidP="0095163F">
            <w:pPr>
              <w:keepNext/>
              <w:rPr>
                <w:sz w:val="20"/>
                <w:szCs w:val="20"/>
              </w:rPr>
            </w:pPr>
            <w:r w:rsidRPr="00E10916">
              <w:rPr>
                <w:color w:val="000000"/>
                <w:sz w:val="20"/>
                <w:szCs w:val="20"/>
              </w:rPr>
              <w:t>Low</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EDAC7" w14:textId="77777777" w:rsidR="00E10916" w:rsidRPr="00E10916" w:rsidRDefault="00E10916" w:rsidP="0095163F">
            <w:pPr>
              <w:keepNext/>
              <w:rPr>
                <w:sz w:val="20"/>
                <w:szCs w:val="20"/>
              </w:rPr>
            </w:pPr>
          </w:p>
        </w:tc>
      </w:tr>
      <w:tr w:rsidR="00E10916" w:rsidRPr="00E10916" w14:paraId="65AF865D"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8569955" w14:textId="77777777" w:rsidR="00E10916" w:rsidRPr="00E10916" w:rsidRDefault="00E10916" w:rsidP="0095163F">
            <w:pPr>
              <w:keepNext/>
              <w:jc w:val="right"/>
              <w:rPr>
                <w:sz w:val="20"/>
                <w:szCs w:val="20"/>
              </w:rPr>
            </w:pPr>
            <w:r w:rsidRPr="00E10916">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54772" w14:textId="77777777" w:rsidR="00E10916" w:rsidRPr="00E10916" w:rsidRDefault="00E10916" w:rsidP="0095163F">
            <w:pPr>
              <w:keepNext/>
              <w:jc w:val="center"/>
              <w:rPr>
                <w:sz w:val="20"/>
                <w:szCs w:val="20"/>
              </w:rPr>
            </w:pPr>
            <w:r w:rsidRPr="00E10916">
              <w:rPr>
                <w:color w:val="000000"/>
                <w:sz w:val="20"/>
                <w:szCs w:val="20"/>
              </w:rPr>
              <w:t>0.7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293AA" w14:textId="77777777" w:rsidR="00E10916" w:rsidRPr="00E10916" w:rsidRDefault="00E10916" w:rsidP="0095163F">
            <w:pPr>
              <w:keepNext/>
              <w:jc w:val="center"/>
              <w:rPr>
                <w:sz w:val="20"/>
                <w:szCs w:val="20"/>
              </w:rPr>
            </w:pPr>
            <w:r w:rsidRPr="00E10916">
              <w:rPr>
                <w:color w:val="000000"/>
                <w:sz w:val="20"/>
                <w:szCs w:val="20"/>
              </w:rPr>
              <w:t>1.2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7C3E3" w14:textId="77777777" w:rsidR="00E10916" w:rsidRPr="00E10916" w:rsidRDefault="00E10916" w:rsidP="0095163F">
            <w:pPr>
              <w:keepNext/>
              <w:jc w:val="center"/>
              <w:rPr>
                <w:sz w:val="20"/>
                <w:szCs w:val="20"/>
              </w:rPr>
            </w:pPr>
            <w:r w:rsidRPr="00E10916">
              <w:rPr>
                <w:color w:val="000000"/>
                <w:sz w:val="20"/>
                <w:szCs w:val="20"/>
              </w:rPr>
              <w:t>2</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2C139" w14:textId="77777777" w:rsidR="00E10916" w:rsidRPr="00E10916" w:rsidRDefault="00E10916" w:rsidP="0095163F">
            <w:pPr>
              <w:keepNext/>
              <w:jc w:val="center"/>
              <w:rPr>
                <w:sz w:val="20"/>
                <w:szCs w:val="20"/>
              </w:rPr>
            </w:pPr>
            <w:r w:rsidRPr="00E10916">
              <w:rPr>
                <w:color w:val="000000"/>
                <w:sz w:val="20"/>
                <w:szCs w:val="20"/>
              </w:rPr>
              <w:t>1.3</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B4E71" w14:textId="77777777" w:rsidR="00E10916" w:rsidRPr="00E10916" w:rsidRDefault="00E10916" w:rsidP="0095163F">
            <w:pPr>
              <w:keepNext/>
              <w:jc w:val="center"/>
              <w:rPr>
                <w:sz w:val="20"/>
                <w:szCs w:val="20"/>
              </w:rPr>
            </w:pPr>
            <w:r w:rsidRPr="00E10916">
              <w:rPr>
                <w:color w:val="000000"/>
                <w:sz w:val="20"/>
                <w:szCs w:val="20"/>
              </w:rPr>
              <w:t>287</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D41BC" w14:textId="77777777" w:rsidR="00E10916" w:rsidRPr="00E10916" w:rsidRDefault="00E10916" w:rsidP="0095163F">
            <w:pPr>
              <w:keepNext/>
              <w:jc w:val="center"/>
              <w:rPr>
                <w:sz w:val="20"/>
                <w:szCs w:val="20"/>
              </w:rPr>
            </w:pPr>
            <w:r w:rsidRPr="00E10916">
              <w:rPr>
                <w:color w:val="000000"/>
                <w:sz w:val="20"/>
                <w:szCs w:val="20"/>
              </w:rPr>
              <w:t>1.1</w:t>
            </w:r>
          </w:p>
        </w:tc>
      </w:tr>
      <w:tr w:rsidR="00E10916" w:rsidRPr="00E10916" w14:paraId="7BF83311"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9C2790D" w14:textId="77777777" w:rsidR="00E10916" w:rsidRPr="00E10916" w:rsidRDefault="00E10916" w:rsidP="0095163F">
            <w:pPr>
              <w:keepNext/>
              <w:jc w:val="right"/>
              <w:rPr>
                <w:sz w:val="20"/>
                <w:szCs w:val="20"/>
              </w:rPr>
            </w:pPr>
            <w:r w:rsidRPr="00E10916">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AA457" w14:textId="77777777" w:rsidR="00E10916" w:rsidRPr="00E10916" w:rsidRDefault="00E10916" w:rsidP="0095163F">
            <w:pPr>
              <w:keepNext/>
              <w:jc w:val="center"/>
              <w:rPr>
                <w:sz w:val="20"/>
                <w:szCs w:val="20"/>
              </w:rPr>
            </w:pPr>
            <w:r w:rsidRPr="00E10916">
              <w:rPr>
                <w:color w:val="000000"/>
                <w:sz w:val="20"/>
                <w:szCs w:val="20"/>
              </w:rPr>
              <w:t>0.7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756C" w14:textId="77777777" w:rsidR="00E10916" w:rsidRPr="00E10916" w:rsidRDefault="00E10916" w:rsidP="0095163F">
            <w:pPr>
              <w:keepNext/>
              <w:jc w:val="center"/>
              <w:rPr>
                <w:sz w:val="20"/>
                <w:szCs w:val="20"/>
              </w:rPr>
            </w:pPr>
            <w:r w:rsidRPr="00E10916">
              <w:rPr>
                <w:color w:val="000000"/>
                <w:sz w:val="20"/>
                <w:szCs w:val="20"/>
              </w:rPr>
              <w:t>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88595" w14:textId="77777777" w:rsidR="00E10916" w:rsidRPr="00E10916" w:rsidRDefault="00E10916" w:rsidP="0095163F">
            <w:pPr>
              <w:keepNext/>
              <w:jc w:val="center"/>
              <w:rPr>
                <w:sz w:val="20"/>
                <w:szCs w:val="20"/>
              </w:rPr>
            </w:pPr>
            <w:r w:rsidRPr="00E10916">
              <w:rPr>
                <w:color w:val="000000"/>
                <w:sz w:val="20"/>
                <w:szCs w:val="20"/>
              </w:rPr>
              <w:t>3</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95456" w14:textId="77777777" w:rsidR="00E10916" w:rsidRPr="00E10916" w:rsidRDefault="00E10916" w:rsidP="0095163F">
            <w:pPr>
              <w:keepNext/>
              <w:jc w:val="center"/>
              <w:rPr>
                <w:sz w:val="20"/>
                <w:szCs w:val="20"/>
              </w:rPr>
            </w:pPr>
            <w:r w:rsidRPr="00E10916">
              <w:rPr>
                <w:color w:val="000000"/>
                <w:sz w:val="20"/>
                <w:szCs w:val="20"/>
              </w:rPr>
              <w:t>1.5</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2B5A" w14:textId="77777777" w:rsidR="00E10916" w:rsidRPr="00E10916" w:rsidRDefault="00E10916" w:rsidP="0095163F">
            <w:pPr>
              <w:keepNext/>
              <w:jc w:val="center"/>
              <w:rPr>
                <w:sz w:val="20"/>
                <w:szCs w:val="20"/>
              </w:rPr>
            </w:pPr>
            <w:r w:rsidRPr="00E10916">
              <w:rPr>
                <w:color w:val="000000"/>
                <w:sz w:val="20"/>
                <w:szCs w:val="20"/>
              </w:rPr>
              <w:t>419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CF9CD" w14:textId="77777777" w:rsidR="00E10916" w:rsidRPr="00E10916" w:rsidRDefault="00E10916" w:rsidP="0095163F">
            <w:pPr>
              <w:keepNext/>
              <w:jc w:val="center"/>
              <w:rPr>
                <w:sz w:val="20"/>
                <w:szCs w:val="20"/>
              </w:rPr>
            </w:pPr>
            <w:r w:rsidRPr="00E10916">
              <w:rPr>
                <w:color w:val="000000"/>
                <w:sz w:val="20"/>
                <w:szCs w:val="20"/>
              </w:rPr>
              <w:t>1.1</w:t>
            </w:r>
          </w:p>
        </w:tc>
      </w:tr>
      <w:tr w:rsidR="00E10916" w:rsidRPr="00E10916" w14:paraId="430C206A"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CC0E48" w14:textId="77777777" w:rsidR="00E10916" w:rsidRPr="00E10916" w:rsidRDefault="00E10916" w:rsidP="0095163F">
            <w:pPr>
              <w:keepNext/>
              <w:rPr>
                <w:sz w:val="20"/>
                <w:szCs w:val="20"/>
              </w:rPr>
            </w:pPr>
            <w:r w:rsidRPr="00E10916">
              <w:rPr>
                <w:color w:val="000000"/>
                <w:sz w:val="20"/>
                <w:szCs w:val="20"/>
              </w:rPr>
              <w:t>Moderate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CAC7" w14:textId="77777777" w:rsidR="00E10916" w:rsidRPr="00E10916" w:rsidRDefault="00E10916" w:rsidP="0095163F">
            <w:pPr>
              <w:keepNext/>
              <w:rPr>
                <w:sz w:val="20"/>
                <w:szCs w:val="20"/>
              </w:rPr>
            </w:pPr>
          </w:p>
        </w:tc>
      </w:tr>
      <w:tr w:rsidR="00E10916" w:rsidRPr="00E10916" w14:paraId="0835AEAF"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3446078" w14:textId="77777777" w:rsidR="00E10916" w:rsidRPr="00E10916" w:rsidRDefault="00E10916" w:rsidP="0095163F">
            <w:pPr>
              <w:keepNext/>
              <w:jc w:val="right"/>
              <w:rPr>
                <w:sz w:val="20"/>
                <w:szCs w:val="20"/>
              </w:rPr>
            </w:pPr>
            <w:r w:rsidRPr="00E10916">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5ACE4" w14:textId="77777777" w:rsidR="00E10916" w:rsidRPr="00E10916" w:rsidRDefault="00E10916" w:rsidP="0095163F">
            <w:pPr>
              <w:keepNext/>
              <w:jc w:val="center"/>
              <w:rPr>
                <w:sz w:val="20"/>
                <w:szCs w:val="20"/>
              </w:rPr>
            </w:pPr>
            <w:r w:rsidRPr="00E10916">
              <w:rPr>
                <w:color w:val="000000"/>
                <w:sz w:val="20"/>
                <w:szCs w:val="20"/>
              </w:rPr>
              <w:t>7.7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683BD" w14:textId="77777777" w:rsidR="00E10916" w:rsidRPr="00E10916" w:rsidRDefault="00E10916" w:rsidP="0095163F">
            <w:pPr>
              <w:keepNext/>
              <w:jc w:val="center"/>
              <w:rPr>
                <w:sz w:val="20"/>
                <w:szCs w:val="20"/>
              </w:rPr>
            </w:pPr>
            <w:r w:rsidRPr="00E10916">
              <w:rPr>
                <w:color w:val="000000"/>
                <w:sz w:val="20"/>
                <w:szCs w:val="20"/>
              </w:rPr>
              <w:t>7.5</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CC7E" w14:textId="77777777" w:rsidR="00E10916" w:rsidRPr="00E10916" w:rsidRDefault="00E10916" w:rsidP="0095163F">
            <w:pPr>
              <w:keepNext/>
              <w:jc w:val="center"/>
              <w:rPr>
                <w:sz w:val="20"/>
                <w:szCs w:val="20"/>
              </w:rPr>
            </w:pPr>
            <w:r w:rsidRPr="00E10916">
              <w:rPr>
                <w:color w:val="000000"/>
                <w:sz w:val="20"/>
                <w:szCs w:val="20"/>
              </w:rPr>
              <w:t>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9C7BB" w14:textId="77777777" w:rsidR="00E10916" w:rsidRPr="00E10916" w:rsidRDefault="00E10916" w:rsidP="0095163F">
            <w:pPr>
              <w:keepNext/>
              <w:jc w:val="center"/>
              <w:rPr>
                <w:sz w:val="20"/>
                <w:szCs w:val="20"/>
              </w:rPr>
            </w:pPr>
            <w:r w:rsidRPr="00E10916">
              <w:rPr>
                <w:color w:val="000000"/>
                <w:sz w:val="20"/>
                <w:szCs w:val="20"/>
              </w:rPr>
              <w:t>2.5</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00F20" w14:textId="77777777" w:rsidR="00E10916" w:rsidRPr="00E10916" w:rsidRDefault="00E10916" w:rsidP="0095163F">
            <w:pPr>
              <w:keepNext/>
              <w:jc w:val="center"/>
              <w:rPr>
                <w:sz w:val="20"/>
                <w:szCs w:val="20"/>
              </w:rPr>
            </w:pPr>
            <w:r w:rsidRPr="00E10916">
              <w:rPr>
                <w:color w:val="000000"/>
                <w:sz w:val="20"/>
                <w:szCs w:val="20"/>
              </w:rPr>
              <w:t>792</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10F53" w14:textId="77777777" w:rsidR="00E10916" w:rsidRPr="00E10916" w:rsidRDefault="00E10916" w:rsidP="0095163F">
            <w:pPr>
              <w:keepNext/>
              <w:jc w:val="center"/>
              <w:rPr>
                <w:sz w:val="20"/>
                <w:szCs w:val="20"/>
              </w:rPr>
            </w:pPr>
            <w:r w:rsidRPr="00E10916">
              <w:rPr>
                <w:color w:val="000000"/>
                <w:sz w:val="20"/>
                <w:szCs w:val="20"/>
              </w:rPr>
              <w:t>3.0</w:t>
            </w:r>
          </w:p>
        </w:tc>
      </w:tr>
      <w:tr w:rsidR="00E10916" w:rsidRPr="00E10916" w14:paraId="2691E6AC"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7B26A6" w14:textId="77777777" w:rsidR="00E10916" w:rsidRPr="00E10916" w:rsidRDefault="00E10916" w:rsidP="0095163F">
            <w:pPr>
              <w:keepNext/>
              <w:jc w:val="right"/>
              <w:rPr>
                <w:sz w:val="20"/>
                <w:szCs w:val="20"/>
              </w:rPr>
            </w:pPr>
            <w:r w:rsidRPr="00E10916">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67530" w14:textId="77777777" w:rsidR="00E10916" w:rsidRPr="00E10916" w:rsidRDefault="00E10916" w:rsidP="0095163F">
            <w:pPr>
              <w:keepNext/>
              <w:jc w:val="center"/>
              <w:rPr>
                <w:sz w:val="20"/>
                <w:szCs w:val="20"/>
              </w:rPr>
            </w:pPr>
            <w:r w:rsidRPr="00E10916">
              <w:rPr>
                <w:color w:val="000000"/>
                <w:sz w:val="20"/>
                <w:szCs w:val="20"/>
              </w:rPr>
              <w:t>7.7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A85D5" w14:textId="77777777" w:rsidR="00E10916" w:rsidRPr="00E10916" w:rsidRDefault="00E10916" w:rsidP="0095163F">
            <w:pPr>
              <w:keepNext/>
              <w:jc w:val="center"/>
              <w:rPr>
                <w:sz w:val="20"/>
                <w:szCs w:val="20"/>
              </w:rPr>
            </w:pPr>
            <w:r w:rsidRPr="00E10916">
              <w:rPr>
                <w:color w:val="000000"/>
                <w:sz w:val="20"/>
                <w:szCs w:val="20"/>
              </w:rPr>
              <w:t>7.7</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D1C96" w14:textId="77777777" w:rsidR="00E10916" w:rsidRPr="00E10916" w:rsidRDefault="00E10916" w:rsidP="0095163F">
            <w:pPr>
              <w:keepNext/>
              <w:jc w:val="center"/>
              <w:rPr>
                <w:sz w:val="20"/>
                <w:szCs w:val="20"/>
              </w:rPr>
            </w:pPr>
            <w:r w:rsidRPr="00E10916">
              <w:rPr>
                <w:color w:val="000000"/>
                <w:sz w:val="20"/>
                <w:szCs w:val="20"/>
              </w:rPr>
              <w:t>12</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E8906" w14:textId="77777777" w:rsidR="00E10916" w:rsidRPr="00E10916" w:rsidRDefault="00E10916" w:rsidP="0095163F">
            <w:pPr>
              <w:keepNext/>
              <w:jc w:val="center"/>
              <w:rPr>
                <w:sz w:val="20"/>
                <w:szCs w:val="20"/>
              </w:rPr>
            </w:pPr>
            <w:r w:rsidRPr="00E10916">
              <w:rPr>
                <w:color w:val="000000"/>
                <w:sz w:val="20"/>
                <w:szCs w:val="20"/>
              </w:rPr>
              <w:t>6.2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B7F9F" w14:textId="77777777" w:rsidR="00E10916" w:rsidRPr="00E10916" w:rsidRDefault="00E10916" w:rsidP="0095163F">
            <w:pPr>
              <w:keepNext/>
              <w:jc w:val="center"/>
              <w:rPr>
                <w:sz w:val="20"/>
                <w:szCs w:val="20"/>
              </w:rPr>
            </w:pPr>
            <w:r w:rsidRPr="00E10916">
              <w:rPr>
                <w:color w:val="000000"/>
                <w:sz w:val="20"/>
                <w:szCs w:val="20"/>
              </w:rPr>
              <w:t>1,578</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BEBCD" w14:textId="77777777" w:rsidR="00E10916" w:rsidRPr="00E10916" w:rsidRDefault="00E10916" w:rsidP="0095163F">
            <w:pPr>
              <w:keepNext/>
              <w:jc w:val="center"/>
              <w:rPr>
                <w:sz w:val="20"/>
                <w:szCs w:val="20"/>
              </w:rPr>
            </w:pPr>
            <w:r w:rsidRPr="00E10916">
              <w:rPr>
                <w:color w:val="000000"/>
                <w:sz w:val="20"/>
                <w:szCs w:val="20"/>
              </w:rPr>
              <w:t>4.2</w:t>
            </w:r>
          </w:p>
        </w:tc>
      </w:tr>
      <w:tr w:rsidR="00E10916" w:rsidRPr="00E10916" w14:paraId="6C28F55E"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4B2E19" w14:textId="77777777" w:rsidR="00E10916" w:rsidRPr="00E10916" w:rsidRDefault="00E10916" w:rsidP="0095163F">
            <w:pPr>
              <w:keepNext/>
              <w:rPr>
                <w:sz w:val="20"/>
                <w:szCs w:val="20"/>
              </w:rPr>
            </w:pPr>
            <w:r w:rsidRPr="00E10916">
              <w:rPr>
                <w:color w:val="000000"/>
                <w:sz w:val="20"/>
                <w:szCs w:val="20"/>
              </w:rPr>
              <w:t>Middle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5836" w14:textId="77777777" w:rsidR="00E10916" w:rsidRPr="00E10916" w:rsidRDefault="00E10916" w:rsidP="0095163F">
            <w:pPr>
              <w:keepNext/>
              <w:rPr>
                <w:sz w:val="20"/>
                <w:szCs w:val="20"/>
              </w:rPr>
            </w:pPr>
          </w:p>
        </w:tc>
      </w:tr>
      <w:tr w:rsidR="00E10916" w:rsidRPr="00E10916" w14:paraId="393BE34B"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A5A0A9C" w14:textId="77777777" w:rsidR="00E10916" w:rsidRPr="00E10916" w:rsidRDefault="00E10916" w:rsidP="0095163F">
            <w:pPr>
              <w:keepNext/>
              <w:jc w:val="right"/>
              <w:rPr>
                <w:sz w:val="20"/>
                <w:szCs w:val="20"/>
              </w:rPr>
            </w:pPr>
            <w:r w:rsidRPr="00E10916">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5FF6D" w14:textId="77777777" w:rsidR="00E10916" w:rsidRPr="00E10916" w:rsidRDefault="00E10916" w:rsidP="0095163F">
            <w:pPr>
              <w:keepNext/>
              <w:jc w:val="center"/>
              <w:rPr>
                <w:sz w:val="20"/>
                <w:szCs w:val="20"/>
              </w:rPr>
            </w:pPr>
            <w:r w:rsidRPr="00E10916">
              <w:rPr>
                <w:color w:val="000000"/>
                <w:sz w:val="20"/>
                <w:szCs w:val="20"/>
              </w:rPr>
              <w:t>47.9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4E312" w14:textId="77777777" w:rsidR="00E10916" w:rsidRPr="00E10916" w:rsidRDefault="00E10916" w:rsidP="0095163F">
            <w:pPr>
              <w:keepNext/>
              <w:jc w:val="center"/>
              <w:rPr>
                <w:sz w:val="20"/>
                <w:szCs w:val="20"/>
              </w:rPr>
            </w:pPr>
            <w:r w:rsidRPr="00E10916">
              <w:rPr>
                <w:color w:val="000000"/>
                <w:sz w:val="20"/>
                <w:szCs w:val="20"/>
              </w:rPr>
              <w:t>48.5</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807B9" w14:textId="77777777" w:rsidR="00E10916" w:rsidRPr="00E10916" w:rsidRDefault="00E10916" w:rsidP="0095163F">
            <w:pPr>
              <w:keepNext/>
              <w:jc w:val="center"/>
              <w:rPr>
                <w:sz w:val="20"/>
                <w:szCs w:val="20"/>
              </w:rPr>
            </w:pPr>
            <w:r w:rsidRPr="00E10916">
              <w:rPr>
                <w:color w:val="000000"/>
                <w:sz w:val="20"/>
                <w:szCs w:val="20"/>
              </w:rPr>
              <w:t>88</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2A68" w14:textId="77777777" w:rsidR="00E10916" w:rsidRPr="00E10916" w:rsidRDefault="00E10916" w:rsidP="0095163F">
            <w:pPr>
              <w:keepNext/>
              <w:jc w:val="center"/>
              <w:rPr>
                <w:sz w:val="20"/>
                <w:szCs w:val="20"/>
              </w:rPr>
            </w:pPr>
            <w:r w:rsidRPr="00E10916">
              <w:rPr>
                <w:color w:val="000000"/>
                <w:sz w:val="20"/>
                <w:szCs w:val="20"/>
              </w:rPr>
              <w:t>55.7</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0CEB1" w14:textId="77777777" w:rsidR="00E10916" w:rsidRPr="00E10916" w:rsidRDefault="00E10916" w:rsidP="0095163F">
            <w:pPr>
              <w:keepNext/>
              <w:jc w:val="center"/>
              <w:rPr>
                <w:sz w:val="20"/>
                <w:szCs w:val="20"/>
              </w:rPr>
            </w:pPr>
            <w:r w:rsidRPr="00E10916">
              <w:rPr>
                <w:color w:val="000000"/>
                <w:sz w:val="20"/>
                <w:szCs w:val="20"/>
              </w:rPr>
              <w:t>14,486</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64041" w14:textId="77777777" w:rsidR="00E10916" w:rsidRPr="00E10916" w:rsidRDefault="00E10916" w:rsidP="0095163F">
            <w:pPr>
              <w:keepNext/>
              <w:jc w:val="center"/>
              <w:rPr>
                <w:sz w:val="20"/>
                <w:szCs w:val="20"/>
              </w:rPr>
            </w:pPr>
            <w:r w:rsidRPr="00E10916">
              <w:rPr>
                <w:color w:val="000000"/>
                <w:sz w:val="20"/>
                <w:szCs w:val="20"/>
              </w:rPr>
              <w:t>54.6</w:t>
            </w:r>
          </w:p>
        </w:tc>
      </w:tr>
      <w:tr w:rsidR="00E10916" w:rsidRPr="00E10916" w14:paraId="6720F86F"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98B7A61" w14:textId="77777777" w:rsidR="00E10916" w:rsidRPr="00E10916" w:rsidRDefault="00E10916" w:rsidP="0095163F">
            <w:pPr>
              <w:keepNext/>
              <w:jc w:val="right"/>
              <w:rPr>
                <w:sz w:val="20"/>
                <w:szCs w:val="20"/>
              </w:rPr>
            </w:pPr>
            <w:r w:rsidRPr="00E10916">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2B5AE" w14:textId="77777777" w:rsidR="00E10916" w:rsidRPr="00E10916" w:rsidRDefault="00E10916" w:rsidP="0095163F">
            <w:pPr>
              <w:keepNext/>
              <w:jc w:val="center"/>
              <w:rPr>
                <w:sz w:val="20"/>
                <w:szCs w:val="20"/>
              </w:rPr>
            </w:pPr>
            <w:r w:rsidRPr="00E10916">
              <w:rPr>
                <w:color w:val="000000"/>
                <w:sz w:val="20"/>
                <w:szCs w:val="20"/>
              </w:rPr>
              <w:t>47.9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090E7" w14:textId="77777777" w:rsidR="00E10916" w:rsidRPr="00E10916" w:rsidRDefault="00E10916" w:rsidP="0095163F">
            <w:pPr>
              <w:keepNext/>
              <w:jc w:val="center"/>
              <w:rPr>
                <w:sz w:val="20"/>
                <w:szCs w:val="20"/>
              </w:rPr>
            </w:pPr>
            <w:r w:rsidRPr="00E10916">
              <w:rPr>
                <w:color w:val="000000"/>
                <w:sz w:val="20"/>
                <w:szCs w:val="20"/>
              </w:rPr>
              <w:t>45.2</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3CCB5" w14:textId="77777777" w:rsidR="00E10916" w:rsidRPr="00E10916" w:rsidRDefault="00E10916" w:rsidP="0095163F">
            <w:pPr>
              <w:keepNext/>
              <w:jc w:val="center"/>
              <w:rPr>
                <w:sz w:val="20"/>
                <w:szCs w:val="20"/>
              </w:rPr>
            </w:pPr>
            <w:r w:rsidRPr="00E10916">
              <w:rPr>
                <w:color w:val="000000"/>
                <w:sz w:val="20"/>
                <w:szCs w:val="20"/>
              </w:rPr>
              <w:t>99</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0E69C" w14:textId="77777777" w:rsidR="00E10916" w:rsidRPr="00E10916" w:rsidRDefault="00E10916" w:rsidP="0095163F">
            <w:pPr>
              <w:keepNext/>
              <w:jc w:val="center"/>
              <w:rPr>
                <w:sz w:val="20"/>
                <w:szCs w:val="20"/>
              </w:rPr>
            </w:pPr>
            <w:r w:rsidRPr="00E10916">
              <w:rPr>
                <w:color w:val="000000"/>
                <w:sz w:val="20"/>
                <w:szCs w:val="20"/>
              </w:rPr>
              <w:t>51.0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EAFB" w14:textId="77777777" w:rsidR="00E10916" w:rsidRPr="00E10916" w:rsidRDefault="00E10916" w:rsidP="0095163F">
            <w:pPr>
              <w:keepNext/>
              <w:jc w:val="center"/>
              <w:rPr>
                <w:sz w:val="20"/>
                <w:szCs w:val="20"/>
              </w:rPr>
            </w:pPr>
            <w:r w:rsidRPr="00E10916">
              <w:rPr>
                <w:color w:val="000000"/>
                <w:sz w:val="20"/>
                <w:szCs w:val="20"/>
              </w:rPr>
              <w:t>17,998</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5FC6" w14:textId="77777777" w:rsidR="00E10916" w:rsidRPr="00E10916" w:rsidRDefault="00E10916" w:rsidP="0095163F">
            <w:pPr>
              <w:keepNext/>
              <w:jc w:val="center"/>
              <w:rPr>
                <w:sz w:val="20"/>
                <w:szCs w:val="20"/>
              </w:rPr>
            </w:pPr>
            <w:r w:rsidRPr="00E10916">
              <w:rPr>
                <w:color w:val="000000"/>
                <w:sz w:val="20"/>
                <w:szCs w:val="20"/>
              </w:rPr>
              <w:t>48.3</w:t>
            </w:r>
          </w:p>
        </w:tc>
      </w:tr>
      <w:tr w:rsidR="00E10916" w:rsidRPr="00E10916" w14:paraId="500F0352"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E79B6E" w14:textId="77777777" w:rsidR="00E10916" w:rsidRPr="00E10916" w:rsidRDefault="00E10916" w:rsidP="0095163F">
            <w:pPr>
              <w:keepNext/>
              <w:rPr>
                <w:sz w:val="20"/>
                <w:szCs w:val="20"/>
              </w:rPr>
            </w:pPr>
            <w:r w:rsidRPr="00E10916">
              <w:rPr>
                <w:color w:val="000000"/>
                <w:sz w:val="20"/>
                <w:szCs w:val="20"/>
              </w:rPr>
              <w:t>Upper</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2B463" w14:textId="77777777" w:rsidR="00E10916" w:rsidRPr="00E10916" w:rsidRDefault="00E10916" w:rsidP="0095163F">
            <w:pPr>
              <w:keepNext/>
              <w:rPr>
                <w:sz w:val="20"/>
                <w:szCs w:val="20"/>
              </w:rPr>
            </w:pPr>
          </w:p>
        </w:tc>
      </w:tr>
      <w:tr w:rsidR="00E10916" w:rsidRPr="00E10916" w14:paraId="2D6AD071"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AFF33F5" w14:textId="77777777" w:rsidR="00E10916" w:rsidRPr="00E10916" w:rsidRDefault="00E10916" w:rsidP="0095163F">
            <w:pPr>
              <w:keepNext/>
              <w:jc w:val="right"/>
              <w:rPr>
                <w:sz w:val="20"/>
                <w:szCs w:val="20"/>
              </w:rPr>
            </w:pPr>
            <w:r w:rsidRPr="00E10916">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92FAB" w14:textId="77777777" w:rsidR="00E10916" w:rsidRPr="00E10916" w:rsidRDefault="00E10916" w:rsidP="0095163F">
            <w:pPr>
              <w:keepNext/>
              <w:jc w:val="center"/>
              <w:rPr>
                <w:sz w:val="20"/>
                <w:szCs w:val="20"/>
              </w:rPr>
            </w:pPr>
            <w:r w:rsidRPr="00E10916">
              <w:rPr>
                <w:color w:val="000000"/>
                <w:sz w:val="20"/>
                <w:szCs w:val="20"/>
              </w:rPr>
              <w:t>43.7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6A217" w14:textId="77777777" w:rsidR="00E10916" w:rsidRPr="00E10916" w:rsidRDefault="00E10916" w:rsidP="0095163F">
            <w:pPr>
              <w:keepNext/>
              <w:jc w:val="center"/>
              <w:rPr>
                <w:sz w:val="20"/>
                <w:szCs w:val="20"/>
              </w:rPr>
            </w:pPr>
            <w:r w:rsidRPr="00E10916">
              <w:rPr>
                <w:color w:val="000000"/>
                <w:sz w:val="20"/>
                <w:szCs w:val="20"/>
              </w:rPr>
              <w:t>42.8</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52693" w14:textId="77777777" w:rsidR="00E10916" w:rsidRPr="00E10916" w:rsidRDefault="00E10916" w:rsidP="0095163F">
            <w:pPr>
              <w:keepNext/>
              <w:jc w:val="center"/>
              <w:rPr>
                <w:sz w:val="20"/>
                <w:szCs w:val="20"/>
              </w:rPr>
            </w:pPr>
            <w:r w:rsidRPr="00E10916">
              <w:rPr>
                <w:color w:val="000000"/>
                <w:sz w:val="20"/>
                <w:szCs w:val="20"/>
              </w:rPr>
              <w:t>64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57D31" w14:textId="77777777" w:rsidR="00E10916" w:rsidRPr="00E10916" w:rsidRDefault="00E10916" w:rsidP="0095163F">
            <w:pPr>
              <w:keepNext/>
              <w:jc w:val="center"/>
              <w:rPr>
                <w:sz w:val="20"/>
                <w:szCs w:val="20"/>
              </w:rPr>
            </w:pPr>
            <w:r w:rsidRPr="00E10916">
              <w:rPr>
                <w:color w:val="000000"/>
                <w:sz w:val="20"/>
                <w:szCs w:val="20"/>
              </w:rPr>
              <w:t>40.5</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08595" w14:textId="77777777" w:rsidR="00E10916" w:rsidRPr="00E10916" w:rsidRDefault="00E10916" w:rsidP="0095163F">
            <w:pPr>
              <w:keepNext/>
              <w:jc w:val="center"/>
              <w:rPr>
                <w:sz w:val="20"/>
                <w:szCs w:val="20"/>
              </w:rPr>
            </w:pPr>
            <w:r w:rsidRPr="00E10916">
              <w:rPr>
                <w:color w:val="000000"/>
                <w:sz w:val="20"/>
                <w:szCs w:val="20"/>
              </w:rPr>
              <w:t>10,969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19B96" w14:textId="77777777" w:rsidR="00E10916" w:rsidRPr="00E10916" w:rsidRDefault="00E10916" w:rsidP="0095163F">
            <w:pPr>
              <w:keepNext/>
              <w:jc w:val="center"/>
              <w:rPr>
                <w:sz w:val="20"/>
                <w:szCs w:val="20"/>
              </w:rPr>
            </w:pPr>
            <w:r w:rsidRPr="00E10916">
              <w:rPr>
                <w:color w:val="000000"/>
                <w:sz w:val="20"/>
                <w:szCs w:val="20"/>
              </w:rPr>
              <w:t>41.3</w:t>
            </w:r>
          </w:p>
        </w:tc>
      </w:tr>
      <w:tr w:rsidR="00E10916" w:rsidRPr="00E10916" w14:paraId="20FC4419"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5CB37C5" w14:textId="77777777" w:rsidR="00E10916" w:rsidRPr="00E10916" w:rsidRDefault="00E10916" w:rsidP="0095163F">
            <w:pPr>
              <w:keepNext/>
              <w:jc w:val="right"/>
              <w:rPr>
                <w:sz w:val="20"/>
                <w:szCs w:val="20"/>
              </w:rPr>
            </w:pPr>
            <w:r w:rsidRPr="00E10916">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76DAA" w14:textId="77777777" w:rsidR="00E10916" w:rsidRPr="00E10916" w:rsidRDefault="00E10916" w:rsidP="0095163F">
            <w:pPr>
              <w:keepNext/>
              <w:jc w:val="center"/>
              <w:rPr>
                <w:sz w:val="20"/>
                <w:szCs w:val="20"/>
              </w:rPr>
            </w:pPr>
            <w:r w:rsidRPr="00E10916">
              <w:rPr>
                <w:color w:val="000000"/>
                <w:sz w:val="20"/>
                <w:szCs w:val="20"/>
              </w:rPr>
              <w:t>43.7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6D837" w14:textId="77777777" w:rsidR="00E10916" w:rsidRPr="00E10916" w:rsidRDefault="00E10916" w:rsidP="0095163F">
            <w:pPr>
              <w:keepNext/>
              <w:jc w:val="center"/>
              <w:rPr>
                <w:sz w:val="20"/>
                <w:szCs w:val="20"/>
              </w:rPr>
            </w:pPr>
            <w:r w:rsidRPr="00E10916">
              <w:rPr>
                <w:color w:val="000000"/>
                <w:sz w:val="20"/>
                <w:szCs w:val="20"/>
              </w:rPr>
              <w:t>45.8</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19E6E" w14:textId="77777777" w:rsidR="00E10916" w:rsidRPr="00E10916" w:rsidRDefault="00E10916" w:rsidP="0095163F">
            <w:pPr>
              <w:keepNext/>
              <w:jc w:val="center"/>
              <w:rPr>
                <w:sz w:val="20"/>
                <w:szCs w:val="20"/>
              </w:rPr>
            </w:pPr>
            <w:r w:rsidRPr="00E10916">
              <w:rPr>
                <w:color w:val="000000"/>
                <w:sz w:val="20"/>
                <w:szCs w:val="20"/>
              </w:rPr>
              <w:t>80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7C3BF" w14:textId="77777777" w:rsidR="00E10916" w:rsidRPr="00E10916" w:rsidRDefault="00E10916" w:rsidP="0095163F">
            <w:pPr>
              <w:keepNext/>
              <w:jc w:val="center"/>
              <w:rPr>
                <w:sz w:val="20"/>
                <w:szCs w:val="20"/>
              </w:rPr>
            </w:pPr>
            <w:r w:rsidRPr="00E10916">
              <w:rPr>
                <w:color w:val="000000"/>
                <w:sz w:val="20"/>
                <w:szCs w:val="20"/>
              </w:rPr>
              <w:t>41.2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2B70" w14:textId="77777777" w:rsidR="00E10916" w:rsidRPr="00E10916" w:rsidRDefault="00E10916" w:rsidP="0095163F">
            <w:pPr>
              <w:keepNext/>
              <w:jc w:val="center"/>
              <w:rPr>
                <w:sz w:val="20"/>
                <w:szCs w:val="20"/>
              </w:rPr>
            </w:pPr>
            <w:r w:rsidRPr="00E10916">
              <w:rPr>
                <w:color w:val="000000"/>
                <w:sz w:val="20"/>
                <w:szCs w:val="20"/>
              </w:rPr>
              <w:t>17,304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8323E" w14:textId="77777777" w:rsidR="00E10916" w:rsidRPr="00E10916" w:rsidRDefault="00E10916" w:rsidP="0095163F">
            <w:pPr>
              <w:keepNext/>
              <w:jc w:val="center"/>
              <w:rPr>
                <w:sz w:val="20"/>
                <w:szCs w:val="20"/>
              </w:rPr>
            </w:pPr>
            <w:r w:rsidRPr="00E10916">
              <w:rPr>
                <w:color w:val="000000"/>
                <w:sz w:val="20"/>
                <w:szCs w:val="20"/>
              </w:rPr>
              <w:t>46.4</w:t>
            </w:r>
          </w:p>
        </w:tc>
      </w:tr>
      <w:tr w:rsidR="00E10916" w:rsidRPr="00E10916" w14:paraId="47237FA3"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8CD492E" w14:textId="77777777" w:rsidR="00E10916" w:rsidRPr="00E10916" w:rsidRDefault="00E10916" w:rsidP="0095163F">
            <w:pPr>
              <w:keepNext/>
              <w:rPr>
                <w:sz w:val="20"/>
                <w:szCs w:val="20"/>
              </w:rPr>
            </w:pPr>
            <w:r w:rsidRPr="00E10916">
              <w:rPr>
                <w:color w:val="000000"/>
                <w:sz w:val="20"/>
                <w:szCs w:val="20"/>
              </w:rPr>
              <w:t>Not Available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11DF" w14:textId="77777777" w:rsidR="00E10916" w:rsidRPr="00E10916" w:rsidRDefault="00E10916" w:rsidP="0095163F">
            <w:pPr>
              <w:keepNext/>
              <w:rPr>
                <w:sz w:val="20"/>
                <w:szCs w:val="20"/>
              </w:rPr>
            </w:pPr>
          </w:p>
        </w:tc>
      </w:tr>
      <w:tr w:rsidR="00E10916" w:rsidRPr="00E10916" w14:paraId="10F47954"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7E47212" w14:textId="77777777" w:rsidR="00E10916" w:rsidRPr="00E10916" w:rsidRDefault="00E10916" w:rsidP="0095163F">
            <w:pPr>
              <w:keepNext/>
              <w:jc w:val="right"/>
              <w:rPr>
                <w:sz w:val="20"/>
                <w:szCs w:val="20"/>
              </w:rPr>
            </w:pPr>
            <w:r w:rsidRPr="00E10916">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8FEEB" w14:textId="77777777" w:rsidR="00E10916" w:rsidRPr="00E10916" w:rsidRDefault="00E10916" w:rsidP="0095163F">
            <w:pPr>
              <w:keepNext/>
              <w:jc w:val="center"/>
              <w:rPr>
                <w:sz w:val="20"/>
                <w:szCs w:val="20"/>
              </w:rPr>
            </w:pPr>
            <w:r w:rsidRPr="00E10916">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86A2A" w14:textId="77777777" w:rsidR="00E10916" w:rsidRPr="00E10916" w:rsidRDefault="00E10916" w:rsidP="0095163F">
            <w:pPr>
              <w:keepNext/>
              <w:jc w:val="center"/>
              <w:rPr>
                <w:sz w:val="20"/>
                <w:szCs w:val="20"/>
              </w:rPr>
            </w:pPr>
            <w:r w:rsidRPr="00E10916">
              <w:rPr>
                <w:color w:val="000000"/>
                <w:sz w:val="20"/>
                <w:szCs w:val="20"/>
              </w:rPr>
              <w:t>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DC392" w14:textId="77777777" w:rsidR="00E10916" w:rsidRPr="00E10916" w:rsidRDefault="00E10916" w:rsidP="0095163F">
            <w:pPr>
              <w:keepNext/>
              <w:jc w:val="center"/>
              <w:rPr>
                <w:sz w:val="20"/>
                <w:szCs w:val="20"/>
              </w:rPr>
            </w:pPr>
            <w:r w:rsidRPr="00E10916">
              <w:rPr>
                <w:color w:val="000000"/>
                <w:sz w:val="20"/>
                <w:szCs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48A9D" w14:textId="77777777" w:rsidR="00E10916" w:rsidRPr="00E10916" w:rsidRDefault="00E10916" w:rsidP="0095163F">
            <w:pPr>
              <w:keepNext/>
              <w:jc w:val="center"/>
              <w:rPr>
                <w:sz w:val="20"/>
                <w:szCs w:val="20"/>
              </w:rPr>
            </w:pPr>
            <w:r w:rsidRPr="00E10916">
              <w:rPr>
                <w:color w:val="000000"/>
                <w:sz w:val="20"/>
                <w:szCs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662F4" w14:textId="77777777" w:rsidR="00E10916" w:rsidRPr="00E10916" w:rsidRDefault="00E10916" w:rsidP="0095163F">
            <w:pPr>
              <w:keepNext/>
              <w:jc w:val="center"/>
              <w:rPr>
                <w:sz w:val="20"/>
                <w:szCs w:val="20"/>
              </w:rPr>
            </w:pPr>
            <w:r w:rsidRPr="00E10916">
              <w:rPr>
                <w:color w:val="000000"/>
                <w:sz w:val="20"/>
                <w:szCs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F1423" w14:textId="77777777" w:rsidR="00E10916" w:rsidRPr="00E10916" w:rsidRDefault="00E10916" w:rsidP="0095163F">
            <w:pPr>
              <w:keepNext/>
              <w:jc w:val="center"/>
              <w:rPr>
                <w:sz w:val="20"/>
                <w:szCs w:val="20"/>
              </w:rPr>
            </w:pPr>
            <w:r w:rsidRPr="00E10916">
              <w:rPr>
                <w:color w:val="000000"/>
                <w:sz w:val="20"/>
                <w:szCs w:val="20"/>
              </w:rPr>
              <w:t>0.0</w:t>
            </w:r>
          </w:p>
        </w:tc>
      </w:tr>
      <w:tr w:rsidR="00E10916" w:rsidRPr="00E10916" w14:paraId="33D3CC4D" w14:textId="77777777" w:rsidTr="00F94A72">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DDF539A" w14:textId="77777777" w:rsidR="00E10916" w:rsidRPr="00E10916" w:rsidRDefault="00E10916" w:rsidP="0095163F">
            <w:pPr>
              <w:keepNext/>
              <w:jc w:val="right"/>
              <w:rPr>
                <w:sz w:val="20"/>
                <w:szCs w:val="20"/>
              </w:rPr>
            </w:pPr>
            <w:r w:rsidRPr="00E10916">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6E461" w14:textId="77777777" w:rsidR="00E10916" w:rsidRPr="00E10916" w:rsidRDefault="00E10916" w:rsidP="0095163F">
            <w:pPr>
              <w:keepNext/>
              <w:jc w:val="center"/>
              <w:rPr>
                <w:sz w:val="20"/>
                <w:szCs w:val="20"/>
              </w:rPr>
            </w:pPr>
            <w:r w:rsidRPr="00E10916">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4483C" w14:textId="77777777" w:rsidR="00E10916" w:rsidRPr="00E10916" w:rsidRDefault="00E10916" w:rsidP="0095163F">
            <w:pPr>
              <w:keepNext/>
              <w:jc w:val="center"/>
              <w:rPr>
                <w:sz w:val="20"/>
                <w:szCs w:val="20"/>
              </w:rPr>
            </w:pPr>
            <w:r w:rsidRPr="00E10916">
              <w:rPr>
                <w:color w:val="000000"/>
                <w:sz w:val="20"/>
                <w:szCs w:val="20"/>
              </w:rPr>
              <w:t>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40E52" w14:textId="77777777" w:rsidR="00E10916" w:rsidRPr="00E10916" w:rsidRDefault="00E10916" w:rsidP="0095163F">
            <w:pPr>
              <w:keepNext/>
              <w:jc w:val="center"/>
              <w:rPr>
                <w:sz w:val="20"/>
                <w:szCs w:val="20"/>
              </w:rPr>
            </w:pPr>
            <w:r w:rsidRPr="00E10916">
              <w:rPr>
                <w:color w:val="000000"/>
                <w:sz w:val="20"/>
                <w:szCs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6489E" w14:textId="77777777" w:rsidR="00E10916" w:rsidRPr="00E10916" w:rsidRDefault="00E10916" w:rsidP="0095163F">
            <w:pPr>
              <w:keepNext/>
              <w:jc w:val="center"/>
              <w:rPr>
                <w:sz w:val="20"/>
                <w:szCs w:val="20"/>
              </w:rPr>
            </w:pPr>
            <w:r w:rsidRPr="00E10916">
              <w:rPr>
                <w:color w:val="000000"/>
                <w:sz w:val="20"/>
                <w:szCs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C8D4C" w14:textId="77777777" w:rsidR="00E10916" w:rsidRPr="00E10916" w:rsidRDefault="00E10916" w:rsidP="0095163F">
            <w:pPr>
              <w:keepNext/>
              <w:jc w:val="center"/>
              <w:rPr>
                <w:sz w:val="20"/>
                <w:szCs w:val="20"/>
              </w:rPr>
            </w:pPr>
            <w:r w:rsidRPr="00E10916">
              <w:rPr>
                <w:color w:val="000000"/>
                <w:sz w:val="20"/>
                <w:szCs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636B" w14:textId="77777777" w:rsidR="00E10916" w:rsidRPr="00E10916" w:rsidRDefault="00E10916" w:rsidP="0095163F">
            <w:pPr>
              <w:keepNext/>
              <w:jc w:val="center"/>
              <w:rPr>
                <w:sz w:val="20"/>
                <w:szCs w:val="20"/>
              </w:rPr>
            </w:pPr>
            <w:r w:rsidRPr="00E10916">
              <w:rPr>
                <w:color w:val="000000"/>
                <w:sz w:val="20"/>
                <w:szCs w:val="20"/>
              </w:rPr>
              <w:t>0.0</w:t>
            </w:r>
          </w:p>
        </w:tc>
      </w:tr>
      <w:tr w:rsidR="00E10916" w:rsidRPr="00E10916" w14:paraId="060C97DD" w14:textId="77777777" w:rsidTr="00F94A72">
        <w:trPr>
          <w:trHeight w:val="210"/>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5163F0" w14:textId="77777777" w:rsidR="00E10916" w:rsidRPr="00E10916" w:rsidRDefault="00E10916" w:rsidP="0095163F">
            <w:pPr>
              <w:keepNext/>
              <w:rPr>
                <w:sz w:val="20"/>
                <w:szCs w:val="20"/>
              </w:rPr>
            </w:pPr>
            <w:r w:rsidRPr="00E10916">
              <w:rPr>
                <w:b/>
                <w:color w:val="000000"/>
                <w:sz w:val="20"/>
                <w:szCs w:val="20"/>
              </w:rPr>
              <w:t>Totals</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D058" w14:textId="77777777" w:rsidR="00E10916" w:rsidRPr="00E10916" w:rsidRDefault="00E10916" w:rsidP="0095163F">
            <w:pPr>
              <w:keepNext/>
              <w:rPr>
                <w:sz w:val="20"/>
                <w:szCs w:val="20"/>
              </w:rPr>
            </w:pPr>
          </w:p>
        </w:tc>
      </w:tr>
      <w:tr w:rsidR="00E10916" w:rsidRPr="00E10916" w14:paraId="6D1D1990"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C2AAF3C" w14:textId="77777777" w:rsidR="00E10916" w:rsidRPr="00E10916" w:rsidRDefault="00E10916" w:rsidP="0095163F">
            <w:pPr>
              <w:keepNext/>
              <w:jc w:val="right"/>
              <w:rPr>
                <w:sz w:val="20"/>
                <w:szCs w:val="20"/>
              </w:rPr>
            </w:pPr>
            <w:r w:rsidRPr="00E10916">
              <w:rPr>
                <w:b/>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1623E" w14:textId="77777777" w:rsidR="00E10916" w:rsidRPr="00E10916" w:rsidRDefault="00E10916" w:rsidP="0095163F">
            <w:pPr>
              <w:keepNext/>
              <w:jc w:val="center"/>
              <w:rPr>
                <w:sz w:val="20"/>
                <w:szCs w:val="20"/>
              </w:rPr>
            </w:pPr>
            <w:r w:rsidRPr="00E10916">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2CF5E" w14:textId="77777777" w:rsidR="00E10916" w:rsidRPr="00E10916" w:rsidRDefault="00E10916" w:rsidP="0095163F">
            <w:pPr>
              <w:keepNext/>
              <w:jc w:val="center"/>
              <w:rPr>
                <w:sz w:val="20"/>
                <w:szCs w:val="20"/>
              </w:rPr>
            </w:pPr>
            <w:r w:rsidRPr="00E10916">
              <w:rPr>
                <w:b/>
                <w:color w:val="000000"/>
                <w:sz w:val="20"/>
                <w:szCs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A4A3F" w14:textId="77777777" w:rsidR="00E10916" w:rsidRPr="00E10916" w:rsidRDefault="00E10916" w:rsidP="0095163F">
            <w:pPr>
              <w:keepNext/>
              <w:jc w:val="center"/>
              <w:rPr>
                <w:sz w:val="20"/>
                <w:szCs w:val="20"/>
              </w:rPr>
            </w:pPr>
            <w:r w:rsidRPr="00E10916">
              <w:rPr>
                <w:b/>
                <w:color w:val="000000"/>
                <w:sz w:val="20"/>
                <w:szCs w:val="20"/>
              </w:rPr>
              <w:t>158</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F51E3" w14:textId="77777777" w:rsidR="00E10916" w:rsidRPr="00E10916" w:rsidRDefault="00E10916" w:rsidP="0095163F">
            <w:pPr>
              <w:keepNext/>
              <w:jc w:val="center"/>
              <w:rPr>
                <w:sz w:val="20"/>
                <w:szCs w:val="20"/>
              </w:rPr>
            </w:pPr>
            <w:r w:rsidRPr="00E10916">
              <w:rPr>
                <w:b/>
                <w:color w:val="000000"/>
                <w:sz w:val="20"/>
                <w:szCs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56D2C" w14:textId="77777777" w:rsidR="00E10916" w:rsidRPr="00E10916" w:rsidRDefault="00E10916" w:rsidP="0095163F">
            <w:pPr>
              <w:keepNext/>
              <w:jc w:val="center"/>
              <w:rPr>
                <w:sz w:val="20"/>
                <w:szCs w:val="20"/>
              </w:rPr>
            </w:pPr>
            <w:r w:rsidRPr="00E10916">
              <w:rPr>
                <w:b/>
                <w:color w:val="000000"/>
                <w:sz w:val="20"/>
                <w:szCs w:val="20"/>
              </w:rPr>
              <w:t>26,535</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A06A1" w14:textId="77777777" w:rsidR="00E10916" w:rsidRPr="00E10916" w:rsidRDefault="00E10916" w:rsidP="0095163F">
            <w:pPr>
              <w:keepNext/>
              <w:jc w:val="center"/>
              <w:rPr>
                <w:sz w:val="20"/>
                <w:szCs w:val="20"/>
              </w:rPr>
            </w:pPr>
            <w:r w:rsidRPr="00E10916">
              <w:rPr>
                <w:b/>
                <w:color w:val="000000"/>
                <w:sz w:val="20"/>
                <w:szCs w:val="20"/>
              </w:rPr>
              <w:t>100.0</w:t>
            </w:r>
          </w:p>
        </w:tc>
      </w:tr>
      <w:tr w:rsidR="00E10916" w:rsidRPr="00E10916" w14:paraId="1433EB3D" w14:textId="77777777" w:rsidTr="00F94A72">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6AA9AB" w14:textId="77777777" w:rsidR="00E10916" w:rsidRPr="00E10916" w:rsidRDefault="00E10916" w:rsidP="0095163F">
            <w:pPr>
              <w:keepNext/>
              <w:jc w:val="right"/>
              <w:rPr>
                <w:sz w:val="20"/>
                <w:szCs w:val="20"/>
              </w:rPr>
            </w:pPr>
            <w:r w:rsidRPr="00E10916">
              <w:rPr>
                <w:b/>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BBE70" w14:textId="77777777" w:rsidR="00E10916" w:rsidRPr="00E10916" w:rsidRDefault="00E10916" w:rsidP="0095163F">
            <w:pPr>
              <w:keepNext/>
              <w:jc w:val="center"/>
              <w:rPr>
                <w:sz w:val="20"/>
                <w:szCs w:val="20"/>
              </w:rPr>
            </w:pPr>
            <w:r w:rsidRPr="00E10916">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5CD2A" w14:textId="77777777" w:rsidR="00E10916" w:rsidRPr="00E10916" w:rsidRDefault="00E10916" w:rsidP="0095163F">
            <w:pPr>
              <w:keepNext/>
              <w:jc w:val="center"/>
              <w:rPr>
                <w:sz w:val="20"/>
                <w:szCs w:val="20"/>
              </w:rPr>
            </w:pPr>
            <w:r w:rsidRPr="00E10916">
              <w:rPr>
                <w:b/>
                <w:color w:val="000000"/>
                <w:sz w:val="20"/>
                <w:szCs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B579" w14:textId="77777777" w:rsidR="00E10916" w:rsidRPr="00E10916" w:rsidRDefault="00E10916" w:rsidP="0095163F">
            <w:pPr>
              <w:keepNext/>
              <w:jc w:val="center"/>
              <w:rPr>
                <w:sz w:val="20"/>
                <w:szCs w:val="20"/>
              </w:rPr>
            </w:pPr>
            <w:r w:rsidRPr="00E10916">
              <w:rPr>
                <w:b/>
                <w:color w:val="000000"/>
                <w:sz w:val="20"/>
                <w:szCs w:val="20"/>
              </w:rPr>
              <w:t>194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ACE67" w14:textId="77777777" w:rsidR="00E10916" w:rsidRPr="00E10916" w:rsidRDefault="00E10916" w:rsidP="0095163F">
            <w:pPr>
              <w:keepNext/>
              <w:jc w:val="center"/>
              <w:rPr>
                <w:sz w:val="20"/>
                <w:szCs w:val="20"/>
              </w:rPr>
            </w:pPr>
            <w:r w:rsidRPr="00E10916">
              <w:rPr>
                <w:b/>
                <w:color w:val="000000"/>
                <w:sz w:val="20"/>
                <w:szCs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D3164" w14:textId="77777777" w:rsidR="00E10916" w:rsidRPr="00E10916" w:rsidRDefault="00E10916" w:rsidP="0095163F">
            <w:pPr>
              <w:keepNext/>
              <w:jc w:val="center"/>
              <w:rPr>
                <w:sz w:val="20"/>
                <w:szCs w:val="20"/>
              </w:rPr>
            </w:pPr>
            <w:r w:rsidRPr="00E10916">
              <w:rPr>
                <w:b/>
                <w:color w:val="000000"/>
                <w:sz w:val="20"/>
                <w:szCs w:val="20"/>
              </w:rPr>
              <w:t>37,299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C9959" w14:textId="77777777" w:rsidR="00E10916" w:rsidRPr="00E10916" w:rsidRDefault="00E10916" w:rsidP="0095163F">
            <w:pPr>
              <w:keepNext/>
              <w:jc w:val="center"/>
              <w:rPr>
                <w:sz w:val="20"/>
                <w:szCs w:val="20"/>
              </w:rPr>
            </w:pPr>
            <w:r w:rsidRPr="00E10916">
              <w:rPr>
                <w:b/>
                <w:color w:val="000000"/>
                <w:sz w:val="20"/>
                <w:szCs w:val="20"/>
              </w:rPr>
              <w:t>100.0</w:t>
            </w:r>
          </w:p>
        </w:tc>
      </w:tr>
      <w:tr w:rsidR="00E10916" w:rsidRPr="00E10916" w14:paraId="369CD8C0" w14:textId="77777777" w:rsidTr="00B41706">
        <w:trPr>
          <w:trHeight w:val="113"/>
        </w:trPr>
        <w:tc>
          <w:tcPr>
            <w:tcW w:w="958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6D43909" w14:textId="77777777" w:rsidR="00E10916" w:rsidRPr="00E10916" w:rsidRDefault="00E10916" w:rsidP="00B41706">
            <w:pPr>
              <w:keepNext/>
              <w:rPr>
                <w:sz w:val="20"/>
                <w:szCs w:val="20"/>
              </w:rPr>
            </w:pPr>
            <w:r w:rsidRPr="00E10916">
              <w:rPr>
                <w:i/>
                <w:color w:val="000000"/>
                <w:sz w:val="16"/>
                <w:szCs w:val="20"/>
              </w:rPr>
              <w:t>Source: 2015 ACS</w:t>
            </w:r>
            <w:r w:rsidR="001C636C">
              <w:rPr>
                <w:i/>
                <w:color w:val="000000"/>
                <w:sz w:val="16"/>
                <w:szCs w:val="20"/>
              </w:rPr>
              <w:t xml:space="preserve"> data</w:t>
            </w:r>
            <w:r w:rsidRPr="00E10916">
              <w:rPr>
                <w:i/>
                <w:color w:val="000000"/>
                <w:sz w:val="16"/>
                <w:szCs w:val="20"/>
              </w:rPr>
              <w:t>; Bank Data</w:t>
            </w:r>
            <w:r w:rsidR="001C636C">
              <w:rPr>
                <w:i/>
                <w:color w:val="000000"/>
                <w:sz w:val="16"/>
                <w:szCs w:val="20"/>
              </w:rPr>
              <w:t>;</w:t>
            </w:r>
            <w:r w:rsidRPr="00E10916">
              <w:rPr>
                <w:i/>
                <w:color w:val="000000"/>
                <w:sz w:val="16"/>
                <w:szCs w:val="20"/>
              </w:rPr>
              <w:t xml:space="preserve"> 2018 </w:t>
            </w:r>
            <w:r w:rsidR="001C636C">
              <w:rPr>
                <w:i/>
                <w:color w:val="000000"/>
                <w:sz w:val="16"/>
                <w:szCs w:val="20"/>
              </w:rPr>
              <w:t>and</w:t>
            </w:r>
            <w:r w:rsidRPr="00E10916">
              <w:rPr>
                <w:i/>
                <w:color w:val="000000"/>
                <w:sz w:val="16"/>
                <w:szCs w:val="20"/>
              </w:rPr>
              <w:t xml:space="preserve"> 2019 HMDA Aggregate Data</w:t>
            </w:r>
            <w:r w:rsidR="00B41706">
              <w:rPr>
                <w:i/>
                <w:color w:val="000000"/>
                <w:sz w:val="16"/>
                <w:szCs w:val="20"/>
              </w:rPr>
              <w:t>.  D</w:t>
            </w:r>
            <w:r w:rsidRPr="00E10916">
              <w:rPr>
                <w:i/>
                <w:color w:val="000000"/>
                <w:sz w:val="16"/>
                <w:szCs w:val="20"/>
              </w:rPr>
              <w:t>ue to rounding, totals may not equal 100.0%</w:t>
            </w:r>
            <w:r w:rsidR="00B41706">
              <w:rPr>
                <w:i/>
                <w:color w:val="000000"/>
                <w:sz w:val="16"/>
                <w:szCs w:val="20"/>
              </w:rPr>
              <w:t>.</w:t>
            </w:r>
          </w:p>
        </w:tc>
      </w:tr>
    </w:tbl>
    <w:p w14:paraId="3A34065B" w14:textId="77777777" w:rsidR="00FB7E5F" w:rsidRDefault="00FB7E5F" w:rsidP="00E15DD6"/>
    <w:p w14:paraId="78E4AB45" w14:textId="77777777" w:rsidR="00E10916" w:rsidRPr="00701A97" w:rsidRDefault="00701A97" w:rsidP="00E15DD6">
      <w:r>
        <w:rPr>
          <w:b/>
          <w:i/>
        </w:rPr>
        <w:t>Small Business Loans</w:t>
      </w:r>
    </w:p>
    <w:p w14:paraId="778B6A94" w14:textId="77777777" w:rsidR="00E10916" w:rsidRDefault="00E10916" w:rsidP="00E15DD6"/>
    <w:p w14:paraId="3A849AFD" w14:textId="77777777" w:rsidR="00F9356D" w:rsidRDefault="00F9356D" w:rsidP="00F9356D">
      <w:pPr>
        <w:ind w:right="-270"/>
        <w:rPr>
          <w:bCs/>
          <w:color w:val="000000"/>
        </w:rPr>
      </w:pPr>
      <w:r>
        <w:rPr>
          <w:bCs/>
          <w:color w:val="000000"/>
        </w:rPr>
        <w:t>The bank’s small business l</w:t>
      </w:r>
      <w:r w:rsidR="00367B0B">
        <w:rPr>
          <w:bCs/>
          <w:color w:val="000000"/>
        </w:rPr>
        <w:t>ending performance reflects reasonable</w:t>
      </w:r>
      <w:r>
        <w:rPr>
          <w:bCs/>
          <w:color w:val="000000"/>
        </w:rPr>
        <w:t xml:space="preserve"> </w:t>
      </w:r>
      <w:r w:rsidR="0024615F">
        <w:rPr>
          <w:bCs/>
          <w:color w:val="000000"/>
        </w:rPr>
        <w:t>dispersion</w:t>
      </w:r>
      <w:r>
        <w:rPr>
          <w:bCs/>
          <w:color w:val="000000"/>
        </w:rPr>
        <w:t xml:space="preserve"> throughout the assessment area.  </w:t>
      </w:r>
      <w:r w:rsidR="0024615F">
        <w:rPr>
          <w:bCs/>
          <w:color w:val="000000"/>
        </w:rPr>
        <w:t>The</w:t>
      </w:r>
      <w:r w:rsidR="009839D0">
        <w:rPr>
          <w:bCs/>
          <w:color w:val="000000"/>
        </w:rPr>
        <w:t xml:space="preserve"> bank’s</w:t>
      </w:r>
      <w:r w:rsidR="00367B0B">
        <w:rPr>
          <w:bCs/>
          <w:color w:val="000000"/>
        </w:rPr>
        <w:t xml:space="preserve"> </w:t>
      </w:r>
      <w:r w:rsidR="0024615F">
        <w:rPr>
          <w:bCs/>
          <w:color w:val="000000"/>
        </w:rPr>
        <w:t xml:space="preserve">2018 and 2019 performance in the low-income census tract exceeded the </w:t>
      </w:r>
      <w:r>
        <w:rPr>
          <w:bCs/>
          <w:color w:val="000000"/>
        </w:rPr>
        <w:t>perc</w:t>
      </w:r>
      <w:r w:rsidR="00367B0B">
        <w:rPr>
          <w:bCs/>
          <w:color w:val="000000"/>
        </w:rPr>
        <w:t>entage of businesses</w:t>
      </w:r>
      <w:r w:rsidR="0024615F">
        <w:rPr>
          <w:bCs/>
          <w:color w:val="000000"/>
        </w:rPr>
        <w:t xml:space="preserve">.  </w:t>
      </w:r>
      <w:r w:rsidR="004907DB">
        <w:rPr>
          <w:bCs/>
          <w:color w:val="000000"/>
        </w:rPr>
        <w:t>In addition</w:t>
      </w:r>
      <w:r>
        <w:rPr>
          <w:bCs/>
          <w:color w:val="000000"/>
        </w:rPr>
        <w:t xml:space="preserve">, performance </w:t>
      </w:r>
      <w:r w:rsidR="004907DB">
        <w:rPr>
          <w:bCs/>
          <w:color w:val="000000"/>
        </w:rPr>
        <w:t xml:space="preserve">in the moderate-income census tracts </w:t>
      </w:r>
      <w:r w:rsidR="0024615F">
        <w:rPr>
          <w:bCs/>
          <w:color w:val="000000"/>
        </w:rPr>
        <w:t xml:space="preserve">also </w:t>
      </w:r>
      <w:r>
        <w:rPr>
          <w:bCs/>
          <w:color w:val="000000"/>
        </w:rPr>
        <w:t>exceeded the percentage of busin</w:t>
      </w:r>
      <w:r w:rsidR="004907DB">
        <w:rPr>
          <w:bCs/>
          <w:color w:val="000000"/>
        </w:rPr>
        <w:t>esses</w:t>
      </w:r>
      <w:r w:rsidR="0024615F">
        <w:rPr>
          <w:bCs/>
          <w:color w:val="000000"/>
        </w:rPr>
        <w:t xml:space="preserve"> in 2018</w:t>
      </w:r>
      <w:r w:rsidR="00367B0B">
        <w:rPr>
          <w:bCs/>
          <w:color w:val="000000"/>
        </w:rPr>
        <w:t xml:space="preserve">.  </w:t>
      </w:r>
      <w:r w:rsidR="009839D0">
        <w:rPr>
          <w:bCs/>
          <w:color w:val="000000"/>
        </w:rPr>
        <w:t xml:space="preserve">However, </w:t>
      </w:r>
      <w:r>
        <w:rPr>
          <w:bCs/>
          <w:color w:val="000000"/>
        </w:rPr>
        <w:t xml:space="preserve">the bank did not originate </w:t>
      </w:r>
      <w:r w:rsidR="009839D0">
        <w:rPr>
          <w:bCs/>
          <w:color w:val="000000"/>
        </w:rPr>
        <w:t>a small business loan</w:t>
      </w:r>
      <w:r w:rsidR="00367B0B">
        <w:rPr>
          <w:bCs/>
          <w:color w:val="000000"/>
        </w:rPr>
        <w:t xml:space="preserve"> in the </w:t>
      </w:r>
      <w:r>
        <w:rPr>
          <w:bCs/>
          <w:color w:val="000000"/>
        </w:rPr>
        <w:t>mod</w:t>
      </w:r>
      <w:r w:rsidR="009839D0">
        <w:rPr>
          <w:bCs/>
          <w:color w:val="000000"/>
        </w:rPr>
        <w:t>erate-income census tracts in 2019.</w:t>
      </w:r>
    </w:p>
    <w:p w14:paraId="0C3AB30E" w14:textId="77777777" w:rsidR="00F9356D" w:rsidRDefault="00F9356D" w:rsidP="00F9356D">
      <w:pPr>
        <w:ind w:right="-270"/>
        <w:rPr>
          <w:bCs/>
          <w:color w:val="000000"/>
        </w:rPr>
      </w:pPr>
    </w:p>
    <w:p w14:paraId="42F3DD14" w14:textId="77777777" w:rsidR="00F9356D" w:rsidRDefault="00301A2E" w:rsidP="00F9356D">
      <w:pPr>
        <w:ind w:right="-270"/>
        <w:rPr>
          <w:bCs/>
          <w:color w:val="000000"/>
        </w:rPr>
      </w:pPr>
      <w:r>
        <w:rPr>
          <w:bCs/>
          <w:color w:val="000000"/>
        </w:rPr>
        <w:t xml:space="preserve">The following </w:t>
      </w:r>
      <w:r w:rsidR="009839D0">
        <w:rPr>
          <w:bCs/>
          <w:color w:val="000000"/>
        </w:rPr>
        <w:t>illustrates</w:t>
      </w:r>
      <w:r w:rsidR="00F9356D">
        <w:rPr>
          <w:bCs/>
          <w:color w:val="000000"/>
        </w:rPr>
        <w:t xml:space="preserve"> the geographic distribution of small business loans by </w:t>
      </w:r>
      <w:r w:rsidR="001C636C">
        <w:rPr>
          <w:bCs/>
          <w:color w:val="000000"/>
        </w:rPr>
        <w:t xml:space="preserve">census </w:t>
      </w:r>
      <w:r w:rsidR="00F9356D">
        <w:rPr>
          <w:bCs/>
          <w:color w:val="000000"/>
        </w:rPr>
        <w:t xml:space="preserve">tract income </w:t>
      </w:r>
      <w:r w:rsidR="0024615F">
        <w:rPr>
          <w:bCs/>
          <w:color w:val="000000"/>
        </w:rPr>
        <w:t xml:space="preserve">designation </w:t>
      </w:r>
      <w:r w:rsidR="006023DC">
        <w:rPr>
          <w:bCs/>
          <w:color w:val="000000"/>
        </w:rPr>
        <w:t>with</w:t>
      </w:r>
      <w:r w:rsidR="0024615F">
        <w:rPr>
          <w:bCs/>
          <w:color w:val="000000"/>
        </w:rPr>
        <w:t>in the assessment area.</w:t>
      </w:r>
      <w:r w:rsidR="00F9356D">
        <w:rPr>
          <w:bCs/>
          <w:color w:val="000000"/>
        </w:rPr>
        <w:t xml:space="preserve">  </w:t>
      </w:r>
    </w:p>
    <w:p w14:paraId="20751C90" w14:textId="77777777" w:rsidR="00E10916" w:rsidRDefault="00E10916" w:rsidP="00E15DD6"/>
    <w:p w14:paraId="47D5810D" w14:textId="77777777" w:rsidR="00301A2E" w:rsidRDefault="00301A2E" w:rsidP="00E15DD6"/>
    <w:p w14:paraId="64C4A729" w14:textId="77777777" w:rsidR="00301A2E" w:rsidRDefault="00301A2E" w:rsidP="00E15DD6"/>
    <w:p w14:paraId="674DCF1F" w14:textId="77777777" w:rsidR="00301A2E" w:rsidRDefault="00301A2E" w:rsidP="00E15DD6"/>
    <w:p w14:paraId="2F0FC270" w14:textId="77777777" w:rsidR="00301A2E" w:rsidRDefault="00301A2E" w:rsidP="00E15DD6"/>
    <w:tbl>
      <w:tblPr>
        <w:tblW w:w="0" w:type="auto"/>
        <w:jc w:val="center"/>
        <w:tblCellMar>
          <w:left w:w="0" w:type="dxa"/>
          <w:right w:w="0" w:type="dxa"/>
        </w:tblCellMar>
        <w:tblLook w:val="0000" w:firstRow="0" w:lastRow="0" w:firstColumn="0" w:lastColumn="0" w:noHBand="0" w:noVBand="0"/>
      </w:tblPr>
      <w:tblGrid>
        <w:gridCol w:w="7296"/>
      </w:tblGrid>
      <w:tr w:rsidR="00367B0B" w14:paraId="44A2FC49" w14:textId="77777777" w:rsidTr="00367B0B">
        <w:trPr>
          <w:jc w:val="center"/>
        </w:trPr>
        <w:tc>
          <w:tcPr>
            <w:tcW w:w="7296" w:type="dxa"/>
          </w:tcPr>
          <w:tbl>
            <w:tblPr>
              <w:tblW w:w="0" w:type="auto"/>
              <w:jc w:val="center"/>
              <w:tblCellMar>
                <w:left w:w="0" w:type="dxa"/>
                <w:right w:w="0" w:type="dxa"/>
              </w:tblCellMar>
              <w:tblLook w:val="0000" w:firstRow="0" w:lastRow="0" w:firstColumn="0" w:lastColumn="0" w:noHBand="0" w:noVBand="0"/>
            </w:tblPr>
            <w:tblGrid>
              <w:gridCol w:w="2267"/>
              <w:gridCol w:w="1354"/>
              <w:gridCol w:w="872"/>
              <w:gridCol w:w="918"/>
              <w:gridCol w:w="949"/>
              <w:gridCol w:w="918"/>
            </w:tblGrid>
            <w:tr w:rsidR="00367B0B" w14:paraId="2B00C174" w14:textId="77777777" w:rsidTr="001C636C">
              <w:trPr>
                <w:trHeight w:val="304"/>
                <w:jc w:val="center"/>
              </w:trPr>
              <w:tc>
                <w:tcPr>
                  <w:tcW w:w="8046" w:type="dxa"/>
                  <w:gridSpan w:val="6"/>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0AA304ED" w14:textId="77777777" w:rsidR="00367B0B" w:rsidRDefault="00367B0B" w:rsidP="009839D0">
                  <w:pPr>
                    <w:keepNext/>
                    <w:jc w:val="center"/>
                  </w:pPr>
                  <w:r>
                    <w:rPr>
                      <w:b/>
                      <w:color w:val="000000"/>
                      <w:sz w:val="20"/>
                    </w:rPr>
                    <w:lastRenderedPageBreak/>
                    <w:t>Geographic Distribution of Small Business Loans</w:t>
                  </w:r>
                </w:p>
              </w:tc>
            </w:tr>
            <w:tr w:rsidR="00367B0B" w14:paraId="0851DB04" w14:textId="77777777" w:rsidTr="00367B0B">
              <w:trPr>
                <w:trHeight w:val="498"/>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0A524F" w14:textId="77777777" w:rsidR="00367B0B" w:rsidRDefault="00367B0B" w:rsidP="009839D0">
                  <w:pPr>
                    <w:keepNext/>
                  </w:pPr>
                  <w:r>
                    <w:rPr>
                      <w:b/>
                      <w:color w:val="000000"/>
                      <w:sz w:val="20"/>
                    </w:rPr>
                    <w:t>Tract Income Level</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04925E" w14:textId="77777777" w:rsidR="00367B0B" w:rsidRDefault="00367B0B" w:rsidP="009839D0">
                  <w:pPr>
                    <w:keepNext/>
                    <w:jc w:val="center"/>
                  </w:pPr>
                  <w:r>
                    <w:rPr>
                      <w:b/>
                      <w:color w:val="000000"/>
                      <w:sz w:val="20"/>
                    </w:rPr>
                    <w:t>% of  Businesses</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6FE8AE" w14:textId="77777777" w:rsidR="00367B0B" w:rsidRDefault="00367B0B" w:rsidP="009839D0">
                  <w:pPr>
                    <w:keepNext/>
                    <w:jc w:val="center"/>
                  </w:pPr>
                  <w:r>
                    <w:rPr>
                      <w:b/>
                      <w:color w:val="000000"/>
                      <w:sz w:val="20"/>
                    </w:rPr>
                    <w:t>#</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43E2E76" w14:textId="77777777" w:rsidR="00367B0B" w:rsidRDefault="00367B0B" w:rsidP="009839D0">
                  <w:pPr>
                    <w:keepNext/>
                    <w:jc w:val="center"/>
                  </w:pPr>
                  <w:r>
                    <w:rPr>
                      <w:b/>
                      <w:color w:val="000000"/>
                      <w:sz w:val="20"/>
                    </w:rPr>
                    <w:t>%</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8910C7" w14:textId="77777777" w:rsidR="00367B0B" w:rsidRDefault="00367B0B" w:rsidP="009839D0">
                  <w:pPr>
                    <w:keepNext/>
                    <w:jc w:val="center"/>
                  </w:pPr>
                  <w:r>
                    <w:rPr>
                      <w:b/>
                      <w:color w:val="000000"/>
                      <w:sz w:val="20"/>
                    </w:rPr>
                    <w:t>$(000s)</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5566B5" w14:textId="77777777" w:rsidR="00367B0B" w:rsidRDefault="00367B0B" w:rsidP="009839D0">
                  <w:pPr>
                    <w:keepNext/>
                    <w:jc w:val="center"/>
                  </w:pPr>
                  <w:r>
                    <w:rPr>
                      <w:b/>
                      <w:color w:val="000000"/>
                      <w:sz w:val="20"/>
                    </w:rPr>
                    <w:t>%</w:t>
                  </w:r>
                </w:p>
              </w:tc>
            </w:tr>
            <w:tr w:rsidR="00367B0B" w14:paraId="4D9FB8EC"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4BD0D7" w14:textId="77777777" w:rsidR="00367B0B" w:rsidRDefault="00367B0B" w:rsidP="009839D0">
                  <w:pPr>
                    <w:keepNext/>
                  </w:pPr>
                  <w:r>
                    <w:rPr>
                      <w:color w:val="000000"/>
                      <w:sz w:val="20"/>
                    </w:rPr>
                    <w:t>Low</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79E46" w14:textId="77777777" w:rsidR="00367B0B" w:rsidRDefault="00367B0B" w:rsidP="009839D0">
                  <w:pPr>
                    <w:keepNext/>
                  </w:pPr>
                </w:p>
              </w:tc>
            </w:tr>
            <w:tr w:rsidR="00367B0B" w14:paraId="3165D187"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386193E" w14:textId="77777777" w:rsidR="00367B0B" w:rsidRDefault="00367B0B" w:rsidP="009839D0">
                  <w:pPr>
                    <w:keepNext/>
                    <w:jc w:val="right"/>
                  </w:pPr>
                  <w:r>
                    <w:rPr>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31B64" w14:textId="77777777" w:rsidR="00367B0B" w:rsidRDefault="00367B0B" w:rsidP="009839D0">
                  <w:pPr>
                    <w:keepNext/>
                    <w:jc w:val="center"/>
                  </w:pPr>
                  <w:r>
                    <w:rPr>
                      <w:color w:val="000000"/>
                      <w:sz w:val="20"/>
                    </w:rPr>
                    <w:t>3.5</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AA31" w14:textId="77777777" w:rsidR="00367B0B" w:rsidRDefault="00367B0B" w:rsidP="009839D0">
                  <w:pPr>
                    <w:keepNext/>
                    <w:jc w:val="center"/>
                  </w:pPr>
                  <w:r>
                    <w:rPr>
                      <w:color w:val="000000"/>
                      <w:sz w:val="20"/>
                    </w:rPr>
                    <w:t>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3CBA2" w14:textId="77777777" w:rsidR="00367B0B" w:rsidRDefault="00367B0B" w:rsidP="009839D0">
                  <w:pPr>
                    <w:keepNext/>
                    <w:jc w:val="center"/>
                  </w:pPr>
                  <w:r>
                    <w:rPr>
                      <w:color w:val="000000"/>
                      <w:sz w:val="20"/>
                    </w:rPr>
                    <w:t>4.8</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B14F" w14:textId="77777777" w:rsidR="00367B0B" w:rsidRDefault="00367B0B" w:rsidP="009839D0">
                  <w:pPr>
                    <w:keepNext/>
                    <w:jc w:val="center"/>
                  </w:pPr>
                  <w:r>
                    <w:rPr>
                      <w:color w:val="000000"/>
                      <w:sz w:val="20"/>
                    </w:rPr>
                    <w:t>125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A0B06" w14:textId="77777777" w:rsidR="00367B0B" w:rsidRDefault="00367B0B" w:rsidP="009839D0">
                  <w:pPr>
                    <w:keepNext/>
                    <w:jc w:val="center"/>
                  </w:pPr>
                  <w:r>
                    <w:rPr>
                      <w:color w:val="000000"/>
                      <w:sz w:val="20"/>
                    </w:rPr>
                    <w:t>11.6</w:t>
                  </w:r>
                </w:p>
              </w:tc>
            </w:tr>
            <w:tr w:rsidR="00367B0B" w14:paraId="0277346F"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A23F4B2" w14:textId="77777777" w:rsidR="00367B0B" w:rsidRDefault="00367B0B" w:rsidP="009839D0">
                  <w:pPr>
                    <w:keepNext/>
                    <w:jc w:val="right"/>
                  </w:pPr>
                  <w:r>
                    <w:rPr>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2389" w14:textId="77777777" w:rsidR="00367B0B" w:rsidRDefault="00367B0B" w:rsidP="009839D0">
                  <w:pPr>
                    <w:keepNext/>
                    <w:jc w:val="center"/>
                  </w:pPr>
                  <w:r>
                    <w:rPr>
                      <w:color w:val="000000"/>
                      <w:sz w:val="20"/>
                    </w:rPr>
                    <w:t>3.2</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31491" w14:textId="77777777" w:rsidR="00367B0B" w:rsidRDefault="00367B0B" w:rsidP="009839D0">
                  <w:pPr>
                    <w:keepNext/>
                    <w:jc w:val="center"/>
                  </w:pPr>
                  <w:r>
                    <w:rPr>
                      <w:color w:val="000000"/>
                      <w:sz w:val="20"/>
                    </w:rPr>
                    <w:t>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8B154" w14:textId="77777777" w:rsidR="00367B0B" w:rsidRDefault="00367B0B" w:rsidP="009839D0">
                  <w:pPr>
                    <w:keepNext/>
                    <w:jc w:val="center"/>
                  </w:pPr>
                  <w:r>
                    <w:rPr>
                      <w:color w:val="000000"/>
                      <w:sz w:val="20"/>
                    </w:rPr>
                    <w:t>5.9</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7B544" w14:textId="77777777" w:rsidR="00367B0B" w:rsidRDefault="00367B0B" w:rsidP="009839D0">
                  <w:pPr>
                    <w:keepNext/>
                    <w:jc w:val="center"/>
                  </w:pPr>
                  <w:r>
                    <w:rPr>
                      <w:color w:val="000000"/>
                      <w:sz w:val="20"/>
                    </w:rPr>
                    <w:t>250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1C2B4" w14:textId="77777777" w:rsidR="00367B0B" w:rsidRDefault="00367B0B" w:rsidP="009839D0">
                  <w:pPr>
                    <w:keepNext/>
                    <w:jc w:val="center"/>
                  </w:pPr>
                  <w:r>
                    <w:rPr>
                      <w:color w:val="000000"/>
                      <w:sz w:val="20"/>
                    </w:rPr>
                    <w:t>16.5</w:t>
                  </w:r>
                </w:p>
              </w:tc>
            </w:tr>
            <w:tr w:rsidR="00367B0B" w14:paraId="3ECD39A4"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232CEA" w14:textId="77777777" w:rsidR="00367B0B" w:rsidRDefault="00367B0B" w:rsidP="009839D0">
                  <w:pPr>
                    <w:keepNext/>
                  </w:pPr>
                  <w:r>
                    <w:rPr>
                      <w:color w:val="000000"/>
                      <w:sz w:val="20"/>
                    </w:rPr>
                    <w:t>Moderate</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ED565" w14:textId="77777777" w:rsidR="00367B0B" w:rsidRDefault="00367B0B" w:rsidP="009839D0">
                  <w:pPr>
                    <w:keepNext/>
                  </w:pPr>
                </w:p>
              </w:tc>
            </w:tr>
            <w:tr w:rsidR="00367B0B" w14:paraId="7A51438B"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291A06" w14:textId="77777777" w:rsidR="00367B0B" w:rsidRDefault="00367B0B" w:rsidP="009839D0">
                  <w:pPr>
                    <w:keepNext/>
                    <w:jc w:val="right"/>
                  </w:pPr>
                  <w:r>
                    <w:rPr>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84307" w14:textId="77777777" w:rsidR="00367B0B" w:rsidRDefault="00367B0B" w:rsidP="009839D0">
                  <w:pPr>
                    <w:keepNext/>
                    <w:jc w:val="center"/>
                  </w:pPr>
                  <w:r>
                    <w:rPr>
                      <w:color w:val="000000"/>
                      <w:sz w:val="20"/>
                    </w:rPr>
                    <w:t>9.6</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03E21" w14:textId="77777777" w:rsidR="00367B0B" w:rsidRDefault="00367B0B" w:rsidP="009839D0">
                  <w:pPr>
                    <w:keepNext/>
                    <w:jc w:val="center"/>
                  </w:pPr>
                  <w:r>
                    <w:rPr>
                      <w:color w:val="000000"/>
                      <w:sz w:val="20"/>
                    </w:rPr>
                    <w:t>3</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C68FB" w14:textId="77777777" w:rsidR="00367B0B" w:rsidRDefault="00367B0B" w:rsidP="009839D0">
                  <w:pPr>
                    <w:keepNext/>
                    <w:jc w:val="center"/>
                  </w:pPr>
                  <w:r>
                    <w:rPr>
                      <w:color w:val="000000"/>
                      <w:sz w:val="20"/>
                    </w:rPr>
                    <w:t>14.3</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43BB9" w14:textId="77777777" w:rsidR="00367B0B" w:rsidRDefault="00367B0B" w:rsidP="009839D0">
                  <w:pPr>
                    <w:keepNext/>
                    <w:jc w:val="center"/>
                  </w:pPr>
                  <w:r>
                    <w:rPr>
                      <w:color w:val="000000"/>
                      <w:sz w:val="20"/>
                    </w:rPr>
                    <w:t>55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4208A" w14:textId="77777777" w:rsidR="00367B0B" w:rsidRDefault="00367B0B" w:rsidP="009839D0">
                  <w:pPr>
                    <w:keepNext/>
                    <w:jc w:val="center"/>
                  </w:pPr>
                  <w:r>
                    <w:rPr>
                      <w:color w:val="000000"/>
                      <w:sz w:val="20"/>
                    </w:rPr>
                    <w:t>5.1</w:t>
                  </w:r>
                </w:p>
              </w:tc>
            </w:tr>
            <w:tr w:rsidR="00367B0B" w14:paraId="37A26FA5"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A991D8A" w14:textId="77777777" w:rsidR="00367B0B" w:rsidRDefault="00367B0B" w:rsidP="009839D0">
                  <w:pPr>
                    <w:keepNext/>
                    <w:jc w:val="right"/>
                  </w:pPr>
                  <w:r>
                    <w:rPr>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EFC4A" w14:textId="77777777" w:rsidR="00367B0B" w:rsidRDefault="00367B0B" w:rsidP="009839D0">
                  <w:pPr>
                    <w:keepNext/>
                    <w:jc w:val="center"/>
                  </w:pPr>
                  <w:r>
                    <w:rPr>
                      <w:color w:val="000000"/>
                      <w:sz w:val="20"/>
                    </w:rPr>
                    <w:t>9.3</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95D2"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D8BB4" w14:textId="77777777" w:rsidR="00367B0B" w:rsidRDefault="00367B0B" w:rsidP="009839D0">
                  <w:pPr>
                    <w:keepNext/>
                    <w:jc w:val="center"/>
                  </w:pPr>
                  <w:r>
                    <w:rPr>
                      <w:color w:val="000000"/>
                      <w:sz w:val="20"/>
                    </w:rPr>
                    <w:t>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6051"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CDACC" w14:textId="77777777" w:rsidR="00367B0B" w:rsidRDefault="00367B0B" w:rsidP="009839D0">
                  <w:pPr>
                    <w:keepNext/>
                    <w:jc w:val="center"/>
                  </w:pPr>
                  <w:r>
                    <w:rPr>
                      <w:color w:val="000000"/>
                      <w:sz w:val="20"/>
                    </w:rPr>
                    <w:t>0.0</w:t>
                  </w:r>
                </w:p>
              </w:tc>
            </w:tr>
            <w:tr w:rsidR="00367B0B" w14:paraId="14CF8C1D"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A1D4DF" w14:textId="77777777" w:rsidR="00367B0B" w:rsidRDefault="00367B0B" w:rsidP="009839D0">
                  <w:pPr>
                    <w:keepNext/>
                  </w:pPr>
                  <w:r>
                    <w:rPr>
                      <w:color w:val="000000"/>
                      <w:sz w:val="20"/>
                    </w:rPr>
                    <w:t>Middle</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573C" w14:textId="77777777" w:rsidR="00367B0B" w:rsidRDefault="00367B0B" w:rsidP="009839D0">
                  <w:pPr>
                    <w:keepNext/>
                  </w:pPr>
                </w:p>
              </w:tc>
            </w:tr>
            <w:tr w:rsidR="00367B0B" w14:paraId="211243CC"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93EFCFD" w14:textId="77777777" w:rsidR="00367B0B" w:rsidRDefault="00367B0B" w:rsidP="009839D0">
                  <w:pPr>
                    <w:keepNext/>
                    <w:jc w:val="right"/>
                  </w:pPr>
                  <w:r>
                    <w:rPr>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C688E" w14:textId="77777777" w:rsidR="00367B0B" w:rsidRDefault="00367B0B" w:rsidP="009839D0">
                  <w:pPr>
                    <w:keepNext/>
                    <w:jc w:val="center"/>
                  </w:pPr>
                  <w:r>
                    <w:rPr>
                      <w:color w:val="000000"/>
                      <w:sz w:val="20"/>
                    </w:rPr>
                    <w:t>44.9</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3BFC4" w14:textId="77777777" w:rsidR="00367B0B" w:rsidRDefault="00367B0B" w:rsidP="009839D0">
                  <w:pPr>
                    <w:keepNext/>
                    <w:jc w:val="center"/>
                  </w:pPr>
                  <w:r>
                    <w:rPr>
                      <w:color w:val="000000"/>
                      <w:sz w:val="20"/>
                    </w:rPr>
                    <w:t>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0942D" w14:textId="77777777" w:rsidR="00367B0B" w:rsidRDefault="00367B0B" w:rsidP="009839D0">
                  <w:pPr>
                    <w:keepNext/>
                    <w:jc w:val="center"/>
                  </w:pPr>
                  <w:r>
                    <w:rPr>
                      <w:color w:val="000000"/>
                      <w:sz w:val="20"/>
                    </w:rPr>
                    <w:t>28.6</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15CB6" w14:textId="77777777" w:rsidR="00367B0B" w:rsidRDefault="00367B0B" w:rsidP="009839D0">
                  <w:pPr>
                    <w:keepNext/>
                    <w:jc w:val="center"/>
                  </w:pPr>
                  <w:r>
                    <w:rPr>
                      <w:color w:val="000000"/>
                      <w:sz w:val="20"/>
                    </w:rPr>
                    <w:t>548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E8E33" w14:textId="77777777" w:rsidR="00367B0B" w:rsidRDefault="00367B0B" w:rsidP="009839D0">
                  <w:pPr>
                    <w:keepNext/>
                    <w:jc w:val="center"/>
                  </w:pPr>
                  <w:r>
                    <w:rPr>
                      <w:color w:val="000000"/>
                      <w:sz w:val="20"/>
                    </w:rPr>
                    <w:t>51.0</w:t>
                  </w:r>
                </w:p>
              </w:tc>
            </w:tr>
            <w:tr w:rsidR="00367B0B" w14:paraId="7B776F96"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4BFB9F5" w14:textId="77777777" w:rsidR="00367B0B" w:rsidRDefault="00367B0B" w:rsidP="009839D0">
                  <w:pPr>
                    <w:keepNext/>
                    <w:jc w:val="right"/>
                  </w:pPr>
                  <w:r>
                    <w:rPr>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DC578" w14:textId="77777777" w:rsidR="00367B0B" w:rsidRDefault="00367B0B" w:rsidP="009839D0">
                  <w:pPr>
                    <w:keepNext/>
                    <w:jc w:val="center"/>
                  </w:pPr>
                  <w:r>
                    <w:rPr>
                      <w:color w:val="000000"/>
                      <w:sz w:val="20"/>
                    </w:rPr>
                    <w:t>44.6</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D61C9" w14:textId="77777777" w:rsidR="00367B0B" w:rsidRDefault="00367B0B" w:rsidP="009839D0">
                  <w:pPr>
                    <w:keepNext/>
                    <w:jc w:val="center"/>
                  </w:pPr>
                  <w:r>
                    <w:rPr>
                      <w:color w:val="000000"/>
                      <w:sz w:val="20"/>
                    </w:rPr>
                    <w:t>9</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D4A03" w14:textId="77777777" w:rsidR="00367B0B" w:rsidRDefault="00367B0B" w:rsidP="009839D0">
                  <w:pPr>
                    <w:keepNext/>
                    <w:jc w:val="center"/>
                  </w:pPr>
                  <w:r>
                    <w:rPr>
                      <w:color w:val="000000"/>
                      <w:sz w:val="20"/>
                    </w:rPr>
                    <w:t>52.9</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47CD" w14:textId="77777777" w:rsidR="00367B0B" w:rsidRDefault="00367B0B" w:rsidP="009839D0">
                  <w:pPr>
                    <w:keepNext/>
                    <w:jc w:val="center"/>
                  </w:pPr>
                  <w:r>
                    <w:rPr>
                      <w:color w:val="000000"/>
                      <w:sz w:val="20"/>
                    </w:rPr>
                    <w:t>661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8732" w14:textId="77777777" w:rsidR="00367B0B" w:rsidRDefault="00367B0B" w:rsidP="009839D0">
                  <w:pPr>
                    <w:keepNext/>
                    <w:jc w:val="center"/>
                  </w:pPr>
                  <w:r>
                    <w:rPr>
                      <w:color w:val="000000"/>
                      <w:sz w:val="20"/>
                    </w:rPr>
                    <w:t>43.6</w:t>
                  </w:r>
                </w:p>
              </w:tc>
            </w:tr>
            <w:tr w:rsidR="00367B0B" w14:paraId="54C8546D"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00D94F" w14:textId="77777777" w:rsidR="00367B0B" w:rsidRDefault="00367B0B" w:rsidP="009839D0">
                  <w:pPr>
                    <w:keepNext/>
                  </w:pPr>
                  <w:r>
                    <w:rPr>
                      <w:color w:val="000000"/>
                      <w:sz w:val="20"/>
                    </w:rPr>
                    <w:t>Upper</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8371" w14:textId="77777777" w:rsidR="00367B0B" w:rsidRDefault="00367B0B" w:rsidP="009839D0">
                  <w:pPr>
                    <w:keepNext/>
                  </w:pPr>
                </w:p>
              </w:tc>
            </w:tr>
            <w:tr w:rsidR="00367B0B" w14:paraId="40E55E14"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5BB34A" w14:textId="77777777" w:rsidR="00367B0B" w:rsidRDefault="00367B0B" w:rsidP="009839D0">
                  <w:pPr>
                    <w:keepNext/>
                    <w:jc w:val="right"/>
                  </w:pPr>
                  <w:r>
                    <w:rPr>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9E19E" w14:textId="77777777" w:rsidR="00367B0B" w:rsidRDefault="00367B0B" w:rsidP="009839D0">
                  <w:pPr>
                    <w:keepNext/>
                    <w:jc w:val="center"/>
                  </w:pPr>
                  <w:r>
                    <w:rPr>
                      <w:color w:val="000000"/>
                      <w:sz w:val="20"/>
                    </w:rPr>
                    <w:t>42.0</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14C08" w14:textId="77777777" w:rsidR="00367B0B" w:rsidRDefault="00367B0B" w:rsidP="009839D0">
                  <w:pPr>
                    <w:keepNext/>
                    <w:jc w:val="center"/>
                  </w:pPr>
                  <w:r>
                    <w:rPr>
                      <w:color w:val="000000"/>
                      <w:sz w:val="20"/>
                    </w:rPr>
                    <w:t>11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E9C75" w14:textId="77777777" w:rsidR="00367B0B" w:rsidRDefault="00367B0B" w:rsidP="009839D0">
                  <w:pPr>
                    <w:keepNext/>
                    <w:jc w:val="center"/>
                  </w:pPr>
                  <w:r>
                    <w:rPr>
                      <w:color w:val="000000"/>
                      <w:sz w:val="20"/>
                    </w:rPr>
                    <w:t>52.4</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0E44" w14:textId="77777777" w:rsidR="00367B0B" w:rsidRDefault="00367B0B" w:rsidP="009839D0">
                  <w:pPr>
                    <w:keepNext/>
                    <w:jc w:val="center"/>
                  </w:pPr>
                  <w:r>
                    <w:rPr>
                      <w:color w:val="000000"/>
                      <w:sz w:val="20"/>
                    </w:rPr>
                    <w:t>346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137C6" w14:textId="77777777" w:rsidR="00367B0B" w:rsidRDefault="00367B0B" w:rsidP="009839D0">
                  <w:pPr>
                    <w:keepNext/>
                    <w:jc w:val="center"/>
                  </w:pPr>
                  <w:r>
                    <w:rPr>
                      <w:color w:val="000000"/>
                      <w:sz w:val="20"/>
                    </w:rPr>
                    <w:t>32.2</w:t>
                  </w:r>
                </w:p>
              </w:tc>
            </w:tr>
            <w:tr w:rsidR="00367B0B" w14:paraId="2DA6C92C"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A56F31E" w14:textId="77777777" w:rsidR="00367B0B" w:rsidRDefault="00367B0B" w:rsidP="009839D0">
                  <w:pPr>
                    <w:keepNext/>
                    <w:jc w:val="right"/>
                  </w:pPr>
                  <w:r>
                    <w:rPr>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952C" w14:textId="77777777" w:rsidR="00367B0B" w:rsidRDefault="00367B0B" w:rsidP="009839D0">
                  <w:pPr>
                    <w:keepNext/>
                    <w:jc w:val="center"/>
                  </w:pPr>
                  <w:r>
                    <w:rPr>
                      <w:color w:val="000000"/>
                      <w:sz w:val="20"/>
                    </w:rPr>
                    <w:t>42.8</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C9991" w14:textId="77777777" w:rsidR="00367B0B" w:rsidRDefault="00367B0B" w:rsidP="009839D0">
                  <w:pPr>
                    <w:keepNext/>
                    <w:jc w:val="center"/>
                  </w:pPr>
                  <w:r>
                    <w:rPr>
                      <w:color w:val="000000"/>
                      <w:sz w:val="20"/>
                    </w:rPr>
                    <w:t>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C2EAF" w14:textId="77777777" w:rsidR="00367B0B" w:rsidRDefault="00367B0B" w:rsidP="009839D0">
                  <w:pPr>
                    <w:keepNext/>
                    <w:jc w:val="center"/>
                  </w:pPr>
                  <w:r>
                    <w:rPr>
                      <w:color w:val="000000"/>
                      <w:sz w:val="20"/>
                    </w:rPr>
                    <w:t>41.2</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D5B4" w14:textId="77777777" w:rsidR="00367B0B" w:rsidRDefault="00367B0B" w:rsidP="009839D0">
                  <w:pPr>
                    <w:keepNext/>
                    <w:jc w:val="center"/>
                  </w:pPr>
                  <w:r>
                    <w:rPr>
                      <w:color w:val="000000"/>
                      <w:sz w:val="20"/>
                    </w:rPr>
                    <w:t>604</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E23F8" w14:textId="77777777" w:rsidR="00367B0B" w:rsidRDefault="00367B0B" w:rsidP="009839D0">
                  <w:pPr>
                    <w:keepNext/>
                    <w:jc w:val="center"/>
                  </w:pPr>
                  <w:r>
                    <w:rPr>
                      <w:color w:val="000000"/>
                      <w:sz w:val="20"/>
                    </w:rPr>
                    <w:t>39.9</w:t>
                  </w:r>
                </w:p>
              </w:tc>
            </w:tr>
            <w:tr w:rsidR="00367B0B" w14:paraId="361A20DF"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805BEC" w14:textId="77777777" w:rsidR="00367B0B" w:rsidRDefault="00367B0B" w:rsidP="009839D0">
                  <w:pPr>
                    <w:keepNext/>
                  </w:pPr>
                  <w:r>
                    <w:rPr>
                      <w:color w:val="000000"/>
                      <w:sz w:val="20"/>
                    </w:rPr>
                    <w:t>Not Available</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5CC1" w14:textId="77777777" w:rsidR="00367B0B" w:rsidRDefault="00367B0B" w:rsidP="009839D0">
                  <w:pPr>
                    <w:keepNext/>
                  </w:pPr>
                </w:p>
              </w:tc>
            </w:tr>
            <w:tr w:rsidR="00367B0B" w14:paraId="138A8FF5"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36BCCCD" w14:textId="77777777" w:rsidR="00367B0B" w:rsidRDefault="00367B0B" w:rsidP="009839D0">
                  <w:pPr>
                    <w:keepNext/>
                    <w:jc w:val="right"/>
                  </w:pPr>
                  <w:r>
                    <w:rPr>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C9A61" w14:textId="77777777" w:rsidR="00367B0B" w:rsidRDefault="00367B0B" w:rsidP="009839D0">
                  <w:pPr>
                    <w:keepNext/>
                    <w:jc w:val="center"/>
                  </w:pPr>
                  <w:r>
                    <w:rPr>
                      <w:color w:val="000000"/>
                      <w:sz w:val="20"/>
                    </w:rPr>
                    <w:t>0.0</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B6724"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72C6" w14:textId="77777777" w:rsidR="00367B0B" w:rsidRDefault="00367B0B" w:rsidP="009839D0">
                  <w:pPr>
                    <w:keepNext/>
                    <w:jc w:val="center"/>
                  </w:pPr>
                  <w:r>
                    <w:rPr>
                      <w:color w:val="000000"/>
                      <w:sz w:val="20"/>
                    </w:rPr>
                    <w:t>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FCD3B"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105DD" w14:textId="77777777" w:rsidR="00367B0B" w:rsidRDefault="00367B0B" w:rsidP="009839D0">
                  <w:pPr>
                    <w:keepNext/>
                    <w:jc w:val="center"/>
                  </w:pPr>
                  <w:r>
                    <w:rPr>
                      <w:color w:val="000000"/>
                      <w:sz w:val="20"/>
                    </w:rPr>
                    <w:t>0.0</w:t>
                  </w:r>
                </w:p>
              </w:tc>
            </w:tr>
            <w:tr w:rsidR="00367B0B" w14:paraId="134D64FC" w14:textId="77777777" w:rsidTr="00367B0B">
              <w:trPr>
                <w:trHeight w:val="166"/>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C164FA" w14:textId="77777777" w:rsidR="00367B0B" w:rsidRDefault="00367B0B" w:rsidP="009839D0">
                  <w:pPr>
                    <w:keepNext/>
                    <w:jc w:val="right"/>
                  </w:pPr>
                  <w:r>
                    <w:rPr>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B936D" w14:textId="77777777" w:rsidR="00367B0B" w:rsidRDefault="00367B0B" w:rsidP="009839D0">
                  <w:pPr>
                    <w:keepNext/>
                    <w:jc w:val="center"/>
                  </w:pPr>
                  <w:r>
                    <w:rPr>
                      <w:color w:val="000000"/>
                      <w:sz w:val="20"/>
                    </w:rPr>
                    <w:t>0.0</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96D0"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D77B7" w14:textId="77777777" w:rsidR="00367B0B" w:rsidRDefault="00367B0B" w:rsidP="009839D0">
                  <w:pPr>
                    <w:keepNext/>
                    <w:jc w:val="center"/>
                  </w:pPr>
                  <w:r>
                    <w:rPr>
                      <w:color w:val="000000"/>
                      <w:sz w:val="20"/>
                    </w:rPr>
                    <w:t>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66C43" w14:textId="77777777" w:rsidR="00367B0B" w:rsidRDefault="00367B0B" w:rsidP="009839D0">
                  <w:pPr>
                    <w:keepNext/>
                    <w:jc w:val="center"/>
                  </w:pPr>
                  <w:r>
                    <w:rPr>
                      <w:color w:val="000000"/>
                      <w:sz w:val="20"/>
                    </w:rPr>
                    <w:t>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3CCC" w14:textId="77777777" w:rsidR="00367B0B" w:rsidRDefault="00367B0B" w:rsidP="009839D0">
                  <w:pPr>
                    <w:keepNext/>
                    <w:jc w:val="center"/>
                  </w:pPr>
                  <w:r>
                    <w:rPr>
                      <w:color w:val="000000"/>
                      <w:sz w:val="20"/>
                    </w:rPr>
                    <w:t>0.0</w:t>
                  </w:r>
                </w:p>
              </w:tc>
            </w:tr>
            <w:tr w:rsidR="00367B0B" w14:paraId="49D67535"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27C93A" w14:textId="77777777" w:rsidR="00367B0B" w:rsidRDefault="00367B0B" w:rsidP="009839D0">
                  <w:pPr>
                    <w:keepNext/>
                  </w:pPr>
                  <w:r>
                    <w:rPr>
                      <w:b/>
                      <w:color w:val="000000"/>
                      <w:sz w:val="20"/>
                    </w:rPr>
                    <w:t>Totals</w:t>
                  </w:r>
                </w:p>
              </w:tc>
              <w:tc>
                <w:tcPr>
                  <w:tcW w:w="546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F79F4" w14:textId="77777777" w:rsidR="00367B0B" w:rsidRDefault="00367B0B" w:rsidP="009839D0">
                  <w:pPr>
                    <w:keepNext/>
                  </w:pPr>
                </w:p>
              </w:tc>
            </w:tr>
            <w:tr w:rsidR="00367B0B" w14:paraId="76854515"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35B5DDA" w14:textId="77777777" w:rsidR="00367B0B" w:rsidRDefault="00367B0B" w:rsidP="009839D0">
                  <w:pPr>
                    <w:keepNext/>
                    <w:jc w:val="right"/>
                  </w:pPr>
                  <w:r>
                    <w:rPr>
                      <w:b/>
                      <w:color w:val="000000"/>
                      <w:sz w:val="20"/>
                    </w:rPr>
                    <w:t>2018</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C47BE" w14:textId="77777777" w:rsidR="00367B0B" w:rsidRDefault="00367B0B" w:rsidP="009839D0">
                  <w:pPr>
                    <w:keepNext/>
                    <w:jc w:val="center"/>
                  </w:pPr>
                  <w:r>
                    <w:rPr>
                      <w:b/>
                      <w:color w:val="000000"/>
                      <w:sz w:val="20"/>
                    </w:rPr>
                    <w:t>100.0</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90BCD" w14:textId="77777777" w:rsidR="00367B0B" w:rsidRDefault="00367B0B" w:rsidP="009839D0">
                  <w:pPr>
                    <w:keepNext/>
                    <w:jc w:val="center"/>
                  </w:pPr>
                  <w:r>
                    <w:rPr>
                      <w:b/>
                      <w:color w:val="000000"/>
                      <w:sz w:val="20"/>
                    </w:rPr>
                    <w:t>21</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6B81F" w14:textId="77777777" w:rsidR="00367B0B" w:rsidRDefault="00367B0B" w:rsidP="009839D0">
                  <w:pPr>
                    <w:keepNext/>
                    <w:jc w:val="center"/>
                  </w:pPr>
                  <w:r>
                    <w:rPr>
                      <w:b/>
                      <w:color w:val="000000"/>
                      <w:sz w:val="20"/>
                    </w:rPr>
                    <w:t>100.0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278D1" w14:textId="77777777" w:rsidR="00367B0B" w:rsidRDefault="00367B0B" w:rsidP="009839D0">
                  <w:pPr>
                    <w:keepNext/>
                    <w:jc w:val="center"/>
                  </w:pPr>
                  <w:r>
                    <w:rPr>
                      <w:b/>
                      <w:color w:val="000000"/>
                      <w:sz w:val="20"/>
                    </w:rPr>
                    <w:t>1,074</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1D7EC" w14:textId="77777777" w:rsidR="00367B0B" w:rsidRDefault="00367B0B" w:rsidP="009839D0">
                  <w:pPr>
                    <w:keepNext/>
                    <w:jc w:val="center"/>
                  </w:pPr>
                  <w:r>
                    <w:rPr>
                      <w:b/>
                      <w:color w:val="000000"/>
                      <w:sz w:val="20"/>
                    </w:rPr>
                    <w:t>100.0</w:t>
                  </w:r>
                </w:p>
              </w:tc>
            </w:tr>
            <w:tr w:rsidR="00367B0B" w14:paraId="38CFEB6B" w14:textId="77777777" w:rsidTr="00367B0B">
              <w:trPr>
                <w:trHeight w:val="181"/>
                <w:jc w:val="center"/>
              </w:trPr>
              <w:tc>
                <w:tcPr>
                  <w:tcW w:w="258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1B83A5A" w14:textId="77777777" w:rsidR="00367B0B" w:rsidRDefault="00367B0B" w:rsidP="009839D0">
                  <w:pPr>
                    <w:keepNext/>
                    <w:jc w:val="right"/>
                  </w:pPr>
                  <w:r>
                    <w:rPr>
                      <w:b/>
                      <w:color w:val="000000"/>
                      <w:sz w:val="20"/>
                    </w:rPr>
                    <w:t>2019</w:t>
                  </w:r>
                </w:p>
              </w:tc>
              <w:tc>
                <w:tcPr>
                  <w:tcW w:w="14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3751F" w14:textId="77777777" w:rsidR="00367B0B" w:rsidRDefault="00367B0B" w:rsidP="009839D0">
                  <w:pPr>
                    <w:keepNext/>
                    <w:jc w:val="center"/>
                  </w:pPr>
                  <w:r>
                    <w:rPr>
                      <w:b/>
                      <w:color w:val="000000"/>
                      <w:sz w:val="20"/>
                    </w:rPr>
                    <w:t>100.0</w:t>
                  </w:r>
                </w:p>
              </w:tc>
              <w:tc>
                <w:tcPr>
                  <w:tcW w:w="10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10BC9" w14:textId="77777777" w:rsidR="00367B0B" w:rsidRDefault="00367B0B" w:rsidP="009839D0">
                  <w:pPr>
                    <w:keepNext/>
                    <w:jc w:val="center"/>
                  </w:pPr>
                  <w:r>
                    <w:rPr>
                      <w:b/>
                      <w:color w:val="000000"/>
                      <w:sz w:val="20"/>
                    </w:rPr>
                    <w:t>17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E22F2" w14:textId="77777777" w:rsidR="00367B0B" w:rsidRDefault="00367B0B" w:rsidP="009839D0">
                  <w:pPr>
                    <w:keepNext/>
                    <w:jc w:val="center"/>
                  </w:pPr>
                  <w:r>
                    <w:rPr>
                      <w:b/>
                      <w:color w:val="000000"/>
                      <w:sz w:val="20"/>
                    </w:rPr>
                    <w:t>100.0</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F5A61" w14:textId="77777777" w:rsidR="00367B0B" w:rsidRDefault="00367B0B" w:rsidP="009839D0">
                  <w:pPr>
                    <w:keepNext/>
                    <w:jc w:val="center"/>
                  </w:pPr>
                  <w:r>
                    <w:rPr>
                      <w:b/>
                      <w:color w:val="000000"/>
                      <w:sz w:val="20"/>
                    </w:rPr>
                    <w:t>1,515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B2B7C" w14:textId="77777777" w:rsidR="00367B0B" w:rsidRDefault="00367B0B" w:rsidP="009839D0">
                  <w:pPr>
                    <w:keepNext/>
                    <w:jc w:val="center"/>
                  </w:pPr>
                  <w:r>
                    <w:rPr>
                      <w:b/>
                      <w:color w:val="000000"/>
                      <w:sz w:val="20"/>
                    </w:rPr>
                    <w:t>100.0</w:t>
                  </w:r>
                </w:p>
              </w:tc>
            </w:tr>
            <w:tr w:rsidR="00367B0B" w14:paraId="3046C567" w14:textId="77777777" w:rsidTr="001C636C">
              <w:trPr>
                <w:trHeight w:val="194"/>
                <w:jc w:val="center"/>
              </w:trPr>
              <w:tc>
                <w:tcPr>
                  <w:tcW w:w="8046"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B874AA1" w14:textId="77777777" w:rsidR="00367B0B" w:rsidRDefault="00367B0B" w:rsidP="001C636C">
                  <w:pPr>
                    <w:keepNext/>
                  </w:pPr>
                  <w:r>
                    <w:rPr>
                      <w:i/>
                      <w:color w:val="000000"/>
                      <w:sz w:val="16"/>
                    </w:rPr>
                    <w:t xml:space="preserve">Source: 2018 </w:t>
                  </w:r>
                  <w:r w:rsidR="001C636C">
                    <w:rPr>
                      <w:i/>
                      <w:color w:val="000000"/>
                      <w:sz w:val="16"/>
                    </w:rPr>
                    <w:t>and 2019 D&amp;B Data;</w:t>
                  </w:r>
                  <w:r>
                    <w:rPr>
                      <w:i/>
                      <w:color w:val="000000"/>
                      <w:sz w:val="16"/>
                    </w:rPr>
                    <w:t xml:space="preserve"> Bank Data; Due to rounding, totals may not equal 100.0%</w:t>
                  </w:r>
                  <w:r w:rsidR="001C636C">
                    <w:rPr>
                      <w:i/>
                      <w:color w:val="000000"/>
                      <w:sz w:val="16"/>
                    </w:rPr>
                    <w:t>.</w:t>
                  </w:r>
                </w:p>
              </w:tc>
            </w:tr>
          </w:tbl>
          <w:p w14:paraId="260FBBC3" w14:textId="77777777" w:rsidR="00367B0B" w:rsidRDefault="00367B0B" w:rsidP="00367B0B"/>
        </w:tc>
      </w:tr>
    </w:tbl>
    <w:p w14:paraId="3BB54B32" w14:textId="77777777" w:rsidR="00E10916" w:rsidRDefault="00E10916" w:rsidP="00E15DD6"/>
    <w:p w14:paraId="35128C5D" w14:textId="77777777" w:rsidR="00E15DD6" w:rsidRPr="00161EC6" w:rsidRDefault="00E15DD6" w:rsidP="00E15DD6">
      <w:pPr>
        <w:rPr>
          <w:b/>
          <w:bCs/>
          <w:u w:val="single"/>
        </w:rPr>
      </w:pPr>
      <w:r w:rsidRPr="00161EC6">
        <w:rPr>
          <w:b/>
          <w:bCs/>
          <w:u w:val="single"/>
        </w:rPr>
        <w:t>Borrower Profile</w:t>
      </w:r>
    </w:p>
    <w:p w14:paraId="239FA567" w14:textId="77777777" w:rsidR="00E15DD6" w:rsidRDefault="00E15DD6" w:rsidP="00E15DD6">
      <w:pPr>
        <w:rPr>
          <w:iCs/>
          <w:color w:val="000000"/>
        </w:rPr>
      </w:pPr>
    </w:p>
    <w:p w14:paraId="3E991D2F" w14:textId="77777777" w:rsidR="00C836E8" w:rsidRDefault="00C836E8" w:rsidP="00C836E8">
      <w:pPr>
        <w:rPr>
          <w:iCs/>
        </w:rPr>
      </w:pPr>
      <w:r w:rsidRPr="003532A4">
        <w:rPr>
          <w:iCs/>
        </w:rPr>
        <w:t>The distribution of borrowers reflects, given the demogr</w:t>
      </w:r>
      <w:r>
        <w:rPr>
          <w:iCs/>
        </w:rPr>
        <w:t>aphics of the assessment area</w:t>
      </w:r>
      <w:r w:rsidRPr="003532A4">
        <w:rPr>
          <w:iCs/>
        </w:rPr>
        <w:t xml:space="preserve">, </w:t>
      </w:r>
      <w:r>
        <w:rPr>
          <w:iCs/>
        </w:rPr>
        <w:t>reasonable</w:t>
      </w:r>
      <w:r w:rsidRPr="003532A4">
        <w:rPr>
          <w:iCs/>
        </w:rPr>
        <w:t xml:space="preserve"> penetration among individuals of different income levels </w:t>
      </w:r>
      <w:r w:rsidR="0024615F">
        <w:rPr>
          <w:iCs/>
        </w:rPr>
        <w:t xml:space="preserve">(including low- and moderate-income) </w:t>
      </w:r>
      <w:r w:rsidRPr="003532A4">
        <w:rPr>
          <w:iCs/>
        </w:rPr>
        <w:t>and businesses of different sizes.</w:t>
      </w:r>
    </w:p>
    <w:p w14:paraId="130179D4" w14:textId="77777777" w:rsidR="00C836E8" w:rsidRDefault="00C836E8" w:rsidP="00E15DD6">
      <w:pPr>
        <w:rPr>
          <w:iCs/>
          <w:color w:val="000000"/>
        </w:rPr>
      </w:pPr>
    </w:p>
    <w:p w14:paraId="3AAB871E" w14:textId="77777777" w:rsidR="00701A97" w:rsidRPr="00701A97" w:rsidRDefault="00701A97" w:rsidP="00E15DD6">
      <w:pPr>
        <w:rPr>
          <w:b/>
          <w:i/>
          <w:iCs/>
          <w:color w:val="000000"/>
        </w:rPr>
      </w:pPr>
      <w:r>
        <w:rPr>
          <w:b/>
          <w:i/>
          <w:iCs/>
          <w:color w:val="000000"/>
        </w:rPr>
        <w:t>Home Mortgage Loans</w:t>
      </w:r>
    </w:p>
    <w:p w14:paraId="616B6037" w14:textId="77777777" w:rsidR="00701A97" w:rsidRDefault="00701A97" w:rsidP="00E15DD6">
      <w:pPr>
        <w:rPr>
          <w:iCs/>
          <w:color w:val="000000"/>
        </w:rPr>
      </w:pPr>
    </w:p>
    <w:p w14:paraId="6F570168" w14:textId="77777777" w:rsidR="00E10390" w:rsidRDefault="0024615F" w:rsidP="00B41706">
      <w:pPr>
        <w:rPr>
          <w:bCs/>
          <w:color w:val="000000"/>
        </w:rPr>
      </w:pPr>
      <w:r>
        <w:t>The bank’s performance reflects excellent penetration</w:t>
      </w:r>
      <w:r w:rsidR="00E853BF" w:rsidRPr="00552048">
        <w:t xml:space="preserve"> of home mortgage loans to individuals of differe</w:t>
      </w:r>
      <w:r>
        <w:t>nt income levels.  In 2018 and 2019, home mortgage loans</w:t>
      </w:r>
      <w:r w:rsidR="00E853BF">
        <w:t xml:space="preserve"> to low-income borrowers </w:t>
      </w:r>
      <w:r>
        <w:t xml:space="preserve">significantly </w:t>
      </w:r>
      <w:r w:rsidR="00E853BF">
        <w:t>exceeded the aggregate performance</w:t>
      </w:r>
      <w:r w:rsidR="00D820EA">
        <w:t xml:space="preserve">.  In 2018, </w:t>
      </w:r>
      <w:r w:rsidR="00B41706">
        <w:t xml:space="preserve">the level of </w:t>
      </w:r>
      <w:r w:rsidR="00D820EA">
        <w:t xml:space="preserve">home mortgage loans to moderate-income borrowers </w:t>
      </w:r>
      <w:r w:rsidR="00E853BF">
        <w:t xml:space="preserve">was </w:t>
      </w:r>
      <w:r>
        <w:t>similar</w:t>
      </w:r>
      <w:r w:rsidR="00E853BF">
        <w:t xml:space="preserve"> to the aggregate</w:t>
      </w:r>
      <w:r>
        <w:t xml:space="preserve"> performance </w:t>
      </w:r>
      <w:r w:rsidR="00D820EA">
        <w:t xml:space="preserve">and exceeded the percentage of families. </w:t>
      </w:r>
      <w:r w:rsidR="00E853BF">
        <w:t xml:space="preserve"> In 2019, </w:t>
      </w:r>
      <w:r w:rsidR="00D820EA">
        <w:t xml:space="preserve">home mortgage loans to </w:t>
      </w:r>
      <w:r w:rsidR="00E853BF">
        <w:t xml:space="preserve">moderate-income borrowers exceeded both the </w:t>
      </w:r>
      <w:r w:rsidR="00D820EA">
        <w:t xml:space="preserve">aggregate performance and </w:t>
      </w:r>
      <w:r w:rsidR="00B41706">
        <w:t xml:space="preserve">the </w:t>
      </w:r>
      <w:r w:rsidR="00D820EA">
        <w:t>percentage of families.</w:t>
      </w:r>
      <w:r w:rsidR="00B41706">
        <w:t xml:space="preserve">  </w:t>
      </w:r>
      <w:r w:rsidR="00D820EA">
        <w:rPr>
          <w:bCs/>
          <w:color w:val="000000"/>
        </w:rPr>
        <w:t>Despite</w:t>
      </w:r>
      <w:r w:rsidR="00E10390">
        <w:rPr>
          <w:bCs/>
          <w:color w:val="000000"/>
        </w:rPr>
        <w:t xml:space="preserve"> </w:t>
      </w:r>
      <w:r w:rsidR="00D820EA">
        <w:rPr>
          <w:bCs/>
          <w:color w:val="000000"/>
        </w:rPr>
        <w:t>the high competition from large</w:t>
      </w:r>
      <w:r w:rsidR="00E10390">
        <w:rPr>
          <w:bCs/>
          <w:color w:val="000000"/>
        </w:rPr>
        <w:t xml:space="preserve"> financial ins</w:t>
      </w:r>
      <w:r w:rsidR="0005122E">
        <w:rPr>
          <w:bCs/>
          <w:color w:val="000000"/>
        </w:rPr>
        <w:t>titutions</w:t>
      </w:r>
      <w:r w:rsidR="00D820EA">
        <w:rPr>
          <w:bCs/>
          <w:color w:val="000000"/>
        </w:rPr>
        <w:t xml:space="preserve"> and non-bank mortgage lenders</w:t>
      </w:r>
      <w:r w:rsidR="0005122E">
        <w:rPr>
          <w:bCs/>
          <w:color w:val="000000"/>
        </w:rPr>
        <w:t xml:space="preserve">, </w:t>
      </w:r>
      <w:r w:rsidR="00D820EA">
        <w:rPr>
          <w:bCs/>
          <w:color w:val="000000"/>
        </w:rPr>
        <w:t xml:space="preserve">the </w:t>
      </w:r>
      <w:r w:rsidR="00B41706">
        <w:rPr>
          <w:bCs/>
          <w:color w:val="000000"/>
        </w:rPr>
        <w:t xml:space="preserve">bank achieved </w:t>
      </w:r>
      <w:r w:rsidR="00D820EA">
        <w:rPr>
          <w:bCs/>
          <w:color w:val="000000"/>
        </w:rPr>
        <w:t>strong performance among borrowers of different income levels</w:t>
      </w:r>
      <w:r w:rsidR="00B41706" w:rsidRPr="00B41706">
        <w:rPr>
          <w:bCs/>
          <w:color w:val="000000"/>
        </w:rPr>
        <w:t xml:space="preserve"> </w:t>
      </w:r>
      <w:r w:rsidR="00B41706">
        <w:rPr>
          <w:bCs/>
          <w:color w:val="000000"/>
        </w:rPr>
        <w:t>in both years, which</w:t>
      </w:r>
      <w:r w:rsidR="00D820EA">
        <w:rPr>
          <w:bCs/>
          <w:color w:val="000000"/>
        </w:rPr>
        <w:t xml:space="preserve"> supports the </w:t>
      </w:r>
      <w:r w:rsidR="00B41706">
        <w:rPr>
          <w:bCs/>
          <w:color w:val="000000"/>
        </w:rPr>
        <w:t xml:space="preserve">overall </w:t>
      </w:r>
      <w:r w:rsidR="00D820EA">
        <w:rPr>
          <w:bCs/>
          <w:color w:val="000000"/>
        </w:rPr>
        <w:t xml:space="preserve">conclusion. </w:t>
      </w:r>
      <w:r w:rsidR="00E10390">
        <w:rPr>
          <w:bCs/>
          <w:color w:val="000000"/>
        </w:rPr>
        <w:t xml:space="preserve">   </w:t>
      </w:r>
    </w:p>
    <w:p w14:paraId="77DDF467" w14:textId="77777777" w:rsidR="00E853BF" w:rsidRDefault="00E853BF" w:rsidP="00E15DD6">
      <w:pPr>
        <w:rPr>
          <w:iCs/>
          <w:color w:val="000000"/>
        </w:rPr>
      </w:pPr>
    </w:p>
    <w:p w14:paraId="18F61CEA" w14:textId="77777777" w:rsidR="00CE48CD" w:rsidRPr="00262038" w:rsidRDefault="00CE48CD" w:rsidP="00CE48CD">
      <w:pPr>
        <w:ind w:right="-270"/>
        <w:rPr>
          <w:bCs/>
          <w:color w:val="000000"/>
        </w:rPr>
      </w:pPr>
      <w:r>
        <w:rPr>
          <w:bCs/>
          <w:color w:val="000000"/>
        </w:rPr>
        <w:lastRenderedPageBreak/>
        <w:t xml:space="preserve">The </w:t>
      </w:r>
      <w:r w:rsidR="00D820EA">
        <w:rPr>
          <w:bCs/>
          <w:color w:val="000000"/>
        </w:rPr>
        <w:t xml:space="preserve">following table illustrates the home mortgage lending activity among borrowers of different income levels within the assessment area. </w:t>
      </w:r>
    </w:p>
    <w:p w14:paraId="34BFFC79" w14:textId="77777777" w:rsidR="00CE48CD" w:rsidRPr="00701A97" w:rsidRDefault="00CE48CD" w:rsidP="00CE48CD"/>
    <w:tbl>
      <w:tblPr>
        <w:tblW w:w="0" w:type="auto"/>
        <w:tblCellMar>
          <w:left w:w="0" w:type="dxa"/>
          <w:right w:w="0" w:type="dxa"/>
        </w:tblCellMar>
        <w:tblLook w:val="0000" w:firstRow="0" w:lastRow="0" w:firstColumn="0" w:lastColumn="0" w:noHBand="0" w:noVBand="0"/>
      </w:tblPr>
      <w:tblGrid>
        <w:gridCol w:w="2304"/>
        <w:gridCol w:w="1440"/>
        <w:gridCol w:w="1440"/>
        <w:gridCol w:w="1152"/>
        <w:gridCol w:w="1008"/>
        <w:gridCol w:w="1152"/>
        <w:gridCol w:w="1008"/>
      </w:tblGrid>
      <w:tr w:rsidR="00915DFB" w:rsidRPr="00915DFB" w14:paraId="399A18BD" w14:textId="77777777" w:rsidTr="00FF6663">
        <w:trPr>
          <w:trHeight w:val="466"/>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44458207" w14:textId="77777777" w:rsidR="00915DFB" w:rsidRPr="00915DFB" w:rsidRDefault="00915DFB" w:rsidP="00915DFB">
            <w:pPr>
              <w:jc w:val="center"/>
              <w:rPr>
                <w:sz w:val="20"/>
                <w:szCs w:val="20"/>
              </w:rPr>
            </w:pPr>
            <w:r w:rsidRPr="00915DFB">
              <w:rPr>
                <w:b/>
                <w:color w:val="000000"/>
                <w:sz w:val="20"/>
                <w:szCs w:val="20"/>
              </w:rPr>
              <w:t>Distribution of Home Mortgage Loans by Borrower Income Level</w:t>
            </w:r>
          </w:p>
        </w:tc>
      </w:tr>
      <w:tr w:rsidR="00915DFB" w:rsidRPr="00915DFB" w14:paraId="082BA513" w14:textId="77777777" w:rsidTr="00F94A72">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B3EE76" w14:textId="77777777" w:rsidR="00915DFB" w:rsidRPr="00915DFB" w:rsidRDefault="00915DFB" w:rsidP="00915DFB">
            <w:pPr>
              <w:rPr>
                <w:sz w:val="20"/>
                <w:szCs w:val="20"/>
              </w:rPr>
            </w:pPr>
            <w:r w:rsidRPr="00915DFB">
              <w:rPr>
                <w:b/>
                <w:color w:val="000000"/>
                <w:sz w:val="20"/>
                <w:szCs w:val="20"/>
              </w:rPr>
              <w:t>Borrower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D022F8" w14:textId="77777777" w:rsidR="00915DFB" w:rsidRPr="00915DFB" w:rsidRDefault="00915DFB" w:rsidP="00915DFB">
            <w:pPr>
              <w:jc w:val="center"/>
              <w:rPr>
                <w:sz w:val="20"/>
                <w:szCs w:val="20"/>
              </w:rPr>
            </w:pPr>
            <w:r w:rsidRPr="00915DFB">
              <w:rPr>
                <w:b/>
                <w:color w:val="000000"/>
                <w:sz w:val="20"/>
                <w:szCs w:val="20"/>
              </w:rPr>
              <w:t>% of  Families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DA78D5" w14:textId="77777777" w:rsidR="00915DFB" w:rsidRPr="00915DFB" w:rsidRDefault="00915DFB" w:rsidP="00915DFB">
            <w:pPr>
              <w:jc w:val="center"/>
              <w:rPr>
                <w:sz w:val="20"/>
                <w:szCs w:val="20"/>
              </w:rPr>
            </w:pPr>
            <w:r w:rsidRPr="00915DFB">
              <w:rPr>
                <w:b/>
                <w:color w:val="000000"/>
                <w:sz w:val="20"/>
                <w:szCs w:val="20"/>
              </w:rPr>
              <w:t>Aggregate Performance</w:t>
            </w:r>
            <w:r w:rsidRPr="00915DFB">
              <w:rPr>
                <w:b/>
                <w:color w:val="000000"/>
                <w:sz w:val="20"/>
                <w:szCs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5A5D37" w14:textId="77777777" w:rsidR="00915DFB" w:rsidRPr="00915DFB" w:rsidRDefault="00915DFB" w:rsidP="00915DFB">
            <w:pPr>
              <w:jc w:val="center"/>
              <w:rPr>
                <w:sz w:val="20"/>
                <w:szCs w:val="20"/>
              </w:rPr>
            </w:pPr>
            <w:r w:rsidRPr="00915DFB">
              <w:rPr>
                <w:b/>
                <w:color w:val="000000"/>
                <w:sz w:val="20"/>
                <w:szCs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B6FF03" w14:textId="77777777" w:rsidR="00915DFB" w:rsidRPr="00915DFB" w:rsidRDefault="00915DFB" w:rsidP="00915DFB">
            <w:pPr>
              <w:jc w:val="center"/>
              <w:rPr>
                <w:sz w:val="20"/>
                <w:szCs w:val="20"/>
              </w:rPr>
            </w:pPr>
            <w:r w:rsidRPr="00915DFB">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6215FE" w14:textId="77777777" w:rsidR="00915DFB" w:rsidRPr="00915DFB" w:rsidRDefault="00915DFB" w:rsidP="00915DFB">
            <w:pPr>
              <w:jc w:val="center"/>
              <w:rPr>
                <w:sz w:val="20"/>
                <w:szCs w:val="20"/>
              </w:rPr>
            </w:pPr>
            <w:r w:rsidRPr="00915DFB">
              <w:rPr>
                <w:b/>
                <w:color w:val="000000"/>
                <w:sz w:val="20"/>
                <w:szCs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F28D83" w14:textId="77777777" w:rsidR="00915DFB" w:rsidRPr="00915DFB" w:rsidRDefault="00915DFB" w:rsidP="00915DFB">
            <w:pPr>
              <w:jc w:val="center"/>
              <w:rPr>
                <w:sz w:val="20"/>
                <w:szCs w:val="20"/>
              </w:rPr>
            </w:pPr>
            <w:r w:rsidRPr="00915DFB">
              <w:rPr>
                <w:b/>
                <w:color w:val="000000"/>
                <w:sz w:val="20"/>
                <w:szCs w:val="20"/>
              </w:rPr>
              <w:t>%</w:t>
            </w:r>
          </w:p>
        </w:tc>
      </w:tr>
      <w:tr w:rsidR="00915DFB" w:rsidRPr="00915DFB" w14:paraId="5E8B782E"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686C26" w14:textId="77777777" w:rsidR="00915DFB" w:rsidRPr="00915DFB" w:rsidRDefault="00915DFB" w:rsidP="00915DFB">
            <w:pPr>
              <w:rPr>
                <w:sz w:val="20"/>
                <w:szCs w:val="20"/>
              </w:rPr>
            </w:pPr>
            <w:r w:rsidRPr="00915DFB">
              <w:rPr>
                <w:color w:val="000000"/>
                <w:sz w:val="20"/>
                <w:szCs w:val="20"/>
              </w:rPr>
              <w:t>Low</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9A1A7" w14:textId="77777777" w:rsidR="00915DFB" w:rsidRPr="00915DFB" w:rsidRDefault="00915DFB" w:rsidP="00915DFB">
            <w:pPr>
              <w:rPr>
                <w:sz w:val="20"/>
                <w:szCs w:val="20"/>
              </w:rPr>
            </w:pPr>
          </w:p>
        </w:tc>
      </w:tr>
      <w:tr w:rsidR="00915DFB" w:rsidRPr="00915DFB" w14:paraId="67079722"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78E67EF" w14:textId="77777777" w:rsidR="00915DFB" w:rsidRPr="00915DFB" w:rsidRDefault="00915DFB" w:rsidP="00915DFB">
            <w:pPr>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612E5" w14:textId="77777777" w:rsidR="00915DFB" w:rsidRPr="00915DFB" w:rsidRDefault="00915DFB" w:rsidP="00915DFB">
            <w:pPr>
              <w:jc w:val="center"/>
              <w:rPr>
                <w:sz w:val="20"/>
                <w:szCs w:val="20"/>
              </w:rPr>
            </w:pPr>
            <w:r w:rsidRPr="00915DFB">
              <w:rPr>
                <w:color w:val="000000"/>
                <w:sz w:val="20"/>
                <w:szCs w:val="20"/>
              </w:rPr>
              <w:t>19.7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F9137" w14:textId="77777777" w:rsidR="00915DFB" w:rsidRPr="00915DFB" w:rsidRDefault="00915DFB" w:rsidP="00915DFB">
            <w:pPr>
              <w:jc w:val="center"/>
              <w:rPr>
                <w:sz w:val="20"/>
                <w:szCs w:val="20"/>
              </w:rPr>
            </w:pPr>
            <w:r w:rsidRPr="00915DFB">
              <w:rPr>
                <w:color w:val="000000"/>
                <w:sz w:val="20"/>
                <w:szCs w:val="20"/>
              </w:rPr>
              <w:t>5.8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2C365" w14:textId="77777777" w:rsidR="00915DFB" w:rsidRPr="00915DFB" w:rsidRDefault="00915DFB" w:rsidP="00915DFB">
            <w:pPr>
              <w:jc w:val="center"/>
              <w:rPr>
                <w:sz w:val="20"/>
                <w:szCs w:val="20"/>
              </w:rPr>
            </w:pPr>
            <w:r w:rsidRPr="00915DFB">
              <w:rPr>
                <w:color w:val="000000"/>
                <w:sz w:val="20"/>
                <w:szCs w:val="20"/>
              </w:rPr>
              <w:t>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EE06C" w14:textId="77777777" w:rsidR="00915DFB" w:rsidRPr="00915DFB" w:rsidRDefault="00915DFB" w:rsidP="00915DFB">
            <w:pPr>
              <w:jc w:val="center"/>
              <w:rPr>
                <w:sz w:val="20"/>
                <w:szCs w:val="20"/>
              </w:rPr>
            </w:pPr>
            <w:r w:rsidRPr="00915DFB">
              <w:rPr>
                <w:color w:val="000000"/>
                <w:sz w:val="20"/>
                <w:szCs w:val="20"/>
              </w:rPr>
              <w:t>12.0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443D6" w14:textId="77777777" w:rsidR="00915DFB" w:rsidRPr="00915DFB" w:rsidRDefault="00915DFB" w:rsidP="00915DFB">
            <w:pPr>
              <w:jc w:val="center"/>
              <w:rPr>
                <w:sz w:val="20"/>
                <w:szCs w:val="20"/>
              </w:rPr>
            </w:pPr>
            <w:r w:rsidRPr="00915DFB">
              <w:rPr>
                <w:color w:val="000000"/>
                <w:sz w:val="20"/>
                <w:szCs w:val="20"/>
              </w:rPr>
              <w:t>2,187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2FDB" w14:textId="77777777" w:rsidR="00915DFB" w:rsidRPr="00915DFB" w:rsidRDefault="00915DFB" w:rsidP="00915DFB">
            <w:pPr>
              <w:jc w:val="center"/>
              <w:rPr>
                <w:sz w:val="20"/>
                <w:szCs w:val="20"/>
              </w:rPr>
            </w:pPr>
            <w:r w:rsidRPr="00915DFB">
              <w:rPr>
                <w:color w:val="000000"/>
                <w:sz w:val="20"/>
                <w:szCs w:val="20"/>
              </w:rPr>
              <w:t>8.2</w:t>
            </w:r>
          </w:p>
        </w:tc>
      </w:tr>
      <w:tr w:rsidR="00915DFB" w:rsidRPr="00915DFB" w14:paraId="6FDF3482"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93DE47F" w14:textId="77777777" w:rsidR="00915DFB" w:rsidRPr="00915DFB" w:rsidRDefault="00915DFB" w:rsidP="00915DFB">
            <w:pPr>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9A41" w14:textId="77777777" w:rsidR="00915DFB" w:rsidRPr="00915DFB" w:rsidRDefault="00915DFB" w:rsidP="00915DFB">
            <w:pPr>
              <w:jc w:val="center"/>
              <w:rPr>
                <w:sz w:val="20"/>
                <w:szCs w:val="20"/>
              </w:rPr>
            </w:pPr>
            <w:r w:rsidRPr="00915DFB">
              <w:rPr>
                <w:color w:val="000000"/>
                <w:sz w:val="20"/>
                <w:szCs w:val="20"/>
              </w:rPr>
              <w:t>19.7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7957" w14:textId="77777777" w:rsidR="00915DFB" w:rsidRPr="00915DFB" w:rsidRDefault="00915DFB" w:rsidP="00915DFB">
            <w:pPr>
              <w:jc w:val="center"/>
              <w:rPr>
                <w:sz w:val="20"/>
                <w:szCs w:val="20"/>
              </w:rPr>
            </w:pPr>
            <w:r w:rsidRPr="00915DFB">
              <w:rPr>
                <w:color w:val="000000"/>
                <w:sz w:val="20"/>
                <w:szCs w:val="20"/>
              </w:rPr>
              <w:t>6.7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8F49E" w14:textId="77777777" w:rsidR="00915DFB" w:rsidRPr="00915DFB" w:rsidRDefault="00915DFB" w:rsidP="00915DFB">
            <w:pPr>
              <w:jc w:val="center"/>
              <w:rPr>
                <w:sz w:val="20"/>
                <w:szCs w:val="20"/>
              </w:rPr>
            </w:pPr>
            <w:r w:rsidRPr="00915DFB">
              <w:rPr>
                <w:color w:val="000000"/>
                <w:sz w:val="20"/>
                <w:szCs w:val="20"/>
              </w:rPr>
              <w:t>26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2E76" w14:textId="77777777" w:rsidR="00915DFB" w:rsidRPr="00915DFB" w:rsidRDefault="00915DFB" w:rsidP="00915DFB">
            <w:pPr>
              <w:jc w:val="center"/>
              <w:rPr>
                <w:sz w:val="20"/>
                <w:szCs w:val="20"/>
              </w:rPr>
            </w:pPr>
            <w:r w:rsidRPr="00915DFB">
              <w:rPr>
                <w:color w:val="000000"/>
                <w:sz w:val="20"/>
                <w:szCs w:val="20"/>
              </w:rPr>
              <w:t>13.4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C2F45" w14:textId="77777777" w:rsidR="00915DFB" w:rsidRPr="00915DFB" w:rsidRDefault="00915DFB" w:rsidP="00915DFB">
            <w:pPr>
              <w:jc w:val="center"/>
              <w:rPr>
                <w:sz w:val="20"/>
                <w:szCs w:val="20"/>
              </w:rPr>
            </w:pPr>
            <w:r w:rsidRPr="00915DFB">
              <w:rPr>
                <w:color w:val="000000"/>
                <w:sz w:val="20"/>
                <w:szCs w:val="20"/>
              </w:rPr>
              <w:t>2,593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5212" w14:textId="77777777" w:rsidR="00915DFB" w:rsidRPr="00915DFB" w:rsidRDefault="00915DFB" w:rsidP="00915DFB">
            <w:pPr>
              <w:jc w:val="center"/>
              <w:rPr>
                <w:sz w:val="20"/>
                <w:szCs w:val="20"/>
              </w:rPr>
            </w:pPr>
            <w:r w:rsidRPr="00915DFB">
              <w:rPr>
                <w:color w:val="000000"/>
                <w:sz w:val="20"/>
                <w:szCs w:val="20"/>
              </w:rPr>
              <w:t>7.0</w:t>
            </w:r>
          </w:p>
        </w:tc>
      </w:tr>
      <w:tr w:rsidR="00915DFB" w:rsidRPr="00915DFB" w14:paraId="6C40D795"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EE535D" w14:textId="77777777" w:rsidR="00915DFB" w:rsidRPr="00915DFB" w:rsidRDefault="00915DFB" w:rsidP="00915DFB">
            <w:pPr>
              <w:rPr>
                <w:sz w:val="20"/>
                <w:szCs w:val="20"/>
              </w:rPr>
            </w:pPr>
            <w:r w:rsidRPr="00915DFB">
              <w:rPr>
                <w:color w:val="000000"/>
                <w:sz w:val="20"/>
                <w:szCs w:val="20"/>
              </w:rPr>
              <w:t>Moderate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059B" w14:textId="77777777" w:rsidR="00915DFB" w:rsidRPr="00915DFB" w:rsidRDefault="00915DFB" w:rsidP="00915DFB">
            <w:pPr>
              <w:rPr>
                <w:sz w:val="20"/>
                <w:szCs w:val="20"/>
              </w:rPr>
            </w:pPr>
          </w:p>
        </w:tc>
      </w:tr>
      <w:tr w:rsidR="00915DFB" w:rsidRPr="00915DFB" w14:paraId="4D214804"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E9B6BE3" w14:textId="77777777" w:rsidR="00915DFB" w:rsidRPr="00915DFB" w:rsidRDefault="00915DFB" w:rsidP="00915DFB">
            <w:pPr>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6A792" w14:textId="77777777" w:rsidR="00915DFB" w:rsidRPr="00915DFB" w:rsidRDefault="00915DFB" w:rsidP="00915DFB">
            <w:pPr>
              <w:jc w:val="center"/>
              <w:rPr>
                <w:sz w:val="20"/>
                <w:szCs w:val="20"/>
              </w:rPr>
            </w:pPr>
            <w:r w:rsidRPr="00915DFB">
              <w:rPr>
                <w:color w:val="000000"/>
                <w:sz w:val="20"/>
                <w:szCs w:val="20"/>
              </w:rPr>
              <w:t>15.7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79082" w14:textId="77777777" w:rsidR="00915DFB" w:rsidRPr="00915DFB" w:rsidRDefault="00915DFB" w:rsidP="00915DFB">
            <w:pPr>
              <w:jc w:val="center"/>
              <w:rPr>
                <w:sz w:val="20"/>
                <w:szCs w:val="20"/>
              </w:rPr>
            </w:pPr>
            <w:r w:rsidRPr="00915DFB">
              <w:rPr>
                <w:color w:val="000000"/>
                <w:sz w:val="20"/>
                <w:szCs w:val="20"/>
              </w:rPr>
              <w:t>19.5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D0D3" w14:textId="77777777" w:rsidR="00915DFB" w:rsidRPr="00915DFB" w:rsidRDefault="00915DFB" w:rsidP="00915DFB">
            <w:pPr>
              <w:jc w:val="center"/>
              <w:rPr>
                <w:sz w:val="20"/>
                <w:szCs w:val="20"/>
              </w:rPr>
            </w:pPr>
            <w:r w:rsidRPr="00915DFB">
              <w:rPr>
                <w:color w:val="000000"/>
                <w:sz w:val="20"/>
                <w:szCs w:val="20"/>
              </w:rPr>
              <w:t>30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0365" w14:textId="77777777" w:rsidR="00915DFB" w:rsidRPr="00915DFB" w:rsidRDefault="00915DFB" w:rsidP="00915DFB">
            <w:pPr>
              <w:jc w:val="center"/>
              <w:rPr>
                <w:sz w:val="20"/>
                <w:szCs w:val="20"/>
              </w:rPr>
            </w:pPr>
            <w:r w:rsidRPr="00915DFB">
              <w:rPr>
                <w:color w:val="000000"/>
                <w:sz w:val="20"/>
                <w:szCs w:val="20"/>
              </w:rPr>
              <w:t>19.0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243D" w14:textId="77777777" w:rsidR="00915DFB" w:rsidRPr="00915DFB" w:rsidRDefault="00915DFB" w:rsidP="00915DFB">
            <w:pPr>
              <w:jc w:val="center"/>
              <w:rPr>
                <w:sz w:val="20"/>
                <w:szCs w:val="20"/>
              </w:rPr>
            </w:pPr>
            <w:r w:rsidRPr="00915DFB">
              <w:rPr>
                <w:color w:val="000000"/>
                <w:sz w:val="20"/>
                <w:szCs w:val="20"/>
              </w:rPr>
              <w:t>4,153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11D64" w14:textId="77777777" w:rsidR="00915DFB" w:rsidRPr="00915DFB" w:rsidRDefault="00915DFB" w:rsidP="00915DFB">
            <w:pPr>
              <w:jc w:val="center"/>
              <w:rPr>
                <w:sz w:val="20"/>
                <w:szCs w:val="20"/>
              </w:rPr>
            </w:pPr>
            <w:r w:rsidRPr="00915DFB">
              <w:rPr>
                <w:color w:val="000000"/>
                <w:sz w:val="20"/>
                <w:szCs w:val="20"/>
              </w:rPr>
              <w:t>15.7</w:t>
            </w:r>
          </w:p>
        </w:tc>
      </w:tr>
      <w:tr w:rsidR="00915DFB" w:rsidRPr="00915DFB" w14:paraId="7B258703"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D48E42" w14:textId="77777777" w:rsidR="00915DFB" w:rsidRPr="00915DFB" w:rsidRDefault="00915DFB" w:rsidP="00915DFB">
            <w:pPr>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2346C" w14:textId="77777777" w:rsidR="00915DFB" w:rsidRPr="00915DFB" w:rsidRDefault="00915DFB" w:rsidP="00915DFB">
            <w:pPr>
              <w:jc w:val="center"/>
              <w:rPr>
                <w:sz w:val="20"/>
                <w:szCs w:val="20"/>
              </w:rPr>
            </w:pPr>
            <w:r w:rsidRPr="00915DFB">
              <w:rPr>
                <w:color w:val="000000"/>
                <w:sz w:val="20"/>
                <w:szCs w:val="20"/>
              </w:rPr>
              <w:t>15.7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1E0C9" w14:textId="77777777" w:rsidR="00915DFB" w:rsidRPr="00915DFB" w:rsidRDefault="00915DFB" w:rsidP="00915DFB">
            <w:pPr>
              <w:jc w:val="center"/>
              <w:rPr>
                <w:sz w:val="20"/>
                <w:szCs w:val="20"/>
              </w:rPr>
            </w:pPr>
            <w:r w:rsidRPr="00915DFB">
              <w:rPr>
                <w:color w:val="000000"/>
                <w:sz w:val="20"/>
                <w:szCs w:val="20"/>
              </w:rPr>
              <w:t>21.8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958CA" w14:textId="77777777" w:rsidR="00915DFB" w:rsidRPr="00915DFB" w:rsidRDefault="00915DFB" w:rsidP="00915DFB">
            <w:pPr>
              <w:jc w:val="center"/>
              <w:rPr>
                <w:sz w:val="20"/>
                <w:szCs w:val="20"/>
              </w:rPr>
            </w:pPr>
            <w:r w:rsidRPr="00915DFB">
              <w:rPr>
                <w:color w:val="000000"/>
                <w:sz w:val="20"/>
                <w:szCs w:val="20"/>
              </w:rPr>
              <w:t>43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E1B8" w14:textId="77777777" w:rsidR="00915DFB" w:rsidRPr="00915DFB" w:rsidRDefault="00915DFB" w:rsidP="00915DFB">
            <w:pPr>
              <w:jc w:val="center"/>
              <w:rPr>
                <w:sz w:val="20"/>
                <w:szCs w:val="20"/>
              </w:rPr>
            </w:pPr>
            <w:r w:rsidRPr="00915DFB">
              <w:rPr>
                <w:color w:val="000000"/>
                <w:sz w:val="20"/>
                <w:szCs w:val="20"/>
              </w:rPr>
              <w:t>22.2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353B7" w14:textId="77777777" w:rsidR="00915DFB" w:rsidRPr="00915DFB" w:rsidRDefault="00915DFB" w:rsidP="00915DFB">
            <w:pPr>
              <w:jc w:val="center"/>
              <w:rPr>
                <w:sz w:val="20"/>
                <w:szCs w:val="20"/>
              </w:rPr>
            </w:pPr>
            <w:r w:rsidRPr="00915DFB">
              <w:rPr>
                <w:color w:val="000000"/>
                <w:sz w:val="20"/>
                <w:szCs w:val="20"/>
              </w:rPr>
              <w:t>5,614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F87B1" w14:textId="77777777" w:rsidR="00915DFB" w:rsidRPr="00915DFB" w:rsidRDefault="00915DFB" w:rsidP="00915DFB">
            <w:pPr>
              <w:jc w:val="center"/>
              <w:rPr>
                <w:sz w:val="20"/>
                <w:szCs w:val="20"/>
              </w:rPr>
            </w:pPr>
            <w:r w:rsidRPr="00915DFB">
              <w:rPr>
                <w:color w:val="000000"/>
                <w:sz w:val="20"/>
                <w:szCs w:val="20"/>
              </w:rPr>
              <w:t>15.1</w:t>
            </w:r>
          </w:p>
        </w:tc>
      </w:tr>
      <w:tr w:rsidR="00915DFB" w:rsidRPr="00915DFB" w14:paraId="4332BE79"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B965A3" w14:textId="77777777" w:rsidR="00915DFB" w:rsidRPr="00915DFB" w:rsidRDefault="00915DFB" w:rsidP="00915DFB">
            <w:pPr>
              <w:rPr>
                <w:sz w:val="20"/>
                <w:szCs w:val="20"/>
              </w:rPr>
            </w:pPr>
            <w:r w:rsidRPr="00915DFB">
              <w:rPr>
                <w:color w:val="000000"/>
                <w:sz w:val="20"/>
                <w:szCs w:val="20"/>
              </w:rPr>
              <w:t>Middle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1F9F" w14:textId="77777777" w:rsidR="00915DFB" w:rsidRPr="00915DFB" w:rsidRDefault="00915DFB" w:rsidP="00915DFB">
            <w:pPr>
              <w:rPr>
                <w:sz w:val="20"/>
                <w:szCs w:val="20"/>
              </w:rPr>
            </w:pPr>
          </w:p>
        </w:tc>
      </w:tr>
      <w:tr w:rsidR="00915DFB" w:rsidRPr="00915DFB" w14:paraId="3B24C84A"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C20C24" w14:textId="77777777" w:rsidR="00915DFB" w:rsidRPr="00915DFB" w:rsidRDefault="00915DFB" w:rsidP="00915DFB">
            <w:pPr>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86EF0" w14:textId="77777777" w:rsidR="00915DFB" w:rsidRPr="00915DFB" w:rsidRDefault="00915DFB" w:rsidP="00915DFB">
            <w:pPr>
              <w:jc w:val="center"/>
              <w:rPr>
                <w:sz w:val="20"/>
                <w:szCs w:val="20"/>
              </w:rPr>
            </w:pPr>
            <w:r w:rsidRPr="00915DFB">
              <w:rPr>
                <w:color w:val="000000"/>
                <w:sz w:val="20"/>
                <w:szCs w:val="20"/>
              </w:rPr>
              <w:t>20.4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4A6F5" w14:textId="77777777" w:rsidR="00915DFB" w:rsidRPr="00915DFB" w:rsidRDefault="00915DFB" w:rsidP="00915DFB">
            <w:pPr>
              <w:jc w:val="center"/>
              <w:rPr>
                <w:sz w:val="20"/>
                <w:szCs w:val="20"/>
              </w:rPr>
            </w:pPr>
            <w:r w:rsidRPr="00915DFB">
              <w:rPr>
                <w:color w:val="000000"/>
                <w:sz w:val="20"/>
                <w:szCs w:val="20"/>
              </w:rPr>
              <w:t>26.6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5E090" w14:textId="77777777" w:rsidR="00915DFB" w:rsidRPr="00915DFB" w:rsidRDefault="00915DFB" w:rsidP="00915DFB">
            <w:pPr>
              <w:jc w:val="center"/>
              <w:rPr>
                <w:sz w:val="20"/>
                <w:szCs w:val="20"/>
              </w:rPr>
            </w:pPr>
            <w:r w:rsidRPr="00915DFB">
              <w:rPr>
                <w:color w:val="000000"/>
                <w:sz w:val="20"/>
                <w:szCs w:val="20"/>
              </w:rPr>
              <w:t>53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F32A" w14:textId="77777777" w:rsidR="00915DFB" w:rsidRPr="00915DFB" w:rsidRDefault="00915DFB" w:rsidP="00915DFB">
            <w:pPr>
              <w:jc w:val="center"/>
              <w:rPr>
                <w:sz w:val="20"/>
                <w:szCs w:val="20"/>
              </w:rPr>
            </w:pPr>
            <w:r w:rsidRPr="00915DFB">
              <w:rPr>
                <w:color w:val="000000"/>
                <w:sz w:val="20"/>
                <w:szCs w:val="20"/>
              </w:rPr>
              <w:t>33.5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8007" w14:textId="77777777" w:rsidR="00915DFB" w:rsidRPr="00915DFB" w:rsidRDefault="00915DFB" w:rsidP="00915DFB">
            <w:pPr>
              <w:jc w:val="center"/>
              <w:rPr>
                <w:sz w:val="20"/>
                <w:szCs w:val="20"/>
              </w:rPr>
            </w:pPr>
            <w:r w:rsidRPr="00915DFB">
              <w:rPr>
                <w:color w:val="000000"/>
                <w:sz w:val="20"/>
                <w:szCs w:val="20"/>
              </w:rPr>
              <w:t>8,142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96A6D" w14:textId="77777777" w:rsidR="00915DFB" w:rsidRPr="00915DFB" w:rsidRDefault="00915DFB" w:rsidP="00915DFB">
            <w:pPr>
              <w:jc w:val="center"/>
              <w:rPr>
                <w:sz w:val="20"/>
                <w:szCs w:val="20"/>
              </w:rPr>
            </w:pPr>
            <w:r w:rsidRPr="00915DFB">
              <w:rPr>
                <w:color w:val="000000"/>
                <w:sz w:val="20"/>
                <w:szCs w:val="20"/>
              </w:rPr>
              <w:t>30.7</w:t>
            </w:r>
          </w:p>
        </w:tc>
      </w:tr>
      <w:tr w:rsidR="00915DFB" w:rsidRPr="00915DFB" w14:paraId="4AB90E17"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D249FEB" w14:textId="77777777" w:rsidR="00915DFB" w:rsidRPr="00915DFB" w:rsidRDefault="00915DFB" w:rsidP="00915DFB">
            <w:pPr>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7B676" w14:textId="77777777" w:rsidR="00915DFB" w:rsidRPr="00915DFB" w:rsidRDefault="00915DFB" w:rsidP="00915DFB">
            <w:pPr>
              <w:jc w:val="center"/>
              <w:rPr>
                <w:sz w:val="20"/>
                <w:szCs w:val="20"/>
              </w:rPr>
            </w:pPr>
            <w:r w:rsidRPr="00915DFB">
              <w:rPr>
                <w:color w:val="000000"/>
                <w:sz w:val="20"/>
                <w:szCs w:val="20"/>
              </w:rPr>
              <w:t>20.4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FC0A2" w14:textId="77777777" w:rsidR="00915DFB" w:rsidRPr="00915DFB" w:rsidRDefault="00915DFB" w:rsidP="00915DFB">
            <w:pPr>
              <w:jc w:val="center"/>
              <w:rPr>
                <w:sz w:val="20"/>
                <w:szCs w:val="20"/>
              </w:rPr>
            </w:pPr>
            <w:r w:rsidRPr="00915DFB">
              <w:rPr>
                <w:color w:val="000000"/>
                <w:sz w:val="20"/>
                <w:szCs w:val="20"/>
              </w:rPr>
              <w:t>24.8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DD2AD" w14:textId="77777777" w:rsidR="00915DFB" w:rsidRPr="00915DFB" w:rsidRDefault="00915DFB" w:rsidP="00915DFB">
            <w:pPr>
              <w:jc w:val="center"/>
              <w:rPr>
                <w:sz w:val="20"/>
                <w:szCs w:val="20"/>
              </w:rPr>
            </w:pPr>
            <w:r w:rsidRPr="00915DFB">
              <w:rPr>
                <w:color w:val="000000"/>
                <w:sz w:val="20"/>
                <w:szCs w:val="20"/>
              </w:rPr>
              <w:t>56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3028" w14:textId="77777777" w:rsidR="00915DFB" w:rsidRPr="00915DFB" w:rsidRDefault="00915DFB" w:rsidP="00915DFB">
            <w:pPr>
              <w:jc w:val="center"/>
              <w:rPr>
                <w:sz w:val="20"/>
                <w:szCs w:val="20"/>
              </w:rPr>
            </w:pPr>
            <w:r w:rsidRPr="00915DFB">
              <w:rPr>
                <w:color w:val="000000"/>
                <w:sz w:val="20"/>
                <w:szCs w:val="20"/>
              </w:rPr>
              <w:t>28.9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C4B5E" w14:textId="77777777" w:rsidR="00915DFB" w:rsidRPr="00915DFB" w:rsidRDefault="00915DFB" w:rsidP="00915DFB">
            <w:pPr>
              <w:jc w:val="center"/>
              <w:rPr>
                <w:sz w:val="20"/>
                <w:szCs w:val="20"/>
              </w:rPr>
            </w:pPr>
            <w:r w:rsidRPr="00915DFB">
              <w:rPr>
                <w:color w:val="000000"/>
                <w:sz w:val="20"/>
                <w:szCs w:val="20"/>
              </w:rPr>
              <w:t>10,923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3103" w14:textId="77777777" w:rsidR="00915DFB" w:rsidRPr="00915DFB" w:rsidRDefault="00915DFB" w:rsidP="00915DFB">
            <w:pPr>
              <w:jc w:val="center"/>
              <w:rPr>
                <w:sz w:val="20"/>
                <w:szCs w:val="20"/>
              </w:rPr>
            </w:pPr>
            <w:r w:rsidRPr="00915DFB">
              <w:rPr>
                <w:color w:val="000000"/>
                <w:sz w:val="20"/>
                <w:szCs w:val="20"/>
              </w:rPr>
              <w:t>29.3</w:t>
            </w:r>
          </w:p>
        </w:tc>
      </w:tr>
      <w:tr w:rsidR="00915DFB" w:rsidRPr="00915DFB" w14:paraId="661D2D36"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5E6591" w14:textId="77777777" w:rsidR="00915DFB" w:rsidRPr="00915DFB" w:rsidRDefault="00915DFB" w:rsidP="00915DFB">
            <w:pPr>
              <w:rPr>
                <w:sz w:val="20"/>
                <w:szCs w:val="20"/>
              </w:rPr>
            </w:pPr>
            <w:r w:rsidRPr="00915DFB">
              <w:rPr>
                <w:color w:val="000000"/>
                <w:sz w:val="20"/>
                <w:szCs w:val="20"/>
              </w:rPr>
              <w:t>Upper</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4405" w14:textId="77777777" w:rsidR="00915DFB" w:rsidRPr="00915DFB" w:rsidRDefault="00915DFB" w:rsidP="00915DFB">
            <w:pPr>
              <w:rPr>
                <w:sz w:val="20"/>
                <w:szCs w:val="20"/>
              </w:rPr>
            </w:pPr>
          </w:p>
        </w:tc>
      </w:tr>
      <w:tr w:rsidR="00915DFB" w:rsidRPr="00915DFB" w14:paraId="0245ACB3"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85C4FB4" w14:textId="77777777" w:rsidR="00915DFB" w:rsidRPr="00915DFB" w:rsidRDefault="00915DFB" w:rsidP="00915DFB">
            <w:pPr>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A731F" w14:textId="77777777" w:rsidR="00915DFB" w:rsidRPr="00915DFB" w:rsidRDefault="00915DFB" w:rsidP="00915DFB">
            <w:pPr>
              <w:jc w:val="center"/>
              <w:rPr>
                <w:sz w:val="20"/>
                <w:szCs w:val="20"/>
              </w:rPr>
            </w:pPr>
            <w:r w:rsidRPr="00915DFB">
              <w:rPr>
                <w:color w:val="000000"/>
                <w:sz w:val="20"/>
                <w:szCs w:val="20"/>
              </w:rPr>
              <w:t>44.2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5816" w14:textId="77777777" w:rsidR="00915DFB" w:rsidRPr="00915DFB" w:rsidRDefault="00915DFB" w:rsidP="00915DFB">
            <w:pPr>
              <w:jc w:val="center"/>
              <w:rPr>
                <w:sz w:val="20"/>
                <w:szCs w:val="20"/>
              </w:rPr>
            </w:pPr>
            <w:r w:rsidRPr="00915DFB">
              <w:rPr>
                <w:color w:val="000000"/>
                <w:sz w:val="20"/>
                <w:szCs w:val="20"/>
              </w:rPr>
              <w:t>35.0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30614" w14:textId="77777777" w:rsidR="00915DFB" w:rsidRPr="00915DFB" w:rsidRDefault="00915DFB" w:rsidP="00915DFB">
            <w:pPr>
              <w:jc w:val="center"/>
              <w:rPr>
                <w:sz w:val="20"/>
                <w:szCs w:val="20"/>
              </w:rPr>
            </w:pPr>
            <w:r w:rsidRPr="00915DFB">
              <w:rPr>
                <w:color w:val="000000"/>
                <w:sz w:val="20"/>
                <w:szCs w:val="20"/>
              </w:rPr>
              <w:t>48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D0F0C" w14:textId="77777777" w:rsidR="00915DFB" w:rsidRPr="00915DFB" w:rsidRDefault="00915DFB" w:rsidP="00915DFB">
            <w:pPr>
              <w:jc w:val="center"/>
              <w:rPr>
                <w:sz w:val="20"/>
                <w:szCs w:val="20"/>
              </w:rPr>
            </w:pPr>
            <w:r w:rsidRPr="00915DFB">
              <w:rPr>
                <w:color w:val="000000"/>
                <w:sz w:val="20"/>
                <w:szCs w:val="20"/>
              </w:rPr>
              <w:t>30.4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71AC5" w14:textId="77777777" w:rsidR="00915DFB" w:rsidRPr="00915DFB" w:rsidRDefault="00915DFB" w:rsidP="00915DFB">
            <w:pPr>
              <w:jc w:val="center"/>
              <w:rPr>
                <w:sz w:val="20"/>
                <w:szCs w:val="20"/>
              </w:rPr>
            </w:pPr>
            <w:r w:rsidRPr="00915DFB">
              <w:rPr>
                <w:color w:val="000000"/>
                <w:sz w:val="20"/>
                <w:szCs w:val="20"/>
              </w:rPr>
              <w:t>10,731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AE87D" w14:textId="77777777" w:rsidR="00915DFB" w:rsidRPr="00915DFB" w:rsidRDefault="00915DFB" w:rsidP="00915DFB">
            <w:pPr>
              <w:jc w:val="center"/>
              <w:rPr>
                <w:sz w:val="20"/>
                <w:szCs w:val="20"/>
              </w:rPr>
            </w:pPr>
            <w:r w:rsidRPr="00915DFB">
              <w:rPr>
                <w:color w:val="000000"/>
                <w:sz w:val="20"/>
                <w:szCs w:val="20"/>
              </w:rPr>
              <w:t>40.4</w:t>
            </w:r>
          </w:p>
        </w:tc>
      </w:tr>
      <w:tr w:rsidR="00915DFB" w:rsidRPr="00915DFB" w14:paraId="27FE195E"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FF05BA" w14:textId="77777777" w:rsidR="00915DFB" w:rsidRPr="00915DFB" w:rsidRDefault="00915DFB" w:rsidP="00915DFB">
            <w:pPr>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B7AF9" w14:textId="77777777" w:rsidR="00915DFB" w:rsidRPr="00915DFB" w:rsidRDefault="00915DFB" w:rsidP="00915DFB">
            <w:pPr>
              <w:jc w:val="center"/>
              <w:rPr>
                <w:sz w:val="20"/>
                <w:szCs w:val="20"/>
              </w:rPr>
            </w:pPr>
            <w:r w:rsidRPr="00915DFB">
              <w:rPr>
                <w:color w:val="000000"/>
                <w:sz w:val="20"/>
                <w:szCs w:val="20"/>
              </w:rPr>
              <w:t>44.2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9A175" w14:textId="77777777" w:rsidR="00915DFB" w:rsidRPr="00915DFB" w:rsidRDefault="00915DFB" w:rsidP="00915DFB">
            <w:pPr>
              <w:jc w:val="center"/>
              <w:rPr>
                <w:sz w:val="20"/>
                <w:szCs w:val="20"/>
              </w:rPr>
            </w:pPr>
            <w:r w:rsidRPr="00915DFB">
              <w:rPr>
                <w:color w:val="000000"/>
                <w:sz w:val="20"/>
                <w:szCs w:val="20"/>
              </w:rPr>
              <w:t>31.6</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40123" w14:textId="77777777" w:rsidR="00915DFB" w:rsidRPr="00915DFB" w:rsidRDefault="00915DFB" w:rsidP="00915DFB">
            <w:pPr>
              <w:jc w:val="center"/>
              <w:rPr>
                <w:sz w:val="20"/>
                <w:szCs w:val="20"/>
              </w:rPr>
            </w:pPr>
            <w:r w:rsidRPr="00915DFB">
              <w:rPr>
                <w:color w:val="000000"/>
                <w:sz w:val="20"/>
                <w:szCs w:val="20"/>
              </w:rPr>
              <w:t>52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6A76" w14:textId="77777777" w:rsidR="00915DFB" w:rsidRPr="00915DFB" w:rsidRDefault="00915DFB" w:rsidP="00915DFB">
            <w:pPr>
              <w:jc w:val="center"/>
              <w:rPr>
                <w:sz w:val="20"/>
                <w:szCs w:val="20"/>
              </w:rPr>
            </w:pPr>
            <w:r w:rsidRPr="00915DFB">
              <w:rPr>
                <w:color w:val="000000"/>
                <w:sz w:val="20"/>
                <w:szCs w:val="20"/>
              </w:rPr>
              <w:t>26.8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D2D67" w14:textId="77777777" w:rsidR="00915DFB" w:rsidRPr="00915DFB" w:rsidRDefault="00915DFB" w:rsidP="00915DFB">
            <w:pPr>
              <w:jc w:val="center"/>
              <w:rPr>
                <w:sz w:val="20"/>
                <w:szCs w:val="20"/>
              </w:rPr>
            </w:pPr>
            <w:r w:rsidRPr="00915DFB">
              <w:rPr>
                <w:color w:val="000000"/>
                <w:sz w:val="20"/>
                <w:szCs w:val="20"/>
              </w:rPr>
              <w:t>13,118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778C" w14:textId="77777777" w:rsidR="00915DFB" w:rsidRPr="00915DFB" w:rsidRDefault="00915DFB" w:rsidP="00915DFB">
            <w:pPr>
              <w:jc w:val="center"/>
              <w:rPr>
                <w:sz w:val="20"/>
                <w:szCs w:val="20"/>
              </w:rPr>
            </w:pPr>
            <w:r w:rsidRPr="00915DFB">
              <w:rPr>
                <w:color w:val="000000"/>
                <w:sz w:val="20"/>
                <w:szCs w:val="20"/>
              </w:rPr>
              <w:t>35.2</w:t>
            </w:r>
          </w:p>
        </w:tc>
      </w:tr>
      <w:tr w:rsidR="00915DFB" w:rsidRPr="00915DFB" w14:paraId="56D5C8B0"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1FFE05" w14:textId="77777777" w:rsidR="00915DFB" w:rsidRPr="00915DFB" w:rsidRDefault="00915DFB" w:rsidP="00915DFB">
            <w:pPr>
              <w:rPr>
                <w:sz w:val="20"/>
                <w:szCs w:val="20"/>
              </w:rPr>
            </w:pPr>
            <w:r w:rsidRPr="00915DFB">
              <w:rPr>
                <w:color w:val="000000"/>
                <w:sz w:val="20"/>
                <w:szCs w:val="20"/>
              </w:rPr>
              <w:t>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0DB9D" w14:textId="77777777" w:rsidR="00915DFB" w:rsidRPr="00915DFB" w:rsidRDefault="00915DFB" w:rsidP="00915DFB">
            <w:pPr>
              <w:rPr>
                <w:sz w:val="20"/>
                <w:szCs w:val="20"/>
              </w:rPr>
            </w:pPr>
          </w:p>
        </w:tc>
      </w:tr>
      <w:tr w:rsidR="00915DFB" w:rsidRPr="00915DFB" w14:paraId="3A5891ED"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80D9AF" w14:textId="77777777" w:rsidR="00915DFB" w:rsidRPr="00915DFB" w:rsidRDefault="00915DFB" w:rsidP="00915DFB">
            <w:pPr>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BEEF0" w14:textId="77777777" w:rsidR="00915DFB" w:rsidRPr="00915DFB" w:rsidRDefault="00915DFB" w:rsidP="00915DFB">
            <w:pPr>
              <w:jc w:val="center"/>
              <w:rPr>
                <w:sz w:val="20"/>
                <w:szCs w:val="20"/>
              </w:rPr>
            </w:pPr>
            <w:r w:rsidRPr="00915DFB">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A10EE" w14:textId="77777777" w:rsidR="00915DFB" w:rsidRPr="00915DFB" w:rsidRDefault="00915DFB" w:rsidP="00915DFB">
            <w:pPr>
              <w:jc w:val="center"/>
              <w:rPr>
                <w:sz w:val="20"/>
                <w:szCs w:val="20"/>
              </w:rPr>
            </w:pPr>
            <w:r w:rsidRPr="00915DFB">
              <w:rPr>
                <w:color w:val="000000"/>
                <w:sz w:val="20"/>
                <w:szCs w:val="20"/>
              </w:rPr>
              <w:t>13.1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84696" w14:textId="77777777" w:rsidR="00915DFB" w:rsidRPr="00915DFB" w:rsidRDefault="00915DFB" w:rsidP="00915DFB">
            <w:pPr>
              <w:jc w:val="center"/>
              <w:rPr>
                <w:sz w:val="20"/>
                <w:szCs w:val="20"/>
              </w:rPr>
            </w:pPr>
            <w:r w:rsidRPr="00915DFB">
              <w:rPr>
                <w:color w:val="000000"/>
                <w:sz w:val="20"/>
                <w:szCs w:val="20"/>
              </w:rPr>
              <w:t>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D74F" w14:textId="77777777" w:rsidR="00915DFB" w:rsidRPr="00915DFB" w:rsidRDefault="00915DFB" w:rsidP="00915DFB">
            <w:pPr>
              <w:jc w:val="center"/>
              <w:rPr>
                <w:sz w:val="20"/>
                <w:szCs w:val="20"/>
              </w:rPr>
            </w:pPr>
            <w:r w:rsidRPr="00915DFB">
              <w:rPr>
                <w:color w:val="000000"/>
                <w:sz w:val="20"/>
                <w:szCs w:val="20"/>
              </w:rPr>
              <w:t>5.1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8E46B" w14:textId="77777777" w:rsidR="00915DFB" w:rsidRPr="00915DFB" w:rsidRDefault="00915DFB" w:rsidP="00915DFB">
            <w:pPr>
              <w:jc w:val="center"/>
              <w:rPr>
                <w:sz w:val="20"/>
                <w:szCs w:val="20"/>
              </w:rPr>
            </w:pPr>
            <w:r w:rsidRPr="00915DFB">
              <w:rPr>
                <w:color w:val="000000"/>
                <w:sz w:val="20"/>
                <w:szCs w:val="20"/>
              </w:rPr>
              <w:t>1,322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F93DE" w14:textId="77777777" w:rsidR="00915DFB" w:rsidRPr="00915DFB" w:rsidRDefault="00915DFB" w:rsidP="00915DFB">
            <w:pPr>
              <w:jc w:val="center"/>
              <w:rPr>
                <w:sz w:val="20"/>
                <w:szCs w:val="20"/>
              </w:rPr>
            </w:pPr>
            <w:r w:rsidRPr="00915DFB">
              <w:rPr>
                <w:color w:val="000000"/>
                <w:sz w:val="20"/>
                <w:szCs w:val="20"/>
              </w:rPr>
              <w:t>5.0</w:t>
            </w:r>
          </w:p>
        </w:tc>
      </w:tr>
      <w:tr w:rsidR="00915DFB" w:rsidRPr="00915DFB" w14:paraId="7319DF66" w14:textId="77777777" w:rsidTr="00F94A72">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2E308B0" w14:textId="77777777" w:rsidR="00915DFB" w:rsidRPr="00915DFB" w:rsidRDefault="00915DFB" w:rsidP="00915DFB">
            <w:pPr>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2EBE" w14:textId="77777777" w:rsidR="00915DFB" w:rsidRPr="00915DFB" w:rsidRDefault="00915DFB" w:rsidP="00915DFB">
            <w:pPr>
              <w:jc w:val="center"/>
              <w:rPr>
                <w:sz w:val="20"/>
                <w:szCs w:val="20"/>
              </w:rPr>
            </w:pPr>
            <w:r w:rsidRPr="00915DFB">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EA98" w14:textId="77777777" w:rsidR="00915DFB" w:rsidRPr="00915DFB" w:rsidRDefault="00915DFB" w:rsidP="00915DFB">
            <w:pPr>
              <w:jc w:val="center"/>
              <w:rPr>
                <w:sz w:val="20"/>
                <w:szCs w:val="20"/>
              </w:rPr>
            </w:pPr>
            <w:r w:rsidRPr="00915DFB">
              <w:rPr>
                <w:color w:val="000000"/>
                <w:sz w:val="20"/>
                <w:szCs w:val="20"/>
              </w:rPr>
              <w:t>15.0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68C34" w14:textId="77777777" w:rsidR="00915DFB" w:rsidRPr="00915DFB" w:rsidRDefault="00915DFB" w:rsidP="00915DFB">
            <w:pPr>
              <w:jc w:val="center"/>
              <w:rPr>
                <w:sz w:val="20"/>
                <w:szCs w:val="20"/>
              </w:rPr>
            </w:pPr>
            <w:r w:rsidRPr="00915DFB">
              <w:rPr>
                <w:color w:val="000000"/>
                <w:sz w:val="20"/>
                <w:szCs w:val="20"/>
              </w:rPr>
              <w:t>17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D8F91" w14:textId="77777777" w:rsidR="00915DFB" w:rsidRPr="00915DFB" w:rsidRDefault="00915DFB" w:rsidP="00915DFB">
            <w:pPr>
              <w:jc w:val="center"/>
              <w:rPr>
                <w:sz w:val="20"/>
                <w:szCs w:val="20"/>
              </w:rPr>
            </w:pPr>
            <w:r w:rsidRPr="00915DFB">
              <w:rPr>
                <w:color w:val="000000"/>
                <w:sz w:val="20"/>
                <w:szCs w:val="20"/>
              </w:rPr>
              <w:t>8.8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97DFF" w14:textId="77777777" w:rsidR="00915DFB" w:rsidRPr="00915DFB" w:rsidRDefault="00915DFB" w:rsidP="00915DFB">
            <w:pPr>
              <w:jc w:val="center"/>
              <w:rPr>
                <w:sz w:val="20"/>
                <w:szCs w:val="20"/>
              </w:rPr>
            </w:pPr>
            <w:r w:rsidRPr="00915DFB">
              <w:rPr>
                <w:color w:val="000000"/>
                <w:sz w:val="20"/>
                <w:szCs w:val="20"/>
              </w:rPr>
              <w:t>5,051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3950C" w14:textId="77777777" w:rsidR="00915DFB" w:rsidRPr="00915DFB" w:rsidRDefault="00915DFB" w:rsidP="00915DFB">
            <w:pPr>
              <w:jc w:val="center"/>
              <w:rPr>
                <w:sz w:val="20"/>
                <w:szCs w:val="20"/>
              </w:rPr>
            </w:pPr>
            <w:r w:rsidRPr="00915DFB">
              <w:rPr>
                <w:color w:val="000000"/>
                <w:sz w:val="20"/>
                <w:szCs w:val="20"/>
              </w:rPr>
              <w:t>13.5</w:t>
            </w:r>
          </w:p>
        </w:tc>
      </w:tr>
      <w:tr w:rsidR="00915DFB" w:rsidRPr="00915DFB" w14:paraId="75A308F5"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9C376D" w14:textId="77777777" w:rsidR="00915DFB" w:rsidRPr="00915DFB" w:rsidRDefault="00915DFB" w:rsidP="00915DFB">
            <w:pPr>
              <w:rPr>
                <w:sz w:val="20"/>
                <w:szCs w:val="20"/>
              </w:rPr>
            </w:pPr>
            <w:r w:rsidRPr="00915DFB">
              <w:rPr>
                <w:b/>
                <w:color w:val="000000"/>
                <w:sz w:val="20"/>
                <w:szCs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735AC" w14:textId="77777777" w:rsidR="00915DFB" w:rsidRPr="00915DFB" w:rsidRDefault="00915DFB" w:rsidP="00915DFB">
            <w:pPr>
              <w:rPr>
                <w:sz w:val="20"/>
                <w:szCs w:val="20"/>
              </w:rPr>
            </w:pPr>
          </w:p>
        </w:tc>
      </w:tr>
      <w:tr w:rsidR="00915DFB" w:rsidRPr="00915DFB" w14:paraId="0D7F1CD5"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A9B9A6A" w14:textId="77777777" w:rsidR="00915DFB" w:rsidRPr="00915DFB" w:rsidRDefault="00915DFB" w:rsidP="00915DFB">
            <w:pPr>
              <w:jc w:val="right"/>
              <w:rPr>
                <w:sz w:val="20"/>
                <w:szCs w:val="20"/>
              </w:rPr>
            </w:pPr>
            <w:r w:rsidRPr="00915DFB">
              <w:rPr>
                <w:b/>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8E48" w14:textId="77777777" w:rsidR="00915DFB" w:rsidRPr="00915DFB" w:rsidRDefault="00915DFB" w:rsidP="00915DFB">
            <w:pPr>
              <w:jc w:val="center"/>
              <w:rPr>
                <w:sz w:val="20"/>
                <w:szCs w:val="20"/>
              </w:rPr>
            </w:pPr>
            <w:r w:rsidRPr="00915DFB">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155B" w14:textId="77777777" w:rsidR="00915DFB" w:rsidRPr="00915DFB" w:rsidRDefault="00915DFB" w:rsidP="00915DFB">
            <w:pPr>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A1C8C" w14:textId="77777777" w:rsidR="00915DFB" w:rsidRPr="00915DFB" w:rsidRDefault="00915DFB" w:rsidP="00915DFB">
            <w:pPr>
              <w:jc w:val="center"/>
              <w:rPr>
                <w:sz w:val="20"/>
                <w:szCs w:val="20"/>
              </w:rPr>
            </w:pPr>
            <w:r w:rsidRPr="00915DFB">
              <w:rPr>
                <w:b/>
                <w:color w:val="000000"/>
                <w:sz w:val="20"/>
                <w:szCs w:val="20"/>
              </w:rPr>
              <w:t>158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6148E" w14:textId="77777777" w:rsidR="00915DFB" w:rsidRPr="00915DFB" w:rsidRDefault="00915DFB" w:rsidP="00915DFB">
            <w:pPr>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626E" w14:textId="77777777" w:rsidR="00915DFB" w:rsidRPr="00915DFB" w:rsidRDefault="00915DFB" w:rsidP="00915DFB">
            <w:pPr>
              <w:jc w:val="center"/>
              <w:rPr>
                <w:sz w:val="20"/>
                <w:szCs w:val="20"/>
              </w:rPr>
            </w:pPr>
            <w:r w:rsidRPr="00915DFB">
              <w:rPr>
                <w:b/>
                <w:color w:val="000000"/>
                <w:sz w:val="20"/>
                <w:szCs w:val="20"/>
              </w:rPr>
              <w:t>26,535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FDD72" w14:textId="77777777" w:rsidR="00915DFB" w:rsidRPr="00915DFB" w:rsidRDefault="00915DFB" w:rsidP="00915DFB">
            <w:pPr>
              <w:jc w:val="center"/>
              <w:rPr>
                <w:sz w:val="20"/>
                <w:szCs w:val="20"/>
              </w:rPr>
            </w:pPr>
            <w:r w:rsidRPr="00915DFB">
              <w:rPr>
                <w:b/>
                <w:color w:val="000000"/>
                <w:sz w:val="20"/>
                <w:szCs w:val="20"/>
              </w:rPr>
              <w:t>100.0</w:t>
            </w:r>
          </w:p>
        </w:tc>
      </w:tr>
      <w:tr w:rsidR="00915DFB" w:rsidRPr="00915DFB" w14:paraId="688E2209" w14:textId="77777777" w:rsidTr="00F94A72">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081D69E" w14:textId="77777777" w:rsidR="00915DFB" w:rsidRPr="00915DFB" w:rsidRDefault="00915DFB" w:rsidP="00915DFB">
            <w:pPr>
              <w:jc w:val="right"/>
              <w:rPr>
                <w:sz w:val="20"/>
                <w:szCs w:val="20"/>
              </w:rPr>
            </w:pPr>
            <w:r w:rsidRPr="00915DFB">
              <w:rPr>
                <w:b/>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350EC" w14:textId="77777777" w:rsidR="00915DFB" w:rsidRPr="00915DFB" w:rsidRDefault="00915DFB" w:rsidP="00915DFB">
            <w:pPr>
              <w:jc w:val="center"/>
              <w:rPr>
                <w:sz w:val="20"/>
                <w:szCs w:val="20"/>
              </w:rPr>
            </w:pPr>
            <w:r w:rsidRPr="00915DFB">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472A9" w14:textId="77777777" w:rsidR="00915DFB" w:rsidRPr="00915DFB" w:rsidRDefault="00915DFB" w:rsidP="00915DFB">
            <w:pPr>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F79DD" w14:textId="77777777" w:rsidR="00915DFB" w:rsidRPr="00915DFB" w:rsidRDefault="00915DFB" w:rsidP="00915DFB">
            <w:pPr>
              <w:jc w:val="center"/>
              <w:rPr>
                <w:sz w:val="20"/>
                <w:szCs w:val="20"/>
              </w:rPr>
            </w:pPr>
            <w:r w:rsidRPr="00915DFB">
              <w:rPr>
                <w:b/>
                <w:color w:val="000000"/>
                <w:sz w:val="20"/>
                <w:szCs w:val="20"/>
              </w:rPr>
              <w:t>194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2DD2B" w14:textId="77777777" w:rsidR="00915DFB" w:rsidRPr="00915DFB" w:rsidRDefault="00915DFB" w:rsidP="00915DFB">
            <w:pPr>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B71D8" w14:textId="77777777" w:rsidR="00915DFB" w:rsidRPr="00915DFB" w:rsidRDefault="00915DFB" w:rsidP="00915DFB">
            <w:pPr>
              <w:jc w:val="center"/>
              <w:rPr>
                <w:sz w:val="20"/>
                <w:szCs w:val="20"/>
              </w:rPr>
            </w:pPr>
            <w:r w:rsidRPr="00915DFB">
              <w:rPr>
                <w:b/>
                <w:color w:val="000000"/>
                <w:sz w:val="20"/>
                <w:szCs w:val="20"/>
              </w:rPr>
              <w:t>37,299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4049" w14:textId="77777777" w:rsidR="00915DFB" w:rsidRPr="00915DFB" w:rsidRDefault="00915DFB" w:rsidP="00915DFB">
            <w:pPr>
              <w:jc w:val="center"/>
              <w:rPr>
                <w:sz w:val="20"/>
                <w:szCs w:val="20"/>
              </w:rPr>
            </w:pPr>
            <w:r w:rsidRPr="00915DFB">
              <w:rPr>
                <w:b/>
                <w:color w:val="000000"/>
                <w:sz w:val="20"/>
                <w:szCs w:val="20"/>
              </w:rPr>
              <w:t>100.0</w:t>
            </w:r>
          </w:p>
        </w:tc>
      </w:tr>
      <w:tr w:rsidR="00915DFB" w:rsidRPr="00915DFB" w14:paraId="7092306D" w14:textId="77777777" w:rsidTr="00B41706">
        <w:trPr>
          <w:trHeight w:val="266"/>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FBC944E" w14:textId="77777777" w:rsidR="00915DFB" w:rsidRPr="00915DFB" w:rsidRDefault="00915DFB" w:rsidP="00B41706">
            <w:pPr>
              <w:rPr>
                <w:sz w:val="20"/>
                <w:szCs w:val="20"/>
              </w:rPr>
            </w:pPr>
            <w:r w:rsidRPr="00915DFB">
              <w:rPr>
                <w:i/>
                <w:color w:val="000000"/>
                <w:sz w:val="16"/>
                <w:szCs w:val="20"/>
              </w:rPr>
              <w:t>Source: 2015 ACS</w:t>
            </w:r>
            <w:r w:rsidR="004900DF">
              <w:rPr>
                <w:i/>
                <w:color w:val="000000"/>
                <w:sz w:val="16"/>
                <w:szCs w:val="20"/>
              </w:rPr>
              <w:t xml:space="preserve"> data</w:t>
            </w:r>
            <w:r w:rsidRPr="00915DFB">
              <w:rPr>
                <w:i/>
                <w:color w:val="000000"/>
                <w:sz w:val="16"/>
                <w:szCs w:val="20"/>
              </w:rPr>
              <w:t>; Bank Data</w:t>
            </w:r>
            <w:r w:rsidR="00B41706">
              <w:rPr>
                <w:i/>
                <w:color w:val="000000"/>
                <w:sz w:val="16"/>
                <w:szCs w:val="20"/>
              </w:rPr>
              <w:t>;</w:t>
            </w:r>
            <w:r w:rsidRPr="00915DFB">
              <w:rPr>
                <w:i/>
                <w:color w:val="000000"/>
                <w:sz w:val="16"/>
                <w:szCs w:val="20"/>
              </w:rPr>
              <w:t xml:space="preserve"> 2018 </w:t>
            </w:r>
            <w:r w:rsidR="00B41706">
              <w:rPr>
                <w:i/>
                <w:color w:val="000000"/>
                <w:sz w:val="16"/>
                <w:szCs w:val="20"/>
              </w:rPr>
              <w:t>and</w:t>
            </w:r>
            <w:r w:rsidRPr="00915DFB">
              <w:rPr>
                <w:i/>
                <w:color w:val="000000"/>
                <w:sz w:val="16"/>
                <w:szCs w:val="20"/>
              </w:rPr>
              <w:t xml:space="preserve"> </w:t>
            </w:r>
            <w:r w:rsidR="00B41706">
              <w:rPr>
                <w:i/>
                <w:color w:val="000000"/>
                <w:sz w:val="16"/>
                <w:szCs w:val="20"/>
              </w:rPr>
              <w:t xml:space="preserve">2019 HMDA Aggregate Data.  </w:t>
            </w:r>
            <w:r w:rsidRPr="00915DFB">
              <w:rPr>
                <w:i/>
                <w:color w:val="000000"/>
                <w:sz w:val="16"/>
                <w:szCs w:val="20"/>
              </w:rPr>
              <w:t>Due to rounding, totals may not equal 100.0%</w:t>
            </w:r>
            <w:r w:rsidR="00B41706">
              <w:rPr>
                <w:i/>
                <w:color w:val="000000"/>
                <w:sz w:val="16"/>
                <w:szCs w:val="20"/>
              </w:rPr>
              <w:t>.</w:t>
            </w:r>
          </w:p>
        </w:tc>
      </w:tr>
    </w:tbl>
    <w:p w14:paraId="3358B95D" w14:textId="77777777" w:rsidR="0005122E" w:rsidRDefault="0005122E" w:rsidP="00E15DD6">
      <w:pPr>
        <w:rPr>
          <w:iCs/>
          <w:color w:val="000000"/>
        </w:rPr>
      </w:pPr>
    </w:p>
    <w:p w14:paraId="6DCBF0AF" w14:textId="77777777" w:rsidR="00915DFB" w:rsidRPr="00701A97" w:rsidRDefault="00701A97" w:rsidP="00E15DD6">
      <w:pPr>
        <w:rPr>
          <w:iCs/>
          <w:color w:val="000000"/>
        </w:rPr>
      </w:pPr>
      <w:r>
        <w:rPr>
          <w:b/>
          <w:i/>
          <w:iCs/>
          <w:color w:val="000000"/>
        </w:rPr>
        <w:t>Small Business Loans</w:t>
      </w:r>
    </w:p>
    <w:p w14:paraId="43DD69DA" w14:textId="77777777" w:rsidR="00915DFB" w:rsidRDefault="00915DFB" w:rsidP="00E15DD6">
      <w:pPr>
        <w:rPr>
          <w:iCs/>
          <w:color w:val="000000"/>
        </w:rPr>
      </w:pPr>
    </w:p>
    <w:p w14:paraId="2032A8D6" w14:textId="77777777" w:rsidR="00B41706" w:rsidRDefault="009575CE" w:rsidP="00E15DD6">
      <w:pPr>
        <w:rPr>
          <w:iCs/>
        </w:rPr>
      </w:pPr>
      <w:r>
        <w:rPr>
          <w:iCs/>
        </w:rPr>
        <w:t>The distribution of small busine</w:t>
      </w:r>
      <w:r w:rsidR="0028272D">
        <w:rPr>
          <w:iCs/>
        </w:rPr>
        <w:t>ss loans to businesses with GAR</w:t>
      </w:r>
      <w:r w:rsidR="00B41706">
        <w:rPr>
          <w:iCs/>
        </w:rPr>
        <w:t>s</w:t>
      </w:r>
      <w:r>
        <w:rPr>
          <w:iCs/>
        </w:rPr>
        <w:t xml:space="preserve"> of $1 million </w:t>
      </w:r>
      <w:r w:rsidR="0028272D">
        <w:rPr>
          <w:iCs/>
        </w:rPr>
        <w:t>or less reflects reasonable penetration</w:t>
      </w:r>
      <w:r>
        <w:rPr>
          <w:iCs/>
        </w:rPr>
        <w:t xml:space="preserve">.  </w:t>
      </w:r>
      <w:r w:rsidR="0028272D">
        <w:rPr>
          <w:iCs/>
        </w:rPr>
        <w:t xml:space="preserve">Although the </w:t>
      </w:r>
      <w:r w:rsidR="00B41706">
        <w:rPr>
          <w:iCs/>
        </w:rPr>
        <w:t xml:space="preserve">bank’s </w:t>
      </w:r>
      <w:r w:rsidR="0028272D">
        <w:rPr>
          <w:iCs/>
        </w:rPr>
        <w:t>performance was below the percentage of businesses</w:t>
      </w:r>
      <w:r w:rsidR="00B41706" w:rsidRPr="00B41706">
        <w:rPr>
          <w:iCs/>
        </w:rPr>
        <w:t xml:space="preserve"> </w:t>
      </w:r>
      <w:r w:rsidR="00B41706">
        <w:rPr>
          <w:iCs/>
        </w:rPr>
        <w:t>with GARs of $1 million or less in 2018 and 2019</w:t>
      </w:r>
      <w:r w:rsidR="0028272D">
        <w:rPr>
          <w:iCs/>
        </w:rPr>
        <w:t>, there is strong competition in the assessment for loans to businesses</w:t>
      </w:r>
      <w:r w:rsidR="00B41706">
        <w:rPr>
          <w:iCs/>
        </w:rPr>
        <w:t xml:space="preserve"> of this revenue category</w:t>
      </w:r>
      <w:r w:rsidR="0028272D">
        <w:rPr>
          <w:iCs/>
        </w:rPr>
        <w:t>.  Notwithstanding, the b</w:t>
      </w:r>
      <w:r>
        <w:rPr>
          <w:iCs/>
        </w:rPr>
        <w:t>ank made a majority of its small busines</w:t>
      </w:r>
      <w:r w:rsidR="0028272D">
        <w:rPr>
          <w:iCs/>
        </w:rPr>
        <w:t>ses loans to businesses with GAR</w:t>
      </w:r>
      <w:r w:rsidR="00B41706">
        <w:rPr>
          <w:iCs/>
        </w:rPr>
        <w:t>s</w:t>
      </w:r>
      <w:r>
        <w:rPr>
          <w:iCs/>
        </w:rPr>
        <w:t xml:space="preserve"> of $1 million or less</w:t>
      </w:r>
      <w:r w:rsidR="0028272D">
        <w:rPr>
          <w:iCs/>
        </w:rPr>
        <w:t xml:space="preserve"> </w:t>
      </w:r>
      <w:r w:rsidR="00B41706">
        <w:rPr>
          <w:iCs/>
        </w:rPr>
        <w:t>for both years, although the</w:t>
      </w:r>
      <w:r w:rsidR="0028272D">
        <w:rPr>
          <w:iCs/>
        </w:rPr>
        <w:t xml:space="preserve"> percentage decreased from 2018 to 2019.  </w:t>
      </w:r>
    </w:p>
    <w:p w14:paraId="5283EF03" w14:textId="77777777" w:rsidR="00B41706" w:rsidRDefault="00B41706" w:rsidP="00E15DD6">
      <w:pPr>
        <w:rPr>
          <w:iCs/>
        </w:rPr>
      </w:pPr>
    </w:p>
    <w:p w14:paraId="2A7514B1" w14:textId="77777777" w:rsidR="00915DFB" w:rsidRDefault="009575CE" w:rsidP="00E15DD6">
      <w:pPr>
        <w:rPr>
          <w:iCs/>
          <w:color w:val="000000"/>
        </w:rPr>
      </w:pPr>
      <w:r>
        <w:rPr>
          <w:iCs/>
        </w:rPr>
        <w:t xml:space="preserve">The </w:t>
      </w:r>
      <w:r w:rsidR="0028272D">
        <w:rPr>
          <w:iCs/>
        </w:rPr>
        <w:t xml:space="preserve">following </w:t>
      </w:r>
      <w:r>
        <w:rPr>
          <w:iCs/>
        </w:rPr>
        <w:t xml:space="preserve">table </w:t>
      </w:r>
      <w:r w:rsidR="0028272D">
        <w:rPr>
          <w:iCs/>
        </w:rPr>
        <w:t>illustrates</w:t>
      </w:r>
      <w:r>
        <w:rPr>
          <w:iCs/>
        </w:rPr>
        <w:t xml:space="preserve"> the distribution of small business loans by revenue category.</w:t>
      </w:r>
    </w:p>
    <w:p w14:paraId="68A79288" w14:textId="77777777" w:rsidR="00915DFB" w:rsidRDefault="00915DFB" w:rsidP="00E15DD6">
      <w:pPr>
        <w:rPr>
          <w:iCs/>
          <w:color w:val="000000"/>
        </w:rPr>
      </w:pPr>
    </w:p>
    <w:tbl>
      <w:tblPr>
        <w:tblW w:w="0" w:type="auto"/>
        <w:jc w:val="center"/>
        <w:tblCellMar>
          <w:left w:w="0" w:type="dxa"/>
          <w:right w:w="0" w:type="dxa"/>
        </w:tblCellMar>
        <w:tblLook w:val="0000" w:firstRow="0" w:lastRow="0" w:firstColumn="0" w:lastColumn="0" w:noHBand="0" w:noVBand="0"/>
      </w:tblPr>
      <w:tblGrid>
        <w:gridCol w:w="2304"/>
        <w:gridCol w:w="1440"/>
        <w:gridCol w:w="1152"/>
        <w:gridCol w:w="1008"/>
        <w:gridCol w:w="1152"/>
        <w:gridCol w:w="1008"/>
      </w:tblGrid>
      <w:tr w:rsidR="00915DFB" w:rsidRPr="00915DFB" w14:paraId="35DBCCD6" w14:textId="77777777" w:rsidTr="00B41706">
        <w:trPr>
          <w:trHeight w:val="304"/>
          <w:jc w:val="center"/>
        </w:trPr>
        <w:tc>
          <w:tcPr>
            <w:tcW w:w="8064" w:type="dxa"/>
            <w:gridSpan w:val="6"/>
            <w:tcBorders>
              <w:top w:val="single" w:sz="7" w:space="0" w:color="000000"/>
              <w:left w:val="single" w:sz="7" w:space="0" w:color="000000"/>
              <w:right w:val="single" w:sz="7" w:space="0" w:color="000000"/>
            </w:tcBorders>
            <w:tcMar>
              <w:top w:w="39" w:type="dxa"/>
              <w:left w:w="39" w:type="dxa"/>
              <w:bottom w:w="39" w:type="dxa"/>
              <w:right w:w="39" w:type="dxa"/>
            </w:tcMar>
          </w:tcPr>
          <w:p w14:paraId="7FAD4923" w14:textId="77777777" w:rsidR="00915DFB" w:rsidRPr="00915DFB" w:rsidRDefault="00915DFB" w:rsidP="0028272D">
            <w:pPr>
              <w:keepNext/>
              <w:jc w:val="center"/>
              <w:rPr>
                <w:sz w:val="20"/>
                <w:szCs w:val="20"/>
              </w:rPr>
            </w:pPr>
            <w:r w:rsidRPr="00915DFB">
              <w:rPr>
                <w:b/>
                <w:color w:val="000000"/>
                <w:sz w:val="20"/>
                <w:szCs w:val="20"/>
              </w:rPr>
              <w:lastRenderedPageBreak/>
              <w:t>Distribution of Small Business Loans by Gross Annual Revenue Category</w:t>
            </w:r>
          </w:p>
        </w:tc>
      </w:tr>
      <w:tr w:rsidR="00915DFB" w:rsidRPr="00915DFB" w14:paraId="095FA6D8" w14:textId="77777777" w:rsidTr="00915DFB">
        <w:trPr>
          <w:trHeight w:val="498"/>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4DF0CD" w14:textId="77777777" w:rsidR="00915DFB" w:rsidRPr="00915DFB" w:rsidRDefault="00915DFB" w:rsidP="0028272D">
            <w:pPr>
              <w:keepNext/>
              <w:rPr>
                <w:sz w:val="20"/>
                <w:szCs w:val="20"/>
              </w:rPr>
            </w:pPr>
            <w:r w:rsidRPr="00915DFB">
              <w:rPr>
                <w:b/>
                <w:color w:val="000000"/>
                <w:sz w:val="20"/>
                <w:szCs w:val="20"/>
              </w:rPr>
              <w:t>Gross Revenue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1BD81D" w14:textId="77777777" w:rsidR="00915DFB" w:rsidRPr="00915DFB" w:rsidRDefault="00915DFB" w:rsidP="0028272D">
            <w:pPr>
              <w:keepNext/>
              <w:jc w:val="center"/>
              <w:rPr>
                <w:sz w:val="20"/>
                <w:szCs w:val="20"/>
              </w:rPr>
            </w:pPr>
            <w:r w:rsidRPr="00915DFB">
              <w:rPr>
                <w:b/>
                <w:color w:val="000000"/>
                <w:sz w:val="20"/>
                <w:szCs w:val="20"/>
              </w:rPr>
              <w:t>% of  Businesses</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83EC319" w14:textId="77777777" w:rsidR="00915DFB" w:rsidRPr="00915DFB" w:rsidRDefault="00915DFB" w:rsidP="0028272D">
            <w:pPr>
              <w:keepNext/>
              <w:jc w:val="center"/>
              <w:rPr>
                <w:sz w:val="20"/>
                <w:szCs w:val="20"/>
              </w:rPr>
            </w:pPr>
            <w:r w:rsidRPr="00915DFB">
              <w:rPr>
                <w:b/>
                <w:color w:val="000000"/>
                <w:sz w:val="20"/>
                <w:szCs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CF8BDF" w14:textId="77777777" w:rsidR="00915DFB" w:rsidRPr="00915DFB" w:rsidRDefault="00915DFB" w:rsidP="0028272D">
            <w:pPr>
              <w:keepNext/>
              <w:jc w:val="center"/>
              <w:rPr>
                <w:sz w:val="20"/>
                <w:szCs w:val="20"/>
              </w:rPr>
            </w:pPr>
            <w:r w:rsidRPr="00915DFB">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35B22B" w14:textId="77777777" w:rsidR="00915DFB" w:rsidRPr="00915DFB" w:rsidRDefault="00915DFB" w:rsidP="0028272D">
            <w:pPr>
              <w:keepNext/>
              <w:jc w:val="center"/>
              <w:rPr>
                <w:sz w:val="20"/>
                <w:szCs w:val="20"/>
              </w:rPr>
            </w:pPr>
            <w:r w:rsidRPr="00915DFB">
              <w:rPr>
                <w:b/>
                <w:color w:val="000000"/>
                <w:sz w:val="20"/>
                <w:szCs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00F263" w14:textId="77777777" w:rsidR="00915DFB" w:rsidRPr="00915DFB" w:rsidRDefault="00915DFB" w:rsidP="0028272D">
            <w:pPr>
              <w:keepNext/>
              <w:jc w:val="center"/>
              <w:rPr>
                <w:sz w:val="20"/>
                <w:szCs w:val="20"/>
              </w:rPr>
            </w:pPr>
            <w:r w:rsidRPr="00915DFB">
              <w:rPr>
                <w:b/>
                <w:color w:val="000000"/>
                <w:sz w:val="20"/>
                <w:szCs w:val="20"/>
              </w:rPr>
              <w:t>%</w:t>
            </w:r>
          </w:p>
        </w:tc>
      </w:tr>
      <w:tr w:rsidR="00915DFB" w:rsidRPr="00915DFB" w14:paraId="5FDCAFE7"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906F02" w14:textId="77777777" w:rsidR="00915DFB" w:rsidRPr="00915DFB" w:rsidRDefault="00915DFB" w:rsidP="0028272D">
            <w:pPr>
              <w:keepNext/>
              <w:rPr>
                <w:sz w:val="20"/>
                <w:szCs w:val="20"/>
              </w:rPr>
            </w:pPr>
            <w:r w:rsidRPr="00915DFB">
              <w:rPr>
                <w:color w:val="000000"/>
                <w:sz w:val="20"/>
                <w:szCs w:val="20"/>
              </w:rPr>
              <w:t>&lt;=$1,000,000</w:t>
            </w:r>
          </w:p>
        </w:tc>
        <w:tc>
          <w:tcPr>
            <w:tcW w:w="576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F5E98" w14:textId="77777777" w:rsidR="00915DFB" w:rsidRPr="00915DFB" w:rsidRDefault="00915DFB" w:rsidP="0028272D">
            <w:pPr>
              <w:keepNext/>
              <w:rPr>
                <w:sz w:val="20"/>
                <w:szCs w:val="20"/>
              </w:rPr>
            </w:pPr>
          </w:p>
        </w:tc>
      </w:tr>
      <w:tr w:rsidR="00915DFB" w:rsidRPr="00915DFB" w14:paraId="6075AFEB"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0552416" w14:textId="77777777" w:rsidR="00915DFB" w:rsidRPr="00915DFB" w:rsidRDefault="00915DFB" w:rsidP="0028272D">
            <w:pPr>
              <w:keepNext/>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625E6" w14:textId="77777777" w:rsidR="00915DFB" w:rsidRPr="00915DFB" w:rsidRDefault="00915DFB" w:rsidP="0028272D">
            <w:pPr>
              <w:keepNext/>
              <w:jc w:val="center"/>
              <w:rPr>
                <w:sz w:val="20"/>
                <w:szCs w:val="20"/>
              </w:rPr>
            </w:pPr>
            <w:r w:rsidRPr="00915DFB">
              <w:rPr>
                <w:color w:val="000000"/>
                <w:sz w:val="20"/>
                <w:szCs w:val="20"/>
              </w:rPr>
              <w:t>82.8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8D473" w14:textId="77777777" w:rsidR="00915DFB" w:rsidRPr="00915DFB" w:rsidRDefault="00915DFB" w:rsidP="0028272D">
            <w:pPr>
              <w:keepNext/>
              <w:jc w:val="center"/>
              <w:rPr>
                <w:sz w:val="20"/>
                <w:szCs w:val="20"/>
              </w:rPr>
            </w:pPr>
            <w:r w:rsidRPr="00915DFB">
              <w:rPr>
                <w:color w:val="000000"/>
                <w:sz w:val="20"/>
                <w:szCs w:val="20"/>
              </w:rPr>
              <w:t>16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B2F31" w14:textId="77777777" w:rsidR="00915DFB" w:rsidRPr="00915DFB" w:rsidRDefault="00915DFB" w:rsidP="0028272D">
            <w:pPr>
              <w:keepNext/>
              <w:jc w:val="center"/>
              <w:rPr>
                <w:sz w:val="20"/>
                <w:szCs w:val="20"/>
              </w:rPr>
            </w:pPr>
            <w:r w:rsidRPr="00915DFB">
              <w:rPr>
                <w:color w:val="000000"/>
                <w:sz w:val="20"/>
                <w:szCs w:val="20"/>
              </w:rPr>
              <w:t>76.2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E6EE6" w14:textId="77777777" w:rsidR="00915DFB" w:rsidRPr="00915DFB" w:rsidRDefault="00915DFB" w:rsidP="0028272D">
            <w:pPr>
              <w:keepNext/>
              <w:jc w:val="center"/>
              <w:rPr>
                <w:sz w:val="20"/>
                <w:szCs w:val="20"/>
              </w:rPr>
            </w:pPr>
            <w:r w:rsidRPr="00915DFB">
              <w:rPr>
                <w:color w:val="000000"/>
                <w:sz w:val="20"/>
                <w:szCs w:val="20"/>
              </w:rPr>
              <w:t>627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5063" w14:textId="77777777" w:rsidR="00915DFB" w:rsidRPr="00915DFB" w:rsidRDefault="00915DFB" w:rsidP="0028272D">
            <w:pPr>
              <w:keepNext/>
              <w:jc w:val="center"/>
              <w:rPr>
                <w:sz w:val="20"/>
                <w:szCs w:val="20"/>
              </w:rPr>
            </w:pPr>
            <w:r w:rsidRPr="00915DFB">
              <w:rPr>
                <w:color w:val="000000"/>
                <w:sz w:val="20"/>
                <w:szCs w:val="20"/>
              </w:rPr>
              <w:t>58.4</w:t>
            </w:r>
          </w:p>
        </w:tc>
      </w:tr>
      <w:tr w:rsidR="00915DFB" w:rsidRPr="00915DFB" w14:paraId="55D40759"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EAAEED" w14:textId="77777777" w:rsidR="00915DFB" w:rsidRPr="00915DFB" w:rsidRDefault="00915DFB" w:rsidP="0028272D">
            <w:pPr>
              <w:keepNext/>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8ACB" w14:textId="77777777" w:rsidR="00915DFB" w:rsidRPr="00915DFB" w:rsidRDefault="00915DFB" w:rsidP="0028272D">
            <w:pPr>
              <w:keepNext/>
              <w:jc w:val="center"/>
              <w:rPr>
                <w:sz w:val="20"/>
                <w:szCs w:val="20"/>
              </w:rPr>
            </w:pPr>
            <w:r w:rsidRPr="00915DFB">
              <w:rPr>
                <w:color w:val="000000"/>
                <w:sz w:val="20"/>
                <w:szCs w:val="20"/>
              </w:rPr>
              <w:t>84.2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A7FA3" w14:textId="77777777" w:rsidR="00915DFB" w:rsidRPr="00915DFB" w:rsidRDefault="00915DFB" w:rsidP="0028272D">
            <w:pPr>
              <w:keepNext/>
              <w:jc w:val="center"/>
              <w:rPr>
                <w:sz w:val="20"/>
                <w:szCs w:val="20"/>
              </w:rPr>
            </w:pPr>
            <w:r w:rsidRPr="00915DFB">
              <w:rPr>
                <w:color w:val="000000"/>
                <w:sz w:val="20"/>
                <w:szCs w:val="20"/>
              </w:rPr>
              <w:t>10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F6DA6" w14:textId="77777777" w:rsidR="00915DFB" w:rsidRPr="00915DFB" w:rsidRDefault="00915DFB" w:rsidP="0028272D">
            <w:pPr>
              <w:keepNext/>
              <w:jc w:val="center"/>
              <w:rPr>
                <w:sz w:val="20"/>
                <w:szCs w:val="20"/>
              </w:rPr>
            </w:pPr>
            <w:r w:rsidRPr="00915DFB">
              <w:rPr>
                <w:color w:val="000000"/>
                <w:sz w:val="20"/>
                <w:szCs w:val="20"/>
              </w:rPr>
              <w:t>58.8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E668D" w14:textId="77777777" w:rsidR="00915DFB" w:rsidRPr="00915DFB" w:rsidRDefault="00915DFB" w:rsidP="0028272D">
            <w:pPr>
              <w:keepNext/>
              <w:jc w:val="center"/>
              <w:rPr>
                <w:sz w:val="20"/>
                <w:szCs w:val="20"/>
              </w:rPr>
            </w:pPr>
            <w:r w:rsidRPr="00915DFB">
              <w:rPr>
                <w:color w:val="000000"/>
                <w:sz w:val="20"/>
                <w:szCs w:val="20"/>
              </w:rPr>
              <w:t>703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102C5" w14:textId="77777777" w:rsidR="00915DFB" w:rsidRPr="00915DFB" w:rsidRDefault="00915DFB" w:rsidP="0028272D">
            <w:pPr>
              <w:keepNext/>
              <w:jc w:val="center"/>
              <w:rPr>
                <w:sz w:val="20"/>
                <w:szCs w:val="20"/>
              </w:rPr>
            </w:pPr>
            <w:r w:rsidRPr="00915DFB">
              <w:rPr>
                <w:color w:val="000000"/>
                <w:sz w:val="20"/>
                <w:szCs w:val="20"/>
              </w:rPr>
              <w:t>46.4</w:t>
            </w:r>
          </w:p>
        </w:tc>
      </w:tr>
      <w:tr w:rsidR="00915DFB" w:rsidRPr="00915DFB" w14:paraId="6D0B79C3"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22ABB9F" w14:textId="77777777" w:rsidR="00915DFB" w:rsidRPr="00915DFB" w:rsidRDefault="00915DFB" w:rsidP="0028272D">
            <w:pPr>
              <w:keepNext/>
              <w:rPr>
                <w:sz w:val="20"/>
                <w:szCs w:val="20"/>
              </w:rPr>
            </w:pPr>
            <w:r w:rsidRPr="00915DFB">
              <w:rPr>
                <w:color w:val="000000"/>
                <w:sz w:val="20"/>
                <w:szCs w:val="20"/>
              </w:rPr>
              <w:t>&gt;</w:t>
            </w:r>
            <w:r w:rsidR="00B41706">
              <w:rPr>
                <w:color w:val="000000"/>
                <w:sz w:val="20"/>
                <w:szCs w:val="20"/>
              </w:rPr>
              <w:t>$</w:t>
            </w:r>
            <w:r w:rsidRPr="00915DFB">
              <w:rPr>
                <w:color w:val="000000"/>
                <w:sz w:val="20"/>
                <w:szCs w:val="20"/>
              </w:rPr>
              <w:t>1,000,000</w:t>
            </w:r>
          </w:p>
        </w:tc>
        <w:tc>
          <w:tcPr>
            <w:tcW w:w="576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C97E0" w14:textId="77777777" w:rsidR="00915DFB" w:rsidRPr="00915DFB" w:rsidRDefault="00915DFB" w:rsidP="0028272D">
            <w:pPr>
              <w:keepNext/>
              <w:rPr>
                <w:sz w:val="20"/>
                <w:szCs w:val="20"/>
              </w:rPr>
            </w:pPr>
          </w:p>
        </w:tc>
      </w:tr>
      <w:tr w:rsidR="00915DFB" w:rsidRPr="00915DFB" w14:paraId="35475E50"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C4B24C0" w14:textId="77777777" w:rsidR="00915DFB" w:rsidRPr="00915DFB" w:rsidRDefault="00915DFB" w:rsidP="0028272D">
            <w:pPr>
              <w:keepNext/>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DBDC8" w14:textId="77777777" w:rsidR="00915DFB" w:rsidRPr="00915DFB" w:rsidRDefault="00915DFB" w:rsidP="0028272D">
            <w:pPr>
              <w:keepNext/>
              <w:jc w:val="center"/>
              <w:rPr>
                <w:sz w:val="20"/>
                <w:szCs w:val="20"/>
              </w:rPr>
            </w:pPr>
            <w:r w:rsidRPr="00915DFB">
              <w:rPr>
                <w:color w:val="000000"/>
                <w:sz w:val="20"/>
                <w:szCs w:val="20"/>
              </w:rPr>
              <w:t>6.0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66805" w14:textId="77777777" w:rsidR="00915DFB" w:rsidRPr="00915DFB" w:rsidRDefault="00915DFB" w:rsidP="0028272D">
            <w:pPr>
              <w:keepNext/>
              <w:jc w:val="center"/>
              <w:rPr>
                <w:sz w:val="20"/>
                <w:szCs w:val="20"/>
              </w:rPr>
            </w:pPr>
            <w:r w:rsidRPr="00915DFB">
              <w:rPr>
                <w:color w:val="000000"/>
                <w:sz w:val="20"/>
                <w:szCs w:val="20"/>
              </w:rPr>
              <w:t>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2A6E" w14:textId="77777777" w:rsidR="00915DFB" w:rsidRPr="00915DFB" w:rsidRDefault="00915DFB" w:rsidP="0028272D">
            <w:pPr>
              <w:keepNext/>
              <w:jc w:val="center"/>
              <w:rPr>
                <w:sz w:val="20"/>
                <w:szCs w:val="20"/>
              </w:rPr>
            </w:pPr>
            <w:r w:rsidRPr="00915DFB">
              <w:rPr>
                <w:color w:val="000000"/>
                <w:sz w:val="20"/>
                <w:szCs w:val="20"/>
              </w:rPr>
              <w:t>23.8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5BB04" w14:textId="77777777" w:rsidR="00915DFB" w:rsidRPr="00915DFB" w:rsidRDefault="00915DFB" w:rsidP="0028272D">
            <w:pPr>
              <w:keepNext/>
              <w:jc w:val="center"/>
              <w:rPr>
                <w:sz w:val="20"/>
                <w:szCs w:val="20"/>
              </w:rPr>
            </w:pPr>
            <w:r w:rsidRPr="00915DFB">
              <w:rPr>
                <w:color w:val="000000"/>
                <w:sz w:val="20"/>
                <w:szCs w:val="20"/>
              </w:rPr>
              <w:t>447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4686F" w14:textId="77777777" w:rsidR="00915DFB" w:rsidRPr="00915DFB" w:rsidRDefault="00915DFB" w:rsidP="0028272D">
            <w:pPr>
              <w:keepNext/>
              <w:jc w:val="center"/>
              <w:rPr>
                <w:sz w:val="20"/>
                <w:szCs w:val="20"/>
              </w:rPr>
            </w:pPr>
            <w:r w:rsidRPr="00915DFB">
              <w:rPr>
                <w:color w:val="000000"/>
                <w:sz w:val="20"/>
                <w:szCs w:val="20"/>
              </w:rPr>
              <w:t>41.6</w:t>
            </w:r>
          </w:p>
        </w:tc>
      </w:tr>
      <w:tr w:rsidR="00915DFB" w:rsidRPr="00915DFB" w14:paraId="5A307903"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DFA03CC" w14:textId="77777777" w:rsidR="00915DFB" w:rsidRPr="00915DFB" w:rsidRDefault="00915DFB" w:rsidP="0028272D">
            <w:pPr>
              <w:keepNext/>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06FB1" w14:textId="77777777" w:rsidR="00915DFB" w:rsidRPr="00915DFB" w:rsidRDefault="00915DFB" w:rsidP="0028272D">
            <w:pPr>
              <w:keepNext/>
              <w:jc w:val="center"/>
              <w:rPr>
                <w:sz w:val="20"/>
                <w:szCs w:val="20"/>
              </w:rPr>
            </w:pPr>
            <w:r w:rsidRPr="00915DFB">
              <w:rPr>
                <w:color w:val="000000"/>
                <w:sz w:val="20"/>
                <w:szCs w:val="20"/>
              </w:rPr>
              <w:t>5.4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9B730" w14:textId="77777777" w:rsidR="00915DFB" w:rsidRPr="00915DFB" w:rsidRDefault="00915DFB" w:rsidP="0028272D">
            <w:pPr>
              <w:keepNext/>
              <w:jc w:val="center"/>
              <w:rPr>
                <w:sz w:val="20"/>
                <w:szCs w:val="20"/>
              </w:rPr>
            </w:pPr>
            <w:r w:rsidRPr="00915DFB">
              <w:rPr>
                <w:color w:val="000000"/>
                <w:sz w:val="20"/>
                <w:szCs w:val="20"/>
              </w:rPr>
              <w:t>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76C4" w14:textId="77777777" w:rsidR="00915DFB" w:rsidRPr="00915DFB" w:rsidRDefault="00915DFB" w:rsidP="0028272D">
            <w:pPr>
              <w:keepNext/>
              <w:jc w:val="center"/>
              <w:rPr>
                <w:sz w:val="20"/>
                <w:szCs w:val="20"/>
              </w:rPr>
            </w:pPr>
            <w:r w:rsidRPr="00915DFB">
              <w:rPr>
                <w:color w:val="000000"/>
                <w:sz w:val="20"/>
                <w:szCs w:val="20"/>
              </w:rPr>
              <w:t>35.3</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A1E3C" w14:textId="77777777" w:rsidR="00915DFB" w:rsidRPr="00915DFB" w:rsidRDefault="00915DFB" w:rsidP="0028272D">
            <w:pPr>
              <w:keepNext/>
              <w:jc w:val="center"/>
              <w:rPr>
                <w:sz w:val="20"/>
                <w:szCs w:val="20"/>
              </w:rPr>
            </w:pPr>
            <w:r w:rsidRPr="00915DFB">
              <w:rPr>
                <w:color w:val="000000"/>
                <w:sz w:val="20"/>
                <w:szCs w:val="20"/>
              </w:rPr>
              <w:t>740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C640" w14:textId="77777777" w:rsidR="00915DFB" w:rsidRPr="00915DFB" w:rsidRDefault="00915DFB" w:rsidP="0028272D">
            <w:pPr>
              <w:keepNext/>
              <w:jc w:val="center"/>
              <w:rPr>
                <w:sz w:val="20"/>
                <w:szCs w:val="20"/>
              </w:rPr>
            </w:pPr>
            <w:r w:rsidRPr="00915DFB">
              <w:rPr>
                <w:color w:val="000000"/>
                <w:sz w:val="20"/>
                <w:szCs w:val="20"/>
              </w:rPr>
              <w:t>48.8</w:t>
            </w:r>
          </w:p>
        </w:tc>
      </w:tr>
      <w:tr w:rsidR="00915DFB" w:rsidRPr="00915DFB" w14:paraId="3AC8DF19"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9F5A5C" w14:textId="77777777" w:rsidR="00915DFB" w:rsidRPr="00915DFB" w:rsidRDefault="00915DFB" w:rsidP="0028272D">
            <w:pPr>
              <w:keepNext/>
              <w:rPr>
                <w:sz w:val="20"/>
                <w:szCs w:val="20"/>
              </w:rPr>
            </w:pPr>
            <w:r w:rsidRPr="00915DFB">
              <w:rPr>
                <w:color w:val="000000"/>
                <w:sz w:val="20"/>
                <w:szCs w:val="20"/>
              </w:rPr>
              <w:t>Revenue Not Available</w:t>
            </w:r>
          </w:p>
        </w:tc>
        <w:tc>
          <w:tcPr>
            <w:tcW w:w="576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A2EF9" w14:textId="77777777" w:rsidR="00915DFB" w:rsidRPr="00915DFB" w:rsidRDefault="00915DFB" w:rsidP="0028272D">
            <w:pPr>
              <w:keepNext/>
              <w:rPr>
                <w:sz w:val="20"/>
                <w:szCs w:val="20"/>
              </w:rPr>
            </w:pPr>
          </w:p>
        </w:tc>
      </w:tr>
      <w:tr w:rsidR="00915DFB" w:rsidRPr="00915DFB" w14:paraId="4AA738DF"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723975A" w14:textId="77777777" w:rsidR="00915DFB" w:rsidRPr="00915DFB" w:rsidRDefault="00915DFB" w:rsidP="0028272D">
            <w:pPr>
              <w:keepNext/>
              <w:jc w:val="right"/>
              <w:rPr>
                <w:sz w:val="20"/>
                <w:szCs w:val="20"/>
              </w:rPr>
            </w:pPr>
            <w:r w:rsidRPr="00915DFB">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264C" w14:textId="77777777" w:rsidR="00915DFB" w:rsidRPr="00915DFB" w:rsidRDefault="00915DFB" w:rsidP="0028272D">
            <w:pPr>
              <w:keepNext/>
              <w:jc w:val="center"/>
              <w:rPr>
                <w:sz w:val="20"/>
                <w:szCs w:val="20"/>
              </w:rPr>
            </w:pPr>
            <w:r w:rsidRPr="00915DFB">
              <w:rPr>
                <w:color w:val="000000"/>
                <w:sz w:val="20"/>
                <w:szCs w:val="20"/>
              </w:rPr>
              <w:t>11.2</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3F9D8" w14:textId="77777777" w:rsidR="00915DFB" w:rsidRPr="00915DFB" w:rsidRDefault="00915DFB" w:rsidP="0028272D">
            <w:pPr>
              <w:keepNext/>
              <w:jc w:val="center"/>
              <w:rPr>
                <w:sz w:val="20"/>
                <w:szCs w:val="20"/>
              </w:rPr>
            </w:pPr>
            <w:r w:rsidRPr="00915DFB">
              <w:rPr>
                <w:color w:val="000000"/>
                <w:sz w:val="20"/>
                <w:szCs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8AD7" w14:textId="77777777" w:rsidR="00915DFB" w:rsidRPr="00915DFB" w:rsidRDefault="00915DFB" w:rsidP="0028272D">
            <w:pPr>
              <w:keepNext/>
              <w:jc w:val="center"/>
              <w:rPr>
                <w:sz w:val="20"/>
                <w:szCs w:val="20"/>
              </w:rPr>
            </w:pPr>
            <w:r w:rsidRPr="00915DFB">
              <w:rPr>
                <w:color w:val="000000"/>
                <w:sz w:val="20"/>
                <w:szCs w:val="20"/>
              </w:rPr>
              <w:t>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3CDD" w14:textId="77777777" w:rsidR="00915DFB" w:rsidRPr="00915DFB" w:rsidRDefault="00915DFB" w:rsidP="0028272D">
            <w:pPr>
              <w:keepNext/>
              <w:jc w:val="center"/>
              <w:rPr>
                <w:sz w:val="20"/>
                <w:szCs w:val="20"/>
              </w:rPr>
            </w:pPr>
            <w:r w:rsidRPr="00915DFB">
              <w:rPr>
                <w:color w:val="000000"/>
                <w:sz w:val="20"/>
                <w:szCs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EAD33" w14:textId="77777777" w:rsidR="00915DFB" w:rsidRPr="00915DFB" w:rsidRDefault="00915DFB" w:rsidP="0028272D">
            <w:pPr>
              <w:keepNext/>
              <w:jc w:val="center"/>
              <w:rPr>
                <w:sz w:val="20"/>
                <w:szCs w:val="20"/>
              </w:rPr>
            </w:pPr>
            <w:r w:rsidRPr="00915DFB">
              <w:rPr>
                <w:color w:val="000000"/>
                <w:sz w:val="20"/>
                <w:szCs w:val="20"/>
              </w:rPr>
              <w:t>0.0</w:t>
            </w:r>
          </w:p>
        </w:tc>
      </w:tr>
      <w:tr w:rsidR="00915DFB" w:rsidRPr="00915DFB" w14:paraId="04B46E6B" w14:textId="77777777" w:rsidTr="00915DFB">
        <w:trPr>
          <w:trHeight w:val="166"/>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3D9776" w14:textId="77777777" w:rsidR="00915DFB" w:rsidRPr="00915DFB" w:rsidRDefault="00915DFB" w:rsidP="0028272D">
            <w:pPr>
              <w:keepNext/>
              <w:jc w:val="right"/>
              <w:rPr>
                <w:sz w:val="20"/>
                <w:szCs w:val="20"/>
              </w:rPr>
            </w:pPr>
            <w:r w:rsidRPr="00915DFB">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322E" w14:textId="77777777" w:rsidR="00915DFB" w:rsidRPr="00915DFB" w:rsidRDefault="00915DFB" w:rsidP="0028272D">
            <w:pPr>
              <w:keepNext/>
              <w:jc w:val="center"/>
              <w:rPr>
                <w:sz w:val="20"/>
                <w:szCs w:val="20"/>
              </w:rPr>
            </w:pPr>
            <w:r w:rsidRPr="00915DFB">
              <w:rPr>
                <w:color w:val="000000"/>
                <w:sz w:val="20"/>
                <w:szCs w:val="20"/>
              </w:rPr>
              <w:t>10.4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9DDE9" w14:textId="77777777" w:rsidR="00915DFB" w:rsidRPr="00915DFB" w:rsidRDefault="00915DFB" w:rsidP="0028272D">
            <w:pPr>
              <w:keepNext/>
              <w:jc w:val="center"/>
              <w:rPr>
                <w:sz w:val="20"/>
                <w:szCs w:val="20"/>
              </w:rPr>
            </w:pPr>
            <w:r w:rsidRPr="00915DFB">
              <w:rPr>
                <w:color w:val="000000"/>
                <w:sz w:val="20"/>
                <w:szCs w:val="20"/>
              </w:rPr>
              <w:t>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30D42" w14:textId="77777777" w:rsidR="00915DFB" w:rsidRPr="00915DFB" w:rsidRDefault="00915DFB" w:rsidP="0028272D">
            <w:pPr>
              <w:keepNext/>
              <w:jc w:val="center"/>
              <w:rPr>
                <w:sz w:val="20"/>
                <w:szCs w:val="20"/>
              </w:rPr>
            </w:pPr>
            <w:r w:rsidRPr="00915DFB">
              <w:rPr>
                <w:color w:val="000000"/>
                <w:sz w:val="20"/>
                <w:szCs w:val="20"/>
              </w:rPr>
              <w:t>5.9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0801C" w14:textId="77777777" w:rsidR="00915DFB" w:rsidRPr="00915DFB" w:rsidRDefault="00915DFB" w:rsidP="0028272D">
            <w:pPr>
              <w:keepNext/>
              <w:jc w:val="center"/>
              <w:rPr>
                <w:sz w:val="20"/>
                <w:szCs w:val="20"/>
              </w:rPr>
            </w:pPr>
            <w:r w:rsidRPr="00915DFB">
              <w:rPr>
                <w:color w:val="000000"/>
                <w:sz w:val="20"/>
                <w:szCs w:val="20"/>
              </w:rPr>
              <w:t>72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F7191" w14:textId="77777777" w:rsidR="00915DFB" w:rsidRPr="00915DFB" w:rsidRDefault="00915DFB" w:rsidP="0028272D">
            <w:pPr>
              <w:keepNext/>
              <w:jc w:val="center"/>
              <w:rPr>
                <w:sz w:val="20"/>
                <w:szCs w:val="20"/>
              </w:rPr>
            </w:pPr>
            <w:r w:rsidRPr="00915DFB">
              <w:rPr>
                <w:color w:val="000000"/>
                <w:sz w:val="20"/>
                <w:szCs w:val="20"/>
              </w:rPr>
              <w:t>4.8</w:t>
            </w:r>
          </w:p>
        </w:tc>
      </w:tr>
      <w:tr w:rsidR="00915DFB" w:rsidRPr="00915DFB" w14:paraId="1261D8E5"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FCAED4" w14:textId="77777777" w:rsidR="00915DFB" w:rsidRPr="00915DFB" w:rsidRDefault="00915DFB" w:rsidP="0028272D">
            <w:pPr>
              <w:keepNext/>
              <w:rPr>
                <w:sz w:val="20"/>
                <w:szCs w:val="20"/>
              </w:rPr>
            </w:pPr>
            <w:r w:rsidRPr="00915DFB">
              <w:rPr>
                <w:b/>
                <w:color w:val="000000"/>
                <w:sz w:val="20"/>
                <w:szCs w:val="20"/>
              </w:rPr>
              <w:t>Totals</w:t>
            </w:r>
          </w:p>
        </w:tc>
        <w:tc>
          <w:tcPr>
            <w:tcW w:w="576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BB815" w14:textId="77777777" w:rsidR="00915DFB" w:rsidRPr="00915DFB" w:rsidRDefault="00915DFB" w:rsidP="0028272D">
            <w:pPr>
              <w:keepNext/>
              <w:rPr>
                <w:sz w:val="20"/>
                <w:szCs w:val="20"/>
              </w:rPr>
            </w:pPr>
          </w:p>
        </w:tc>
      </w:tr>
      <w:tr w:rsidR="00915DFB" w:rsidRPr="00915DFB" w14:paraId="139EB7CB"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ECA85CF" w14:textId="77777777" w:rsidR="00915DFB" w:rsidRPr="00915DFB" w:rsidRDefault="00915DFB" w:rsidP="0028272D">
            <w:pPr>
              <w:keepNext/>
              <w:jc w:val="right"/>
              <w:rPr>
                <w:sz w:val="20"/>
                <w:szCs w:val="20"/>
              </w:rPr>
            </w:pPr>
            <w:r w:rsidRPr="00915DFB">
              <w:rPr>
                <w:b/>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C2E04" w14:textId="77777777" w:rsidR="00915DFB" w:rsidRPr="00915DFB" w:rsidRDefault="00915DFB" w:rsidP="0028272D">
            <w:pPr>
              <w:keepNext/>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E24CD" w14:textId="77777777" w:rsidR="00915DFB" w:rsidRPr="00915DFB" w:rsidRDefault="00915DFB" w:rsidP="0028272D">
            <w:pPr>
              <w:keepNext/>
              <w:jc w:val="center"/>
              <w:rPr>
                <w:sz w:val="20"/>
                <w:szCs w:val="20"/>
              </w:rPr>
            </w:pPr>
            <w:r w:rsidRPr="00915DFB">
              <w:rPr>
                <w:b/>
                <w:color w:val="000000"/>
                <w:sz w:val="20"/>
                <w:szCs w:val="20"/>
              </w:rPr>
              <w:t>21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67BAD" w14:textId="77777777" w:rsidR="00915DFB" w:rsidRPr="00915DFB" w:rsidRDefault="00915DFB" w:rsidP="0028272D">
            <w:pPr>
              <w:keepNext/>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38653" w14:textId="77777777" w:rsidR="00915DFB" w:rsidRPr="00915DFB" w:rsidRDefault="00915DFB" w:rsidP="0028272D">
            <w:pPr>
              <w:keepNext/>
              <w:jc w:val="center"/>
              <w:rPr>
                <w:sz w:val="20"/>
                <w:szCs w:val="20"/>
              </w:rPr>
            </w:pPr>
            <w:r w:rsidRPr="00915DFB">
              <w:rPr>
                <w:b/>
                <w:color w:val="000000"/>
                <w:sz w:val="20"/>
                <w:szCs w:val="20"/>
              </w:rPr>
              <w:t>1,074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4D5E7" w14:textId="77777777" w:rsidR="00915DFB" w:rsidRPr="00915DFB" w:rsidRDefault="00915DFB" w:rsidP="0028272D">
            <w:pPr>
              <w:keepNext/>
              <w:jc w:val="center"/>
              <w:rPr>
                <w:sz w:val="20"/>
                <w:szCs w:val="20"/>
              </w:rPr>
            </w:pPr>
            <w:r w:rsidRPr="00915DFB">
              <w:rPr>
                <w:b/>
                <w:color w:val="000000"/>
                <w:sz w:val="20"/>
                <w:szCs w:val="20"/>
              </w:rPr>
              <w:t>100.0</w:t>
            </w:r>
          </w:p>
        </w:tc>
      </w:tr>
      <w:tr w:rsidR="00915DFB" w:rsidRPr="00915DFB" w14:paraId="6AEA9D27" w14:textId="77777777" w:rsidTr="00915DFB">
        <w:trPr>
          <w:trHeight w:val="181"/>
          <w:jc w:val="center"/>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AFD950D" w14:textId="77777777" w:rsidR="00915DFB" w:rsidRPr="00915DFB" w:rsidRDefault="00915DFB" w:rsidP="0028272D">
            <w:pPr>
              <w:keepNext/>
              <w:jc w:val="right"/>
              <w:rPr>
                <w:sz w:val="20"/>
                <w:szCs w:val="20"/>
              </w:rPr>
            </w:pPr>
            <w:r w:rsidRPr="00915DFB">
              <w:rPr>
                <w:b/>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BF74D" w14:textId="77777777" w:rsidR="00915DFB" w:rsidRPr="00915DFB" w:rsidRDefault="00915DFB" w:rsidP="0028272D">
            <w:pPr>
              <w:keepNext/>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B2E2C" w14:textId="77777777" w:rsidR="00915DFB" w:rsidRPr="00915DFB" w:rsidRDefault="00915DFB" w:rsidP="0028272D">
            <w:pPr>
              <w:keepNext/>
              <w:jc w:val="center"/>
              <w:rPr>
                <w:sz w:val="20"/>
                <w:szCs w:val="20"/>
              </w:rPr>
            </w:pPr>
            <w:r w:rsidRPr="00915DFB">
              <w:rPr>
                <w:b/>
                <w:color w:val="000000"/>
                <w:sz w:val="20"/>
                <w:szCs w:val="20"/>
              </w:rPr>
              <w:t>17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28B9" w14:textId="77777777" w:rsidR="00915DFB" w:rsidRPr="00915DFB" w:rsidRDefault="00915DFB" w:rsidP="0028272D">
            <w:pPr>
              <w:keepNext/>
              <w:jc w:val="center"/>
              <w:rPr>
                <w:sz w:val="20"/>
                <w:szCs w:val="20"/>
              </w:rPr>
            </w:pPr>
            <w:r w:rsidRPr="00915DFB">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219C5" w14:textId="77777777" w:rsidR="00915DFB" w:rsidRPr="00915DFB" w:rsidRDefault="00915DFB" w:rsidP="0028272D">
            <w:pPr>
              <w:keepNext/>
              <w:jc w:val="center"/>
              <w:rPr>
                <w:sz w:val="20"/>
                <w:szCs w:val="20"/>
              </w:rPr>
            </w:pPr>
            <w:r w:rsidRPr="00915DFB">
              <w:rPr>
                <w:b/>
                <w:color w:val="000000"/>
                <w:sz w:val="20"/>
                <w:szCs w:val="20"/>
              </w:rPr>
              <w:t>1,515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38F3B" w14:textId="77777777" w:rsidR="00915DFB" w:rsidRPr="00915DFB" w:rsidRDefault="00915DFB" w:rsidP="0028272D">
            <w:pPr>
              <w:keepNext/>
              <w:jc w:val="center"/>
              <w:rPr>
                <w:sz w:val="20"/>
                <w:szCs w:val="20"/>
              </w:rPr>
            </w:pPr>
            <w:r w:rsidRPr="00915DFB">
              <w:rPr>
                <w:b/>
                <w:color w:val="000000"/>
                <w:sz w:val="20"/>
                <w:szCs w:val="20"/>
              </w:rPr>
              <w:t>100.0</w:t>
            </w:r>
          </w:p>
        </w:tc>
      </w:tr>
      <w:tr w:rsidR="00915DFB" w:rsidRPr="00915DFB" w14:paraId="056FEA4D" w14:textId="77777777" w:rsidTr="004900DF">
        <w:trPr>
          <w:trHeight w:val="158"/>
          <w:jc w:val="center"/>
        </w:trPr>
        <w:tc>
          <w:tcPr>
            <w:tcW w:w="8064" w:type="dxa"/>
            <w:gridSpan w:val="6"/>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59BCF63" w14:textId="77777777" w:rsidR="00915DFB" w:rsidRPr="00915DFB" w:rsidRDefault="004900DF" w:rsidP="00B41706">
            <w:pPr>
              <w:keepNext/>
              <w:rPr>
                <w:sz w:val="20"/>
                <w:szCs w:val="20"/>
              </w:rPr>
            </w:pPr>
            <w:r>
              <w:rPr>
                <w:i/>
                <w:color w:val="000000"/>
                <w:sz w:val="16"/>
              </w:rPr>
              <w:t>Source: 2018 and 2019 D&amp;B Data; Bank Data; Due to rounding, totals may not equal 100.0%.</w:t>
            </w:r>
          </w:p>
        </w:tc>
      </w:tr>
    </w:tbl>
    <w:p w14:paraId="317C3D94" w14:textId="77777777" w:rsidR="00915DFB" w:rsidRDefault="00915DFB" w:rsidP="00E15DD6">
      <w:pPr>
        <w:rPr>
          <w:iCs/>
          <w:color w:val="000000"/>
        </w:rPr>
      </w:pPr>
    </w:p>
    <w:p w14:paraId="065313B0" w14:textId="77777777" w:rsidR="00D12B41" w:rsidRPr="00161EC6" w:rsidRDefault="00D12B41" w:rsidP="00D12B41">
      <w:pPr>
        <w:pStyle w:val="QuickFormat1"/>
        <w:jc w:val="left"/>
        <w:rPr>
          <w:sz w:val="24"/>
          <w:szCs w:val="24"/>
          <w:u w:val="single"/>
        </w:rPr>
      </w:pPr>
      <w:r w:rsidRPr="00161EC6">
        <w:rPr>
          <w:sz w:val="24"/>
          <w:szCs w:val="24"/>
          <w:u w:val="single"/>
        </w:rPr>
        <w:t>Response to Complaints</w:t>
      </w:r>
    </w:p>
    <w:p w14:paraId="3C26EDE7" w14:textId="77777777" w:rsidR="00D12B41" w:rsidRDefault="00D12B41" w:rsidP="00D12B41">
      <w:pPr>
        <w:pStyle w:val="QuickFormat1"/>
        <w:jc w:val="left"/>
        <w:rPr>
          <w:b w:val="0"/>
          <w:sz w:val="24"/>
          <w:szCs w:val="24"/>
          <w:lang w:val="en-US"/>
        </w:rPr>
      </w:pPr>
    </w:p>
    <w:p w14:paraId="3C817BC7" w14:textId="77777777" w:rsidR="009D6FB4" w:rsidRDefault="009D6FB4" w:rsidP="009D6FB4">
      <w:pPr>
        <w:pStyle w:val="QuickFormat1"/>
        <w:jc w:val="left"/>
        <w:rPr>
          <w:b w:val="0"/>
          <w:sz w:val="24"/>
          <w:szCs w:val="24"/>
          <w:lang w:val="en-US"/>
        </w:rPr>
      </w:pPr>
      <w:r w:rsidRPr="00F872B7">
        <w:rPr>
          <w:b w:val="0"/>
          <w:sz w:val="24"/>
          <w:szCs w:val="24"/>
          <w:lang w:val="en-US"/>
        </w:rPr>
        <w:t xml:space="preserve">The institution </w:t>
      </w:r>
      <w:r w:rsidR="004900DF">
        <w:rPr>
          <w:b w:val="0"/>
          <w:sz w:val="24"/>
          <w:szCs w:val="24"/>
          <w:lang w:val="en-US"/>
        </w:rPr>
        <w:t>did</w:t>
      </w:r>
      <w:r w:rsidRPr="00F872B7">
        <w:rPr>
          <w:b w:val="0"/>
          <w:sz w:val="24"/>
          <w:szCs w:val="24"/>
          <w:lang w:val="en-US"/>
        </w:rPr>
        <w:t xml:space="preserve"> not receive any CRA-related complaints since the previous evaluation; therefore, this criterion did not affect</w:t>
      </w:r>
      <w:r>
        <w:rPr>
          <w:b w:val="0"/>
          <w:sz w:val="24"/>
          <w:szCs w:val="24"/>
          <w:lang w:val="en-US"/>
        </w:rPr>
        <w:t xml:space="preserve"> the Lending Test rating.  </w:t>
      </w:r>
    </w:p>
    <w:p w14:paraId="4E76585C" w14:textId="77777777" w:rsidR="00FB7E5F" w:rsidRDefault="00FB7E5F" w:rsidP="00D12B41">
      <w:pPr>
        <w:pStyle w:val="QuickFormat1"/>
        <w:jc w:val="left"/>
        <w:rPr>
          <w:b w:val="0"/>
          <w:sz w:val="24"/>
          <w:szCs w:val="24"/>
          <w:lang w:val="en-US"/>
        </w:rPr>
      </w:pPr>
    </w:p>
    <w:p w14:paraId="2D289DCF" w14:textId="77777777" w:rsidR="00FB7E5F" w:rsidRPr="00FB7E5F" w:rsidRDefault="00FB7E5F" w:rsidP="00D12B41">
      <w:pPr>
        <w:pStyle w:val="QuickFormat1"/>
        <w:jc w:val="left"/>
        <w:rPr>
          <w:b w:val="0"/>
          <w:sz w:val="24"/>
          <w:szCs w:val="24"/>
          <w:lang w:val="en-US"/>
        </w:rPr>
      </w:pPr>
    </w:p>
    <w:p w14:paraId="0A3AE69E" w14:textId="77777777" w:rsidR="008A19A4" w:rsidRPr="00FB7E5F" w:rsidRDefault="00A03524" w:rsidP="00A03524">
      <w:pPr>
        <w:rPr>
          <w:b/>
          <w:iCs/>
        </w:rPr>
      </w:pPr>
      <w:r w:rsidRPr="00FB7E5F">
        <w:rPr>
          <w:b/>
          <w:iCs/>
        </w:rPr>
        <w:t>COMMUNITY DEVELOPMENT TEST</w:t>
      </w:r>
    </w:p>
    <w:p w14:paraId="10ADFBC4" w14:textId="77777777" w:rsidR="00A03524" w:rsidRDefault="00A03524" w:rsidP="00A03524">
      <w:pPr>
        <w:rPr>
          <w:iCs/>
        </w:rPr>
      </w:pPr>
    </w:p>
    <w:p w14:paraId="7DA042CD" w14:textId="77777777" w:rsidR="00FB7E5F" w:rsidRDefault="00D50933" w:rsidP="00A03524">
      <w:pPr>
        <w:rPr>
          <w:iCs/>
        </w:rPr>
      </w:pPr>
      <w:r>
        <w:rPr>
          <w:iCs/>
        </w:rPr>
        <w:t xml:space="preserve">The </w:t>
      </w:r>
      <w:r w:rsidR="009606A2">
        <w:rPr>
          <w:iCs/>
        </w:rPr>
        <w:t xml:space="preserve">bank’s </w:t>
      </w:r>
      <w:r>
        <w:rPr>
          <w:iCs/>
        </w:rPr>
        <w:t>community development performance demonstrates adequate responsiveness to the community development needs in its assessment area through community development loans, qualified investments, and community development services.  Examiners considered the institution’s capacity and the need and availability for community development activities in the assessment area.</w:t>
      </w:r>
    </w:p>
    <w:p w14:paraId="082F9FF2" w14:textId="77777777" w:rsidR="00FB7E5F" w:rsidRPr="00FB7E5F" w:rsidRDefault="00FB7E5F" w:rsidP="00A03524">
      <w:pPr>
        <w:rPr>
          <w:iCs/>
        </w:rPr>
      </w:pPr>
    </w:p>
    <w:p w14:paraId="2617C8EE" w14:textId="77777777" w:rsidR="00A03524" w:rsidRDefault="00636A2B" w:rsidP="00A03524">
      <w:pPr>
        <w:rPr>
          <w:b/>
          <w:iCs/>
          <w:u w:val="single"/>
        </w:rPr>
      </w:pPr>
      <w:r>
        <w:rPr>
          <w:b/>
          <w:iCs/>
          <w:u w:val="single"/>
        </w:rPr>
        <w:t>Community Development Loans</w:t>
      </w:r>
    </w:p>
    <w:p w14:paraId="798406E8" w14:textId="77777777" w:rsidR="00636A2B" w:rsidRDefault="00636A2B" w:rsidP="00A03524">
      <w:pPr>
        <w:rPr>
          <w:iCs/>
        </w:rPr>
      </w:pPr>
    </w:p>
    <w:p w14:paraId="5909F82D" w14:textId="77777777" w:rsidR="00FB7E5F" w:rsidRDefault="00287D57" w:rsidP="00A03524">
      <w:pPr>
        <w:rPr>
          <w:iCs/>
        </w:rPr>
      </w:pPr>
      <w:r>
        <w:rPr>
          <w:iCs/>
        </w:rPr>
        <w:t>Savers</w:t>
      </w:r>
      <w:r w:rsidR="00D50933">
        <w:rPr>
          <w:iCs/>
        </w:rPr>
        <w:t xml:space="preserve"> originated 34 community development loans for approximately $9.1 million during the evaluation period.  </w:t>
      </w:r>
      <w:r w:rsidR="001C142D">
        <w:rPr>
          <w:iCs/>
        </w:rPr>
        <w:t xml:space="preserve">This activity represents approximately 1.9 percent of average total loans and 1.5 percent of average total assets over the evaluation period.  The majority of the community development loans supported </w:t>
      </w:r>
      <w:r w:rsidR="003C18DA">
        <w:rPr>
          <w:iCs/>
        </w:rPr>
        <w:t>revitalization/stabilization</w:t>
      </w:r>
      <w:r w:rsidR="00123B9D">
        <w:rPr>
          <w:iCs/>
        </w:rPr>
        <w:t>.</w:t>
      </w:r>
      <w:r w:rsidR="00476E0E">
        <w:rPr>
          <w:iCs/>
        </w:rPr>
        <w:t xml:space="preserve"> </w:t>
      </w:r>
      <w:r w:rsidR="004900DF">
        <w:rPr>
          <w:iCs/>
        </w:rPr>
        <w:t xml:space="preserve"> </w:t>
      </w:r>
      <w:r w:rsidR="00476E0E">
        <w:rPr>
          <w:iCs/>
        </w:rPr>
        <w:t>The bank did not make a</w:t>
      </w:r>
      <w:r w:rsidR="004900DF">
        <w:rPr>
          <w:iCs/>
        </w:rPr>
        <w:t>ny</w:t>
      </w:r>
      <w:r w:rsidR="00476E0E">
        <w:rPr>
          <w:iCs/>
        </w:rPr>
        <w:t xml:space="preserve"> community development loan</w:t>
      </w:r>
      <w:r w:rsidR="004900DF">
        <w:rPr>
          <w:iCs/>
        </w:rPr>
        <w:t>s</w:t>
      </w:r>
      <w:r w:rsidR="00476E0E">
        <w:rPr>
          <w:iCs/>
        </w:rPr>
        <w:t xml:space="preserve"> </w:t>
      </w:r>
      <w:r w:rsidR="004900DF">
        <w:rPr>
          <w:iCs/>
        </w:rPr>
        <w:t>suppor</w:t>
      </w:r>
      <w:r w:rsidR="00476E0E">
        <w:rPr>
          <w:iCs/>
        </w:rPr>
        <w:t>ting affordable housing, which is identified as a community need.</w:t>
      </w:r>
    </w:p>
    <w:p w14:paraId="6E82C6F6" w14:textId="77777777" w:rsidR="00D47F7A" w:rsidRDefault="00D47F7A" w:rsidP="00A03524">
      <w:pPr>
        <w:rPr>
          <w:iCs/>
        </w:rPr>
      </w:pPr>
    </w:p>
    <w:p w14:paraId="2A17CBCC" w14:textId="77777777" w:rsidR="00D47F7A" w:rsidRDefault="00D47F7A" w:rsidP="00A03524">
      <w:pPr>
        <w:rPr>
          <w:iCs/>
        </w:rPr>
      </w:pPr>
      <w:r>
        <w:rPr>
          <w:iCs/>
        </w:rPr>
        <w:t>The following table illustrates the bank’s community development lending activity by year and purpose inside the assessment area.</w:t>
      </w:r>
    </w:p>
    <w:p w14:paraId="6DF21178" w14:textId="77777777" w:rsidR="00123B9D" w:rsidRDefault="00123B9D" w:rsidP="00A03524">
      <w:pPr>
        <w:rPr>
          <w:iCs/>
        </w:rPr>
      </w:pPr>
    </w:p>
    <w:p w14:paraId="7A9529EB" w14:textId="77777777" w:rsidR="00123B9D" w:rsidRDefault="00123B9D" w:rsidP="00A03524">
      <w:pPr>
        <w:rPr>
          <w:iCs/>
        </w:rPr>
      </w:pPr>
    </w:p>
    <w:p w14:paraId="477609FE" w14:textId="77777777" w:rsidR="00E866F4" w:rsidRDefault="00E866F4" w:rsidP="00A03524">
      <w:pPr>
        <w:rPr>
          <w:i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E866F4" w:rsidRPr="005B64E6" w14:paraId="0122CE48" w14:textId="77777777" w:rsidTr="00E866F4">
        <w:trPr>
          <w:trHeight w:val="360"/>
          <w:jc w:val="center"/>
        </w:trPr>
        <w:tc>
          <w:tcPr>
            <w:tcW w:w="9820" w:type="dxa"/>
            <w:gridSpan w:val="11"/>
            <w:shd w:val="clear" w:color="auto" w:fill="auto"/>
            <w:vAlign w:val="center"/>
          </w:tcPr>
          <w:p w14:paraId="166A253A" w14:textId="77777777" w:rsidR="00E866F4" w:rsidRPr="005B64E6" w:rsidRDefault="00E866F4" w:rsidP="00E866F4">
            <w:pPr>
              <w:keepNext/>
              <w:widowControl w:val="0"/>
              <w:jc w:val="center"/>
              <w:rPr>
                <w:b/>
                <w:sz w:val="20"/>
                <w:szCs w:val="20"/>
              </w:rPr>
            </w:pPr>
            <w:r w:rsidRPr="005B64E6">
              <w:rPr>
                <w:b/>
                <w:sz w:val="20"/>
                <w:szCs w:val="20"/>
              </w:rPr>
              <w:lastRenderedPageBreak/>
              <w:t>Community Development Lending</w:t>
            </w:r>
          </w:p>
        </w:tc>
      </w:tr>
      <w:tr w:rsidR="00E866F4" w:rsidRPr="005B64E6" w14:paraId="2DD8AB98" w14:textId="77777777" w:rsidTr="00E866F4">
        <w:trPr>
          <w:trHeight w:val="288"/>
          <w:jc w:val="center"/>
        </w:trPr>
        <w:tc>
          <w:tcPr>
            <w:tcW w:w="1987" w:type="dxa"/>
            <w:vMerge w:val="restart"/>
            <w:shd w:val="clear" w:color="auto" w:fill="auto"/>
            <w:vAlign w:val="center"/>
          </w:tcPr>
          <w:p w14:paraId="2F505A14" w14:textId="77777777" w:rsidR="00E866F4" w:rsidRPr="005B64E6" w:rsidRDefault="00E866F4" w:rsidP="00E866F4">
            <w:pPr>
              <w:keepNext/>
              <w:widowControl w:val="0"/>
              <w:rPr>
                <w:b/>
                <w:sz w:val="20"/>
                <w:szCs w:val="20"/>
              </w:rPr>
            </w:pPr>
            <w:r w:rsidRPr="005B64E6">
              <w:rPr>
                <w:b/>
                <w:sz w:val="20"/>
                <w:szCs w:val="20"/>
              </w:rPr>
              <w:t>Activity Year</w:t>
            </w:r>
          </w:p>
        </w:tc>
        <w:tc>
          <w:tcPr>
            <w:tcW w:w="1594" w:type="dxa"/>
            <w:gridSpan w:val="2"/>
            <w:shd w:val="clear" w:color="auto" w:fill="auto"/>
            <w:vAlign w:val="center"/>
          </w:tcPr>
          <w:p w14:paraId="389C7467" w14:textId="77777777" w:rsidR="00E866F4" w:rsidRPr="005B64E6" w:rsidRDefault="00E866F4" w:rsidP="00E866F4">
            <w:pPr>
              <w:keepNext/>
              <w:widowControl w:val="0"/>
              <w:jc w:val="center"/>
              <w:rPr>
                <w:b/>
                <w:sz w:val="20"/>
                <w:szCs w:val="20"/>
              </w:rPr>
            </w:pPr>
            <w:r w:rsidRPr="005B64E6">
              <w:rPr>
                <w:b/>
                <w:sz w:val="20"/>
                <w:szCs w:val="20"/>
              </w:rPr>
              <w:t>Affordable Housing</w:t>
            </w:r>
          </w:p>
        </w:tc>
        <w:tc>
          <w:tcPr>
            <w:tcW w:w="1530" w:type="dxa"/>
            <w:gridSpan w:val="2"/>
            <w:shd w:val="clear" w:color="auto" w:fill="auto"/>
            <w:vAlign w:val="center"/>
          </w:tcPr>
          <w:p w14:paraId="652A6F2A" w14:textId="77777777" w:rsidR="00E866F4" w:rsidRPr="005B64E6" w:rsidRDefault="00E866F4" w:rsidP="00E866F4">
            <w:pPr>
              <w:keepNext/>
              <w:widowControl w:val="0"/>
              <w:jc w:val="center"/>
              <w:rPr>
                <w:b/>
                <w:sz w:val="20"/>
                <w:szCs w:val="20"/>
              </w:rPr>
            </w:pPr>
            <w:r w:rsidRPr="005B64E6">
              <w:rPr>
                <w:b/>
                <w:sz w:val="20"/>
                <w:szCs w:val="20"/>
              </w:rPr>
              <w:t>Community Services</w:t>
            </w:r>
          </w:p>
        </w:tc>
        <w:tc>
          <w:tcPr>
            <w:tcW w:w="1530" w:type="dxa"/>
            <w:gridSpan w:val="2"/>
            <w:shd w:val="clear" w:color="auto" w:fill="auto"/>
            <w:vAlign w:val="center"/>
          </w:tcPr>
          <w:p w14:paraId="27F79B64" w14:textId="77777777" w:rsidR="00E866F4" w:rsidRPr="005B64E6" w:rsidRDefault="00E866F4" w:rsidP="00E866F4">
            <w:pPr>
              <w:keepNext/>
              <w:widowControl w:val="0"/>
              <w:jc w:val="center"/>
              <w:rPr>
                <w:b/>
                <w:sz w:val="20"/>
                <w:szCs w:val="20"/>
              </w:rPr>
            </w:pPr>
            <w:r w:rsidRPr="005B64E6">
              <w:rPr>
                <w:b/>
                <w:sz w:val="20"/>
                <w:szCs w:val="20"/>
              </w:rPr>
              <w:t>Economic Development</w:t>
            </w:r>
          </w:p>
        </w:tc>
        <w:tc>
          <w:tcPr>
            <w:tcW w:w="1620" w:type="dxa"/>
            <w:gridSpan w:val="2"/>
            <w:shd w:val="clear" w:color="auto" w:fill="auto"/>
            <w:vAlign w:val="center"/>
          </w:tcPr>
          <w:p w14:paraId="61110BD7" w14:textId="77777777" w:rsidR="00E866F4" w:rsidRPr="005B64E6" w:rsidRDefault="00E866F4" w:rsidP="00E866F4">
            <w:pPr>
              <w:keepNext/>
              <w:widowControl w:val="0"/>
              <w:jc w:val="center"/>
              <w:rPr>
                <w:b/>
                <w:sz w:val="20"/>
                <w:szCs w:val="20"/>
              </w:rPr>
            </w:pPr>
            <w:r w:rsidRPr="005B64E6">
              <w:rPr>
                <w:b/>
                <w:sz w:val="20"/>
                <w:szCs w:val="20"/>
              </w:rPr>
              <w:t>Revitalize or Stabilize</w:t>
            </w:r>
          </w:p>
        </w:tc>
        <w:tc>
          <w:tcPr>
            <w:tcW w:w="1559" w:type="dxa"/>
            <w:gridSpan w:val="2"/>
            <w:shd w:val="clear" w:color="auto" w:fill="auto"/>
            <w:vAlign w:val="center"/>
          </w:tcPr>
          <w:p w14:paraId="66002001" w14:textId="77777777" w:rsidR="00E866F4" w:rsidRPr="005B64E6" w:rsidRDefault="00E866F4" w:rsidP="00E866F4">
            <w:pPr>
              <w:keepNext/>
              <w:widowControl w:val="0"/>
              <w:jc w:val="center"/>
              <w:rPr>
                <w:b/>
                <w:sz w:val="20"/>
                <w:szCs w:val="20"/>
              </w:rPr>
            </w:pPr>
            <w:r w:rsidRPr="005B64E6">
              <w:rPr>
                <w:b/>
                <w:sz w:val="20"/>
                <w:szCs w:val="20"/>
              </w:rPr>
              <w:t>Totals</w:t>
            </w:r>
          </w:p>
        </w:tc>
      </w:tr>
      <w:tr w:rsidR="00E866F4" w:rsidRPr="005B64E6" w14:paraId="72244F87" w14:textId="77777777" w:rsidTr="00E866F4">
        <w:trPr>
          <w:trHeight w:val="288"/>
          <w:jc w:val="center"/>
        </w:trPr>
        <w:tc>
          <w:tcPr>
            <w:tcW w:w="1987" w:type="dxa"/>
            <w:vMerge/>
            <w:shd w:val="clear" w:color="auto" w:fill="auto"/>
            <w:vAlign w:val="center"/>
          </w:tcPr>
          <w:p w14:paraId="6C3BA8E7" w14:textId="77777777" w:rsidR="00E866F4" w:rsidRPr="005B64E6" w:rsidRDefault="00E866F4" w:rsidP="00E866F4">
            <w:pPr>
              <w:keepNext/>
              <w:widowControl w:val="0"/>
              <w:rPr>
                <w:sz w:val="20"/>
                <w:szCs w:val="20"/>
                <w:highlight w:val="green"/>
              </w:rPr>
            </w:pPr>
          </w:p>
        </w:tc>
        <w:tc>
          <w:tcPr>
            <w:tcW w:w="700" w:type="dxa"/>
            <w:shd w:val="clear" w:color="auto" w:fill="auto"/>
            <w:vAlign w:val="center"/>
          </w:tcPr>
          <w:p w14:paraId="47CB9915" w14:textId="77777777" w:rsidR="00E866F4" w:rsidRPr="005B64E6" w:rsidRDefault="00E866F4" w:rsidP="00E866F4">
            <w:pPr>
              <w:keepNext/>
              <w:widowControl w:val="0"/>
              <w:jc w:val="center"/>
              <w:rPr>
                <w:b/>
                <w:sz w:val="20"/>
                <w:szCs w:val="20"/>
              </w:rPr>
            </w:pPr>
            <w:r w:rsidRPr="005B64E6">
              <w:rPr>
                <w:b/>
                <w:sz w:val="20"/>
                <w:szCs w:val="20"/>
              </w:rPr>
              <w:t>#</w:t>
            </w:r>
          </w:p>
        </w:tc>
        <w:tc>
          <w:tcPr>
            <w:tcW w:w="894" w:type="dxa"/>
            <w:shd w:val="clear" w:color="auto" w:fill="auto"/>
            <w:vAlign w:val="center"/>
          </w:tcPr>
          <w:p w14:paraId="68BC9B82" w14:textId="77777777" w:rsidR="00E866F4" w:rsidRPr="005B64E6" w:rsidRDefault="00E866F4" w:rsidP="00E866F4">
            <w:pPr>
              <w:keepNext/>
              <w:widowControl w:val="0"/>
              <w:jc w:val="center"/>
              <w:rPr>
                <w:b/>
                <w:sz w:val="20"/>
                <w:szCs w:val="20"/>
              </w:rPr>
            </w:pPr>
            <w:r w:rsidRPr="005B64E6">
              <w:rPr>
                <w:b/>
                <w:sz w:val="20"/>
                <w:szCs w:val="20"/>
              </w:rPr>
              <w:t>$(000s)</w:t>
            </w:r>
          </w:p>
        </w:tc>
        <w:tc>
          <w:tcPr>
            <w:tcW w:w="616" w:type="dxa"/>
            <w:shd w:val="clear" w:color="auto" w:fill="auto"/>
            <w:vAlign w:val="center"/>
          </w:tcPr>
          <w:p w14:paraId="26A6C51C" w14:textId="77777777" w:rsidR="00E866F4" w:rsidRPr="005B64E6" w:rsidRDefault="00E866F4" w:rsidP="00E866F4">
            <w:pPr>
              <w:keepNext/>
              <w:widowControl w:val="0"/>
              <w:jc w:val="center"/>
              <w:rPr>
                <w:b/>
                <w:sz w:val="20"/>
                <w:szCs w:val="20"/>
              </w:rPr>
            </w:pPr>
            <w:r w:rsidRPr="005B64E6">
              <w:rPr>
                <w:b/>
                <w:sz w:val="20"/>
                <w:szCs w:val="20"/>
              </w:rPr>
              <w:t>#</w:t>
            </w:r>
          </w:p>
        </w:tc>
        <w:tc>
          <w:tcPr>
            <w:tcW w:w="914" w:type="dxa"/>
            <w:shd w:val="clear" w:color="auto" w:fill="auto"/>
            <w:vAlign w:val="center"/>
          </w:tcPr>
          <w:p w14:paraId="66E498D0" w14:textId="77777777" w:rsidR="00E866F4" w:rsidRPr="005B64E6" w:rsidRDefault="00E866F4" w:rsidP="00E866F4">
            <w:pPr>
              <w:keepNext/>
              <w:widowControl w:val="0"/>
              <w:jc w:val="center"/>
              <w:rPr>
                <w:b/>
                <w:sz w:val="20"/>
                <w:szCs w:val="20"/>
              </w:rPr>
            </w:pPr>
            <w:r w:rsidRPr="005B64E6">
              <w:rPr>
                <w:b/>
                <w:sz w:val="20"/>
                <w:szCs w:val="20"/>
              </w:rPr>
              <w:t>$(000s)</w:t>
            </w:r>
          </w:p>
        </w:tc>
        <w:tc>
          <w:tcPr>
            <w:tcW w:w="616" w:type="dxa"/>
            <w:shd w:val="clear" w:color="auto" w:fill="auto"/>
            <w:vAlign w:val="center"/>
          </w:tcPr>
          <w:p w14:paraId="6AC75500" w14:textId="77777777" w:rsidR="00E866F4" w:rsidRPr="005B64E6" w:rsidRDefault="00E866F4" w:rsidP="00E866F4">
            <w:pPr>
              <w:keepNext/>
              <w:widowControl w:val="0"/>
              <w:jc w:val="center"/>
              <w:rPr>
                <w:b/>
                <w:sz w:val="20"/>
                <w:szCs w:val="20"/>
              </w:rPr>
            </w:pPr>
            <w:r w:rsidRPr="005B64E6">
              <w:rPr>
                <w:b/>
                <w:sz w:val="20"/>
                <w:szCs w:val="20"/>
              </w:rPr>
              <w:t>#</w:t>
            </w:r>
          </w:p>
        </w:tc>
        <w:tc>
          <w:tcPr>
            <w:tcW w:w="914" w:type="dxa"/>
            <w:shd w:val="clear" w:color="auto" w:fill="auto"/>
            <w:vAlign w:val="center"/>
          </w:tcPr>
          <w:p w14:paraId="7C14E159" w14:textId="77777777" w:rsidR="00E866F4" w:rsidRPr="005B64E6" w:rsidRDefault="00E866F4" w:rsidP="00E866F4">
            <w:pPr>
              <w:keepNext/>
              <w:widowControl w:val="0"/>
              <w:jc w:val="center"/>
              <w:rPr>
                <w:b/>
                <w:sz w:val="20"/>
                <w:szCs w:val="20"/>
              </w:rPr>
            </w:pPr>
            <w:r w:rsidRPr="005B64E6">
              <w:rPr>
                <w:b/>
                <w:sz w:val="20"/>
                <w:szCs w:val="20"/>
              </w:rPr>
              <w:t>$(000s)</w:t>
            </w:r>
          </w:p>
        </w:tc>
        <w:tc>
          <w:tcPr>
            <w:tcW w:w="671" w:type="dxa"/>
            <w:shd w:val="clear" w:color="auto" w:fill="auto"/>
            <w:vAlign w:val="center"/>
          </w:tcPr>
          <w:p w14:paraId="48161961" w14:textId="77777777" w:rsidR="00E866F4" w:rsidRPr="005B64E6" w:rsidRDefault="00E866F4" w:rsidP="00E866F4">
            <w:pPr>
              <w:keepNext/>
              <w:widowControl w:val="0"/>
              <w:jc w:val="center"/>
              <w:rPr>
                <w:b/>
                <w:sz w:val="20"/>
                <w:szCs w:val="20"/>
              </w:rPr>
            </w:pPr>
            <w:r w:rsidRPr="005B64E6">
              <w:rPr>
                <w:b/>
                <w:sz w:val="20"/>
                <w:szCs w:val="20"/>
              </w:rPr>
              <w:t>#</w:t>
            </w:r>
          </w:p>
        </w:tc>
        <w:tc>
          <w:tcPr>
            <w:tcW w:w="949" w:type="dxa"/>
            <w:shd w:val="clear" w:color="auto" w:fill="auto"/>
            <w:vAlign w:val="center"/>
          </w:tcPr>
          <w:p w14:paraId="12D8766F" w14:textId="77777777" w:rsidR="00E866F4" w:rsidRPr="005B64E6" w:rsidRDefault="00E866F4" w:rsidP="00E866F4">
            <w:pPr>
              <w:keepNext/>
              <w:widowControl w:val="0"/>
              <w:jc w:val="center"/>
              <w:rPr>
                <w:b/>
                <w:sz w:val="20"/>
                <w:szCs w:val="20"/>
              </w:rPr>
            </w:pPr>
            <w:r w:rsidRPr="005B64E6">
              <w:rPr>
                <w:b/>
                <w:sz w:val="20"/>
                <w:szCs w:val="20"/>
              </w:rPr>
              <w:t>$(000s)</w:t>
            </w:r>
          </w:p>
        </w:tc>
        <w:tc>
          <w:tcPr>
            <w:tcW w:w="659" w:type="dxa"/>
            <w:shd w:val="clear" w:color="auto" w:fill="auto"/>
            <w:vAlign w:val="center"/>
          </w:tcPr>
          <w:p w14:paraId="15442BC9" w14:textId="77777777" w:rsidR="00E866F4" w:rsidRPr="005B64E6" w:rsidRDefault="00E866F4" w:rsidP="00E866F4">
            <w:pPr>
              <w:keepNext/>
              <w:widowControl w:val="0"/>
              <w:jc w:val="center"/>
              <w:rPr>
                <w:b/>
                <w:sz w:val="20"/>
                <w:szCs w:val="20"/>
              </w:rPr>
            </w:pPr>
            <w:r w:rsidRPr="005B64E6">
              <w:rPr>
                <w:b/>
                <w:sz w:val="20"/>
                <w:szCs w:val="20"/>
              </w:rPr>
              <w:t>#</w:t>
            </w:r>
          </w:p>
        </w:tc>
        <w:tc>
          <w:tcPr>
            <w:tcW w:w="900" w:type="dxa"/>
            <w:shd w:val="clear" w:color="auto" w:fill="auto"/>
            <w:vAlign w:val="center"/>
          </w:tcPr>
          <w:p w14:paraId="73507EFB" w14:textId="77777777" w:rsidR="00E866F4" w:rsidRPr="005B64E6" w:rsidRDefault="00E866F4" w:rsidP="00E866F4">
            <w:pPr>
              <w:keepNext/>
              <w:widowControl w:val="0"/>
              <w:jc w:val="center"/>
              <w:rPr>
                <w:b/>
                <w:sz w:val="20"/>
                <w:szCs w:val="20"/>
              </w:rPr>
            </w:pPr>
            <w:r w:rsidRPr="005B64E6">
              <w:rPr>
                <w:b/>
                <w:sz w:val="20"/>
                <w:szCs w:val="20"/>
              </w:rPr>
              <w:t>$(000s)</w:t>
            </w:r>
          </w:p>
        </w:tc>
      </w:tr>
      <w:tr w:rsidR="00E866F4" w:rsidRPr="005B64E6" w14:paraId="47BB3A69" w14:textId="77777777" w:rsidTr="00E866F4">
        <w:trPr>
          <w:trHeight w:val="288"/>
          <w:jc w:val="center"/>
        </w:trPr>
        <w:tc>
          <w:tcPr>
            <w:tcW w:w="1987" w:type="dxa"/>
            <w:shd w:val="clear" w:color="auto" w:fill="auto"/>
            <w:vAlign w:val="center"/>
          </w:tcPr>
          <w:p w14:paraId="760BE10E" w14:textId="77777777" w:rsidR="00E866F4" w:rsidRPr="005B64E6" w:rsidRDefault="00E866F4" w:rsidP="00E866F4">
            <w:pPr>
              <w:keepNext/>
              <w:widowControl w:val="0"/>
              <w:rPr>
                <w:sz w:val="20"/>
                <w:szCs w:val="20"/>
              </w:rPr>
            </w:pPr>
            <w:r>
              <w:rPr>
                <w:sz w:val="20"/>
                <w:szCs w:val="20"/>
              </w:rPr>
              <w:t>2018</w:t>
            </w:r>
          </w:p>
        </w:tc>
        <w:tc>
          <w:tcPr>
            <w:tcW w:w="700" w:type="dxa"/>
            <w:shd w:val="clear" w:color="auto" w:fill="auto"/>
            <w:vAlign w:val="center"/>
          </w:tcPr>
          <w:p w14:paraId="40C5CF65" w14:textId="77777777" w:rsidR="00E866F4" w:rsidRPr="005B64E6" w:rsidRDefault="00E866F4" w:rsidP="00E866F4">
            <w:pPr>
              <w:keepNext/>
              <w:widowControl w:val="0"/>
              <w:jc w:val="center"/>
              <w:rPr>
                <w:sz w:val="20"/>
                <w:szCs w:val="20"/>
              </w:rPr>
            </w:pPr>
            <w:r>
              <w:rPr>
                <w:sz w:val="20"/>
                <w:szCs w:val="20"/>
              </w:rPr>
              <w:t>0</w:t>
            </w:r>
          </w:p>
        </w:tc>
        <w:tc>
          <w:tcPr>
            <w:tcW w:w="894" w:type="dxa"/>
            <w:shd w:val="clear" w:color="auto" w:fill="auto"/>
            <w:vAlign w:val="center"/>
          </w:tcPr>
          <w:p w14:paraId="7FB23286" w14:textId="77777777" w:rsidR="00E866F4" w:rsidRPr="005B64E6" w:rsidRDefault="00E866F4" w:rsidP="00E866F4">
            <w:pPr>
              <w:keepNext/>
              <w:widowControl w:val="0"/>
              <w:jc w:val="center"/>
              <w:rPr>
                <w:sz w:val="20"/>
                <w:szCs w:val="20"/>
              </w:rPr>
            </w:pPr>
            <w:r>
              <w:rPr>
                <w:sz w:val="20"/>
                <w:szCs w:val="20"/>
              </w:rPr>
              <w:t>0</w:t>
            </w:r>
          </w:p>
        </w:tc>
        <w:tc>
          <w:tcPr>
            <w:tcW w:w="616" w:type="dxa"/>
            <w:shd w:val="clear" w:color="auto" w:fill="auto"/>
            <w:vAlign w:val="center"/>
          </w:tcPr>
          <w:p w14:paraId="724940E7" w14:textId="77777777" w:rsidR="00E866F4" w:rsidRPr="005B64E6" w:rsidRDefault="00E866F4" w:rsidP="00E866F4">
            <w:pPr>
              <w:keepNext/>
              <w:widowControl w:val="0"/>
              <w:jc w:val="center"/>
              <w:rPr>
                <w:sz w:val="20"/>
                <w:szCs w:val="20"/>
              </w:rPr>
            </w:pPr>
            <w:r>
              <w:rPr>
                <w:sz w:val="20"/>
                <w:szCs w:val="20"/>
              </w:rPr>
              <w:t>0</w:t>
            </w:r>
          </w:p>
        </w:tc>
        <w:tc>
          <w:tcPr>
            <w:tcW w:w="914" w:type="dxa"/>
            <w:shd w:val="clear" w:color="auto" w:fill="auto"/>
            <w:vAlign w:val="center"/>
          </w:tcPr>
          <w:p w14:paraId="7F4BD26E" w14:textId="77777777" w:rsidR="00E866F4" w:rsidRPr="005B64E6" w:rsidRDefault="00E866F4" w:rsidP="00E866F4">
            <w:pPr>
              <w:keepNext/>
              <w:widowControl w:val="0"/>
              <w:jc w:val="center"/>
              <w:rPr>
                <w:sz w:val="20"/>
                <w:szCs w:val="20"/>
              </w:rPr>
            </w:pPr>
            <w:r>
              <w:rPr>
                <w:sz w:val="20"/>
                <w:szCs w:val="20"/>
              </w:rPr>
              <w:t>0</w:t>
            </w:r>
          </w:p>
        </w:tc>
        <w:tc>
          <w:tcPr>
            <w:tcW w:w="616" w:type="dxa"/>
            <w:shd w:val="clear" w:color="auto" w:fill="auto"/>
            <w:vAlign w:val="center"/>
          </w:tcPr>
          <w:p w14:paraId="1AD4B130" w14:textId="77777777" w:rsidR="00E866F4" w:rsidRPr="005B64E6" w:rsidRDefault="00E866F4" w:rsidP="00E866F4">
            <w:pPr>
              <w:keepNext/>
              <w:widowControl w:val="0"/>
              <w:jc w:val="center"/>
              <w:rPr>
                <w:sz w:val="20"/>
                <w:szCs w:val="20"/>
              </w:rPr>
            </w:pPr>
            <w:r>
              <w:rPr>
                <w:sz w:val="20"/>
                <w:szCs w:val="20"/>
              </w:rPr>
              <w:t>0</w:t>
            </w:r>
          </w:p>
        </w:tc>
        <w:tc>
          <w:tcPr>
            <w:tcW w:w="914" w:type="dxa"/>
            <w:shd w:val="clear" w:color="auto" w:fill="auto"/>
            <w:vAlign w:val="center"/>
          </w:tcPr>
          <w:p w14:paraId="6C9E2F37" w14:textId="77777777" w:rsidR="00E866F4" w:rsidRPr="005B64E6" w:rsidRDefault="00E866F4" w:rsidP="00E866F4">
            <w:pPr>
              <w:keepNext/>
              <w:widowControl w:val="0"/>
              <w:jc w:val="center"/>
              <w:rPr>
                <w:sz w:val="20"/>
                <w:szCs w:val="20"/>
              </w:rPr>
            </w:pPr>
            <w:r>
              <w:rPr>
                <w:sz w:val="20"/>
                <w:szCs w:val="20"/>
              </w:rPr>
              <w:t>0</w:t>
            </w:r>
          </w:p>
        </w:tc>
        <w:tc>
          <w:tcPr>
            <w:tcW w:w="671" w:type="dxa"/>
            <w:shd w:val="clear" w:color="auto" w:fill="auto"/>
            <w:vAlign w:val="center"/>
          </w:tcPr>
          <w:p w14:paraId="0B863457" w14:textId="77777777" w:rsidR="00E866F4" w:rsidRPr="005B64E6" w:rsidRDefault="00E866F4" w:rsidP="00E866F4">
            <w:pPr>
              <w:keepNext/>
              <w:widowControl w:val="0"/>
              <w:jc w:val="center"/>
              <w:rPr>
                <w:sz w:val="20"/>
                <w:szCs w:val="20"/>
              </w:rPr>
            </w:pPr>
            <w:r>
              <w:rPr>
                <w:sz w:val="20"/>
                <w:szCs w:val="20"/>
              </w:rPr>
              <w:t>3</w:t>
            </w:r>
          </w:p>
        </w:tc>
        <w:tc>
          <w:tcPr>
            <w:tcW w:w="949" w:type="dxa"/>
            <w:shd w:val="clear" w:color="auto" w:fill="auto"/>
            <w:vAlign w:val="center"/>
          </w:tcPr>
          <w:p w14:paraId="36929BB0" w14:textId="77777777" w:rsidR="00E866F4" w:rsidRPr="005B64E6" w:rsidRDefault="00E866F4" w:rsidP="00E866F4">
            <w:pPr>
              <w:keepNext/>
              <w:widowControl w:val="0"/>
              <w:jc w:val="center"/>
              <w:rPr>
                <w:sz w:val="20"/>
                <w:szCs w:val="20"/>
              </w:rPr>
            </w:pPr>
            <w:r>
              <w:rPr>
                <w:sz w:val="20"/>
                <w:szCs w:val="20"/>
              </w:rPr>
              <w:t>4,721</w:t>
            </w:r>
          </w:p>
        </w:tc>
        <w:tc>
          <w:tcPr>
            <w:tcW w:w="659" w:type="dxa"/>
            <w:shd w:val="clear" w:color="auto" w:fill="auto"/>
            <w:vAlign w:val="center"/>
          </w:tcPr>
          <w:p w14:paraId="316B7D9D" w14:textId="77777777" w:rsidR="00E866F4" w:rsidRPr="005B64E6" w:rsidRDefault="00E866F4" w:rsidP="00E866F4">
            <w:pPr>
              <w:keepNext/>
              <w:widowControl w:val="0"/>
              <w:jc w:val="center"/>
              <w:rPr>
                <w:b/>
                <w:sz w:val="20"/>
                <w:szCs w:val="20"/>
              </w:rPr>
            </w:pPr>
            <w:r>
              <w:rPr>
                <w:b/>
                <w:sz w:val="20"/>
                <w:szCs w:val="20"/>
              </w:rPr>
              <w:t>3</w:t>
            </w:r>
          </w:p>
        </w:tc>
        <w:tc>
          <w:tcPr>
            <w:tcW w:w="900" w:type="dxa"/>
            <w:shd w:val="clear" w:color="auto" w:fill="auto"/>
            <w:vAlign w:val="center"/>
          </w:tcPr>
          <w:p w14:paraId="03BEBF3D" w14:textId="77777777" w:rsidR="00E866F4" w:rsidRPr="005B64E6" w:rsidRDefault="00E866F4" w:rsidP="00E866F4">
            <w:pPr>
              <w:keepNext/>
              <w:widowControl w:val="0"/>
              <w:jc w:val="center"/>
              <w:rPr>
                <w:b/>
                <w:sz w:val="20"/>
                <w:szCs w:val="20"/>
              </w:rPr>
            </w:pPr>
            <w:r>
              <w:rPr>
                <w:b/>
                <w:sz w:val="20"/>
                <w:szCs w:val="20"/>
              </w:rPr>
              <w:t>4,721</w:t>
            </w:r>
          </w:p>
        </w:tc>
      </w:tr>
      <w:tr w:rsidR="00E866F4" w:rsidRPr="005B64E6" w14:paraId="115ECECE" w14:textId="77777777" w:rsidTr="00E866F4">
        <w:trPr>
          <w:trHeight w:val="288"/>
          <w:jc w:val="center"/>
        </w:trPr>
        <w:tc>
          <w:tcPr>
            <w:tcW w:w="1987" w:type="dxa"/>
            <w:shd w:val="clear" w:color="auto" w:fill="auto"/>
            <w:vAlign w:val="center"/>
          </w:tcPr>
          <w:p w14:paraId="74BCB146" w14:textId="77777777" w:rsidR="00E866F4" w:rsidRPr="005B64E6" w:rsidRDefault="00E866F4" w:rsidP="00E866F4">
            <w:pPr>
              <w:keepNext/>
              <w:widowControl w:val="0"/>
              <w:rPr>
                <w:sz w:val="20"/>
                <w:szCs w:val="20"/>
              </w:rPr>
            </w:pPr>
            <w:r w:rsidRPr="005B64E6">
              <w:rPr>
                <w:sz w:val="20"/>
                <w:szCs w:val="20"/>
              </w:rPr>
              <w:t>2019</w:t>
            </w:r>
          </w:p>
        </w:tc>
        <w:tc>
          <w:tcPr>
            <w:tcW w:w="700" w:type="dxa"/>
            <w:shd w:val="clear" w:color="auto" w:fill="auto"/>
            <w:vAlign w:val="center"/>
          </w:tcPr>
          <w:p w14:paraId="05E9B030" w14:textId="77777777" w:rsidR="00E866F4" w:rsidRPr="005B64E6" w:rsidRDefault="00E866F4" w:rsidP="00E866F4">
            <w:pPr>
              <w:keepNext/>
              <w:widowControl w:val="0"/>
              <w:jc w:val="center"/>
              <w:rPr>
                <w:sz w:val="20"/>
                <w:szCs w:val="20"/>
              </w:rPr>
            </w:pPr>
            <w:r>
              <w:rPr>
                <w:sz w:val="20"/>
                <w:szCs w:val="20"/>
              </w:rPr>
              <w:t>0</w:t>
            </w:r>
          </w:p>
        </w:tc>
        <w:tc>
          <w:tcPr>
            <w:tcW w:w="894" w:type="dxa"/>
            <w:shd w:val="clear" w:color="auto" w:fill="auto"/>
            <w:vAlign w:val="center"/>
          </w:tcPr>
          <w:p w14:paraId="7118C853" w14:textId="77777777" w:rsidR="00E866F4" w:rsidRPr="005B64E6" w:rsidRDefault="00E866F4" w:rsidP="00E866F4">
            <w:pPr>
              <w:keepNext/>
              <w:widowControl w:val="0"/>
              <w:jc w:val="center"/>
              <w:rPr>
                <w:sz w:val="20"/>
                <w:szCs w:val="20"/>
              </w:rPr>
            </w:pPr>
            <w:r>
              <w:rPr>
                <w:sz w:val="20"/>
                <w:szCs w:val="20"/>
              </w:rPr>
              <w:t>0</w:t>
            </w:r>
          </w:p>
        </w:tc>
        <w:tc>
          <w:tcPr>
            <w:tcW w:w="616" w:type="dxa"/>
            <w:shd w:val="clear" w:color="auto" w:fill="auto"/>
            <w:vAlign w:val="center"/>
          </w:tcPr>
          <w:p w14:paraId="5EC9FC68" w14:textId="77777777" w:rsidR="00E866F4" w:rsidRPr="005B64E6" w:rsidRDefault="00E866F4" w:rsidP="00E866F4">
            <w:pPr>
              <w:keepNext/>
              <w:widowControl w:val="0"/>
              <w:jc w:val="center"/>
              <w:rPr>
                <w:sz w:val="20"/>
                <w:szCs w:val="20"/>
              </w:rPr>
            </w:pPr>
            <w:r>
              <w:rPr>
                <w:sz w:val="20"/>
                <w:szCs w:val="20"/>
              </w:rPr>
              <w:t>0</w:t>
            </w:r>
          </w:p>
        </w:tc>
        <w:tc>
          <w:tcPr>
            <w:tcW w:w="914" w:type="dxa"/>
            <w:shd w:val="clear" w:color="auto" w:fill="auto"/>
            <w:vAlign w:val="center"/>
          </w:tcPr>
          <w:p w14:paraId="05E4FD1F" w14:textId="77777777" w:rsidR="00E866F4" w:rsidRPr="005B64E6" w:rsidRDefault="00E866F4" w:rsidP="00E866F4">
            <w:pPr>
              <w:keepNext/>
              <w:widowControl w:val="0"/>
              <w:jc w:val="center"/>
              <w:rPr>
                <w:sz w:val="20"/>
                <w:szCs w:val="20"/>
              </w:rPr>
            </w:pPr>
            <w:r>
              <w:rPr>
                <w:sz w:val="20"/>
                <w:szCs w:val="20"/>
              </w:rPr>
              <w:t>0</w:t>
            </w:r>
          </w:p>
        </w:tc>
        <w:tc>
          <w:tcPr>
            <w:tcW w:w="616" w:type="dxa"/>
            <w:shd w:val="clear" w:color="auto" w:fill="auto"/>
            <w:vAlign w:val="center"/>
          </w:tcPr>
          <w:p w14:paraId="3CCF51D9" w14:textId="77777777" w:rsidR="00E866F4" w:rsidRPr="005B64E6" w:rsidRDefault="00E866F4" w:rsidP="00E866F4">
            <w:pPr>
              <w:keepNext/>
              <w:widowControl w:val="0"/>
              <w:jc w:val="center"/>
              <w:rPr>
                <w:sz w:val="20"/>
                <w:szCs w:val="20"/>
              </w:rPr>
            </w:pPr>
            <w:r>
              <w:rPr>
                <w:sz w:val="20"/>
                <w:szCs w:val="20"/>
              </w:rPr>
              <w:t>0</w:t>
            </w:r>
          </w:p>
        </w:tc>
        <w:tc>
          <w:tcPr>
            <w:tcW w:w="914" w:type="dxa"/>
            <w:shd w:val="clear" w:color="auto" w:fill="auto"/>
            <w:vAlign w:val="center"/>
          </w:tcPr>
          <w:p w14:paraId="7883C586" w14:textId="77777777" w:rsidR="00E866F4" w:rsidRPr="005B64E6" w:rsidRDefault="00E866F4" w:rsidP="00E866F4">
            <w:pPr>
              <w:keepNext/>
              <w:widowControl w:val="0"/>
              <w:jc w:val="center"/>
              <w:rPr>
                <w:sz w:val="20"/>
                <w:szCs w:val="20"/>
              </w:rPr>
            </w:pPr>
            <w:r>
              <w:rPr>
                <w:sz w:val="20"/>
                <w:szCs w:val="20"/>
              </w:rPr>
              <w:t>0</w:t>
            </w:r>
          </w:p>
        </w:tc>
        <w:tc>
          <w:tcPr>
            <w:tcW w:w="671" w:type="dxa"/>
            <w:shd w:val="clear" w:color="auto" w:fill="auto"/>
            <w:vAlign w:val="center"/>
          </w:tcPr>
          <w:p w14:paraId="723DA1C2" w14:textId="77777777" w:rsidR="00E866F4" w:rsidRPr="005B64E6" w:rsidRDefault="00E866F4" w:rsidP="00E866F4">
            <w:pPr>
              <w:keepNext/>
              <w:widowControl w:val="0"/>
              <w:jc w:val="center"/>
              <w:rPr>
                <w:sz w:val="20"/>
                <w:szCs w:val="20"/>
              </w:rPr>
            </w:pPr>
            <w:r>
              <w:rPr>
                <w:sz w:val="20"/>
                <w:szCs w:val="20"/>
              </w:rPr>
              <w:t>1</w:t>
            </w:r>
          </w:p>
        </w:tc>
        <w:tc>
          <w:tcPr>
            <w:tcW w:w="949" w:type="dxa"/>
            <w:shd w:val="clear" w:color="auto" w:fill="auto"/>
            <w:vAlign w:val="center"/>
          </w:tcPr>
          <w:p w14:paraId="417387E3" w14:textId="77777777" w:rsidR="00E866F4" w:rsidRPr="005B64E6" w:rsidRDefault="00E866F4" w:rsidP="00E866F4">
            <w:pPr>
              <w:keepNext/>
              <w:widowControl w:val="0"/>
              <w:jc w:val="center"/>
              <w:rPr>
                <w:sz w:val="20"/>
                <w:szCs w:val="20"/>
              </w:rPr>
            </w:pPr>
            <w:r>
              <w:rPr>
                <w:sz w:val="20"/>
                <w:szCs w:val="20"/>
              </w:rPr>
              <w:t>2,500</w:t>
            </w:r>
          </w:p>
        </w:tc>
        <w:tc>
          <w:tcPr>
            <w:tcW w:w="659" w:type="dxa"/>
            <w:shd w:val="clear" w:color="auto" w:fill="auto"/>
            <w:vAlign w:val="center"/>
          </w:tcPr>
          <w:p w14:paraId="0830E569" w14:textId="77777777" w:rsidR="00E866F4" w:rsidRPr="005B64E6" w:rsidRDefault="00E866F4" w:rsidP="00E866F4">
            <w:pPr>
              <w:keepNext/>
              <w:widowControl w:val="0"/>
              <w:jc w:val="center"/>
              <w:rPr>
                <w:b/>
                <w:sz w:val="20"/>
                <w:szCs w:val="20"/>
              </w:rPr>
            </w:pPr>
            <w:r>
              <w:rPr>
                <w:b/>
                <w:sz w:val="20"/>
                <w:szCs w:val="20"/>
              </w:rPr>
              <w:t>1</w:t>
            </w:r>
          </w:p>
        </w:tc>
        <w:tc>
          <w:tcPr>
            <w:tcW w:w="900" w:type="dxa"/>
            <w:shd w:val="clear" w:color="auto" w:fill="auto"/>
            <w:vAlign w:val="center"/>
          </w:tcPr>
          <w:p w14:paraId="56DDADBB" w14:textId="77777777" w:rsidR="00E866F4" w:rsidRPr="005B64E6" w:rsidRDefault="00E866F4" w:rsidP="00E866F4">
            <w:pPr>
              <w:keepNext/>
              <w:widowControl w:val="0"/>
              <w:jc w:val="center"/>
              <w:rPr>
                <w:b/>
                <w:sz w:val="20"/>
                <w:szCs w:val="20"/>
              </w:rPr>
            </w:pPr>
            <w:r>
              <w:rPr>
                <w:b/>
                <w:sz w:val="20"/>
                <w:szCs w:val="20"/>
              </w:rPr>
              <w:t>2,500</w:t>
            </w:r>
          </w:p>
        </w:tc>
      </w:tr>
      <w:tr w:rsidR="00E866F4" w:rsidRPr="005B64E6" w14:paraId="6AC38A88" w14:textId="77777777" w:rsidTr="00E866F4">
        <w:trPr>
          <w:trHeight w:val="288"/>
          <w:jc w:val="center"/>
        </w:trPr>
        <w:tc>
          <w:tcPr>
            <w:tcW w:w="1987" w:type="dxa"/>
            <w:shd w:val="clear" w:color="auto" w:fill="auto"/>
            <w:vAlign w:val="center"/>
          </w:tcPr>
          <w:p w14:paraId="7D306F94" w14:textId="77777777" w:rsidR="00E866F4" w:rsidRPr="005B64E6" w:rsidRDefault="00E866F4" w:rsidP="00E866F4">
            <w:pPr>
              <w:keepNext/>
              <w:widowControl w:val="0"/>
              <w:rPr>
                <w:sz w:val="20"/>
                <w:szCs w:val="20"/>
              </w:rPr>
            </w:pPr>
            <w:r w:rsidRPr="005B64E6">
              <w:rPr>
                <w:sz w:val="20"/>
                <w:szCs w:val="20"/>
              </w:rPr>
              <w:t>YTD 2020</w:t>
            </w:r>
          </w:p>
        </w:tc>
        <w:tc>
          <w:tcPr>
            <w:tcW w:w="700" w:type="dxa"/>
            <w:shd w:val="clear" w:color="auto" w:fill="auto"/>
            <w:vAlign w:val="center"/>
          </w:tcPr>
          <w:p w14:paraId="46356A31" w14:textId="77777777" w:rsidR="00E866F4" w:rsidRPr="005B64E6" w:rsidRDefault="00E866F4" w:rsidP="00E866F4">
            <w:pPr>
              <w:keepNext/>
              <w:widowControl w:val="0"/>
              <w:jc w:val="center"/>
              <w:rPr>
                <w:sz w:val="20"/>
                <w:szCs w:val="20"/>
              </w:rPr>
            </w:pPr>
            <w:r>
              <w:rPr>
                <w:sz w:val="20"/>
                <w:szCs w:val="20"/>
              </w:rPr>
              <w:t>0</w:t>
            </w:r>
          </w:p>
        </w:tc>
        <w:tc>
          <w:tcPr>
            <w:tcW w:w="894" w:type="dxa"/>
            <w:shd w:val="clear" w:color="auto" w:fill="auto"/>
            <w:vAlign w:val="center"/>
          </w:tcPr>
          <w:p w14:paraId="0A37A329" w14:textId="77777777" w:rsidR="00E866F4" w:rsidRPr="005B64E6" w:rsidRDefault="00E866F4" w:rsidP="00E866F4">
            <w:pPr>
              <w:keepNext/>
              <w:widowControl w:val="0"/>
              <w:jc w:val="center"/>
              <w:rPr>
                <w:sz w:val="20"/>
                <w:szCs w:val="20"/>
              </w:rPr>
            </w:pPr>
            <w:r>
              <w:rPr>
                <w:sz w:val="20"/>
                <w:szCs w:val="20"/>
              </w:rPr>
              <w:t>0</w:t>
            </w:r>
          </w:p>
        </w:tc>
        <w:tc>
          <w:tcPr>
            <w:tcW w:w="616" w:type="dxa"/>
            <w:shd w:val="clear" w:color="auto" w:fill="auto"/>
            <w:vAlign w:val="center"/>
          </w:tcPr>
          <w:p w14:paraId="137B08B4" w14:textId="77777777" w:rsidR="00E866F4" w:rsidRPr="005B64E6" w:rsidRDefault="00E866F4" w:rsidP="00E866F4">
            <w:pPr>
              <w:keepNext/>
              <w:widowControl w:val="0"/>
              <w:jc w:val="center"/>
              <w:rPr>
                <w:sz w:val="20"/>
                <w:szCs w:val="20"/>
              </w:rPr>
            </w:pPr>
            <w:r>
              <w:rPr>
                <w:sz w:val="20"/>
                <w:szCs w:val="20"/>
              </w:rPr>
              <w:t>1</w:t>
            </w:r>
          </w:p>
        </w:tc>
        <w:tc>
          <w:tcPr>
            <w:tcW w:w="914" w:type="dxa"/>
            <w:shd w:val="clear" w:color="auto" w:fill="auto"/>
            <w:vAlign w:val="center"/>
          </w:tcPr>
          <w:p w14:paraId="7209ACB1" w14:textId="77777777" w:rsidR="00E866F4" w:rsidRPr="005B64E6" w:rsidRDefault="00E866F4" w:rsidP="00E866F4">
            <w:pPr>
              <w:keepNext/>
              <w:widowControl w:val="0"/>
              <w:jc w:val="center"/>
              <w:rPr>
                <w:sz w:val="20"/>
                <w:szCs w:val="20"/>
              </w:rPr>
            </w:pPr>
            <w:r>
              <w:rPr>
                <w:sz w:val="20"/>
                <w:szCs w:val="20"/>
              </w:rPr>
              <w:t>184</w:t>
            </w:r>
          </w:p>
        </w:tc>
        <w:tc>
          <w:tcPr>
            <w:tcW w:w="616" w:type="dxa"/>
            <w:shd w:val="clear" w:color="auto" w:fill="auto"/>
            <w:vAlign w:val="center"/>
          </w:tcPr>
          <w:p w14:paraId="7832F131" w14:textId="77777777" w:rsidR="00E866F4" w:rsidRPr="005B64E6" w:rsidRDefault="00E866F4" w:rsidP="00E866F4">
            <w:pPr>
              <w:keepNext/>
              <w:widowControl w:val="0"/>
              <w:jc w:val="center"/>
              <w:rPr>
                <w:sz w:val="20"/>
                <w:szCs w:val="20"/>
              </w:rPr>
            </w:pPr>
            <w:r>
              <w:rPr>
                <w:sz w:val="20"/>
                <w:szCs w:val="20"/>
              </w:rPr>
              <w:t>29</w:t>
            </w:r>
          </w:p>
        </w:tc>
        <w:tc>
          <w:tcPr>
            <w:tcW w:w="914" w:type="dxa"/>
            <w:shd w:val="clear" w:color="auto" w:fill="auto"/>
            <w:vAlign w:val="center"/>
          </w:tcPr>
          <w:p w14:paraId="555BDE69" w14:textId="77777777" w:rsidR="00E866F4" w:rsidRPr="005B64E6" w:rsidRDefault="00E866F4" w:rsidP="00E866F4">
            <w:pPr>
              <w:keepNext/>
              <w:widowControl w:val="0"/>
              <w:jc w:val="center"/>
              <w:rPr>
                <w:sz w:val="20"/>
                <w:szCs w:val="20"/>
              </w:rPr>
            </w:pPr>
            <w:r>
              <w:rPr>
                <w:sz w:val="20"/>
                <w:szCs w:val="20"/>
              </w:rPr>
              <w:t>1,667</w:t>
            </w:r>
          </w:p>
        </w:tc>
        <w:tc>
          <w:tcPr>
            <w:tcW w:w="671" w:type="dxa"/>
            <w:shd w:val="clear" w:color="auto" w:fill="auto"/>
            <w:vAlign w:val="center"/>
          </w:tcPr>
          <w:p w14:paraId="4070347E" w14:textId="77777777" w:rsidR="00E866F4" w:rsidRPr="005B64E6" w:rsidRDefault="00E866F4" w:rsidP="00E866F4">
            <w:pPr>
              <w:keepNext/>
              <w:widowControl w:val="0"/>
              <w:jc w:val="center"/>
              <w:rPr>
                <w:sz w:val="20"/>
                <w:szCs w:val="20"/>
              </w:rPr>
            </w:pPr>
            <w:r>
              <w:rPr>
                <w:sz w:val="20"/>
                <w:szCs w:val="20"/>
              </w:rPr>
              <w:t>0</w:t>
            </w:r>
          </w:p>
        </w:tc>
        <w:tc>
          <w:tcPr>
            <w:tcW w:w="949" w:type="dxa"/>
            <w:shd w:val="clear" w:color="auto" w:fill="auto"/>
            <w:vAlign w:val="center"/>
          </w:tcPr>
          <w:p w14:paraId="2B9A9127" w14:textId="77777777" w:rsidR="00E866F4" w:rsidRPr="005B64E6" w:rsidRDefault="00E866F4" w:rsidP="00E866F4">
            <w:pPr>
              <w:keepNext/>
              <w:widowControl w:val="0"/>
              <w:jc w:val="center"/>
              <w:rPr>
                <w:sz w:val="20"/>
                <w:szCs w:val="20"/>
              </w:rPr>
            </w:pPr>
            <w:r>
              <w:rPr>
                <w:sz w:val="20"/>
                <w:szCs w:val="20"/>
              </w:rPr>
              <w:t>0</w:t>
            </w:r>
          </w:p>
        </w:tc>
        <w:tc>
          <w:tcPr>
            <w:tcW w:w="659" w:type="dxa"/>
            <w:shd w:val="clear" w:color="auto" w:fill="auto"/>
            <w:vAlign w:val="center"/>
          </w:tcPr>
          <w:p w14:paraId="63BF54AA" w14:textId="77777777" w:rsidR="00E866F4" w:rsidRPr="005B64E6" w:rsidRDefault="00E866F4" w:rsidP="00E866F4">
            <w:pPr>
              <w:keepNext/>
              <w:widowControl w:val="0"/>
              <w:jc w:val="center"/>
              <w:rPr>
                <w:b/>
                <w:sz w:val="20"/>
                <w:szCs w:val="20"/>
              </w:rPr>
            </w:pPr>
            <w:r>
              <w:rPr>
                <w:b/>
                <w:sz w:val="20"/>
                <w:szCs w:val="20"/>
              </w:rPr>
              <w:t>30</w:t>
            </w:r>
          </w:p>
        </w:tc>
        <w:tc>
          <w:tcPr>
            <w:tcW w:w="900" w:type="dxa"/>
            <w:shd w:val="clear" w:color="auto" w:fill="auto"/>
            <w:vAlign w:val="center"/>
          </w:tcPr>
          <w:p w14:paraId="3E1FF33F" w14:textId="77777777" w:rsidR="00E866F4" w:rsidRPr="005B64E6" w:rsidRDefault="00E866F4" w:rsidP="00E866F4">
            <w:pPr>
              <w:keepNext/>
              <w:widowControl w:val="0"/>
              <w:jc w:val="center"/>
              <w:rPr>
                <w:b/>
                <w:sz w:val="20"/>
                <w:szCs w:val="20"/>
              </w:rPr>
            </w:pPr>
            <w:r>
              <w:rPr>
                <w:b/>
                <w:sz w:val="20"/>
                <w:szCs w:val="20"/>
              </w:rPr>
              <w:t>1,851</w:t>
            </w:r>
          </w:p>
        </w:tc>
      </w:tr>
      <w:tr w:rsidR="00E866F4" w:rsidRPr="005B64E6" w14:paraId="17DBC927" w14:textId="77777777" w:rsidTr="00E866F4">
        <w:trPr>
          <w:trHeight w:val="288"/>
          <w:jc w:val="center"/>
        </w:trPr>
        <w:tc>
          <w:tcPr>
            <w:tcW w:w="1987" w:type="dxa"/>
            <w:shd w:val="clear" w:color="auto" w:fill="auto"/>
            <w:vAlign w:val="center"/>
          </w:tcPr>
          <w:p w14:paraId="6AA66AA8" w14:textId="77777777" w:rsidR="00E866F4" w:rsidRPr="005B64E6" w:rsidRDefault="00E866F4" w:rsidP="00E866F4">
            <w:pPr>
              <w:keepNext/>
              <w:widowControl w:val="0"/>
              <w:rPr>
                <w:b/>
                <w:sz w:val="20"/>
                <w:szCs w:val="20"/>
                <w:highlight w:val="green"/>
              </w:rPr>
            </w:pPr>
            <w:r w:rsidRPr="005B64E6">
              <w:rPr>
                <w:b/>
                <w:sz w:val="20"/>
                <w:szCs w:val="20"/>
              </w:rPr>
              <w:t>Total</w:t>
            </w:r>
          </w:p>
        </w:tc>
        <w:tc>
          <w:tcPr>
            <w:tcW w:w="700" w:type="dxa"/>
            <w:shd w:val="clear" w:color="auto" w:fill="auto"/>
            <w:vAlign w:val="center"/>
          </w:tcPr>
          <w:p w14:paraId="0D56946A" w14:textId="77777777" w:rsidR="00E866F4" w:rsidRPr="005B64E6" w:rsidRDefault="00E866F4" w:rsidP="00E866F4">
            <w:pPr>
              <w:keepNext/>
              <w:widowControl w:val="0"/>
              <w:jc w:val="center"/>
              <w:rPr>
                <w:b/>
                <w:sz w:val="20"/>
                <w:szCs w:val="20"/>
              </w:rPr>
            </w:pPr>
            <w:r>
              <w:rPr>
                <w:b/>
                <w:sz w:val="20"/>
                <w:szCs w:val="20"/>
              </w:rPr>
              <w:t>0</w:t>
            </w:r>
          </w:p>
        </w:tc>
        <w:tc>
          <w:tcPr>
            <w:tcW w:w="894" w:type="dxa"/>
            <w:shd w:val="clear" w:color="auto" w:fill="auto"/>
            <w:vAlign w:val="center"/>
          </w:tcPr>
          <w:p w14:paraId="4D8850C4" w14:textId="77777777" w:rsidR="00E866F4" w:rsidRPr="005B64E6" w:rsidRDefault="00E866F4" w:rsidP="00E866F4">
            <w:pPr>
              <w:keepNext/>
              <w:widowControl w:val="0"/>
              <w:jc w:val="center"/>
              <w:rPr>
                <w:b/>
                <w:sz w:val="20"/>
                <w:szCs w:val="20"/>
              </w:rPr>
            </w:pPr>
            <w:r>
              <w:rPr>
                <w:b/>
                <w:sz w:val="20"/>
                <w:szCs w:val="20"/>
              </w:rPr>
              <w:t>0</w:t>
            </w:r>
          </w:p>
        </w:tc>
        <w:tc>
          <w:tcPr>
            <w:tcW w:w="616" w:type="dxa"/>
            <w:shd w:val="clear" w:color="auto" w:fill="auto"/>
            <w:vAlign w:val="center"/>
          </w:tcPr>
          <w:p w14:paraId="018F5A21" w14:textId="77777777" w:rsidR="00E866F4" w:rsidRPr="005B64E6" w:rsidRDefault="00E866F4" w:rsidP="00E866F4">
            <w:pPr>
              <w:keepNext/>
              <w:widowControl w:val="0"/>
              <w:jc w:val="center"/>
              <w:rPr>
                <w:b/>
                <w:sz w:val="20"/>
                <w:szCs w:val="20"/>
              </w:rPr>
            </w:pPr>
            <w:r>
              <w:rPr>
                <w:b/>
                <w:sz w:val="20"/>
                <w:szCs w:val="20"/>
              </w:rPr>
              <w:t>1</w:t>
            </w:r>
          </w:p>
        </w:tc>
        <w:tc>
          <w:tcPr>
            <w:tcW w:w="914" w:type="dxa"/>
            <w:shd w:val="clear" w:color="auto" w:fill="auto"/>
            <w:vAlign w:val="center"/>
          </w:tcPr>
          <w:p w14:paraId="73815F2E" w14:textId="77777777" w:rsidR="00E866F4" w:rsidRPr="005B64E6" w:rsidRDefault="00E866F4" w:rsidP="00E866F4">
            <w:pPr>
              <w:keepNext/>
              <w:widowControl w:val="0"/>
              <w:jc w:val="center"/>
              <w:rPr>
                <w:b/>
                <w:sz w:val="20"/>
                <w:szCs w:val="20"/>
              </w:rPr>
            </w:pPr>
            <w:r>
              <w:rPr>
                <w:b/>
                <w:sz w:val="20"/>
                <w:szCs w:val="20"/>
              </w:rPr>
              <w:t>184</w:t>
            </w:r>
          </w:p>
        </w:tc>
        <w:tc>
          <w:tcPr>
            <w:tcW w:w="616" w:type="dxa"/>
            <w:shd w:val="clear" w:color="auto" w:fill="auto"/>
            <w:vAlign w:val="center"/>
          </w:tcPr>
          <w:p w14:paraId="452D5495" w14:textId="77777777" w:rsidR="00E866F4" w:rsidRPr="005B64E6" w:rsidRDefault="00E866F4" w:rsidP="00E866F4">
            <w:pPr>
              <w:keepNext/>
              <w:widowControl w:val="0"/>
              <w:jc w:val="center"/>
              <w:rPr>
                <w:b/>
                <w:sz w:val="20"/>
                <w:szCs w:val="20"/>
              </w:rPr>
            </w:pPr>
            <w:r>
              <w:rPr>
                <w:b/>
                <w:sz w:val="20"/>
                <w:szCs w:val="20"/>
              </w:rPr>
              <w:t>29</w:t>
            </w:r>
          </w:p>
        </w:tc>
        <w:tc>
          <w:tcPr>
            <w:tcW w:w="914" w:type="dxa"/>
            <w:shd w:val="clear" w:color="auto" w:fill="auto"/>
            <w:vAlign w:val="center"/>
          </w:tcPr>
          <w:p w14:paraId="7712BAA8" w14:textId="77777777" w:rsidR="00E866F4" w:rsidRPr="005B64E6" w:rsidRDefault="00E866F4" w:rsidP="00E866F4">
            <w:pPr>
              <w:keepNext/>
              <w:widowControl w:val="0"/>
              <w:jc w:val="center"/>
              <w:rPr>
                <w:b/>
                <w:sz w:val="20"/>
                <w:szCs w:val="20"/>
              </w:rPr>
            </w:pPr>
            <w:r>
              <w:rPr>
                <w:b/>
                <w:sz w:val="20"/>
                <w:szCs w:val="20"/>
              </w:rPr>
              <w:t>1,667</w:t>
            </w:r>
          </w:p>
        </w:tc>
        <w:tc>
          <w:tcPr>
            <w:tcW w:w="671" w:type="dxa"/>
            <w:shd w:val="clear" w:color="auto" w:fill="auto"/>
            <w:vAlign w:val="center"/>
          </w:tcPr>
          <w:p w14:paraId="248FB9C4" w14:textId="77777777" w:rsidR="00E866F4" w:rsidRPr="005B64E6" w:rsidRDefault="00E866F4" w:rsidP="00E866F4">
            <w:pPr>
              <w:keepNext/>
              <w:widowControl w:val="0"/>
              <w:jc w:val="center"/>
              <w:rPr>
                <w:b/>
                <w:sz w:val="20"/>
                <w:szCs w:val="20"/>
              </w:rPr>
            </w:pPr>
            <w:r>
              <w:rPr>
                <w:b/>
                <w:sz w:val="20"/>
                <w:szCs w:val="20"/>
              </w:rPr>
              <w:t>4</w:t>
            </w:r>
          </w:p>
        </w:tc>
        <w:tc>
          <w:tcPr>
            <w:tcW w:w="949" w:type="dxa"/>
            <w:shd w:val="clear" w:color="auto" w:fill="auto"/>
            <w:vAlign w:val="center"/>
          </w:tcPr>
          <w:p w14:paraId="38D65C0F" w14:textId="77777777" w:rsidR="00E866F4" w:rsidRPr="005B64E6" w:rsidRDefault="00E866F4" w:rsidP="00E866F4">
            <w:pPr>
              <w:keepNext/>
              <w:widowControl w:val="0"/>
              <w:jc w:val="center"/>
              <w:rPr>
                <w:b/>
                <w:sz w:val="20"/>
                <w:szCs w:val="20"/>
              </w:rPr>
            </w:pPr>
            <w:r>
              <w:rPr>
                <w:b/>
                <w:sz w:val="20"/>
                <w:szCs w:val="20"/>
              </w:rPr>
              <w:t>7,221</w:t>
            </w:r>
          </w:p>
        </w:tc>
        <w:tc>
          <w:tcPr>
            <w:tcW w:w="659" w:type="dxa"/>
            <w:shd w:val="clear" w:color="auto" w:fill="auto"/>
            <w:vAlign w:val="center"/>
          </w:tcPr>
          <w:p w14:paraId="12968CB6" w14:textId="77777777" w:rsidR="00E866F4" w:rsidRPr="005B64E6" w:rsidRDefault="00E866F4" w:rsidP="00E866F4">
            <w:pPr>
              <w:keepNext/>
              <w:widowControl w:val="0"/>
              <w:jc w:val="center"/>
              <w:rPr>
                <w:b/>
                <w:sz w:val="20"/>
                <w:szCs w:val="20"/>
              </w:rPr>
            </w:pPr>
            <w:r>
              <w:rPr>
                <w:b/>
                <w:sz w:val="20"/>
                <w:szCs w:val="20"/>
              </w:rPr>
              <w:t>34</w:t>
            </w:r>
          </w:p>
        </w:tc>
        <w:tc>
          <w:tcPr>
            <w:tcW w:w="900" w:type="dxa"/>
            <w:shd w:val="clear" w:color="auto" w:fill="auto"/>
            <w:vAlign w:val="center"/>
          </w:tcPr>
          <w:p w14:paraId="34A0CCC1" w14:textId="77777777" w:rsidR="00E866F4" w:rsidRPr="005B64E6" w:rsidRDefault="00E866F4" w:rsidP="00E866F4">
            <w:pPr>
              <w:keepNext/>
              <w:widowControl w:val="0"/>
              <w:jc w:val="center"/>
              <w:rPr>
                <w:b/>
                <w:sz w:val="20"/>
                <w:szCs w:val="20"/>
              </w:rPr>
            </w:pPr>
            <w:r>
              <w:rPr>
                <w:b/>
                <w:sz w:val="20"/>
                <w:szCs w:val="20"/>
              </w:rPr>
              <w:t>9,072</w:t>
            </w:r>
          </w:p>
        </w:tc>
      </w:tr>
      <w:tr w:rsidR="00E866F4" w:rsidRPr="005B64E6" w14:paraId="2B4B2FA5" w14:textId="77777777" w:rsidTr="00E866F4">
        <w:trPr>
          <w:trHeight w:val="288"/>
          <w:jc w:val="center"/>
        </w:trPr>
        <w:tc>
          <w:tcPr>
            <w:tcW w:w="9820" w:type="dxa"/>
            <w:gridSpan w:val="11"/>
            <w:shd w:val="clear" w:color="auto" w:fill="auto"/>
            <w:vAlign w:val="center"/>
          </w:tcPr>
          <w:p w14:paraId="65C0AA1E" w14:textId="77777777" w:rsidR="00E866F4" w:rsidRPr="002526DE" w:rsidRDefault="00E866F4" w:rsidP="00E866F4">
            <w:pPr>
              <w:keepNext/>
              <w:widowControl w:val="0"/>
              <w:rPr>
                <w:b/>
                <w:sz w:val="16"/>
                <w:szCs w:val="20"/>
              </w:rPr>
            </w:pPr>
            <w:r w:rsidRPr="002526DE">
              <w:rPr>
                <w:i/>
                <w:sz w:val="16"/>
                <w:szCs w:val="20"/>
              </w:rPr>
              <w:t xml:space="preserve">Source:  Bank </w:t>
            </w:r>
            <w:r>
              <w:rPr>
                <w:i/>
                <w:sz w:val="16"/>
                <w:szCs w:val="20"/>
              </w:rPr>
              <w:t xml:space="preserve">Data </w:t>
            </w:r>
          </w:p>
        </w:tc>
      </w:tr>
    </w:tbl>
    <w:p w14:paraId="7E6F923F" w14:textId="77777777" w:rsidR="00E866F4" w:rsidRDefault="00E866F4" w:rsidP="00A03524">
      <w:pPr>
        <w:rPr>
          <w:iCs/>
        </w:rPr>
      </w:pPr>
    </w:p>
    <w:p w14:paraId="194A7BC4" w14:textId="77777777" w:rsidR="00FB7E5F" w:rsidRDefault="00123B9D" w:rsidP="00A03524">
      <w:pPr>
        <w:rPr>
          <w:iCs/>
        </w:rPr>
      </w:pPr>
      <w:r>
        <w:rPr>
          <w:iCs/>
        </w:rPr>
        <w:t xml:space="preserve">Below are notable examples of </w:t>
      </w:r>
      <w:r w:rsidR="004900DF">
        <w:rPr>
          <w:iCs/>
        </w:rPr>
        <w:t xml:space="preserve">the bank’s </w:t>
      </w:r>
      <w:r>
        <w:rPr>
          <w:iCs/>
        </w:rPr>
        <w:t>community development loans.</w:t>
      </w:r>
    </w:p>
    <w:p w14:paraId="597AD1DD" w14:textId="77777777" w:rsidR="00123B9D" w:rsidRDefault="00123B9D" w:rsidP="00A03524">
      <w:pPr>
        <w:rPr>
          <w:iCs/>
        </w:rPr>
      </w:pPr>
    </w:p>
    <w:p w14:paraId="57D1E5F2" w14:textId="77777777" w:rsidR="00123B9D" w:rsidRDefault="00AD5267" w:rsidP="00D47F7A">
      <w:pPr>
        <w:pStyle w:val="BulletOrder"/>
        <w:ind w:left="360"/>
      </w:pPr>
      <w:r>
        <w:t>In 2020, the bank extended P</w:t>
      </w:r>
      <w:r w:rsidR="004900DF">
        <w:t>ayroll Protection Program (P</w:t>
      </w:r>
      <w:r>
        <w:t>PP</w:t>
      </w:r>
      <w:r w:rsidR="004900DF">
        <w:t>)</w:t>
      </w:r>
      <w:r>
        <w:t xml:space="preserve"> loans </w:t>
      </w:r>
      <w:r w:rsidR="0017012C">
        <w:t>for</w:t>
      </w:r>
      <w:r>
        <w:t xml:space="preserve"> approximately $1.7 million to small businesses </w:t>
      </w:r>
      <w:r w:rsidR="00D47F7A">
        <w:t xml:space="preserve">within the assessment area.  The loans </w:t>
      </w:r>
      <w:r w:rsidR="004900DF">
        <w:t xml:space="preserve">supported economic development, as they </w:t>
      </w:r>
      <w:r w:rsidR="00D47F7A">
        <w:t xml:space="preserve">helped </w:t>
      </w:r>
      <w:r w:rsidR="004900DF">
        <w:t xml:space="preserve">small </w:t>
      </w:r>
      <w:r w:rsidR="00D47F7A">
        <w:t>businesses retain their workforce during the COVID-19 pandemic</w:t>
      </w:r>
      <w:r w:rsidR="0017012C">
        <w:t>.</w:t>
      </w:r>
    </w:p>
    <w:p w14:paraId="2A6F6CE0" w14:textId="77777777" w:rsidR="00D47F7A" w:rsidRPr="00AD5267" w:rsidRDefault="00D47F7A" w:rsidP="00D47F7A">
      <w:pPr>
        <w:pStyle w:val="BulletOrder"/>
        <w:numPr>
          <w:ilvl w:val="0"/>
          <w:numId w:val="0"/>
        </w:numPr>
        <w:ind w:left="360"/>
      </w:pPr>
    </w:p>
    <w:p w14:paraId="0FB09FCD" w14:textId="77777777" w:rsidR="00AD5267" w:rsidRPr="00E866F4" w:rsidRDefault="003C6365" w:rsidP="00D47F7A">
      <w:pPr>
        <w:pStyle w:val="BulletOrder"/>
        <w:ind w:left="360"/>
      </w:pPr>
      <w:r w:rsidRPr="00E866F4">
        <w:t xml:space="preserve">In 2018 and 2019, the bank extended four loans totaling $7.2 million </w:t>
      </w:r>
      <w:r w:rsidR="003C18DA">
        <w:t>for</w:t>
      </w:r>
      <w:r w:rsidR="00D96732" w:rsidRPr="00E866F4">
        <w:t xml:space="preserve"> the development of a business in Southbridge, Massachusetts.  </w:t>
      </w:r>
      <w:r w:rsidR="00E866F4" w:rsidRPr="00E866F4">
        <w:t>These loans helped fund the construction of an office park in an area immediately adjacent to a low-income census tract, which supported the revitalization and stabilization of that nearby low-income area by creating job opportunities for its residents.</w:t>
      </w:r>
      <w:r w:rsidR="004900DF" w:rsidRPr="00E866F4">
        <w:t xml:space="preserve">  </w:t>
      </w:r>
    </w:p>
    <w:p w14:paraId="05EF2776" w14:textId="77777777" w:rsidR="00D47F7A" w:rsidRPr="00D96732" w:rsidRDefault="00D47F7A" w:rsidP="00D47F7A">
      <w:pPr>
        <w:pStyle w:val="BulletOrder"/>
        <w:numPr>
          <w:ilvl w:val="0"/>
          <w:numId w:val="0"/>
        </w:numPr>
      </w:pPr>
    </w:p>
    <w:p w14:paraId="42C97EE2" w14:textId="77777777" w:rsidR="00D96732" w:rsidRPr="00160E27" w:rsidRDefault="00D96732" w:rsidP="00D47F7A">
      <w:pPr>
        <w:pStyle w:val="BulletOrder"/>
        <w:ind w:left="360"/>
      </w:pPr>
      <w:r w:rsidRPr="00160E27">
        <w:t xml:space="preserve">In 2020, the bank extended a loan </w:t>
      </w:r>
      <w:r w:rsidR="00AC4CD8" w:rsidRPr="00160E27">
        <w:t>to a church in a low-income census tract in Southbridge.  The proceeds of the loan will allow</w:t>
      </w:r>
      <w:r w:rsidR="00476E0E" w:rsidRPr="00160E27">
        <w:t xml:space="preserve"> the church to expand services for</w:t>
      </w:r>
      <w:r w:rsidR="00AC4CD8" w:rsidRPr="00160E27">
        <w:t xml:space="preserve"> low- and moderate</w:t>
      </w:r>
      <w:r w:rsidR="00D47F7A" w:rsidRPr="00160E27">
        <w:t>-income individuals</w:t>
      </w:r>
      <w:r w:rsidR="0017012C" w:rsidRPr="00160E27">
        <w:t>.</w:t>
      </w:r>
      <w:r w:rsidR="004900DF" w:rsidRPr="00160E27">
        <w:t xml:space="preserve">  </w:t>
      </w:r>
      <w:r w:rsidR="00160E27">
        <w:t xml:space="preserve">In addition to religious services, the church </w:t>
      </w:r>
      <w:r w:rsidR="00160E27" w:rsidRPr="00160E27">
        <w:t>provides crisis intervention, support groups, advocacy, educati</w:t>
      </w:r>
      <w:r w:rsidR="003C18DA">
        <w:t>on, and after school programs</w:t>
      </w:r>
      <w:r w:rsidR="00160E27" w:rsidRPr="00160E27">
        <w:t xml:space="preserve"> for school-age children.</w:t>
      </w:r>
    </w:p>
    <w:p w14:paraId="4715739A" w14:textId="77777777" w:rsidR="00301A2E" w:rsidRDefault="00301A2E" w:rsidP="00D47F7A">
      <w:pPr>
        <w:rPr>
          <w:b/>
          <w:iCs/>
          <w:u w:val="single"/>
        </w:rPr>
      </w:pPr>
    </w:p>
    <w:p w14:paraId="1D00AA12" w14:textId="77777777" w:rsidR="00636A2B" w:rsidRDefault="008D2FCF" w:rsidP="00636A2B">
      <w:pPr>
        <w:rPr>
          <w:b/>
          <w:iCs/>
          <w:u w:val="single"/>
        </w:rPr>
      </w:pPr>
      <w:r>
        <w:rPr>
          <w:b/>
          <w:iCs/>
          <w:u w:val="single"/>
        </w:rPr>
        <w:t>Qualified Investments</w:t>
      </w:r>
    </w:p>
    <w:p w14:paraId="3D89472F" w14:textId="77777777" w:rsidR="005F72D6" w:rsidRDefault="005F72D6" w:rsidP="00636A2B">
      <w:pPr>
        <w:rPr>
          <w:b/>
          <w:iCs/>
          <w:u w:val="single"/>
        </w:rPr>
      </w:pPr>
    </w:p>
    <w:p w14:paraId="567CBD53" w14:textId="77777777" w:rsidR="00476E0E" w:rsidRDefault="00287D57" w:rsidP="00636A2B">
      <w:pPr>
        <w:rPr>
          <w:iCs/>
        </w:rPr>
      </w:pPr>
      <w:r>
        <w:rPr>
          <w:iCs/>
        </w:rPr>
        <w:t>Savers</w:t>
      </w:r>
      <w:r w:rsidR="005F72D6">
        <w:rPr>
          <w:iCs/>
        </w:rPr>
        <w:t xml:space="preserve"> made 3</w:t>
      </w:r>
      <w:r w:rsidR="003C18DA">
        <w:rPr>
          <w:iCs/>
        </w:rPr>
        <w:t>4</w:t>
      </w:r>
      <w:r w:rsidR="005F72D6">
        <w:rPr>
          <w:iCs/>
        </w:rPr>
        <w:t xml:space="preserve"> qualified investments </w:t>
      </w:r>
      <w:r w:rsidR="00D47F7A">
        <w:rPr>
          <w:iCs/>
        </w:rPr>
        <w:t>for</w:t>
      </w:r>
      <w:r w:rsidR="005F72D6">
        <w:rPr>
          <w:iCs/>
        </w:rPr>
        <w:t xml:space="preserve"> approximately $449,884.  This total includes one </w:t>
      </w:r>
      <w:r w:rsidR="001046C3">
        <w:rPr>
          <w:iCs/>
        </w:rPr>
        <w:t>mortgage-backed</w:t>
      </w:r>
      <w:r w:rsidR="005F72D6">
        <w:rPr>
          <w:iCs/>
        </w:rPr>
        <w:t xml:space="preserve"> </w:t>
      </w:r>
      <w:r w:rsidR="008A1DB0">
        <w:rPr>
          <w:iCs/>
        </w:rPr>
        <w:t>security for</w:t>
      </w:r>
      <w:r w:rsidR="005F72D6">
        <w:rPr>
          <w:iCs/>
        </w:rPr>
        <w:t xml:space="preserve"> $346,634 purchased prior to the evaluation period</w:t>
      </w:r>
      <w:r w:rsidR="00224528">
        <w:rPr>
          <w:iCs/>
        </w:rPr>
        <w:t>,</w:t>
      </w:r>
      <w:r w:rsidR="005F72D6">
        <w:rPr>
          <w:iCs/>
        </w:rPr>
        <w:t xml:space="preserve"> and 33 donations </w:t>
      </w:r>
      <w:r w:rsidR="00224528">
        <w:rPr>
          <w:iCs/>
        </w:rPr>
        <w:t>totaling</w:t>
      </w:r>
      <w:r w:rsidR="005F72D6">
        <w:rPr>
          <w:iCs/>
        </w:rPr>
        <w:t xml:space="preserve"> $103,250 made during the evaluation period.  This dollar amount equates to less than 0.1 percent of average total assets and </w:t>
      </w:r>
      <w:r w:rsidR="00C10C8D">
        <w:rPr>
          <w:iCs/>
        </w:rPr>
        <w:t xml:space="preserve">0.9 percent of average securities since the </w:t>
      </w:r>
      <w:r w:rsidR="004900DF">
        <w:rPr>
          <w:iCs/>
        </w:rPr>
        <w:t>prior</w:t>
      </w:r>
      <w:r w:rsidR="00C10C8D">
        <w:rPr>
          <w:iCs/>
        </w:rPr>
        <w:t xml:space="preserve"> evaluation.  </w:t>
      </w:r>
      <w:r w:rsidR="00C10C8D" w:rsidRPr="008A1DB0">
        <w:rPr>
          <w:iCs/>
        </w:rPr>
        <w:t xml:space="preserve">The </w:t>
      </w:r>
      <w:r w:rsidR="001046C3">
        <w:rPr>
          <w:iCs/>
        </w:rPr>
        <w:t>mortgage-backed</w:t>
      </w:r>
      <w:r w:rsidR="008A1DB0" w:rsidRPr="008A1DB0">
        <w:rPr>
          <w:iCs/>
        </w:rPr>
        <w:t xml:space="preserve"> security</w:t>
      </w:r>
      <w:r w:rsidR="00C10C8D">
        <w:rPr>
          <w:iCs/>
        </w:rPr>
        <w:t xml:space="preserve"> supports affordable housing needs in the assessment area, and the majority of the bank’s grants and donations support community organizations that provide services to low- and moderate-income individuals in the assessment area.</w:t>
      </w:r>
      <w:r w:rsidR="004900DF">
        <w:rPr>
          <w:iCs/>
        </w:rPr>
        <w:t xml:space="preserve">  </w:t>
      </w:r>
    </w:p>
    <w:p w14:paraId="0A77FE89" w14:textId="77777777" w:rsidR="008A1DB0" w:rsidRDefault="008A1DB0" w:rsidP="00636A2B">
      <w:pPr>
        <w:rPr>
          <w:iCs/>
        </w:rPr>
      </w:pPr>
    </w:p>
    <w:p w14:paraId="386C7808" w14:textId="77777777" w:rsidR="00636A2B" w:rsidRPr="00FB7E5F" w:rsidRDefault="00476E0E" w:rsidP="00E15DD6">
      <w:pPr>
        <w:rPr>
          <w:bCs/>
          <w:color w:val="000000"/>
        </w:rPr>
      </w:pPr>
      <w:r>
        <w:rPr>
          <w:bCs/>
          <w:color w:val="000000"/>
        </w:rPr>
        <w:t>The following table illustrates qualified donations by year and purpose.</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630"/>
        <w:gridCol w:w="810"/>
        <w:gridCol w:w="540"/>
        <w:gridCol w:w="900"/>
        <w:gridCol w:w="630"/>
        <w:gridCol w:w="796"/>
        <w:gridCol w:w="644"/>
        <w:gridCol w:w="810"/>
        <w:gridCol w:w="630"/>
        <w:gridCol w:w="900"/>
      </w:tblGrid>
      <w:tr w:rsidR="005F72D6" w:rsidRPr="00142E67" w14:paraId="6B9DA9C9" w14:textId="77777777" w:rsidTr="001046C3">
        <w:trPr>
          <w:trHeight w:val="360"/>
          <w:jc w:val="center"/>
        </w:trPr>
        <w:tc>
          <w:tcPr>
            <w:tcW w:w="9625" w:type="dxa"/>
            <w:gridSpan w:val="11"/>
            <w:shd w:val="clear" w:color="auto" w:fill="auto"/>
            <w:vAlign w:val="center"/>
          </w:tcPr>
          <w:p w14:paraId="34458F77" w14:textId="77777777" w:rsidR="005F72D6" w:rsidRPr="00142E67" w:rsidRDefault="005F72D6" w:rsidP="00301A2E">
            <w:pPr>
              <w:keepNext/>
              <w:widowControl w:val="0"/>
              <w:jc w:val="center"/>
              <w:rPr>
                <w:b/>
                <w:sz w:val="20"/>
                <w:szCs w:val="20"/>
              </w:rPr>
            </w:pPr>
            <w:r w:rsidRPr="00142E67">
              <w:rPr>
                <w:b/>
                <w:sz w:val="20"/>
                <w:szCs w:val="20"/>
              </w:rPr>
              <w:lastRenderedPageBreak/>
              <w:t xml:space="preserve">Community Development </w:t>
            </w:r>
            <w:r>
              <w:rPr>
                <w:b/>
                <w:sz w:val="20"/>
                <w:szCs w:val="20"/>
              </w:rPr>
              <w:t>Donations</w:t>
            </w:r>
          </w:p>
        </w:tc>
      </w:tr>
      <w:tr w:rsidR="005F72D6" w:rsidRPr="00142E67" w14:paraId="399C9C9C" w14:textId="77777777" w:rsidTr="001046C3">
        <w:trPr>
          <w:trHeight w:val="288"/>
          <w:jc w:val="center"/>
        </w:trPr>
        <w:tc>
          <w:tcPr>
            <w:tcW w:w="2335" w:type="dxa"/>
            <w:vMerge w:val="restart"/>
            <w:shd w:val="clear" w:color="auto" w:fill="auto"/>
            <w:vAlign w:val="center"/>
          </w:tcPr>
          <w:p w14:paraId="1A8770E5" w14:textId="77777777" w:rsidR="005F72D6" w:rsidRPr="00142E67" w:rsidRDefault="005F72D6" w:rsidP="00301A2E">
            <w:pPr>
              <w:keepNext/>
              <w:widowControl w:val="0"/>
              <w:rPr>
                <w:b/>
                <w:sz w:val="20"/>
                <w:szCs w:val="20"/>
              </w:rPr>
            </w:pPr>
            <w:r w:rsidRPr="00142E67">
              <w:rPr>
                <w:b/>
                <w:sz w:val="20"/>
                <w:szCs w:val="20"/>
              </w:rPr>
              <w:t>Activity Year</w:t>
            </w:r>
          </w:p>
        </w:tc>
        <w:tc>
          <w:tcPr>
            <w:tcW w:w="1440" w:type="dxa"/>
            <w:gridSpan w:val="2"/>
            <w:shd w:val="clear" w:color="auto" w:fill="auto"/>
            <w:vAlign w:val="center"/>
          </w:tcPr>
          <w:p w14:paraId="5902B1D2" w14:textId="77777777" w:rsidR="005F72D6" w:rsidRPr="00142E67" w:rsidRDefault="005F72D6" w:rsidP="00301A2E">
            <w:pPr>
              <w:keepNext/>
              <w:widowControl w:val="0"/>
              <w:jc w:val="center"/>
              <w:rPr>
                <w:b/>
                <w:sz w:val="20"/>
                <w:szCs w:val="20"/>
              </w:rPr>
            </w:pPr>
            <w:r w:rsidRPr="00142E67">
              <w:rPr>
                <w:b/>
                <w:sz w:val="20"/>
                <w:szCs w:val="20"/>
              </w:rPr>
              <w:t>Affordable Housing</w:t>
            </w:r>
          </w:p>
        </w:tc>
        <w:tc>
          <w:tcPr>
            <w:tcW w:w="1440" w:type="dxa"/>
            <w:gridSpan w:val="2"/>
            <w:shd w:val="clear" w:color="auto" w:fill="auto"/>
            <w:vAlign w:val="center"/>
          </w:tcPr>
          <w:p w14:paraId="576C9AB5" w14:textId="77777777" w:rsidR="005F72D6" w:rsidRPr="00142E67" w:rsidRDefault="005F72D6" w:rsidP="00301A2E">
            <w:pPr>
              <w:keepNext/>
              <w:widowControl w:val="0"/>
              <w:jc w:val="center"/>
              <w:rPr>
                <w:b/>
                <w:sz w:val="20"/>
                <w:szCs w:val="20"/>
              </w:rPr>
            </w:pPr>
            <w:r w:rsidRPr="00142E67">
              <w:rPr>
                <w:b/>
                <w:sz w:val="20"/>
                <w:szCs w:val="20"/>
              </w:rPr>
              <w:t>Community Services</w:t>
            </w:r>
          </w:p>
        </w:tc>
        <w:tc>
          <w:tcPr>
            <w:tcW w:w="1426" w:type="dxa"/>
            <w:gridSpan w:val="2"/>
            <w:shd w:val="clear" w:color="auto" w:fill="auto"/>
            <w:vAlign w:val="center"/>
          </w:tcPr>
          <w:p w14:paraId="7C77EE49" w14:textId="77777777" w:rsidR="005F72D6" w:rsidRPr="00142E67" w:rsidRDefault="005F72D6" w:rsidP="00301A2E">
            <w:pPr>
              <w:keepNext/>
              <w:widowControl w:val="0"/>
              <w:jc w:val="center"/>
              <w:rPr>
                <w:b/>
                <w:sz w:val="20"/>
                <w:szCs w:val="20"/>
              </w:rPr>
            </w:pPr>
            <w:r w:rsidRPr="00142E67">
              <w:rPr>
                <w:b/>
                <w:sz w:val="20"/>
                <w:szCs w:val="20"/>
              </w:rPr>
              <w:t>Economic Development</w:t>
            </w:r>
          </w:p>
        </w:tc>
        <w:tc>
          <w:tcPr>
            <w:tcW w:w="1454" w:type="dxa"/>
            <w:gridSpan w:val="2"/>
            <w:shd w:val="clear" w:color="auto" w:fill="auto"/>
            <w:vAlign w:val="center"/>
          </w:tcPr>
          <w:p w14:paraId="1FFD733D" w14:textId="77777777" w:rsidR="005F72D6" w:rsidRPr="00142E67" w:rsidRDefault="005F72D6" w:rsidP="00301A2E">
            <w:pPr>
              <w:keepNext/>
              <w:widowControl w:val="0"/>
              <w:jc w:val="center"/>
              <w:rPr>
                <w:b/>
                <w:sz w:val="20"/>
                <w:szCs w:val="20"/>
              </w:rPr>
            </w:pPr>
            <w:r w:rsidRPr="00142E67">
              <w:rPr>
                <w:b/>
                <w:sz w:val="20"/>
                <w:szCs w:val="20"/>
              </w:rPr>
              <w:t>Revitalize or Stabilize</w:t>
            </w:r>
          </w:p>
        </w:tc>
        <w:tc>
          <w:tcPr>
            <w:tcW w:w="1530" w:type="dxa"/>
            <w:gridSpan w:val="2"/>
            <w:shd w:val="clear" w:color="auto" w:fill="auto"/>
            <w:vAlign w:val="center"/>
          </w:tcPr>
          <w:p w14:paraId="593AA36E" w14:textId="77777777" w:rsidR="005F72D6" w:rsidRPr="00142E67" w:rsidRDefault="005F72D6" w:rsidP="00301A2E">
            <w:pPr>
              <w:keepNext/>
              <w:widowControl w:val="0"/>
              <w:jc w:val="center"/>
              <w:rPr>
                <w:b/>
                <w:sz w:val="20"/>
                <w:szCs w:val="20"/>
              </w:rPr>
            </w:pPr>
            <w:r w:rsidRPr="00142E67">
              <w:rPr>
                <w:b/>
                <w:sz w:val="20"/>
                <w:szCs w:val="20"/>
              </w:rPr>
              <w:t>Totals</w:t>
            </w:r>
          </w:p>
        </w:tc>
      </w:tr>
      <w:tr w:rsidR="005F72D6" w:rsidRPr="00142E67" w14:paraId="0E75C156" w14:textId="77777777" w:rsidTr="001046C3">
        <w:trPr>
          <w:trHeight w:val="288"/>
          <w:jc w:val="center"/>
        </w:trPr>
        <w:tc>
          <w:tcPr>
            <w:tcW w:w="2335" w:type="dxa"/>
            <w:vMerge/>
            <w:shd w:val="clear" w:color="auto" w:fill="auto"/>
            <w:vAlign w:val="center"/>
          </w:tcPr>
          <w:p w14:paraId="4830EADB" w14:textId="77777777" w:rsidR="005F72D6" w:rsidRPr="00142E67" w:rsidRDefault="005F72D6" w:rsidP="00301A2E">
            <w:pPr>
              <w:keepNext/>
              <w:widowControl w:val="0"/>
              <w:rPr>
                <w:sz w:val="20"/>
                <w:szCs w:val="20"/>
                <w:highlight w:val="green"/>
              </w:rPr>
            </w:pPr>
          </w:p>
        </w:tc>
        <w:tc>
          <w:tcPr>
            <w:tcW w:w="630" w:type="dxa"/>
            <w:shd w:val="clear" w:color="auto" w:fill="auto"/>
            <w:vAlign w:val="center"/>
          </w:tcPr>
          <w:p w14:paraId="17AEB9C3" w14:textId="77777777" w:rsidR="005F72D6" w:rsidRPr="00142E67" w:rsidRDefault="005F72D6" w:rsidP="00301A2E">
            <w:pPr>
              <w:keepNext/>
              <w:widowControl w:val="0"/>
              <w:jc w:val="center"/>
              <w:rPr>
                <w:b/>
                <w:sz w:val="20"/>
                <w:szCs w:val="20"/>
              </w:rPr>
            </w:pPr>
            <w:r w:rsidRPr="00142E67">
              <w:rPr>
                <w:b/>
                <w:sz w:val="20"/>
                <w:szCs w:val="20"/>
              </w:rPr>
              <w:t>#</w:t>
            </w:r>
          </w:p>
        </w:tc>
        <w:tc>
          <w:tcPr>
            <w:tcW w:w="810" w:type="dxa"/>
            <w:shd w:val="clear" w:color="auto" w:fill="auto"/>
            <w:vAlign w:val="center"/>
          </w:tcPr>
          <w:p w14:paraId="25193E64" w14:textId="77777777" w:rsidR="005F72D6" w:rsidRPr="00142E67" w:rsidRDefault="005F72D6" w:rsidP="00301A2E">
            <w:pPr>
              <w:keepNext/>
              <w:widowControl w:val="0"/>
              <w:jc w:val="center"/>
              <w:rPr>
                <w:b/>
                <w:sz w:val="20"/>
                <w:szCs w:val="20"/>
              </w:rPr>
            </w:pPr>
            <w:r>
              <w:rPr>
                <w:b/>
                <w:sz w:val="20"/>
                <w:szCs w:val="20"/>
              </w:rPr>
              <w:t>$</w:t>
            </w:r>
          </w:p>
        </w:tc>
        <w:tc>
          <w:tcPr>
            <w:tcW w:w="540" w:type="dxa"/>
            <w:shd w:val="clear" w:color="auto" w:fill="auto"/>
            <w:vAlign w:val="center"/>
          </w:tcPr>
          <w:p w14:paraId="547B3FEB" w14:textId="77777777" w:rsidR="005F72D6" w:rsidRPr="00142E67" w:rsidRDefault="005F72D6" w:rsidP="00301A2E">
            <w:pPr>
              <w:keepNext/>
              <w:widowControl w:val="0"/>
              <w:jc w:val="center"/>
              <w:rPr>
                <w:b/>
                <w:sz w:val="20"/>
                <w:szCs w:val="20"/>
              </w:rPr>
            </w:pPr>
            <w:r w:rsidRPr="00142E67">
              <w:rPr>
                <w:b/>
                <w:sz w:val="20"/>
                <w:szCs w:val="20"/>
              </w:rPr>
              <w:t>#</w:t>
            </w:r>
          </w:p>
        </w:tc>
        <w:tc>
          <w:tcPr>
            <w:tcW w:w="900" w:type="dxa"/>
            <w:shd w:val="clear" w:color="auto" w:fill="auto"/>
            <w:vAlign w:val="center"/>
          </w:tcPr>
          <w:p w14:paraId="1750000D" w14:textId="77777777" w:rsidR="005F72D6" w:rsidRPr="00142E67" w:rsidRDefault="005F72D6" w:rsidP="00301A2E">
            <w:pPr>
              <w:keepNext/>
              <w:widowControl w:val="0"/>
              <w:jc w:val="center"/>
              <w:rPr>
                <w:b/>
                <w:sz w:val="20"/>
                <w:szCs w:val="20"/>
              </w:rPr>
            </w:pPr>
            <w:r>
              <w:rPr>
                <w:b/>
                <w:sz w:val="20"/>
                <w:szCs w:val="20"/>
              </w:rPr>
              <w:t>$</w:t>
            </w:r>
          </w:p>
        </w:tc>
        <w:tc>
          <w:tcPr>
            <w:tcW w:w="630" w:type="dxa"/>
            <w:shd w:val="clear" w:color="auto" w:fill="auto"/>
            <w:vAlign w:val="center"/>
          </w:tcPr>
          <w:p w14:paraId="731EB8DA" w14:textId="77777777" w:rsidR="005F72D6" w:rsidRPr="00142E67" w:rsidRDefault="005F72D6" w:rsidP="00301A2E">
            <w:pPr>
              <w:keepNext/>
              <w:widowControl w:val="0"/>
              <w:jc w:val="center"/>
              <w:rPr>
                <w:b/>
                <w:sz w:val="20"/>
                <w:szCs w:val="20"/>
              </w:rPr>
            </w:pPr>
            <w:r w:rsidRPr="00142E67">
              <w:rPr>
                <w:b/>
                <w:sz w:val="20"/>
                <w:szCs w:val="20"/>
              </w:rPr>
              <w:t>#</w:t>
            </w:r>
          </w:p>
        </w:tc>
        <w:tc>
          <w:tcPr>
            <w:tcW w:w="796" w:type="dxa"/>
            <w:shd w:val="clear" w:color="auto" w:fill="auto"/>
            <w:vAlign w:val="center"/>
          </w:tcPr>
          <w:p w14:paraId="7CA683FE" w14:textId="77777777" w:rsidR="005F72D6" w:rsidRPr="00142E67" w:rsidRDefault="005F72D6" w:rsidP="00301A2E">
            <w:pPr>
              <w:keepNext/>
              <w:widowControl w:val="0"/>
              <w:jc w:val="center"/>
              <w:rPr>
                <w:b/>
                <w:sz w:val="20"/>
                <w:szCs w:val="20"/>
              </w:rPr>
            </w:pPr>
            <w:r>
              <w:rPr>
                <w:b/>
                <w:sz w:val="20"/>
                <w:szCs w:val="20"/>
              </w:rPr>
              <w:t>$</w:t>
            </w:r>
          </w:p>
        </w:tc>
        <w:tc>
          <w:tcPr>
            <w:tcW w:w="644" w:type="dxa"/>
            <w:shd w:val="clear" w:color="auto" w:fill="auto"/>
            <w:vAlign w:val="center"/>
          </w:tcPr>
          <w:p w14:paraId="1B22B0C5" w14:textId="77777777" w:rsidR="005F72D6" w:rsidRPr="00142E67" w:rsidRDefault="005F72D6" w:rsidP="00301A2E">
            <w:pPr>
              <w:keepNext/>
              <w:widowControl w:val="0"/>
              <w:jc w:val="center"/>
              <w:rPr>
                <w:b/>
                <w:sz w:val="20"/>
                <w:szCs w:val="20"/>
              </w:rPr>
            </w:pPr>
            <w:r w:rsidRPr="00142E67">
              <w:rPr>
                <w:b/>
                <w:sz w:val="20"/>
                <w:szCs w:val="20"/>
              </w:rPr>
              <w:t>#</w:t>
            </w:r>
          </w:p>
        </w:tc>
        <w:tc>
          <w:tcPr>
            <w:tcW w:w="810" w:type="dxa"/>
            <w:shd w:val="clear" w:color="auto" w:fill="auto"/>
            <w:vAlign w:val="center"/>
          </w:tcPr>
          <w:p w14:paraId="1CE43508" w14:textId="77777777" w:rsidR="005F72D6" w:rsidRPr="00142E67" w:rsidRDefault="005F72D6" w:rsidP="00301A2E">
            <w:pPr>
              <w:keepNext/>
              <w:widowControl w:val="0"/>
              <w:jc w:val="center"/>
              <w:rPr>
                <w:b/>
                <w:sz w:val="20"/>
                <w:szCs w:val="20"/>
              </w:rPr>
            </w:pPr>
            <w:r>
              <w:rPr>
                <w:b/>
                <w:sz w:val="20"/>
                <w:szCs w:val="20"/>
              </w:rPr>
              <w:t>$</w:t>
            </w:r>
          </w:p>
        </w:tc>
        <w:tc>
          <w:tcPr>
            <w:tcW w:w="630" w:type="dxa"/>
            <w:shd w:val="clear" w:color="auto" w:fill="auto"/>
            <w:vAlign w:val="center"/>
          </w:tcPr>
          <w:p w14:paraId="79D347F9" w14:textId="77777777" w:rsidR="005F72D6" w:rsidRPr="00142E67" w:rsidRDefault="005F72D6" w:rsidP="00301A2E">
            <w:pPr>
              <w:keepNext/>
              <w:widowControl w:val="0"/>
              <w:jc w:val="center"/>
              <w:rPr>
                <w:b/>
                <w:sz w:val="20"/>
                <w:szCs w:val="20"/>
              </w:rPr>
            </w:pPr>
            <w:r w:rsidRPr="00142E67">
              <w:rPr>
                <w:b/>
                <w:sz w:val="20"/>
                <w:szCs w:val="20"/>
              </w:rPr>
              <w:t>#</w:t>
            </w:r>
          </w:p>
        </w:tc>
        <w:tc>
          <w:tcPr>
            <w:tcW w:w="900" w:type="dxa"/>
            <w:shd w:val="clear" w:color="auto" w:fill="auto"/>
            <w:vAlign w:val="center"/>
          </w:tcPr>
          <w:p w14:paraId="397D1404" w14:textId="77777777" w:rsidR="005F72D6" w:rsidRPr="00142E67" w:rsidRDefault="005F72D6" w:rsidP="00301A2E">
            <w:pPr>
              <w:keepNext/>
              <w:widowControl w:val="0"/>
              <w:jc w:val="center"/>
              <w:rPr>
                <w:b/>
                <w:sz w:val="20"/>
                <w:szCs w:val="20"/>
              </w:rPr>
            </w:pPr>
            <w:r>
              <w:rPr>
                <w:b/>
                <w:sz w:val="20"/>
                <w:szCs w:val="20"/>
              </w:rPr>
              <w:t>$</w:t>
            </w:r>
          </w:p>
        </w:tc>
      </w:tr>
      <w:tr w:rsidR="005F72D6" w:rsidRPr="00142E67" w14:paraId="6F42BA83" w14:textId="77777777" w:rsidTr="001046C3">
        <w:trPr>
          <w:trHeight w:val="288"/>
          <w:jc w:val="center"/>
        </w:trPr>
        <w:tc>
          <w:tcPr>
            <w:tcW w:w="2335" w:type="dxa"/>
            <w:shd w:val="clear" w:color="auto" w:fill="auto"/>
            <w:vAlign w:val="center"/>
          </w:tcPr>
          <w:p w14:paraId="5686B896" w14:textId="77777777" w:rsidR="005F72D6" w:rsidRPr="00142E67" w:rsidRDefault="005F72D6" w:rsidP="00301A2E">
            <w:pPr>
              <w:keepNext/>
              <w:widowControl w:val="0"/>
              <w:rPr>
                <w:sz w:val="20"/>
                <w:szCs w:val="20"/>
              </w:rPr>
            </w:pPr>
            <w:r>
              <w:rPr>
                <w:sz w:val="20"/>
                <w:szCs w:val="20"/>
              </w:rPr>
              <w:t>10/24/2017 - 12/31/2017</w:t>
            </w:r>
          </w:p>
        </w:tc>
        <w:tc>
          <w:tcPr>
            <w:tcW w:w="630" w:type="dxa"/>
            <w:shd w:val="clear" w:color="auto" w:fill="auto"/>
            <w:vAlign w:val="center"/>
          </w:tcPr>
          <w:p w14:paraId="0964431D"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666F633C" w14:textId="77777777" w:rsidR="005F72D6" w:rsidRPr="00142E67" w:rsidRDefault="005F72D6" w:rsidP="00301A2E">
            <w:pPr>
              <w:keepNext/>
              <w:widowControl w:val="0"/>
              <w:jc w:val="center"/>
              <w:rPr>
                <w:sz w:val="20"/>
                <w:szCs w:val="20"/>
              </w:rPr>
            </w:pPr>
            <w:r>
              <w:rPr>
                <w:sz w:val="20"/>
                <w:szCs w:val="20"/>
              </w:rPr>
              <w:t>0</w:t>
            </w:r>
          </w:p>
        </w:tc>
        <w:tc>
          <w:tcPr>
            <w:tcW w:w="540" w:type="dxa"/>
            <w:shd w:val="clear" w:color="auto" w:fill="auto"/>
            <w:vAlign w:val="center"/>
          </w:tcPr>
          <w:p w14:paraId="5A3EDB5F" w14:textId="77777777" w:rsidR="005F72D6" w:rsidRPr="00142E67" w:rsidRDefault="005F72D6" w:rsidP="00301A2E">
            <w:pPr>
              <w:keepNext/>
              <w:widowControl w:val="0"/>
              <w:jc w:val="center"/>
              <w:rPr>
                <w:sz w:val="20"/>
                <w:szCs w:val="20"/>
              </w:rPr>
            </w:pPr>
            <w:r>
              <w:rPr>
                <w:sz w:val="20"/>
                <w:szCs w:val="20"/>
              </w:rPr>
              <w:t>3</w:t>
            </w:r>
          </w:p>
        </w:tc>
        <w:tc>
          <w:tcPr>
            <w:tcW w:w="900" w:type="dxa"/>
            <w:shd w:val="clear" w:color="auto" w:fill="auto"/>
            <w:vAlign w:val="center"/>
          </w:tcPr>
          <w:p w14:paraId="3872BEE7" w14:textId="77777777" w:rsidR="005F72D6" w:rsidRPr="00142E67" w:rsidRDefault="005F72D6" w:rsidP="00301A2E">
            <w:pPr>
              <w:keepNext/>
              <w:widowControl w:val="0"/>
              <w:jc w:val="center"/>
              <w:rPr>
                <w:sz w:val="20"/>
                <w:szCs w:val="20"/>
              </w:rPr>
            </w:pPr>
            <w:r>
              <w:rPr>
                <w:sz w:val="20"/>
                <w:szCs w:val="20"/>
              </w:rPr>
              <w:t>7,500</w:t>
            </w:r>
          </w:p>
        </w:tc>
        <w:tc>
          <w:tcPr>
            <w:tcW w:w="630" w:type="dxa"/>
            <w:shd w:val="clear" w:color="auto" w:fill="auto"/>
            <w:vAlign w:val="center"/>
          </w:tcPr>
          <w:p w14:paraId="25127345" w14:textId="77777777" w:rsidR="005F72D6" w:rsidRPr="00142E67" w:rsidRDefault="005F72D6" w:rsidP="00301A2E">
            <w:pPr>
              <w:keepNext/>
              <w:widowControl w:val="0"/>
              <w:jc w:val="center"/>
              <w:rPr>
                <w:sz w:val="20"/>
                <w:szCs w:val="20"/>
              </w:rPr>
            </w:pPr>
            <w:r>
              <w:rPr>
                <w:sz w:val="20"/>
                <w:szCs w:val="20"/>
              </w:rPr>
              <w:t>0</w:t>
            </w:r>
          </w:p>
        </w:tc>
        <w:tc>
          <w:tcPr>
            <w:tcW w:w="796" w:type="dxa"/>
            <w:shd w:val="clear" w:color="auto" w:fill="auto"/>
            <w:vAlign w:val="center"/>
          </w:tcPr>
          <w:p w14:paraId="4FDCDF41" w14:textId="77777777" w:rsidR="005F72D6" w:rsidRPr="00142E67" w:rsidRDefault="005F72D6" w:rsidP="00301A2E">
            <w:pPr>
              <w:keepNext/>
              <w:widowControl w:val="0"/>
              <w:jc w:val="center"/>
              <w:rPr>
                <w:sz w:val="20"/>
                <w:szCs w:val="20"/>
              </w:rPr>
            </w:pPr>
            <w:r>
              <w:rPr>
                <w:sz w:val="20"/>
                <w:szCs w:val="20"/>
              </w:rPr>
              <w:t>0</w:t>
            </w:r>
          </w:p>
        </w:tc>
        <w:tc>
          <w:tcPr>
            <w:tcW w:w="644" w:type="dxa"/>
            <w:shd w:val="clear" w:color="auto" w:fill="auto"/>
            <w:vAlign w:val="center"/>
          </w:tcPr>
          <w:p w14:paraId="676D9B80"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72F36400" w14:textId="77777777" w:rsidR="005F72D6" w:rsidRPr="00142E67" w:rsidRDefault="005F72D6" w:rsidP="00301A2E">
            <w:pPr>
              <w:keepNext/>
              <w:widowControl w:val="0"/>
              <w:jc w:val="center"/>
              <w:rPr>
                <w:sz w:val="20"/>
                <w:szCs w:val="20"/>
              </w:rPr>
            </w:pPr>
            <w:r>
              <w:rPr>
                <w:sz w:val="20"/>
                <w:szCs w:val="20"/>
              </w:rPr>
              <w:t>0</w:t>
            </w:r>
          </w:p>
        </w:tc>
        <w:tc>
          <w:tcPr>
            <w:tcW w:w="630" w:type="dxa"/>
            <w:shd w:val="clear" w:color="auto" w:fill="auto"/>
            <w:vAlign w:val="center"/>
          </w:tcPr>
          <w:p w14:paraId="7E50406B" w14:textId="77777777" w:rsidR="005F72D6" w:rsidRPr="00142E67" w:rsidRDefault="005F72D6" w:rsidP="00301A2E">
            <w:pPr>
              <w:keepNext/>
              <w:widowControl w:val="0"/>
              <w:jc w:val="center"/>
              <w:rPr>
                <w:b/>
                <w:sz w:val="20"/>
                <w:szCs w:val="20"/>
              </w:rPr>
            </w:pPr>
            <w:r>
              <w:rPr>
                <w:b/>
                <w:sz w:val="20"/>
                <w:szCs w:val="20"/>
              </w:rPr>
              <w:t>3</w:t>
            </w:r>
          </w:p>
        </w:tc>
        <w:tc>
          <w:tcPr>
            <w:tcW w:w="900" w:type="dxa"/>
            <w:shd w:val="clear" w:color="auto" w:fill="auto"/>
            <w:vAlign w:val="center"/>
          </w:tcPr>
          <w:p w14:paraId="67C442C7" w14:textId="77777777" w:rsidR="005F72D6" w:rsidRPr="00142E67" w:rsidRDefault="005F72D6" w:rsidP="00301A2E">
            <w:pPr>
              <w:keepNext/>
              <w:widowControl w:val="0"/>
              <w:jc w:val="center"/>
              <w:rPr>
                <w:b/>
                <w:sz w:val="20"/>
                <w:szCs w:val="20"/>
              </w:rPr>
            </w:pPr>
            <w:r>
              <w:rPr>
                <w:b/>
                <w:sz w:val="20"/>
                <w:szCs w:val="20"/>
              </w:rPr>
              <w:t>7,500</w:t>
            </w:r>
          </w:p>
        </w:tc>
      </w:tr>
      <w:tr w:rsidR="005F72D6" w:rsidRPr="00142E67" w14:paraId="5FD59684" w14:textId="77777777" w:rsidTr="001046C3">
        <w:trPr>
          <w:trHeight w:val="288"/>
          <w:jc w:val="center"/>
        </w:trPr>
        <w:tc>
          <w:tcPr>
            <w:tcW w:w="2335" w:type="dxa"/>
            <w:shd w:val="clear" w:color="auto" w:fill="auto"/>
            <w:vAlign w:val="center"/>
          </w:tcPr>
          <w:p w14:paraId="6DFA14D8" w14:textId="77777777" w:rsidR="005F72D6" w:rsidRPr="00142E67" w:rsidRDefault="005F72D6" w:rsidP="00301A2E">
            <w:pPr>
              <w:keepNext/>
              <w:widowControl w:val="0"/>
              <w:rPr>
                <w:sz w:val="20"/>
                <w:szCs w:val="20"/>
              </w:rPr>
            </w:pPr>
            <w:r>
              <w:rPr>
                <w:sz w:val="20"/>
                <w:szCs w:val="20"/>
              </w:rPr>
              <w:t>2018</w:t>
            </w:r>
          </w:p>
        </w:tc>
        <w:tc>
          <w:tcPr>
            <w:tcW w:w="630" w:type="dxa"/>
            <w:shd w:val="clear" w:color="auto" w:fill="auto"/>
            <w:vAlign w:val="center"/>
          </w:tcPr>
          <w:p w14:paraId="2DFE99FB"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1B66013C" w14:textId="77777777" w:rsidR="005F72D6" w:rsidRPr="00142E67" w:rsidRDefault="005F72D6" w:rsidP="00301A2E">
            <w:pPr>
              <w:keepNext/>
              <w:widowControl w:val="0"/>
              <w:jc w:val="center"/>
              <w:rPr>
                <w:sz w:val="20"/>
                <w:szCs w:val="20"/>
              </w:rPr>
            </w:pPr>
            <w:r>
              <w:rPr>
                <w:sz w:val="20"/>
                <w:szCs w:val="20"/>
              </w:rPr>
              <w:t>0</w:t>
            </w:r>
          </w:p>
        </w:tc>
        <w:tc>
          <w:tcPr>
            <w:tcW w:w="540" w:type="dxa"/>
            <w:shd w:val="clear" w:color="auto" w:fill="auto"/>
            <w:vAlign w:val="center"/>
          </w:tcPr>
          <w:p w14:paraId="334A267A" w14:textId="77777777" w:rsidR="005F72D6" w:rsidRPr="00142E67" w:rsidRDefault="005F72D6" w:rsidP="00301A2E">
            <w:pPr>
              <w:keepNext/>
              <w:widowControl w:val="0"/>
              <w:jc w:val="center"/>
              <w:rPr>
                <w:sz w:val="20"/>
                <w:szCs w:val="20"/>
              </w:rPr>
            </w:pPr>
            <w:r>
              <w:rPr>
                <w:sz w:val="20"/>
                <w:szCs w:val="20"/>
              </w:rPr>
              <w:t>9</w:t>
            </w:r>
          </w:p>
        </w:tc>
        <w:tc>
          <w:tcPr>
            <w:tcW w:w="900" w:type="dxa"/>
            <w:shd w:val="clear" w:color="auto" w:fill="auto"/>
            <w:vAlign w:val="center"/>
          </w:tcPr>
          <w:p w14:paraId="3EB2DB54" w14:textId="77777777" w:rsidR="005F72D6" w:rsidRPr="00142E67" w:rsidRDefault="005F72D6" w:rsidP="00301A2E">
            <w:pPr>
              <w:keepNext/>
              <w:widowControl w:val="0"/>
              <w:jc w:val="center"/>
              <w:rPr>
                <w:sz w:val="20"/>
                <w:szCs w:val="20"/>
              </w:rPr>
            </w:pPr>
            <w:r>
              <w:rPr>
                <w:sz w:val="20"/>
                <w:szCs w:val="20"/>
              </w:rPr>
              <w:t>29,300</w:t>
            </w:r>
          </w:p>
        </w:tc>
        <w:tc>
          <w:tcPr>
            <w:tcW w:w="630" w:type="dxa"/>
            <w:shd w:val="clear" w:color="auto" w:fill="auto"/>
            <w:vAlign w:val="center"/>
          </w:tcPr>
          <w:p w14:paraId="6E950A84" w14:textId="77777777" w:rsidR="005F72D6" w:rsidRPr="00142E67" w:rsidRDefault="005F72D6" w:rsidP="00301A2E">
            <w:pPr>
              <w:keepNext/>
              <w:widowControl w:val="0"/>
              <w:jc w:val="center"/>
              <w:rPr>
                <w:sz w:val="20"/>
                <w:szCs w:val="20"/>
              </w:rPr>
            </w:pPr>
            <w:r>
              <w:rPr>
                <w:sz w:val="20"/>
                <w:szCs w:val="20"/>
              </w:rPr>
              <w:t>1</w:t>
            </w:r>
          </w:p>
        </w:tc>
        <w:tc>
          <w:tcPr>
            <w:tcW w:w="796" w:type="dxa"/>
            <w:shd w:val="clear" w:color="auto" w:fill="auto"/>
            <w:vAlign w:val="center"/>
          </w:tcPr>
          <w:p w14:paraId="66C16475" w14:textId="77777777" w:rsidR="005F72D6" w:rsidRPr="00142E67" w:rsidRDefault="005F72D6" w:rsidP="00301A2E">
            <w:pPr>
              <w:keepNext/>
              <w:widowControl w:val="0"/>
              <w:jc w:val="center"/>
              <w:rPr>
                <w:sz w:val="20"/>
                <w:szCs w:val="20"/>
              </w:rPr>
            </w:pPr>
            <w:r>
              <w:rPr>
                <w:sz w:val="20"/>
                <w:szCs w:val="20"/>
              </w:rPr>
              <w:t>500</w:t>
            </w:r>
          </w:p>
        </w:tc>
        <w:tc>
          <w:tcPr>
            <w:tcW w:w="644" w:type="dxa"/>
            <w:shd w:val="clear" w:color="auto" w:fill="auto"/>
            <w:vAlign w:val="center"/>
          </w:tcPr>
          <w:p w14:paraId="2437DC1C"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0E03DE77" w14:textId="77777777" w:rsidR="005F72D6" w:rsidRPr="00142E67" w:rsidRDefault="005F72D6" w:rsidP="00301A2E">
            <w:pPr>
              <w:keepNext/>
              <w:widowControl w:val="0"/>
              <w:jc w:val="center"/>
              <w:rPr>
                <w:sz w:val="20"/>
                <w:szCs w:val="20"/>
              </w:rPr>
            </w:pPr>
            <w:r>
              <w:rPr>
                <w:sz w:val="20"/>
                <w:szCs w:val="20"/>
              </w:rPr>
              <w:t>0</w:t>
            </w:r>
          </w:p>
        </w:tc>
        <w:tc>
          <w:tcPr>
            <w:tcW w:w="630" w:type="dxa"/>
            <w:shd w:val="clear" w:color="auto" w:fill="auto"/>
            <w:vAlign w:val="center"/>
          </w:tcPr>
          <w:p w14:paraId="457A28DD" w14:textId="77777777" w:rsidR="005F72D6" w:rsidRPr="00142E67" w:rsidRDefault="005F72D6" w:rsidP="00301A2E">
            <w:pPr>
              <w:keepNext/>
              <w:widowControl w:val="0"/>
              <w:jc w:val="center"/>
              <w:rPr>
                <w:b/>
                <w:sz w:val="20"/>
                <w:szCs w:val="20"/>
              </w:rPr>
            </w:pPr>
            <w:r>
              <w:rPr>
                <w:b/>
                <w:sz w:val="20"/>
                <w:szCs w:val="20"/>
              </w:rPr>
              <w:t>10</w:t>
            </w:r>
          </w:p>
        </w:tc>
        <w:tc>
          <w:tcPr>
            <w:tcW w:w="900" w:type="dxa"/>
            <w:shd w:val="clear" w:color="auto" w:fill="auto"/>
            <w:vAlign w:val="center"/>
          </w:tcPr>
          <w:p w14:paraId="7A7E7183" w14:textId="77777777" w:rsidR="005F72D6" w:rsidRPr="00142E67" w:rsidRDefault="005F72D6" w:rsidP="00301A2E">
            <w:pPr>
              <w:keepNext/>
              <w:widowControl w:val="0"/>
              <w:jc w:val="center"/>
              <w:rPr>
                <w:b/>
                <w:sz w:val="20"/>
                <w:szCs w:val="20"/>
              </w:rPr>
            </w:pPr>
            <w:r>
              <w:rPr>
                <w:b/>
                <w:sz w:val="20"/>
                <w:szCs w:val="20"/>
              </w:rPr>
              <w:t>29,800</w:t>
            </w:r>
          </w:p>
        </w:tc>
      </w:tr>
      <w:tr w:rsidR="005F72D6" w:rsidRPr="00142E67" w14:paraId="74BEA29C" w14:textId="77777777" w:rsidTr="001046C3">
        <w:trPr>
          <w:trHeight w:val="288"/>
          <w:jc w:val="center"/>
        </w:trPr>
        <w:tc>
          <w:tcPr>
            <w:tcW w:w="2335" w:type="dxa"/>
            <w:shd w:val="clear" w:color="auto" w:fill="auto"/>
            <w:vAlign w:val="center"/>
          </w:tcPr>
          <w:p w14:paraId="1FFC1D66" w14:textId="77777777" w:rsidR="005F72D6" w:rsidRPr="00142E67" w:rsidRDefault="005F72D6" w:rsidP="00301A2E">
            <w:pPr>
              <w:keepNext/>
              <w:widowControl w:val="0"/>
              <w:rPr>
                <w:sz w:val="20"/>
                <w:szCs w:val="20"/>
              </w:rPr>
            </w:pPr>
            <w:r>
              <w:rPr>
                <w:sz w:val="20"/>
                <w:szCs w:val="20"/>
              </w:rPr>
              <w:t>2019</w:t>
            </w:r>
          </w:p>
        </w:tc>
        <w:tc>
          <w:tcPr>
            <w:tcW w:w="630" w:type="dxa"/>
            <w:shd w:val="clear" w:color="auto" w:fill="auto"/>
            <w:vAlign w:val="center"/>
          </w:tcPr>
          <w:p w14:paraId="2600848F"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7CEA25C2" w14:textId="77777777" w:rsidR="005F72D6" w:rsidRPr="00142E67" w:rsidRDefault="005F72D6" w:rsidP="00301A2E">
            <w:pPr>
              <w:keepNext/>
              <w:widowControl w:val="0"/>
              <w:jc w:val="center"/>
              <w:rPr>
                <w:sz w:val="20"/>
                <w:szCs w:val="20"/>
              </w:rPr>
            </w:pPr>
            <w:r>
              <w:rPr>
                <w:sz w:val="20"/>
                <w:szCs w:val="20"/>
              </w:rPr>
              <w:t>0</w:t>
            </w:r>
          </w:p>
        </w:tc>
        <w:tc>
          <w:tcPr>
            <w:tcW w:w="540" w:type="dxa"/>
            <w:shd w:val="clear" w:color="auto" w:fill="auto"/>
            <w:vAlign w:val="center"/>
          </w:tcPr>
          <w:p w14:paraId="3DB76C14" w14:textId="77777777" w:rsidR="005F72D6" w:rsidRPr="00142E67" w:rsidRDefault="005F72D6" w:rsidP="00301A2E">
            <w:pPr>
              <w:keepNext/>
              <w:widowControl w:val="0"/>
              <w:jc w:val="center"/>
              <w:rPr>
                <w:sz w:val="20"/>
                <w:szCs w:val="20"/>
              </w:rPr>
            </w:pPr>
            <w:r>
              <w:rPr>
                <w:sz w:val="20"/>
                <w:szCs w:val="20"/>
              </w:rPr>
              <w:t>11</w:t>
            </w:r>
          </w:p>
        </w:tc>
        <w:tc>
          <w:tcPr>
            <w:tcW w:w="900" w:type="dxa"/>
            <w:shd w:val="clear" w:color="auto" w:fill="auto"/>
            <w:vAlign w:val="center"/>
          </w:tcPr>
          <w:p w14:paraId="40BA049F" w14:textId="77777777" w:rsidR="005F72D6" w:rsidRPr="00142E67" w:rsidRDefault="005F72D6" w:rsidP="00301A2E">
            <w:pPr>
              <w:keepNext/>
              <w:widowControl w:val="0"/>
              <w:jc w:val="center"/>
              <w:rPr>
                <w:sz w:val="20"/>
                <w:szCs w:val="20"/>
              </w:rPr>
            </w:pPr>
            <w:r>
              <w:rPr>
                <w:sz w:val="20"/>
                <w:szCs w:val="20"/>
              </w:rPr>
              <w:t>28,750</w:t>
            </w:r>
          </w:p>
        </w:tc>
        <w:tc>
          <w:tcPr>
            <w:tcW w:w="630" w:type="dxa"/>
            <w:shd w:val="clear" w:color="auto" w:fill="auto"/>
            <w:vAlign w:val="center"/>
          </w:tcPr>
          <w:p w14:paraId="3B501AEF" w14:textId="77777777" w:rsidR="005F72D6" w:rsidRPr="00142E67" w:rsidRDefault="005F72D6" w:rsidP="00301A2E">
            <w:pPr>
              <w:keepNext/>
              <w:widowControl w:val="0"/>
              <w:jc w:val="center"/>
              <w:rPr>
                <w:sz w:val="20"/>
                <w:szCs w:val="20"/>
              </w:rPr>
            </w:pPr>
            <w:r>
              <w:rPr>
                <w:sz w:val="20"/>
                <w:szCs w:val="20"/>
              </w:rPr>
              <w:t>0</w:t>
            </w:r>
          </w:p>
        </w:tc>
        <w:tc>
          <w:tcPr>
            <w:tcW w:w="796" w:type="dxa"/>
            <w:shd w:val="clear" w:color="auto" w:fill="auto"/>
            <w:vAlign w:val="center"/>
          </w:tcPr>
          <w:p w14:paraId="0B260E21" w14:textId="77777777" w:rsidR="005F72D6" w:rsidRPr="00142E67" w:rsidRDefault="005F72D6" w:rsidP="00301A2E">
            <w:pPr>
              <w:keepNext/>
              <w:widowControl w:val="0"/>
              <w:jc w:val="center"/>
              <w:rPr>
                <w:sz w:val="20"/>
                <w:szCs w:val="20"/>
              </w:rPr>
            </w:pPr>
            <w:r>
              <w:rPr>
                <w:sz w:val="20"/>
                <w:szCs w:val="20"/>
              </w:rPr>
              <w:t>0</w:t>
            </w:r>
          </w:p>
        </w:tc>
        <w:tc>
          <w:tcPr>
            <w:tcW w:w="644" w:type="dxa"/>
            <w:shd w:val="clear" w:color="auto" w:fill="auto"/>
            <w:vAlign w:val="center"/>
          </w:tcPr>
          <w:p w14:paraId="4DF8D085"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5D64518F" w14:textId="77777777" w:rsidR="005F72D6" w:rsidRPr="00142E67" w:rsidRDefault="005F72D6" w:rsidP="00301A2E">
            <w:pPr>
              <w:keepNext/>
              <w:widowControl w:val="0"/>
              <w:jc w:val="center"/>
              <w:rPr>
                <w:sz w:val="20"/>
                <w:szCs w:val="20"/>
              </w:rPr>
            </w:pPr>
            <w:r>
              <w:rPr>
                <w:sz w:val="20"/>
                <w:szCs w:val="20"/>
              </w:rPr>
              <w:t>0</w:t>
            </w:r>
          </w:p>
        </w:tc>
        <w:tc>
          <w:tcPr>
            <w:tcW w:w="630" w:type="dxa"/>
            <w:shd w:val="clear" w:color="auto" w:fill="auto"/>
            <w:vAlign w:val="center"/>
          </w:tcPr>
          <w:p w14:paraId="6C99D395" w14:textId="77777777" w:rsidR="005F72D6" w:rsidRPr="00142E67" w:rsidRDefault="005F72D6" w:rsidP="00301A2E">
            <w:pPr>
              <w:keepNext/>
              <w:widowControl w:val="0"/>
              <w:jc w:val="center"/>
              <w:rPr>
                <w:b/>
                <w:sz w:val="20"/>
                <w:szCs w:val="20"/>
              </w:rPr>
            </w:pPr>
            <w:r>
              <w:rPr>
                <w:b/>
                <w:sz w:val="20"/>
                <w:szCs w:val="20"/>
              </w:rPr>
              <w:t>11</w:t>
            </w:r>
          </w:p>
        </w:tc>
        <w:tc>
          <w:tcPr>
            <w:tcW w:w="900" w:type="dxa"/>
            <w:shd w:val="clear" w:color="auto" w:fill="auto"/>
            <w:vAlign w:val="center"/>
          </w:tcPr>
          <w:p w14:paraId="6456E5E6" w14:textId="77777777" w:rsidR="005F72D6" w:rsidRPr="00142E67" w:rsidRDefault="005F72D6" w:rsidP="00301A2E">
            <w:pPr>
              <w:keepNext/>
              <w:widowControl w:val="0"/>
              <w:jc w:val="center"/>
              <w:rPr>
                <w:b/>
                <w:sz w:val="20"/>
                <w:szCs w:val="20"/>
              </w:rPr>
            </w:pPr>
            <w:r>
              <w:rPr>
                <w:b/>
                <w:sz w:val="20"/>
                <w:szCs w:val="20"/>
              </w:rPr>
              <w:t>28,750</w:t>
            </w:r>
          </w:p>
        </w:tc>
      </w:tr>
      <w:tr w:rsidR="005F72D6" w:rsidRPr="00142E67" w14:paraId="2FB19D26" w14:textId="77777777" w:rsidTr="001046C3">
        <w:trPr>
          <w:trHeight w:val="288"/>
          <w:jc w:val="center"/>
        </w:trPr>
        <w:tc>
          <w:tcPr>
            <w:tcW w:w="2335" w:type="dxa"/>
            <w:shd w:val="clear" w:color="auto" w:fill="auto"/>
            <w:vAlign w:val="center"/>
          </w:tcPr>
          <w:p w14:paraId="507136C1" w14:textId="77777777" w:rsidR="005F72D6" w:rsidRPr="00142E67" w:rsidRDefault="005F72D6" w:rsidP="00301A2E">
            <w:pPr>
              <w:keepNext/>
              <w:widowControl w:val="0"/>
              <w:rPr>
                <w:sz w:val="20"/>
                <w:szCs w:val="20"/>
              </w:rPr>
            </w:pPr>
            <w:r>
              <w:rPr>
                <w:sz w:val="20"/>
                <w:szCs w:val="20"/>
              </w:rPr>
              <w:t>2020</w:t>
            </w:r>
          </w:p>
        </w:tc>
        <w:tc>
          <w:tcPr>
            <w:tcW w:w="630" w:type="dxa"/>
            <w:shd w:val="clear" w:color="auto" w:fill="auto"/>
            <w:vAlign w:val="center"/>
          </w:tcPr>
          <w:p w14:paraId="224E5C29"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333266C3" w14:textId="77777777" w:rsidR="005F72D6" w:rsidRPr="00142E67" w:rsidRDefault="005F72D6" w:rsidP="00301A2E">
            <w:pPr>
              <w:keepNext/>
              <w:widowControl w:val="0"/>
              <w:jc w:val="center"/>
              <w:rPr>
                <w:sz w:val="20"/>
                <w:szCs w:val="20"/>
              </w:rPr>
            </w:pPr>
            <w:r>
              <w:rPr>
                <w:sz w:val="20"/>
                <w:szCs w:val="20"/>
              </w:rPr>
              <w:t>0</w:t>
            </w:r>
          </w:p>
        </w:tc>
        <w:tc>
          <w:tcPr>
            <w:tcW w:w="540" w:type="dxa"/>
            <w:shd w:val="clear" w:color="auto" w:fill="auto"/>
            <w:vAlign w:val="center"/>
          </w:tcPr>
          <w:p w14:paraId="2F9D26D3" w14:textId="77777777" w:rsidR="005F72D6" w:rsidRPr="00142E67" w:rsidRDefault="005F72D6" w:rsidP="00301A2E">
            <w:pPr>
              <w:keepNext/>
              <w:widowControl w:val="0"/>
              <w:jc w:val="center"/>
              <w:rPr>
                <w:sz w:val="20"/>
                <w:szCs w:val="20"/>
              </w:rPr>
            </w:pPr>
            <w:r>
              <w:rPr>
                <w:sz w:val="20"/>
                <w:szCs w:val="20"/>
              </w:rPr>
              <w:t>9</w:t>
            </w:r>
          </w:p>
        </w:tc>
        <w:tc>
          <w:tcPr>
            <w:tcW w:w="900" w:type="dxa"/>
            <w:shd w:val="clear" w:color="auto" w:fill="auto"/>
            <w:vAlign w:val="center"/>
          </w:tcPr>
          <w:p w14:paraId="3AE73A47" w14:textId="77777777" w:rsidR="005F72D6" w:rsidRPr="00142E67" w:rsidRDefault="005F72D6" w:rsidP="00301A2E">
            <w:pPr>
              <w:keepNext/>
              <w:widowControl w:val="0"/>
              <w:jc w:val="center"/>
              <w:rPr>
                <w:sz w:val="20"/>
                <w:szCs w:val="20"/>
              </w:rPr>
            </w:pPr>
            <w:r>
              <w:rPr>
                <w:sz w:val="20"/>
                <w:szCs w:val="20"/>
              </w:rPr>
              <w:t>37,200</w:t>
            </w:r>
          </w:p>
        </w:tc>
        <w:tc>
          <w:tcPr>
            <w:tcW w:w="630" w:type="dxa"/>
            <w:shd w:val="clear" w:color="auto" w:fill="auto"/>
            <w:vAlign w:val="center"/>
          </w:tcPr>
          <w:p w14:paraId="53B39686" w14:textId="77777777" w:rsidR="005F72D6" w:rsidRPr="00142E67" w:rsidRDefault="005F72D6" w:rsidP="00301A2E">
            <w:pPr>
              <w:keepNext/>
              <w:widowControl w:val="0"/>
              <w:jc w:val="center"/>
              <w:rPr>
                <w:sz w:val="20"/>
                <w:szCs w:val="20"/>
              </w:rPr>
            </w:pPr>
            <w:r>
              <w:rPr>
                <w:sz w:val="20"/>
                <w:szCs w:val="20"/>
              </w:rPr>
              <w:t>0</w:t>
            </w:r>
          </w:p>
        </w:tc>
        <w:tc>
          <w:tcPr>
            <w:tcW w:w="796" w:type="dxa"/>
            <w:shd w:val="clear" w:color="auto" w:fill="auto"/>
            <w:vAlign w:val="center"/>
          </w:tcPr>
          <w:p w14:paraId="2BA27FA1" w14:textId="77777777" w:rsidR="005F72D6" w:rsidRPr="00142E67" w:rsidRDefault="005F72D6" w:rsidP="00301A2E">
            <w:pPr>
              <w:keepNext/>
              <w:widowControl w:val="0"/>
              <w:jc w:val="center"/>
              <w:rPr>
                <w:sz w:val="20"/>
                <w:szCs w:val="20"/>
              </w:rPr>
            </w:pPr>
            <w:r>
              <w:rPr>
                <w:sz w:val="20"/>
                <w:szCs w:val="20"/>
              </w:rPr>
              <w:t>0</w:t>
            </w:r>
          </w:p>
        </w:tc>
        <w:tc>
          <w:tcPr>
            <w:tcW w:w="644" w:type="dxa"/>
            <w:shd w:val="clear" w:color="auto" w:fill="auto"/>
            <w:vAlign w:val="center"/>
          </w:tcPr>
          <w:p w14:paraId="1406FB03" w14:textId="77777777" w:rsidR="005F72D6" w:rsidRPr="00142E67" w:rsidRDefault="005F72D6" w:rsidP="00301A2E">
            <w:pPr>
              <w:keepNext/>
              <w:widowControl w:val="0"/>
              <w:jc w:val="center"/>
              <w:rPr>
                <w:sz w:val="20"/>
                <w:szCs w:val="20"/>
              </w:rPr>
            </w:pPr>
            <w:r>
              <w:rPr>
                <w:sz w:val="20"/>
                <w:szCs w:val="20"/>
              </w:rPr>
              <w:t>0</w:t>
            </w:r>
          </w:p>
        </w:tc>
        <w:tc>
          <w:tcPr>
            <w:tcW w:w="810" w:type="dxa"/>
            <w:shd w:val="clear" w:color="auto" w:fill="auto"/>
            <w:vAlign w:val="center"/>
          </w:tcPr>
          <w:p w14:paraId="6AD86C6B" w14:textId="77777777" w:rsidR="005F72D6" w:rsidRPr="00142E67" w:rsidRDefault="005F72D6" w:rsidP="00301A2E">
            <w:pPr>
              <w:keepNext/>
              <w:widowControl w:val="0"/>
              <w:jc w:val="center"/>
              <w:rPr>
                <w:sz w:val="20"/>
                <w:szCs w:val="20"/>
              </w:rPr>
            </w:pPr>
            <w:r>
              <w:rPr>
                <w:sz w:val="20"/>
                <w:szCs w:val="20"/>
              </w:rPr>
              <w:t>0</w:t>
            </w:r>
          </w:p>
        </w:tc>
        <w:tc>
          <w:tcPr>
            <w:tcW w:w="630" w:type="dxa"/>
            <w:shd w:val="clear" w:color="auto" w:fill="auto"/>
            <w:vAlign w:val="center"/>
          </w:tcPr>
          <w:p w14:paraId="0BC425E8" w14:textId="77777777" w:rsidR="005F72D6" w:rsidRPr="00142E67" w:rsidRDefault="005F72D6" w:rsidP="00301A2E">
            <w:pPr>
              <w:keepNext/>
              <w:widowControl w:val="0"/>
              <w:jc w:val="center"/>
              <w:rPr>
                <w:b/>
                <w:sz w:val="20"/>
                <w:szCs w:val="20"/>
              </w:rPr>
            </w:pPr>
            <w:r>
              <w:rPr>
                <w:b/>
                <w:sz w:val="20"/>
                <w:szCs w:val="20"/>
              </w:rPr>
              <w:t>9</w:t>
            </w:r>
          </w:p>
        </w:tc>
        <w:tc>
          <w:tcPr>
            <w:tcW w:w="900" w:type="dxa"/>
            <w:shd w:val="clear" w:color="auto" w:fill="auto"/>
            <w:vAlign w:val="center"/>
          </w:tcPr>
          <w:p w14:paraId="7EEEF172" w14:textId="77777777" w:rsidR="005F72D6" w:rsidRPr="00142E67" w:rsidRDefault="005F72D6" w:rsidP="00301A2E">
            <w:pPr>
              <w:keepNext/>
              <w:widowControl w:val="0"/>
              <w:jc w:val="center"/>
              <w:rPr>
                <w:b/>
                <w:sz w:val="20"/>
                <w:szCs w:val="20"/>
              </w:rPr>
            </w:pPr>
            <w:r>
              <w:rPr>
                <w:b/>
                <w:sz w:val="20"/>
                <w:szCs w:val="20"/>
              </w:rPr>
              <w:t>37,200</w:t>
            </w:r>
          </w:p>
        </w:tc>
      </w:tr>
      <w:tr w:rsidR="005F72D6" w:rsidRPr="00142E67" w14:paraId="348E020E" w14:textId="77777777" w:rsidTr="001046C3">
        <w:trPr>
          <w:trHeight w:val="288"/>
          <w:jc w:val="center"/>
        </w:trPr>
        <w:tc>
          <w:tcPr>
            <w:tcW w:w="2335" w:type="dxa"/>
            <w:shd w:val="clear" w:color="auto" w:fill="auto"/>
            <w:vAlign w:val="center"/>
          </w:tcPr>
          <w:p w14:paraId="4BE682A9" w14:textId="77777777" w:rsidR="005F72D6" w:rsidRPr="00142E67" w:rsidRDefault="005F72D6" w:rsidP="00301A2E">
            <w:pPr>
              <w:keepNext/>
              <w:widowControl w:val="0"/>
              <w:rPr>
                <w:b/>
                <w:sz w:val="20"/>
                <w:szCs w:val="20"/>
                <w:highlight w:val="green"/>
              </w:rPr>
            </w:pPr>
            <w:r w:rsidRPr="00142E67">
              <w:rPr>
                <w:b/>
                <w:sz w:val="20"/>
                <w:szCs w:val="20"/>
              </w:rPr>
              <w:t>Total</w:t>
            </w:r>
          </w:p>
        </w:tc>
        <w:tc>
          <w:tcPr>
            <w:tcW w:w="630" w:type="dxa"/>
            <w:shd w:val="clear" w:color="auto" w:fill="auto"/>
            <w:vAlign w:val="center"/>
          </w:tcPr>
          <w:p w14:paraId="652F6EA6" w14:textId="77777777" w:rsidR="005F72D6" w:rsidRPr="00142E67" w:rsidRDefault="005F72D6" w:rsidP="00301A2E">
            <w:pPr>
              <w:keepNext/>
              <w:widowControl w:val="0"/>
              <w:jc w:val="center"/>
              <w:rPr>
                <w:b/>
                <w:sz w:val="20"/>
                <w:szCs w:val="20"/>
              </w:rPr>
            </w:pPr>
            <w:r>
              <w:rPr>
                <w:b/>
                <w:sz w:val="20"/>
                <w:szCs w:val="20"/>
              </w:rPr>
              <w:t>0</w:t>
            </w:r>
          </w:p>
        </w:tc>
        <w:tc>
          <w:tcPr>
            <w:tcW w:w="810" w:type="dxa"/>
            <w:shd w:val="clear" w:color="auto" w:fill="auto"/>
            <w:vAlign w:val="center"/>
          </w:tcPr>
          <w:p w14:paraId="67B4CDAA" w14:textId="77777777" w:rsidR="005F72D6" w:rsidRPr="00142E67" w:rsidRDefault="005F72D6" w:rsidP="00301A2E">
            <w:pPr>
              <w:keepNext/>
              <w:widowControl w:val="0"/>
              <w:jc w:val="center"/>
              <w:rPr>
                <w:b/>
                <w:sz w:val="20"/>
                <w:szCs w:val="20"/>
              </w:rPr>
            </w:pPr>
            <w:r>
              <w:rPr>
                <w:b/>
                <w:sz w:val="20"/>
                <w:szCs w:val="20"/>
              </w:rPr>
              <w:t>0</w:t>
            </w:r>
          </w:p>
        </w:tc>
        <w:tc>
          <w:tcPr>
            <w:tcW w:w="540" w:type="dxa"/>
            <w:shd w:val="clear" w:color="auto" w:fill="auto"/>
            <w:vAlign w:val="center"/>
          </w:tcPr>
          <w:p w14:paraId="1E42DA29" w14:textId="77777777" w:rsidR="005F72D6" w:rsidRPr="00142E67" w:rsidRDefault="005F72D6" w:rsidP="00301A2E">
            <w:pPr>
              <w:keepNext/>
              <w:widowControl w:val="0"/>
              <w:jc w:val="center"/>
              <w:rPr>
                <w:b/>
                <w:sz w:val="20"/>
                <w:szCs w:val="20"/>
              </w:rPr>
            </w:pPr>
            <w:r>
              <w:rPr>
                <w:b/>
                <w:sz w:val="20"/>
                <w:szCs w:val="20"/>
              </w:rPr>
              <w:t>32</w:t>
            </w:r>
          </w:p>
        </w:tc>
        <w:tc>
          <w:tcPr>
            <w:tcW w:w="900" w:type="dxa"/>
            <w:shd w:val="clear" w:color="auto" w:fill="auto"/>
            <w:vAlign w:val="center"/>
          </w:tcPr>
          <w:p w14:paraId="05B823DA" w14:textId="77777777" w:rsidR="005F72D6" w:rsidRPr="00142E67" w:rsidRDefault="005F72D6" w:rsidP="00301A2E">
            <w:pPr>
              <w:keepNext/>
              <w:widowControl w:val="0"/>
              <w:jc w:val="center"/>
              <w:rPr>
                <w:b/>
                <w:sz w:val="20"/>
                <w:szCs w:val="20"/>
              </w:rPr>
            </w:pPr>
            <w:r>
              <w:rPr>
                <w:b/>
                <w:sz w:val="20"/>
                <w:szCs w:val="20"/>
              </w:rPr>
              <w:t>102,750</w:t>
            </w:r>
          </w:p>
        </w:tc>
        <w:tc>
          <w:tcPr>
            <w:tcW w:w="630" w:type="dxa"/>
            <w:shd w:val="clear" w:color="auto" w:fill="auto"/>
            <w:vAlign w:val="center"/>
          </w:tcPr>
          <w:p w14:paraId="04440437" w14:textId="77777777" w:rsidR="005F72D6" w:rsidRPr="00142E67" w:rsidRDefault="005F72D6" w:rsidP="00301A2E">
            <w:pPr>
              <w:keepNext/>
              <w:widowControl w:val="0"/>
              <w:jc w:val="center"/>
              <w:rPr>
                <w:b/>
                <w:sz w:val="20"/>
                <w:szCs w:val="20"/>
              </w:rPr>
            </w:pPr>
            <w:r>
              <w:rPr>
                <w:b/>
                <w:sz w:val="20"/>
                <w:szCs w:val="20"/>
              </w:rPr>
              <w:t>1</w:t>
            </w:r>
          </w:p>
        </w:tc>
        <w:tc>
          <w:tcPr>
            <w:tcW w:w="796" w:type="dxa"/>
            <w:shd w:val="clear" w:color="auto" w:fill="auto"/>
            <w:vAlign w:val="center"/>
          </w:tcPr>
          <w:p w14:paraId="4062774A" w14:textId="77777777" w:rsidR="005F72D6" w:rsidRPr="00142E67" w:rsidRDefault="005F72D6" w:rsidP="00301A2E">
            <w:pPr>
              <w:keepNext/>
              <w:widowControl w:val="0"/>
              <w:jc w:val="center"/>
              <w:rPr>
                <w:b/>
                <w:sz w:val="20"/>
                <w:szCs w:val="20"/>
              </w:rPr>
            </w:pPr>
            <w:r>
              <w:rPr>
                <w:b/>
                <w:sz w:val="20"/>
                <w:szCs w:val="20"/>
              </w:rPr>
              <w:t>500</w:t>
            </w:r>
          </w:p>
        </w:tc>
        <w:tc>
          <w:tcPr>
            <w:tcW w:w="644" w:type="dxa"/>
            <w:shd w:val="clear" w:color="auto" w:fill="auto"/>
            <w:vAlign w:val="center"/>
          </w:tcPr>
          <w:p w14:paraId="1C872C66" w14:textId="77777777" w:rsidR="005F72D6" w:rsidRPr="00142E67" w:rsidRDefault="005F72D6" w:rsidP="00301A2E">
            <w:pPr>
              <w:keepNext/>
              <w:widowControl w:val="0"/>
              <w:jc w:val="center"/>
              <w:rPr>
                <w:b/>
                <w:sz w:val="20"/>
                <w:szCs w:val="20"/>
              </w:rPr>
            </w:pPr>
            <w:r>
              <w:rPr>
                <w:b/>
                <w:sz w:val="20"/>
                <w:szCs w:val="20"/>
              </w:rPr>
              <w:t>0</w:t>
            </w:r>
          </w:p>
        </w:tc>
        <w:tc>
          <w:tcPr>
            <w:tcW w:w="810" w:type="dxa"/>
            <w:shd w:val="clear" w:color="auto" w:fill="auto"/>
            <w:vAlign w:val="center"/>
          </w:tcPr>
          <w:p w14:paraId="08BF08B8" w14:textId="77777777" w:rsidR="005F72D6" w:rsidRPr="00142E67" w:rsidRDefault="005F72D6" w:rsidP="00301A2E">
            <w:pPr>
              <w:keepNext/>
              <w:widowControl w:val="0"/>
              <w:jc w:val="center"/>
              <w:rPr>
                <w:b/>
                <w:sz w:val="20"/>
                <w:szCs w:val="20"/>
              </w:rPr>
            </w:pPr>
            <w:r>
              <w:rPr>
                <w:b/>
                <w:sz w:val="20"/>
                <w:szCs w:val="20"/>
              </w:rPr>
              <w:t>0</w:t>
            </w:r>
          </w:p>
        </w:tc>
        <w:tc>
          <w:tcPr>
            <w:tcW w:w="630" w:type="dxa"/>
            <w:shd w:val="clear" w:color="auto" w:fill="auto"/>
            <w:vAlign w:val="center"/>
          </w:tcPr>
          <w:p w14:paraId="23BE2F25" w14:textId="77777777" w:rsidR="005F72D6" w:rsidRPr="00142E67" w:rsidRDefault="005F72D6" w:rsidP="00301A2E">
            <w:pPr>
              <w:keepNext/>
              <w:widowControl w:val="0"/>
              <w:jc w:val="center"/>
              <w:rPr>
                <w:b/>
                <w:sz w:val="20"/>
                <w:szCs w:val="20"/>
              </w:rPr>
            </w:pPr>
            <w:r>
              <w:rPr>
                <w:b/>
                <w:sz w:val="20"/>
                <w:szCs w:val="20"/>
              </w:rPr>
              <w:t>33</w:t>
            </w:r>
          </w:p>
        </w:tc>
        <w:tc>
          <w:tcPr>
            <w:tcW w:w="900" w:type="dxa"/>
            <w:shd w:val="clear" w:color="auto" w:fill="auto"/>
            <w:vAlign w:val="center"/>
          </w:tcPr>
          <w:p w14:paraId="5223700A" w14:textId="77777777" w:rsidR="005F72D6" w:rsidRPr="00142E67" w:rsidRDefault="005F72D6" w:rsidP="00301A2E">
            <w:pPr>
              <w:keepNext/>
              <w:widowControl w:val="0"/>
              <w:jc w:val="center"/>
              <w:rPr>
                <w:b/>
                <w:sz w:val="20"/>
                <w:szCs w:val="20"/>
              </w:rPr>
            </w:pPr>
            <w:r>
              <w:rPr>
                <w:b/>
                <w:sz w:val="20"/>
                <w:szCs w:val="20"/>
              </w:rPr>
              <w:t>103,250</w:t>
            </w:r>
          </w:p>
        </w:tc>
      </w:tr>
      <w:tr w:rsidR="005F72D6" w:rsidRPr="00142E67" w14:paraId="3F645EB4" w14:textId="77777777" w:rsidTr="001046C3">
        <w:trPr>
          <w:trHeight w:val="288"/>
          <w:jc w:val="center"/>
        </w:trPr>
        <w:tc>
          <w:tcPr>
            <w:tcW w:w="9625" w:type="dxa"/>
            <w:gridSpan w:val="11"/>
            <w:shd w:val="clear" w:color="auto" w:fill="auto"/>
            <w:vAlign w:val="center"/>
          </w:tcPr>
          <w:p w14:paraId="46F1A56F" w14:textId="77777777" w:rsidR="005F72D6" w:rsidRPr="00142E67" w:rsidRDefault="005F72D6" w:rsidP="00301A2E">
            <w:pPr>
              <w:keepNext/>
              <w:widowControl w:val="0"/>
              <w:rPr>
                <w:b/>
                <w:sz w:val="20"/>
                <w:szCs w:val="20"/>
              </w:rPr>
            </w:pPr>
            <w:r w:rsidRPr="00142E67">
              <w:rPr>
                <w:i/>
                <w:sz w:val="16"/>
                <w:szCs w:val="16"/>
              </w:rPr>
              <w:t>Source:</w:t>
            </w:r>
            <w:r>
              <w:rPr>
                <w:i/>
                <w:sz w:val="16"/>
                <w:szCs w:val="16"/>
              </w:rPr>
              <w:t xml:space="preserve"> </w:t>
            </w:r>
            <w:r w:rsidRPr="00142E67">
              <w:rPr>
                <w:i/>
                <w:sz w:val="16"/>
                <w:szCs w:val="16"/>
              </w:rPr>
              <w:t xml:space="preserve"> Bank Records</w:t>
            </w:r>
          </w:p>
        </w:tc>
      </w:tr>
    </w:tbl>
    <w:p w14:paraId="0891EEE5" w14:textId="77777777" w:rsidR="00FB7E5F" w:rsidRDefault="00FB7E5F" w:rsidP="00E15DD6">
      <w:pPr>
        <w:rPr>
          <w:bCs/>
          <w:color w:val="000000"/>
        </w:rPr>
      </w:pPr>
    </w:p>
    <w:p w14:paraId="61866FF3" w14:textId="77777777" w:rsidR="00C10C8D" w:rsidRDefault="00C10C8D" w:rsidP="00E15DD6">
      <w:pPr>
        <w:rPr>
          <w:bCs/>
          <w:color w:val="000000"/>
        </w:rPr>
      </w:pPr>
      <w:r>
        <w:rPr>
          <w:bCs/>
          <w:color w:val="000000"/>
        </w:rPr>
        <w:t>Below are notable examples of the bank’s qualified donation activities.</w:t>
      </w:r>
    </w:p>
    <w:p w14:paraId="7D81B648" w14:textId="77777777" w:rsidR="00C10C8D" w:rsidRDefault="00C10C8D" w:rsidP="00E15DD6">
      <w:pPr>
        <w:rPr>
          <w:bCs/>
          <w:color w:val="000000"/>
        </w:rPr>
      </w:pPr>
    </w:p>
    <w:p w14:paraId="743AF5C5" w14:textId="77777777" w:rsidR="00C10C8D" w:rsidRDefault="00C10C8D" w:rsidP="009E785F">
      <w:pPr>
        <w:pStyle w:val="ListParagraph"/>
        <w:widowControl/>
        <w:numPr>
          <w:ilvl w:val="0"/>
          <w:numId w:val="7"/>
        </w:numPr>
        <w:spacing w:after="160" w:line="259" w:lineRule="auto"/>
        <w:contextualSpacing/>
        <w:rPr>
          <w:rFonts w:ascii="Times New Roman" w:hAnsi="Times New Roman" w:cs="Times New Roman"/>
        </w:rPr>
      </w:pPr>
      <w:r w:rsidRPr="008B1CE8">
        <w:rPr>
          <w:rFonts w:ascii="Times New Roman" w:hAnsi="Times New Roman" w:cs="Times New Roman"/>
          <w:i/>
        </w:rPr>
        <w:t>The Virtual Giving Tree</w:t>
      </w:r>
      <w:r w:rsidR="003C18DA">
        <w:rPr>
          <w:rFonts w:ascii="Times New Roman" w:hAnsi="Times New Roman" w:cs="Times New Roman"/>
          <w:i/>
        </w:rPr>
        <w:t xml:space="preserve"> </w:t>
      </w:r>
      <w:r w:rsidRPr="008B1CE8">
        <w:rPr>
          <w:rFonts w:ascii="Times New Roman" w:hAnsi="Times New Roman" w:cs="Times New Roman"/>
          <w:b/>
        </w:rPr>
        <w:t xml:space="preserve">- </w:t>
      </w:r>
      <w:r w:rsidRPr="008B1CE8">
        <w:rPr>
          <w:rFonts w:ascii="Times New Roman" w:hAnsi="Times New Roman" w:cs="Times New Roman"/>
        </w:rPr>
        <w:t xml:space="preserve">During the evaluation period, the bank gave several donations to The </w:t>
      </w:r>
      <w:r w:rsidR="00476E0E" w:rsidRPr="008B1CE8">
        <w:rPr>
          <w:rFonts w:ascii="Times New Roman" w:hAnsi="Times New Roman" w:cs="Times New Roman"/>
        </w:rPr>
        <w:t>Virtual Giving Tree.  The</w:t>
      </w:r>
      <w:r w:rsidRPr="008B1CE8">
        <w:rPr>
          <w:rFonts w:ascii="Times New Roman" w:hAnsi="Times New Roman" w:cs="Times New Roman"/>
        </w:rPr>
        <w:t xml:space="preserve"> organization supports </w:t>
      </w:r>
      <w:r w:rsidR="008B1CE8" w:rsidRPr="008B1CE8">
        <w:rPr>
          <w:rFonts w:ascii="Times New Roman" w:hAnsi="Times New Roman" w:cs="Times New Roman"/>
        </w:rPr>
        <w:t>low-income</w:t>
      </w:r>
      <w:r w:rsidRPr="008B1CE8">
        <w:rPr>
          <w:rFonts w:ascii="Times New Roman" w:hAnsi="Times New Roman" w:cs="Times New Roman"/>
        </w:rPr>
        <w:t xml:space="preserve"> seniors </w:t>
      </w:r>
      <w:r w:rsidR="0017012C">
        <w:rPr>
          <w:rFonts w:ascii="Times New Roman" w:hAnsi="Times New Roman" w:cs="Times New Roman"/>
        </w:rPr>
        <w:t>with</w:t>
      </w:r>
      <w:r w:rsidRPr="008B1CE8">
        <w:rPr>
          <w:rFonts w:ascii="Times New Roman" w:hAnsi="Times New Roman" w:cs="Times New Roman"/>
        </w:rPr>
        <w:t xml:space="preserve"> meal programs, daily activities, and </w:t>
      </w:r>
      <w:r w:rsidR="008B1CE8">
        <w:rPr>
          <w:rFonts w:ascii="Times New Roman" w:hAnsi="Times New Roman" w:cs="Times New Roman"/>
        </w:rPr>
        <w:t>a Free for Seniors s</w:t>
      </w:r>
      <w:r w:rsidRPr="008B1CE8">
        <w:rPr>
          <w:rFonts w:ascii="Times New Roman" w:hAnsi="Times New Roman" w:cs="Times New Roman"/>
        </w:rPr>
        <w:t xml:space="preserve">tore. </w:t>
      </w:r>
    </w:p>
    <w:p w14:paraId="14F36C19" w14:textId="77777777" w:rsidR="008B1CE8" w:rsidRPr="008B1CE8" w:rsidRDefault="008B1CE8" w:rsidP="008B1CE8">
      <w:pPr>
        <w:pStyle w:val="ListParagraph"/>
        <w:widowControl/>
        <w:spacing w:after="160" w:line="259" w:lineRule="auto"/>
        <w:contextualSpacing/>
        <w:rPr>
          <w:rFonts w:ascii="Times New Roman" w:hAnsi="Times New Roman" w:cs="Times New Roman"/>
        </w:rPr>
      </w:pPr>
    </w:p>
    <w:p w14:paraId="5986B35A" w14:textId="77777777" w:rsidR="00C10C8D" w:rsidRDefault="00C10C8D" w:rsidP="00D645D2">
      <w:pPr>
        <w:pStyle w:val="ListParagraph"/>
        <w:widowControl/>
        <w:numPr>
          <w:ilvl w:val="0"/>
          <w:numId w:val="7"/>
        </w:numPr>
        <w:spacing w:after="160" w:line="259" w:lineRule="auto"/>
        <w:contextualSpacing/>
        <w:rPr>
          <w:rFonts w:ascii="Times New Roman" w:hAnsi="Times New Roman" w:cs="Times New Roman"/>
        </w:rPr>
      </w:pPr>
      <w:r w:rsidRPr="00476E0E">
        <w:rPr>
          <w:rFonts w:ascii="Times New Roman" w:hAnsi="Times New Roman" w:cs="Times New Roman"/>
          <w:i/>
        </w:rPr>
        <w:t>St. John Paul II Food Pantry</w:t>
      </w:r>
      <w:r w:rsidR="003C18DA">
        <w:rPr>
          <w:rFonts w:ascii="Times New Roman" w:hAnsi="Times New Roman" w:cs="Times New Roman"/>
          <w:i/>
        </w:rPr>
        <w:t xml:space="preserve"> </w:t>
      </w:r>
      <w:r>
        <w:rPr>
          <w:rFonts w:ascii="Times New Roman" w:hAnsi="Times New Roman" w:cs="Times New Roman"/>
          <w:b/>
        </w:rPr>
        <w:t xml:space="preserve">- </w:t>
      </w:r>
      <w:r>
        <w:rPr>
          <w:rFonts w:ascii="Times New Roman" w:hAnsi="Times New Roman" w:cs="Times New Roman"/>
        </w:rPr>
        <w:t>In 2019 and 2020, the bank made donations to St. John Paul II Food Pantry</w:t>
      </w:r>
      <w:r w:rsidR="008B1CE8">
        <w:rPr>
          <w:rFonts w:ascii="Times New Roman" w:hAnsi="Times New Roman" w:cs="Times New Roman"/>
        </w:rPr>
        <w:t xml:space="preserve">, which fights </w:t>
      </w:r>
      <w:r>
        <w:rPr>
          <w:rFonts w:ascii="Times New Roman" w:hAnsi="Times New Roman" w:cs="Times New Roman"/>
        </w:rPr>
        <w:t>to alleviate hunger by providing per</w:t>
      </w:r>
      <w:r w:rsidR="0017012C">
        <w:rPr>
          <w:rFonts w:ascii="Times New Roman" w:hAnsi="Times New Roman" w:cs="Times New Roman"/>
        </w:rPr>
        <w:t>ishable and non-perishable food</w:t>
      </w:r>
      <w:r>
        <w:rPr>
          <w:rFonts w:ascii="Times New Roman" w:hAnsi="Times New Roman" w:cs="Times New Roman"/>
        </w:rPr>
        <w:t xml:space="preserve">.  The food pantry serves over 350 households a month. </w:t>
      </w:r>
    </w:p>
    <w:p w14:paraId="1F9B6D59" w14:textId="77777777" w:rsidR="00C10C8D" w:rsidRPr="002A5C7D" w:rsidRDefault="00C10C8D" w:rsidP="00C10C8D">
      <w:pPr>
        <w:pStyle w:val="ListParagraph"/>
        <w:rPr>
          <w:rFonts w:ascii="Times New Roman" w:hAnsi="Times New Roman" w:cs="Times New Roman"/>
        </w:rPr>
      </w:pPr>
    </w:p>
    <w:p w14:paraId="28BEA728" w14:textId="77777777" w:rsidR="00C10C8D" w:rsidRDefault="00C10C8D" w:rsidP="00D645D2">
      <w:pPr>
        <w:pStyle w:val="ListParagraph"/>
        <w:widowControl/>
        <w:numPr>
          <w:ilvl w:val="0"/>
          <w:numId w:val="7"/>
        </w:numPr>
        <w:spacing w:after="160" w:line="259" w:lineRule="auto"/>
        <w:contextualSpacing/>
        <w:rPr>
          <w:rFonts w:ascii="Times New Roman" w:hAnsi="Times New Roman" w:cs="Times New Roman"/>
        </w:rPr>
      </w:pPr>
      <w:r w:rsidRPr="00476E0E">
        <w:rPr>
          <w:rFonts w:ascii="Times New Roman" w:hAnsi="Times New Roman" w:cs="Times New Roman"/>
          <w:i/>
        </w:rPr>
        <w:t>Auburn Youth and Family Services</w:t>
      </w:r>
      <w:r>
        <w:rPr>
          <w:rFonts w:ascii="Times New Roman" w:hAnsi="Times New Roman" w:cs="Times New Roman"/>
          <w:b/>
        </w:rPr>
        <w:t xml:space="preserve"> - </w:t>
      </w:r>
      <w:r>
        <w:rPr>
          <w:rFonts w:ascii="Times New Roman" w:hAnsi="Times New Roman" w:cs="Times New Roman"/>
        </w:rPr>
        <w:t>During the evaluation period, the bank made several donations to Aubu</w:t>
      </w:r>
      <w:r w:rsidR="008B1CE8">
        <w:rPr>
          <w:rFonts w:ascii="Times New Roman" w:hAnsi="Times New Roman" w:cs="Times New Roman"/>
        </w:rPr>
        <w:t xml:space="preserve">rn Youth and Family Services.  </w:t>
      </w:r>
      <w:r>
        <w:rPr>
          <w:rFonts w:ascii="Times New Roman" w:hAnsi="Times New Roman" w:cs="Times New Roman"/>
        </w:rPr>
        <w:t>This non-profit organization serves low- and moderate-income families in Auburn, M</w:t>
      </w:r>
      <w:r w:rsidR="004900DF">
        <w:rPr>
          <w:rFonts w:ascii="Times New Roman" w:hAnsi="Times New Roman" w:cs="Times New Roman"/>
        </w:rPr>
        <w:t>assachusetts,</w:t>
      </w:r>
      <w:r>
        <w:rPr>
          <w:rFonts w:ascii="Times New Roman" w:hAnsi="Times New Roman" w:cs="Times New Roman"/>
        </w:rPr>
        <w:t xml:space="preserve"> and the surrounding communities.  Services include counseling, tutoring, advocacy, after</w:t>
      </w:r>
      <w:r w:rsidR="004900DF">
        <w:rPr>
          <w:rFonts w:ascii="Times New Roman" w:hAnsi="Times New Roman" w:cs="Times New Roman"/>
        </w:rPr>
        <w:t>-</w:t>
      </w:r>
      <w:r>
        <w:rPr>
          <w:rFonts w:ascii="Times New Roman" w:hAnsi="Times New Roman" w:cs="Times New Roman"/>
        </w:rPr>
        <w:t xml:space="preserve">school programs, support groups, </w:t>
      </w:r>
      <w:r w:rsidR="008B1CE8">
        <w:rPr>
          <w:rFonts w:ascii="Times New Roman" w:hAnsi="Times New Roman" w:cs="Times New Roman"/>
        </w:rPr>
        <w:t>clothing assistance</w:t>
      </w:r>
      <w:r w:rsidR="004900DF">
        <w:rPr>
          <w:rFonts w:ascii="Times New Roman" w:hAnsi="Times New Roman" w:cs="Times New Roman"/>
        </w:rPr>
        <w:t>,</w:t>
      </w:r>
      <w:r w:rsidR="008B1CE8">
        <w:rPr>
          <w:rFonts w:ascii="Times New Roman" w:hAnsi="Times New Roman" w:cs="Times New Roman"/>
        </w:rPr>
        <w:t xml:space="preserve"> and </w:t>
      </w:r>
      <w:r>
        <w:rPr>
          <w:rFonts w:ascii="Times New Roman" w:hAnsi="Times New Roman" w:cs="Times New Roman"/>
        </w:rPr>
        <w:t xml:space="preserve">a food pantry. </w:t>
      </w:r>
    </w:p>
    <w:p w14:paraId="351F695F" w14:textId="77777777" w:rsidR="00C10C8D" w:rsidRPr="002A5C7D" w:rsidRDefault="00C10C8D" w:rsidP="00C10C8D">
      <w:pPr>
        <w:pStyle w:val="ListParagraph"/>
        <w:rPr>
          <w:rFonts w:ascii="Times New Roman" w:hAnsi="Times New Roman" w:cs="Times New Roman"/>
        </w:rPr>
      </w:pPr>
    </w:p>
    <w:p w14:paraId="111A3210" w14:textId="77777777" w:rsidR="00C10C8D" w:rsidRPr="002A5C7D" w:rsidRDefault="00C10C8D" w:rsidP="00D645D2">
      <w:pPr>
        <w:pStyle w:val="ListParagraph"/>
        <w:widowControl/>
        <w:numPr>
          <w:ilvl w:val="0"/>
          <w:numId w:val="7"/>
        </w:numPr>
        <w:spacing w:after="160" w:line="259" w:lineRule="auto"/>
        <w:contextualSpacing/>
        <w:rPr>
          <w:rFonts w:ascii="Times New Roman" w:hAnsi="Times New Roman" w:cs="Times New Roman"/>
          <w:b/>
        </w:rPr>
      </w:pPr>
      <w:r w:rsidRPr="00476E0E">
        <w:rPr>
          <w:rFonts w:ascii="Times New Roman" w:hAnsi="Times New Roman" w:cs="Times New Roman"/>
          <w:i/>
        </w:rPr>
        <w:t xml:space="preserve">Tri Community YMCA </w:t>
      </w:r>
      <w:r>
        <w:rPr>
          <w:rFonts w:ascii="Times New Roman" w:hAnsi="Times New Roman" w:cs="Times New Roman"/>
          <w:b/>
        </w:rPr>
        <w:t xml:space="preserve">– </w:t>
      </w:r>
      <w:r>
        <w:rPr>
          <w:rFonts w:ascii="Times New Roman" w:hAnsi="Times New Roman" w:cs="Times New Roman"/>
        </w:rPr>
        <w:t xml:space="preserve">During the evaluation period, the bank </w:t>
      </w:r>
      <w:r w:rsidR="0017012C">
        <w:rPr>
          <w:rFonts w:ascii="Times New Roman" w:hAnsi="Times New Roman" w:cs="Times New Roman"/>
        </w:rPr>
        <w:t>donated</w:t>
      </w:r>
      <w:r>
        <w:rPr>
          <w:rFonts w:ascii="Times New Roman" w:hAnsi="Times New Roman" w:cs="Times New Roman"/>
        </w:rPr>
        <w:t xml:space="preserve"> to the Tri Community YMCA as part of </w:t>
      </w:r>
      <w:r w:rsidR="004A494A">
        <w:rPr>
          <w:rFonts w:ascii="Times New Roman" w:hAnsi="Times New Roman" w:cs="Times New Roman"/>
        </w:rPr>
        <w:t>its</w:t>
      </w:r>
      <w:r>
        <w:rPr>
          <w:rFonts w:ascii="Times New Roman" w:hAnsi="Times New Roman" w:cs="Times New Roman"/>
        </w:rPr>
        <w:t xml:space="preserve"> 5-year financial commitment </w:t>
      </w:r>
      <w:r w:rsidR="0017012C">
        <w:rPr>
          <w:rFonts w:ascii="Times New Roman" w:hAnsi="Times New Roman" w:cs="Times New Roman"/>
        </w:rPr>
        <w:t>for</w:t>
      </w:r>
      <w:r>
        <w:rPr>
          <w:rFonts w:ascii="Times New Roman" w:hAnsi="Times New Roman" w:cs="Times New Roman"/>
        </w:rPr>
        <w:t xml:space="preserve"> the construction of the YMCA’s Marcy Street Child Development Center</w:t>
      </w:r>
      <w:r w:rsidR="008B1CE8">
        <w:rPr>
          <w:rFonts w:ascii="Times New Roman" w:hAnsi="Times New Roman" w:cs="Times New Roman"/>
        </w:rPr>
        <w:t>,</w:t>
      </w:r>
      <w:r>
        <w:rPr>
          <w:rFonts w:ascii="Times New Roman" w:hAnsi="Times New Roman" w:cs="Times New Roman"/>
        </w:rPr>
        <w:t xml:space="preserve"> which is located in a low-income census tract in Sturbridge, M</w:t>
      </w:r>
      <w:r w:rsidR="004A494A">
        <w:rPr>
          <w:rFonts w:ascii="Times New Roman" w:hAnsi="Times New Roman" w:cs="Times New Roman"/>
        </w:rPr>
        <w:t>assachusetts</w:t>
      </w:r>
      <w:r>
        <w:rPr>
          <w:rFonts w:ascii="Times New Roman" w:hAnsi="Times New Roman" w:cs="Times New Roman"/>
        </w:rPr>
        <w:t xml:space="preserve">. </w:t>
      </w:r>
      <w:r w:rsidR="008B1CE8">
        <w:rPr>
          <w:rFonts w:ascii="Times New Roman" w:hAnsi="Times New Roman" w:cs="Times New Roman"/>
        </w:rPr>
        <w:t xml:space="preserve"> </w:t>
      </w:r>
      <w:r>
        <w:rPr>
          <w:rFonts w:ascii="Times New Roman" w:hAnsi="Times New Roman" w:cs="Times New Roman"/>
        </w:rPr>
        <w:t>The Center provides an affordable child care option for low- and moderate-income families living in and around Sturbridge, M</w:t>
      </w:r>
      <w:r w:rsidR="004A494A">
        <w:rPr>
          <w:rFonts w:ascii="Times New Roman" w:hAnsi="Times New Roman" w:cs="Times New Roman"/>
        </w:rPr>
        <w:t>assachusetts</w:t>
      </w:r>
      <w:r>
        <w:rPr>
          <w:rFonts w:ascii="Times New Roman" w:hAnsi="Times New Roman" w:cs="Times New Roman"/>
        </w:rPr>
        <w:t xml:space="preserve">. </w:t>
      </w:r>
    </w:p>
    <w:p w14:paraId="34FF4D68" w14:textId="77777777" w:rsidR="00D90C29" w:rsidRDefault="00D90C29" w:rsidP="00D90C29">
      <w:pPr>
        <w:rPr>
          <w:bCs/>
        </w:rPr>
      </w:pPr>
      <w:r>
        <w:rPr>
          <w:b/>
          <w:bCs/>
          <w:u w:val="single"/>
        </w:rPr>
        <w:t>Community Development Services</w:t>
      </w:r>
    </w:p>
    <w:p w14:paraId="41494E19" w14:textId="77777777" w:rsidR="00D90C29" w:rsidRDefault="00D90C29" w:rsidP="00D90C29">
      <w:pPr>
        <w:rPr>
          <w:bCs/>
        </w:rPr>
      </w:pPr>
    </w:p>
    <w:p w14:paraId="3445DB37" w14:textId="77777777" w:rsidR="004A494A" w:rsidRDefault="002D62EC" w:rsidP="00D90C29">
      <w:pPr>
        <w:rPr>
          <w:bCs/>
        </w:rPr>
      </w:pPr>
      <w:r>
        <w:rPr>
          <w:bCs/>
        </w:rPr>
        <w:t xml:space="preserve">Bank employees and trustees provided 43 instances of financial or technical assistance to </w:t>
      </w:r>
      <w:r w:rsidR="002D62A4">
        <w:rPr>
          <w:bCs/>
        </w:rPr>
        <w:t xml:space="preserve">14 different community development organizations in the assessment area.  </w:t>
      </w:r>
    </w:p>
    <w:p w14:paraId="76F7A76A" w14:textId="77777777" w:rsidR="004A494A" w:rsidRDefault="004A494A" w:rsidP="00D90C29">
      <w:pPr>
        <w:rPr>
          <w:bCs/>
        </w:rPr>
      </w:pPr>
    </w:p>
    <w:p w14:paraId="15DE96EE" w14:textId="77777777" w:rsidR="00FB7E5F" w:rsidRDefault="002D62A4" w:rsidP="00D90C29">
      <w:pPr>
        <w:rPr>
          <w:bCs/>
        </w:rPr>
      </w:pPr>
      <w:r>
        <w:rPr>
          <w:bCs/>
        </w:rPr>
        <w:t xml:space="preserve">The following table illustrates </w:t>
      </w:r>
      <w:r w:rsidR="00CA6D4C">
        <w:rPr>
          <w:bCs/>
        </w:rPr>
        <w:t xml:space="preserve">the bank’s </w:t>
      </w:r>
      <w:r>
        <w:rPr>
          <w:bCs/>
        </w:rPr>
        <w:t>community development services by year and purpose.</w:t>
      </w:r>
    </w:p>
    <w:p w14:paraId="1750E109" w14:textId="77777777" w:rsidR="002D62A4" w:rsidRDefault="002D62A4" w:rsidP="00D90C29">
      <w:pPr>
        <w:rPr>
          <w:bC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170"/>
        <w:gridCol w:w="1260"/>
        <w:gridCol w:w="1350"/>
        <w:gridCol w:w="1260"/>
        <w:gridCol w:w="1170"/>
      </w:tblGrid>
      <w:tr w:rsidR="002D62A4" w:rsidRPr="008818B2" w14:paraId="69758CE0" w14:textId="77777777" w:rsidTr="004A494A">
        <w:trPr>
          <w:trHeight w:val="360"/>
          <w:jc w:val="center"/>
        </w:trPr>
        <w:tc>
          <w:tcPr>
            <w:tcW w:w="9180" w:type="dxa"/>
            <w:gridSpan w:val="6"/>
            <w:shd w:val="clear" w:color="auto" w:fill="auto"/>
            <w:vAlign w:val="center"/>
          </w:tcPr>
          <w:p w14:paraId="14D5CF11" w14:textId="77777777" w:rsidR="002D62A4" w:rsidRPr="008818B2" w:rsidRDefault="002D62A4" w:rsidP="00301A2E">
            <w:pPr>
              <w:keepNext/>
              <w:widowControl w:val="0"/>
              <w:jc w:val="center"/>
              <w:rPr>
                <w:b/>
                <w:sz w:val="20"/>
                <w:szCs w:val="20"/>
              </w:rPr>
            </w:pPr>
            <w:r w:rsidRPr="008818B2">
              <w:rPr>
                <w:b/>
                <w:color w:val="000000"/>
                <w:sz w:val="20"/>
                <w:szCs w:val="20"/>
              </w:rPr>
              <w:lastRenderedPageBreak/>
              <w:t>Community Development Services</w:t>
            </w:r>
          </w:p>
        </w:tc>
      </w:tr>
      <w:tr w:rsidR="002D62A4" w:rsidRPr="008818B2" w14:paraId="5F28F315" w14:textId="77777777" w:rsidTr="004A494A">
        <w:trPr>
          <w:trHeight w:val="288"/>
          <w:jc w:val="center"/>
        </w:trPr>
        <w:tc>
          <w:tcPr>
            <w:tcW w:w="2970" w:type="dxa"/>
            <w:vMerge w:val="restart"/>
            <w:shd w:val="clear" w:color="auto" w:fill="auto"/>
            <w:vAlign w:val="center"/>
          </w:tcPr>
          <w:p w14:paraId="5DAA5513" w14:textId="77777777" w:rsidR="002D62A4" w:rsidRPr="008818B2" w:rsidRDefault="002D62A4" w:rsidP="00301A2E">
            <w:pPr>
              <w:keepNext/>
              <w:widowControl w:val="0"/>
              <w:rPr>
                <w:b/>
                <w:sz w:val="20"/>
                <w:szCs w:val="20"/>
              </w:rPr>
            </w:pPr>
            <w:r w:rsidRPr="008818B2">
              <w:rPr>
                <w:b/>
                <w:sz w:val="20"/>
                <w:szCs w:val="20"/>
              </w:rPr>
              <w:t>Activity Year</w:t>
            </w:r>
          </w:p>
        </w:tc>
        <w:tc>
          <w:tcPr>
            <w:tcW w:w="1170" w:type="dxa"/>
            <w:shd w:val="clear" w:color="auto" w:fill="auto"/>
            <w:vAlign w:val="center"/>
          </w:tcPr>
          <w:p w14:paraId="6A8EA2BA" w14:textId="77777777" w:rsidR="002D62A4" w:rsidRPr="008818B2" w:rsidRDefault="002D62A4" w:rsidP="00301A2E">
            <w:pPr>
              <w:keepNext/>
              <w:widowControl w:val="0"/>
              <w:jc w:val="center"/>
              <w:rPr>
                <w:sz w:val="20"/>
                <w:szCs w:val="20"/>
              </w:rPr>
            </w:pPr>
            <w:r w:rsidRPr="008818B2">
              <w:rPr>
                <w:b/>
                <w:sz w:val="20"/>
                <w:szCs w:val="20"/>
              </w:rPr>
              <w:t>Affordable Housing</w:t>
            </w:r>
          </w:p>
        </w:tc>
        <w:tc>
          <w:tcPr>
            <w:tcW w:w="1260" w:type="dxa"/>
            <w:shd w:val="clear" w:color="auto" w:fill="auto"/>
            <w:vAlign w:val="center"/>
          </w:tcPr>
          <w:p w14:paraId="7D0597D4" w14:textId="77777777" w:rsidR="002D62A4" w:rsidRPr="008818B2" w:rsidRDefault="002D62A4" w:rsidP="00301A2E">
            <w:pPr>
              <w:keepNext/>
              <w:widowControl w:val="0"/>
              <w:jc w:val="center"/>
              <w:rPr>
                <w:b/>
                <w:sz w:val="20"/>
                <w:szCs w:val="20"/>
              </w:rPr>
            </w:pPr>
            <w:r w:rsidRPr="008818B2">
              <w:rPr>
                <w:b/>
                <w:sz w:val="20"/>
                <w:szCs w:val="20"/>
              </w:rPr>
              <w:t>Community Services</w:t>
            </w:r>
          </w:p>
        </w:tc>
        <w:tc>
          <w:tcPr>
            <w:tcW w:w="1350" w:type="dxa"/>
            <w:shd w:val="clear" w:color="auto" w:fill="auto"/>
            <w:vAlign w:val="center"/>
          </w:tcPr>
          <w:p w14:paraId="5A9E8D2F" w14:textId="77777777" w:rsidR="002D62A4" w:rsidRPr="008818B2" w:rsidRDefault="002D62A4" w:rsidP="00301A2E">
            <w:pPr>
              <w:keepNext/>
              <w:widowControl w:val="0"/>
              <w:jc w:val="center"/>
              <w:rPr>
                <w:b/>
                <w:sz w:val="20"/>
                <w:szCs w:val="20"/>
              </w:rPr>
            </w:pPr>
            <w:r w:rsidRPr="008818B2">
              <w:rPr>
                <w:b/>
                <w:sz w:val="20"/>
                <w:szCs w:val="20"/>
              </w:rPr>
              <w:t>Economic Development</w:t>
            </w:r>
          </w:p>
        </w:tc>
        <w:tc>
          <w:tcPr>
            <w:tcW w:w="1260" w:type="dxa"/>
            <w:shd w:val="clear" w:color="auto" w:fill="auto"/>
            <w:vAlign w:val="center"/>
          </w:tcPr>
          <w:p w14:paraId="0F9B36F1" w14:textId="77777777" w:rsidR="002D62A4" w:rsidRPr="008818B2" w:rsidRDefault="002D62A4" w:rsidP="00301A2E">
            <w:pPr>
              <w:keepNext/>
              <w:widowControl w:val="0"/>
              <w:jc w:val="center"/>
              <w:rPr>
                <w:b/>
                <w:sz w:val="20"/>
                <w:szCs w:val="20"/>
              </w:rPr>
            </w:pPr>
            <w:r w:rsidRPr="008818B2">
              <w:rPr>
                <w:b/>
                <w:sz w:val="20"/>
                <w:szCs w:val="20"/>
              </w:rPr>
              <w:t>Revitalize or Stabilize</w:t>
            </w:r>
          </w:p>
        </w:tc>
        <w:tc>
          <w:tcPr>
            <w:tcW w:w="1170" w:type="dxa"/>
            <w:shd w:val="clear" w:color="auto" w:fill="auto"/>
            <w:vAlign w:val="center"/>
          </w:tcPr>
          <w:p w14:paraId="5097807C" w14:textId="77777777" w:rsidR="002D62A4" w:rsidRPr="008818B2" w:rsidRDefault="002D62A4" w:rsidP="00301A2E">
            <w:pPr>
              <w:keepNext/>
              <w:widowControl w:val="0"/>
              <w:jc w:val="center"/>
              <w:rPr>
                <w:b/>
                <w:sz w:val="20"/>
                <w:szCs w:val="20"/>
              </w:rPr>
            </w:pPr>
            <w:r w:rsidRPr="008818B2">
              <w:rPr>
                <w:b/>
                <w:sz w:val="20"/>
                <w:szCs w:val="20"/>
              </w:rPr>
              <w:t>Totals</w:t>
            </w:r>
          </w:p>
        </w:tc>
      </w:tr>
      <w:tr w:rsidR="002D62A4" w:rsidRPr="008818B2" w14:paraId="7038109C" w14:textId="77777777" w:rsidTr="004A494A">
        <w:trPr>
          <w:trHeight w:val="288"/>
          <w:jc w:val="center"/>
        </w:trPr>
        <w:tc>
          <w:tcPr>
            <w:tcW w:w="2970" w:type="dxa"/>
            <w:vMerge/>
            <w:shd w:val="clear" w:color="auto" w:fill="auto"/>
            <w:vAlign w:val="center"/>
          </w:tcPr>
          <w:p w14:paraId="410244E5" w14:textId="77777777" w:rsidR="002D62A4" w:rsidRPr="008818B2" w:rsidRDefault="002D62A4" w:rsidP="00301A2E">
            <w:pPr>
              <w:keepNext/>
              <w:widowControl w:val="0"/>
              <w:rPr>
                <w:sz w:val="20"/>
                <w:szCs w:val="20"/>
              </w:rPr>
            </w:pPr>
          </w:p>
        </w:tc>
        <w:tc>
          <w:tcPr>
            <w:tcW w:w="1170" w:type="dxa"/>
            <w:shd w:val="clear" w:color="auto" w:fill="auto"/>
            <w:vAlign w:val="center"/>
          </w:tcPr>
          <w:p w14:paraId="0F19DDFC" w14:textId="77777777" w:rsidR="002D62A4" w:rsidRPr="008818B2" w:rsidRDefault="002D62A4" w:rsidP="00301A2E">
            <w:pPr>
              <w:keepNext/>
              <w:widowControl w:val="0"/>
              <w:jc w:val="center"/>
              <w:rPr>
                <w:b/>
                <w:sz w:val="20"/>
                <w:szCs w:val="20"/>
              </w:rPr>
            </w:pPr>
            <w:r w:rsidRPr="008818B2">
              <w:rPr>
                <w:b/>
                <w:sz w:val="20"/>
                <w:szCs w:val="20"/>
              </w:rPr>
              <w:t>#</w:t>
            </w:r>
          </w:p>
        </w:tc>
        <w:tc>
          <w:tcPr>
            <w:tcW w:w="1260" w:type="dxa"/>
            <w:shd w:val="clear" w:color="auto" w:fill="auto"/>
            <w:vAlign w:val="center"/>
          </w:tcPr>
          <w:p w14:paraId="6E65C963" w14:textId="77777777" w:rsidR="002D62A4" w:rsidRPr="008818B2" w:rsidRDefault="002D62A4" w:rsidP="00301A2E">
            <w:pPr>
              <w:keepNext/>
              <w:widowControl w:val="0"/>
              <w:jc w:val="center"/>
              <w:rPr>
                <w:b/>
                <w:sz w:val="20"/>
                <w:szCs w:val="20"/>
              </w:rPr>
            </w:pPr>
            <w:r w:rsidRPr="008818B2">
              <w:rPr>
                <w:b/>
                <w:sz w:val="20"/>
                <w:szCs w:val="20"/>
              </w:rPr>
              <w:t>#</w:t>
            </w:r>
          </w:p>
        </w:tc>
        <w:tc>
          <w:tcPr>
            <w:tcW w:w="1350" w:type="dxa"/>
            <w:shd w:val="clear" w:color="auto" w:fill="auto"/>
            <w:vAlign w:val="center"/>
          </w:tcPr>
          <w:p w14:paraId="51EBC7AF" w14:textId="77777777" w:rsidR="002D62A4" w:rsidRPr="008818B2" w:rsidRDefault="002D62A4" w:rsidP="00301A2E">
            <w:pPr>
              <w:keepNext/>
              <w:widowControl w:val="0"/>
              <w:jc w:val="center"/>
              <w:rPr>
                <w:b/>
                <w:sz w:val="20"/>
                <w:szCs w:val="20"/>
              </w:rPr>
            </w:pPr>
            <w:r w:rsidRPr="008818B2">
              <w:rPr>
                <w:b/>
                <w:sz w:val="20"/>
                <w:szCs w:val="20"/>
              </w:rPr>
              <w:t>#</w:t>
            </w:r>
          </w:p>
        </w:tc>
        <w:tc>
          <w:tcPr>
            <w:tcW w:w="1260" w:type="dxa"/>
            <w:shd w:val="clear" w:color="auto" w:fill="auto"/>
            <w:vAlign w:val="center"/>
          </w:tcPr>
          <w:p w14:paraId="5D5873FE" w14:textId="77777777" w:rsidR="002D62A4" w:rsidRPr="008818B2" w:rsidRDefault="002D62A4" w:rsidP="00301A2E">
            <w:pPr>
              <w:keepNext/>
              <w:widowControl w:val="0"/>
              <w:jc w:val="center"/>
              <w:rPr>
                <w:b/>
                <w:sz w:val="20"/>
                <w:szCs w:val="20"/>
              </w:rPr>
            </w:pPr>
            <w:r w:rsidRPr="008818B2">
              <w:rPr>
                <w:b/>
                <w:sz w:val="20"/>
                <w:szCs w:val="20"/>
              </w:rPr>
              <w:t>#</w:t>
            </w:r>
          </w:p>
        </w:tc>
        <w:tc>
          <w:tcPr>
            <w:tcW w:w="1170" w:type="dxa"/>
            <w:shd w:val="clear" w:color="auto" w:fill="auto"/>
            <w:vAlign w:val="center"/>
          </w:tcPr>
          <w:p w14:paraId="2566B4F0" w14:textId="77777777" w:rsidR="002D62A4" w:rsidRPr="008818B2" w:rsidRDefault="002D62A4" w:rsidP="00301A2E">
            <w:pPr>
              <w:keepNext/>
              <w:widowControl w:val="0"/>
              <w:jc w:val="center"/>
              <w:rPr>
                <w:b/>
                <w:sz w:val="20"/>
                <w:szCs w:val="20"/>
              </w:rPr>
            </w:pPr>
            <w:r w:rsidRPr="008818B2">
              <w:rPr>
                <w:b/>
                <w:sz w:val="20"/>
                <w:szCs w:val="20"/>
              </w:rPr>
              <w:t>#</w:t>
            </w:r>
          </w:p>
        </w:tc>
      </w:tr>
      <w:tr w:rsidR="002D62A4" w:rsidRPr="008818B2" w14:paraId="7634C414" w14:textId="77777777" w:rsidTr="004A494A">
        <w:trPr>
          <w:trHeight w:val="288"/>
          <w:jc w:val="center"/>
        </w:trPr>
        <w:tc>
          <w:tcPr>
            <w:tcW w:w="2970" w:type="dxa"/>
            <w:shd w:val="clear" w:color="auto" w:fill="auto"/>
            <w:vAlign w:val="center"/>
          </w:tcPr>
          <w:p w14:paraId="4AA85382" w14:textId="77777777" w:rsidR="002D62A4" w:rsidRPr="008818B2" w:rsidRDefault="002D62A4" w:rsidP="00301A2E">
            <w:pPr>
              <w:keepNext/>
              <w:widowControl w:val="0"/>
              <w:rPr>
                <w:sz w:val="20"/>
                <w:szCs w:val="20"/>
              </w:rPr>
            </w:pPr>
            <w:r>
              <w:rPr>
                <w:sz w:val="20"/>
                <w:szCs w:val="20"/>
              </w:rPr>
              <w:t>2018</w:t>
            </w:r>
          </w:p>
        </w:tc>
        <w:tc>
          <w:tcPr>
            <w:tcW w:w="1170" w:type="dxa"/>
            <w:shd w:val="clear" w:color="auto" w:fill="auto"/>
            <w:vAlign w:val="center"/>
          </w:tcPr>
          <w:p w14:paraId="36987A31" w14:textId="77777777" w:rsidR="002D62A4" w:rsidRDefault="002D62A4" w:rsidP="00301A2E">
            <w:pPr>
              <w:keepNext/>
              <w:widowControl w:val="0"/>
              <w:jc w:val="center"/>
              <w:rPr>
                <w:sz w:val="20"/>
                <w:szCs w:val="20"/>
              </w:rPr>
            </w:pPr>
            <w:r>
              <w:rPr>
                <w:sz w:val="20"/>
                <w:szCs w:val="20"/>
              </w:rPr>
              <w:t>0</w:t>
            </w:r>
          </w:p>
        </w:tc>
        <w:tc>
          <w:tcPr>
            <w:tcW w:w="1260" w:type="dxa"/>
            <w:shd w:val="clear" w:color="auto" w:fill="auto"/>
            <w:vAlign w:val="center"/>
          </w:tcPr>
          <w:p w14:paraId="12948D15" w14:textId="77777777" w:rsidR="002D62A4" w:rsidRDefault="003D66E3" w:rsidP="00301A2E">
            <w:pPr>
              <w:keepNext/>
              <w:widowControl w:val="0"/>
              <w:jc w:val="center"/>
              <w:rPr>
                <w:sz w:val="20"/>
                <w:szCs w:val="20"/>
              </w:rPr>
            </w:pPr>
            <w:r>
              <w:rPr>
                <w:sz w:val="20"/>
                <w:szCs w:val="20"/>
              </w:rPr>
              <w:t>11</w:t>
            </w:r>
          </w:p>
        </w:tc>
        <w:tc>
          <w:tcPr>
            <w:tcW w:w="1350" w:type="dxa"/>
            <w:shd w:val="clear" w:color="auto" w:fill="auto"/>
            <w:vAlign w:val="center"/>
          </w:tcPr>
          <w:p w14:paraId="67F52BF4" w14:textId="77777777" w:rsidR="002D62A4" w:rsidRDefault="003D66E3" w:rsidP="00301A2E">
            <w:pPr>
              <w:keepNext/>
              <w:widowControl w:val="0"/>
              <w:jc w:val="center"/>
              <w:rPr>
                <w:sz w:val="20"/>
                <w:szCs w:val="20"/>
              </w:rPr>
            </w:pPr>
            <w:r>
              <w:rPr>
                <w:sz w:val="20"/>
                <w:szCs w:val="20"/>
              </w:rPr>
              <w:t>3</w:t>
            </w:r>
          </w:p>
        </w:tc>
        <w:tc>
          <w:tcPr>
            <w:tcW w:w="1260" w:type="dxa"/>
            <w:shd w:val="clear" w:color="auto" w:fill="auto"/>
            <w:vAlign w:val="center"/>
          </w:tcPr>
          <w:p w14:paraId="43A41ADD" w14:textId="77777777" w:rsidR="002D62A4" w:rsidRPr="008818B2" w:rsidRDefault="002D62A4" w:rsidP="00301A2E">
            <w:pPr>
              <w:keepNext/>
              <w:widowControl w:val="0"/>
              <w:jc w:val="center"/>
              <w:rPr>
                <w:sz w:val="20"/>
                <w:szCs w:val="20"/>
              </w:rPr>
            </w:pPr>
            <w:r>
              <w:rPr>
                <w:sz w:val="20"/>
                <w:szCs w:val="20"/>
              </w:rPr>
              <w:t>0</w:t>
            </w:r>
          </w:p>
        </w:tc>
        <w:tc>
          <w:tcPr>
            <w:tcW w:w="1170" w:type="dxa"/>
            <w:shd w:val="clear" w:color="auto" w:fill="auto"/>
            <w:vAlign w:val="center"/>
          </w:tcPr>
          <w:p w14:paraId="09A7675B" w14:textId="77777777" w:rsidR="002D62A4" w:rsidRDefault="003D66E3" w:rsidP="00301A2E">
            <w:pPr>
              <w:keepNext/>
              <w:widowControl w:val="0"/>
              <w:jc w:val="center"/>
              <w:rPr>
                <w:b/>
                <w:sz w:val="20"/>
                <w:szCs w:val="20"/>
              </w:rPr>
            </w:pPr>
            <w:r>
              <w:rPr>
                <w:b/>
                <w:sz w:val="20"/>
                <w:szCs w:val="20"/>
              </w:rPr>
              <w:t>14</w:t>
            </w:r>
          </w:p>
        </w:tc>
      </w:tr>
      <w:tr w:rsidR="002D62A4" w:rsidRPr="008818B2" w14:paraId="01924C1C" w14:textId="77777777" w:rsidTr="004A494A">
        <w:trPr>
          <w:trHeight w:val="288"/>
          <w:jc w:val="center"/>
        </w:trPr>
        <w:tc>
          <w:tcPr>
            <w:tcW w:w="2970" w:type="dxa"/>
            <w:shd w:val="clear" w:color="auto" w:fill="auto"/>
            <w:vAlign w:val="center"/>
          </w:tcPr>
          <w:p w14:paraId="6153320B" w14:textId="77777777" w:rsidR="002D62A4" w:rsidRPr="008818B2" w:rsidRDefault="002D62A4" w:rsidP="00301A2E">
            <w:pPr>
              <w:keepNext/>
              <w:widowControl w:val="0"/>
              <w:rPr>
                <w:sz w:val="20"/>
                <w:szCs w:val="20"/>
              </w:rPr>
            </w:pPr>
            <w:r w:rsidRPr="008818B2">
              <w:rPr>
                <w:sz w:val="20"/>
                <w:szCs w:val="20"/>
              </w:rPr>
              <w:t>2019</w:t>
            </w:r>
          </w:p>
        </w:tc>
        <w:tc>
          <w:tcPr>
            <w:tcW w:w="1170" w:type="dxa"/>
            <w:shd w:val="clear" w:color="auto" w:fill="auto"/>
            <w:vAlign w:val="center"/>
          </w:tcPr>
          <w:p w14:paraId="4FB3B6B9" w14:textId="77777777" w:rsidR="002D62A4" w:rsidRPr="008818B2" w:rsidRDefault="003D66E3" w:rsidP="00301A2E">
            <w:pPr>
              <w:keepNext/>
              <w:widowControl w:val="0"/>
              <w:jc w:val="center"/>
              <w:rPr>
                <w:sz w:val="20"/>
                <w:szCs w:val="20"/>
              </w:rPr>
            </w:pPr>
            <w:r>
              <w:rPr>
                <w:sz w:val="20"/>
                <w:szCs w:val="20"/>
              </w:rPr>
              <w:t>0</w:t>
            </w:r>
          </w:p>
        </w:tc>
        <w:tc>
          <w:tcPr>
            <w:tcW w:w="1260" w:type="dxa"/>
            <w:shd w:val="clear" w:color="auto" w:fill="auto"/>
            <w:vAlign w:val="center"/>
          </w:tcPr>
          <w:p w14:paraId="3C75B22C" w14:textId="77777777" w:rsidR="002D62A4" w:rsidRPr="008818B2" w:rsidRDefault="003D66E3" w:rsidP="00301A2E">
            <w:pPr>
              <w:keepNext/>
              <w:widowControl w:val="0"/>
              <w:jc w:val="center"/>
              <w:rPr>
                <w:sz w:val="20"/>
                <w:szCs w:val="20"/>
              </w:rPr>
            </w:pPr>
            <w:r>
              <w:rPr>
                <w:sz w:val="20"/>
                <w:szCs w:val="20"/>
              </w:rPr>
              <w:t>12</w:t>
            </w:r>
          </w:p>
        </w:tc>
        <w:tc>
          <w:tcPr>
            <w:tcW w:w="1350" w:type="dxa"/>
            <w:shd w:val="clear" w:color="auto" w:fill="auto"/>
            <w:vAlign w:val="center"/>
          </w:tcPr>
          <w:p w14:paraId="0A410918" w14:textId="77777777" w:rsidR="002D62A4" w:rsidRPr="008818B2" w:rsidRDefault="003D66E3" w:rsidP="00301A2E">
            <w:pPr>
              <w:keepNext/>
              <w:widowControl w:val="0"/>
              <w:jc w:val="center"/>
              <w:rPr>
                <w:sz w:val="20"/>
                <w:szCs w:val="20"/>
              </w:rPr>
            </w:pPr>
            <w:r>
              <w:rPr>
                <w:sz w:val="20"/>
                <w:szCs w:val="20"/>
              </w:rPr>
              <w:t>3</w:t>
            </w:r>
          </w:p>
        </w:tc>
        <w:tc>
          <w:tcPr>
            <w:tcW w:w="1260" w:type="dxa"/>
            <w:shd w:val="clear" w:color="auto" w:fill="auto"/>
            <w:vAlign w:val="center"/>
          </w:tcPr>
          <w:p w14:paraId="7C069FA7" w14:textId="77777777" w:rsidR="002D62A4" w:rsidRPr="008818B2" w:rsidRDefault="002D62A4" w:rsidP="00301A2E">
            <w:pPr>
              <w:keepNext/>
              <w:widowControl w:val="0"/>
              <w:jc w:val="center"/>
              <w:rPr>
                <w:sz w:val="20"/>
                <w:szCs w:val="20"/>
              </w:rPr>
            </w:pPr>
            <w:r w:rsidRPr="008818B2">
              <w:rPr>
                <w:sz w:val="20"/>
                <w:szCs w:val="20"/>
              </w:rPr>
              <w:t>0</w:t>
            </w:r>
          </w:p>
        </w:tc>
        <w:tc>
          <w:tcPr>
            <w:tcW w:w="1170" w:type="dxa"/>
            <w:shd w:val="clear" w:color="auto" w:fill="auto"/>
            <w:vAlign w:val="center"/>
          </w:tcPr>
          <w:p w14:paraId="2527C3E1" w14:textId="77777777" w:rsidR="002D62A4" w:rsidRPr="008818B2" w:rsidRDefault="003D66E3" w:rsidP="00301A2E">
            <w:pPr>
              <w:keepNext/>
              <w:widowControl w:val="0"/>
              <w:jc w:val="center"/>
              <w:rPr>
                <w:b/>
                <w:sz w:val="20"/>
                <w:szCs w:val="20"/>
              </w:rPr>
            </w:pPr>
            <w:r>
              <w:rPr>
                <w:b/>
                <w:sz w:val="20"/>
                <w:szCs w:val="20"/>
              </w:rPr>
              <w:t>15</w:t>
            </w:r>
          </w:p>
        </w:tc>
      </w:tr>
      <w:tr w:rsidR="002D62A4" w:rsidRPr="008818B2" w14:paraId="32147660" w14:textId="77777777" w:rsidTr="004A494A">
        <w:trPr>
          <w:trHeight w:val="288"/>
          <w:jc w:val="center"/>
        </w:trPr>
        <w:tc>
          <w:tcPr>
            <w:tcW w:w="2970" w:type="dxa"/>
            <w:shd w:val="clear" w:color="auto" w:fill="auto"/>
            <w:vAlign w:val="center"/>
          </w:tcPr>
          <w:p w14:paraId="647E7894" w14:textId="77777777" w:rsidR="002D62A4" w:rsidRPr="008818B2" w:rsidRDefault="002D62A4" w:rsidP="00301A2E">
            <w:pPr>
              <w:keepNext/>
              <w:widowControl w:val="0"/>
              <w:rPr>
                <w:sz w:val="20"/>
                <w:szCs w:val="20"/>
              </w:rPr>
            </w:pPr>
            <w:r w:rsidRPr="008818B2">
              <w:rPr>
                <w:sz w:val="20"/>
                <w:szCs w:val="20"/>
              </w:rPr>
              <w:t>2020</w:t>
            </w:r>
          </w:p>
        </w:tc>
        <w:tc>
          <w:tcPr>
            <w:tcW w:w="1170" w:type="dxa"/>
            <w:shd w:val="clear" w:color="auto" w:fill="auto"/>
            <w:vAlign w:val="center"/>
          </w:tcPr>
          <w:p w14:paraId="62E4BEA0" w14:textId="77777777" w:rsidR="002D62A4" w:rsidRPr="008818B2" w:rsidRDefault="003D66E3" w:rsidP="00301A2E">
            <w:pPr>
              <w:keepNext/>
              <w:widowControl w:val="0"/>
              <w:jc w:val="center"/>
              <w:rPr>
                <w:sz w:val="20"/>
                <w:szCs w:val="20"/>
              </w:rPr>
            </w:pPr>
            <w:r>
              <w:rPr>
                <w:sz w:val="20"/>
                <w:szCs w:val="20"/>
              </w:rPr>
              <w:t>0</w:t>
            </w:r>
          </w:p>
        </w:tc>
        <w:tc>
          <w:tcPr>
            <w:tcW w:w="1260" w:type="dxa"/>
            <w:shd w:val="clear" w:color="auto" w:fill="auto"/>
            <w:vAlign w:val="center"/>
          </w:tcPr>
          <w:p w14:paraId="7C71E4E6" w14:textId="77777777" w:rsidR="002D62A4" w:rsidRPr="008818B2" w:rsidRDefault="003D66E3" w:rsidP="00301A2E">
            <w:pPr>
              <w:keepNext/>
              <w:widowControl w:val="0"/>
              <w:jc w:val="center"/>
              <w:rPr>
                <w:sz w:val="20"/>
                <w:szCs w:val="20"/>
              </w:rPr>
            </w:pPr>
            <w:r>
              <w:rPr>
                <w:sz w:val="20"/>
                <w:szCs w:val="20"/>
              </w:rPr>
              <w:t>11</w:t>
            </w:r>
          </w:p>
        </w:tc>
        <w:tc>
          <w:tcPr>
            <w:tcW w:w="1350" w:type="dxa"/>
            <w:shd w:val="clear" w:color="auto" w:fill="auto"/>
            <w:vAlign w:val="center"/>
          </w:tcPr>
          <w:p w14:paraId="38675786" w14:textId="77777777" w:rsidR="002D62A4" w:rsidRPr="008818B2" w:rsidRDefault="003D66E3" w:rsidP="00301A2E">
            <w:pPr>
              <w:keepNext/>
              <w:widowControl w:val="0"/>
              <w:jc w:val="center"/>
              <w:rPr>
                <w:sz w:val="20"/>
                <w:szCs w:val="20"/>
              </w:rPr>
            </w:pPr>
            <w:r>
              <w:rPr>
                <w:sz w:val="20"/>
                <w:szCs w:val="20"/>
              </w:rPr>
              <w:t>3</w:t>
            </w:r>
          </w:p>
        </w:tc>
        <w:tc>
          <w:tcPr>
            <w:tcW w:w="1260" w:type="dxa"/>
            <w:shd w:val="clear" w:color="auto" w:fill="auto"/>
            <w:vAlign w:val="center"/>
          </w:tcPr>
          <w:p w14:paraId="6F956ED7" w14:textId="77777777" w:rsidR="002D62A4" w:rsidRPr="008818B2" w:rsidRDefault="002D62A4" w:rsidP="00301A2E">
            <w:pPr>
              <w:keepNext/>
              <w:widowControl w:val="0"/>
              <w:jc w:val="center"/>
              <w:rPr>
                <w:sz w:val="20"/>
                <w:szCs w:val="20"/>
              </w:rPr>
            </w:pPr>
            <w:r w:rsidRPr="008818B2">
              <w:rPr>
                <w:sz w:val="20"/>
                <w:szCs w:val="20"/>
              </w:rPr>
              <w:t>0</w:t>
            </w:r>
          </w:p>
        </w:tc>
        <w:tc>
          <w:tcPr>
            <w:tcW w:w="1170" w:type="dxa"/>
            <w:shd w:val="clear" w:color="auto" w:fill="auto"/>
            <w:vAlign w:val="center"/>
          </w:tcPr>
          <w:p w14:paraId="52CA3307" w14:textId="77777777" w:rsidR="002D62A4" w:rsidRPr="008818B2" w:rsidRDefault="003D66E3" w:rsidP="00301A2E">
            <w:pPr>
              <w:keepNext/>
              <w:widowControl w:val="0"/>
              <w:jc w:val="center"/>
              <w:rPr>
                <w:b/>
                <w:sz w:val="20"/>
                <w:szCs w:val="20"/>
              </w:rPr>
            </w:pPr>
            <w:r>
              <w:rPr>
                <w:b/>
                <w:sz w:val="20"/>
                <w:szCs w:val="20"/>
              </w:rPr>
              <w:t>14</w:t>
            </w:r>
          </w:p>
        </w:tc>
      </w:tr>
      <w:tr w:rsidR="002D62A4" w:rsidRPr="008818B2" w14:paraId="55B77337" w14:textId="77777777" w:rsidTr="004A494A">
        <w:trPr>
          <w:trHeight w:val="288"/>
          <w:jc w:val="center"/>
        </w:trPr>
        <w:tc>
          <w:tcPr>
            <w:tcW w:w="2970" w:type="dxa"/>
            <w:shd w:val="clear" w:color="auto" w:fill="auto"/>
            <w:vAlign w:val="center"/>
          </w:tcPr>
          <w:p w14:paraId="560E0AC1" w14:textId="77777777" w:rsidR="002D62A4" w:rsidRPr="008818B2" w:rsidRDefault="002D62A4" w:rsidP="00301A2E">
            <w:pPr>
              <w:keepNext/>
              <w:widowControl w:val="0"/>
              <w:rPr>
                <w:b/>
                <w:sz w:val="20"/>
                <w:szCs w:val="20"/>
                <w:highlight w:val="green"/>
              </w:rPr>
            </w:pPr>
            <w:r w:rsidRPr="008818B2">
              <w:rPr>
                <w:b/>
                <w:sz w:val="20"/>
                <w:szCs w:val="20"/>
              </w:rPr>
              <w:t>Total</w:t>
            </w:r>
          </w:p>
        </w:tc>
        <w:tc>
          <w:tcPr>
            <w:tcW w:w="1170" w:type="dxa"/>
            <w:shd w:val="clear" w:color="auto" w:fill="auto"/>
            <w:vAlign w:val="center"/>
          </w:tcPr>
          <w:p w14:paraId="73BF6BB2" w14:textId="77777777" w:rsidR="002D62A4" w:rsidRPr="008818B2" w:rsidRDefault="003D66E3" w:rsidP="00301A2E">
            <w:pPr>
              <w:keepNext/>
              <w:widowControl w:val="0"/>
              <w:jc w:val="center"/>
              <w:rPr>
                <w:b/>
                <w:sz w:val="20"/>
                <w:szCs w:val="20"/>
              </w:rPr>
            </w:pPr>
            <w:r>
              <w:rPr>
                <w:b/>
                <w:sz w:val="20"/>
                <w:szCs w:val="20"/>
              </w:rPr>
              <w:t>0</w:t>
            </w:r>
          </w:p>
        </w:tc>
        <w:tc>
          <w:tcPr>
            <w:tcW w:w="1260" w:type="dxa"/>
            <w:shd w:val="clear" w:color="auto" w:fill="auto"/>
            <w:vAlign w:val="center"/>
          </w:tcPr>
          <w:p w14:paraId="119386D9" w14:textId="77777777" w:rsidR="002D62A4" w:rsidRPr="008818B2" w:rsidRDefault="003D66E3" w:rsidP="00301A2E">
            <w:pPr>
              <w:keepNext/>
              <w:widowControl w:val="0"/>
              <w:jc w:val="center"/>
              <w:rPr>
                <w:b/>
                <w:sz w:val="20"/>
                <w:szCs w:val="20"/>
              </w:rPr>
            </w:pPr>
            <w:r>
              <w:rPr>
                <w:b/>
                <w:sz w:val="20"/>
                <w:szCs w:val="20"/>
              </w:rPr>
              <w:t>34</w:t>
            </w:r>
          </w:p>
        </w:tc>
        <w:tc>
          <w:tcPr>
            <w:tcW w:w="1350" w:type="dxa"/>
            <w:shd w:val="clear" w:color="auto" w:fill="auto"/>
            <w:vAlign w:val="center"/>
          </w:tcPr>
          <w:p w14:paraId="63A8FDFC" w14:textId="77777777" w:rsidR="002D62A4" w:rsidRPr="008818B2" w:rsidRDefault="003D66E3" w:rsidP="00301A2E">
            <w:pPr>
              <w:keepNext/>
              <w:widowControl w:val="0"/>
              <w:jc w:val="center"/>
              <w:rPr>
                <w:b/>
                <w:sz w:val="20"/>
                <w:szCs w:val="20"/>
              </w:rPr>
            </w:pPr>
            <w:r>
              <w:rPr>
                <w:b/>
                <w:sz w:val="20"/>
                <w:szCs w:val="20"/>
              </w:rPr>
              <w:t>9</w:t>
            </w:r>
          </w:p>
        </w:tc>
        <w:tc>
          <w:tcPr>
            <w:tcW w:w="1260" w:type="dxa"/>
            <w:shd w:val="clear" w:color="auto" w:fill="auto"/>
            <w:vAlign w:val="center"/>
          </w:tcPr>
          <w:p w14:paraId="65248D81" w14:textId="77777777" w:rsidR="002D62A4" w:rsidRPr="008818B2" w:rsidRDefault="002D62A4" w:rsidP="00301A2E">
            <w:pPr>
              <w:keepNext/>
              <w:widowControl w:val="0"/>
              <w:jc w:val="center"/>
              <w:rPr>
                <w:b/>
                <w:sz w:val="20"/>
                <w:szCs w:val="20"/>
              </w:rPr>
            </w:pPr>
            <w:r w:rsidRPr="008818B2">
              <w:rPr>
                <w:b/>
                <w:sz w:val="20"/>
                <w:szCs w:val="20"/>
              </w:rPr>
              <w:t>0</w:t>
            </w:r>
          </w:p>
        </w:tc>
        <w:tc>
          <w:tcPr>
            <w:tcW w:w="1170" w:type="dxa"/>
            <w:shd w:val="clear" w:color="auto" w:fill="auto"/>
            <w:vAlign w:val="center"/>
          </w:tcPr>
          <w:p w14:paraId="4655695A" w14:textId="77777777" w:rsidR="002D62A4" w:rsidRPr="008818B2" w:rsidRDefault="003D66E3" w:rsidP="00301A2E">
            <w:pPr>
              <w:keepNext/>
              <w:widowControl w:val="0"/>
              <w:jc w:val="center"/>
              <w:rPr>
                <w:b/>
                <w:sz w:val="20"/>
                <w:szCs w:val="20"/>
              </w:rPr>
            </w:pPr>
            <w:r>
              <w:rPr>
                <w:b/>
                <w:sz w:val="20"/>
                <w:szCs w:val="20"/>
              </w:rPr>
              <w:t>43</w:t>
            </w:r>
          </w:p>
        </w:tc>
      </w:tr>
      <w:tr w:rsidR="002D62A4" w:rsidRPr="008818B2" w14:paraId="20C7C694" w14:textId="77777777" w:rsidTr="004A494A">
        <w:trPr>
          <w:trHeight w:val="288"/>
          <w:jc w:val="center"/>
        </w:trPr>
        <w:tc>
          <w:tcPr>
            <w:tcW w:w="9180" w:type="dxa"/>
            <w:gridSpan w:val="6"/>
            <w:shd w:val="clear" w:color="auto" w:fill="auto"/>
            <w:vAlign w:val="center"/>
          </w:tcPr>
          <w:p w14:paraId="79CBF6CB" w14:textId="77777777" w:rsidR="002D62A4" w:rsidRPr="008818B2" w:rsidRDefault="002D62A4" w:rsidP="00301A2E">
            <w:pPr>
              <w:keepNext/>
              <w:widowControl w:val="0"/>
              <w:rPr>
                <w:b/>
                <w:sz w:val="20"/>
                <w:szCs w:val="20"/>
              </w:rPr>
            </w:pPr>
            <w:r w:rsidRPr="002F18E6">
              <w:rPr>
                <w:i/>
                <w:sz w:val="16"/>
                <w:szCs w:val="20"/>
              </w:rPr>
              <w:t xml:space="preserve">Source:  Bank </w:t>
            </w:r>
            <w:r>
              <w:rPr>
                <w:i/>
                <w:sz w:val="16"/>
                <w:szCs w:val="20"/>
              </w:rPr>
              <w:t xml:space="preserve">Data </w:t>
            </w:r>
          </w:p>
        </w:tc>
      </w:tr>
    </w:tbl>
    <w:p w14:paraId="2B19E6EC" w14:textId="77777777" w:rsidR="002D62A4" w:rsidRDefault="002D62A4" w:rsidP="00D90C29">
      <w:pPr>
        <w:rPr>
          <w:bCs/>
        </w:rPr>
      </w:pPr>
    </w:p>
    <w:p w14:paraId="1BBCA655" w14:textId="77777777" w:rsidR="003D66E3" w:rsidRDefault="004A494A" w:rsidP="00D90C29">
      <w:pPr>
        <w:rPr>
          <w:bCs/>
        </w:rPr>
      </w:pPr>
      <w:r>
        <w:rPr>
          <w:bCs/>
          <w:color w:val="000000"/>
        </w:rPr>
        <w:t>Below are notable examples of the bank’s</w:t>
      </w:r>
      <w:r>
        <w:rPr>
          <w:bCs/>
        </w:rPr>
        <w:t xml:space="preserve"> community development services. </w:t>
      </w:r>
    </w:p>
    <w:p w14:paraId="2F45C001" w14:textId="77777777" w:rsidR="003D66E3" w:rsidRDefault="003D66E3" w:rsidP="00D90C29">
      <w:pPr>
        <w:rPr>
          <w:bCs/>
        </w:rPr>
      </w:pPr>
    </w:p>
    <w:p w14:paraId="21E3B7E3" w14:textId="77777777" w:rsidR="003D66E3" w:rsidRDefault="003D66E3" w:rsidP="008B1CE8">
      <w:pPr>
        <w:pStyle w:val="BulletOrder"/>
      </w:pPr>
      <w:r w:rsidRPr="008B1CE8">
        <w:rPr>
          <w:i/>
        </w:rPr>
        <w:t>School Savings Program</w:t>
      </w:r>
      <w:r>
        <w:rPr>
          <w:b/>
        </w:rPr>
        <w:t xml:space="preserve"> </w:t>
      </w:r>
      <w:r>
        <w:t xml:space="preserve">– The School Savings Program serves the Southbridge </w:t>
      </w:r>
      <w:r w:rsidR="004A494A">
        <w:t>e</w:t>
      </w:r>
      <w:r>
        <w:t>lementary school system</w:t>
      </w:r>
      <w:r w:rsidR="001046C3">
        <w:t>.  A majority of the students in the system receive free or reduced cost lunches, indicating that the school</w:t>
      </w:r>
      <w:r w:rsidR="00A33F61">
        <w:t>s</w:t>
      </w:r>
      <w:r w:rsidR="001046C3">
        <w:t xml:space="preserve"> primarily serve low- and moderate-income children.  </w:t>
      </w:r>
      <w:r w:rsidR="008B1CE8">
        <w:t>Multiple bank employees participate in a program where they discuss the importance of savings with students and parents</w:t>
      </w:r>
      <w:r w:rsidR="00CA6D4C">
        <w:t>,</w:t>
      </w:r>
      <w:r w:rsidR="008B1CE8">
        <w:t xml:space="preserve"> and assist with opening School Savings accounts.</w:t>
      </w:r>
    </w:p>
    <w:p w14:paraId="38124AEB" w14:textId="77777777" w:rsidR="008B1CE8" w:rsidRPr="003D66E3" w:rsidRDefault="008B1CE8" w:rsidP="008B1CE8">
      <w:pPr>
        <w:pStyle w:val="BulletOrder"/>
        <w:numPr>
          <w:ilvl w:val="0"/>
          <w:numId w:val="0"/>
        </w:numPr>
        <w:ind w:left="720"/>
      </w:pPr>
    </w:p>
    <w:p w14:paraId="30D0EFD7" w14:textId="77777777" w:rsidR="003D66E3" w:rsidRDefault="003D66E3" w:rsidP="008B1CE8">
      <w:pPr>
        <w:pStyle w:val="BulletOrder"/>
      </w:pPr>
      <w:r w:rsidRPr="008B1CE8">
        <w:rPr>
          <w:i/>
        </w:rPr>
        <w:t>Jeremiah’s Inn</w:t>
      </w:r>
      <w:r>
        <w:t xml:space="preserve"> – Jeremiah’s Inn provides </w:t>
      </w:r>
      <w:r w:rsidR="00CA6D4C">
        <w:t xml:space="preserve">a </w:t>
      </w:r>
      <w:r w:rsidR="008B1CE8">
        <w:t xml:space="preserve">food pantry, </w:t>
      </w:r>
      <w:r w:rsidR="008468C4">
        <w:t xml:space="preserve">a </w:t>
      </w:r>
      <w:r w:rsidR="008B1CE8">
        <w:t xml:space="preserve">nutrition center, and </w:t>
      </w:r>
      <w:r w:rsidR="008468C4">
        <w:t xml:space="preserve">a </w:t>
      </w:r>
      <w:r w:rsidR="008B1CE8">
        <w:t>substance abuse</w:t>
      </w:r>
      <w:r w:rsidR="008468C4">
        <w:t xml:space="preserve"> treatment center </w:t>
      </w:r>
      <w:r w:rsidR="004A494A">
        <w:t>for</w:t>
      </w:r>
      <w:r>
        <w:t xml:space="preserve"> low- an</w:t>
      </w:r>
      <w:r w:rsidR="008468C4">
        <w:t xml:space="preserve">d moderate-income individuals.  </w:t>
      </w:r>
      <w:r>
        <w:t xml:space="preserve">An </w:t>
      </w:r>
      <w:r w:rsidR="004A494A">
        <w:t>a</w:t>
      </w:r>
      <w:r>
        <w:t>ssistan</w:t>
      </w:r>
      <w:r w:rsidR="004A494A">
        <w:t>t</w:t>
      </w:r>
      <w:r>
        <w:t xml:space="preserve"> </w:t>
      </w:r>
      <w:r w:rsidR="004A494A">
        <w:t>v</w:t>
      </w:r>
      <w:r>
        <w:t xml:space="preserve">ice </w:t>
      </w:r>
      <w:r w:rsidR="004A494A">
        <w:t>p</w:t>
      </w:r>
      <w:r>
        <w:t xml:space="preserve">resident </w:t>
      </w:r>
      <w:r w:rsidR="004A494A">
        <w:t xml:space="preserve">of the bank </w:t>
      </w:r>
      <w:r w:rsidR="008468C4">
        <w:t>serves on the organization’s</w:t>
      </w:r>
      <w:r>
        <w:t xml:space="preserve"> Board of Directors.</w:t>
      </w:r>
    </w:p>
    <w:p w14:paraId="5A8DD61B" w14:textId="77777777" w:rsidR="008B1CE8" w:rsidRPr="003D66E3" w:rsidRDefault="008B1CE8" w:rsidP="008B1CE8">
      <w:pPr>
        <w:pStyle w:val="BulletOrder"/>
        <w:numPr>
          <w:ilvl w:val="0"/>
          <w:numId w:val="0"/>
        </w:numPr>
      </w:pPr>
    </w:p>
    <w:p w14:paraId="0E5BC332" w14:textId="77777777" w:rsidR="003D66E3" w:rsidRPr="003D66E3" w:rsidRDefault="00D645D2" w:rsidP="008B1CE8">
      <w:pPr>
        <w:pStyle w:val="BulletOrder"/>
      </w:pPr>
      <w:r w:rsidRPr="008B1CE8">
        <w:rPr>
          <w:i/>
        </w:rPr>
        <w:t>Auburn Youth and Family Services</w:t>
      </w:r>
      <w:r>
        <w:rPr>
          <w:b/>
        </w:rPr>
        <w:t xml:space="preserve"> </w:t>
      </w:r>
      <w:r>
        <w:t>– Auburn Youth and Family Services provides counseling services</w:t>
      </w:r>
      <w:r w:rsidR="004A494A">
        <w:t>,</w:t>
      </w:r>
      <w:r>
        <w:t xml:space="preserve"> as well as a food pantry, clothes closet, and fuel assistance for Auburn families in need.  A bank employee serves on the </w:t>
      </w:r>
      <w:r w:rsidR="008468C4">
        <w:t xml:space="preserve">organization’s </w:t>
      </w:r>
      <w:r>
        <w:t>Board of Directors.</w:t>
      </w:r>
    </w:p>
    <w:p w14:paraId="715C1287" w14:textId="77777777" w:rsidR="008468C4" w:rsidRPr="004A494A" w:rsidRDefault="008468C4" w:rsidP="000927D4">
      <w:pPr>
        <w:pStyle w:val="Heading1"/>
        <w:rPr>
          <w:sz w:val="24"/>
          <w:szCs w:val="24"/>
        </w:rPr>
      </w:pPr>
      <w:bookmarkStart w:id="12" w:name="_Toc63684853"/>
    </w:p>
    <w:p w14:paraId="743FBC2D" w14:textId="77777777" w:rsidR="008468C4" w:rsidRPr="004A494A" w:rsidRDefault="008468C4" w:rsidP="000927D4">
      <w:pPr>
        <w:pStyle w:val="Heading1"/>
        <w:rPr>
          <w:sz w:val="24"/>
          <w:szCs w:val="24"/>
        </w:rPr>
      </w:pPr>
    </w:p>
    <w:p w14:paraId="4C23035B" w14:textId="77777777" w:rsidR="00B30536" w:rsidRDefault="00463E27" w:rsidP="000927D4">
      <w:pPr>
        <w:pStyle w:val="Heading1"/>
      </w:pPr>
      <w:r w:rsidRPr="000927D4">
        <w:t xml:space="preserve">DISCRIMINATORY OR OTHER </w:t>
      </w:r>
      <w:r w:rsidR="00B30536" w:rsidRPr="000927D4">
        <w:t>ILLEGAL CREDIT PRACTICES REVIEW</w:t>
      </w:r>
      <w:bookmarkEnd w:id="12"/>
    </w:p>
    <w:p w14:paraId="7644A162" w14:textId="77777777" w:rsidR="00D645D2" w:rsidRDefault="00D645D2" w:rsidP="00D645D2"/>
    <w:p w14:paraId="41F018F3" w14:textId="77777777" w:rsidR="00D645D2" w:rsidRPr="00D645D2" w:rsidRDefault="00D645D2" w:rsidP="00D645D2">
      <w:r>
        <w:t xml:space="preserve">Examiners </w:t>
      </w:r>
      <w:r w:rsidR="004A494A">
        <w:t xml:space="preserve">reviewed the bank’s compliance with the laws relating to discrimination and other illegal credit practices, including the Fair Housing Act and the Equal Credit Opportunity Act.  Examiners </w:t>
      </w:r>
      <w:r>
        <w:t>did not identify any discrimina</w:t>
      </w:r>
      <w:r w:rsidR="008468C4">
        <w:t>tory or other illegal practices</w:t>
      </w:r>
      <w:r w:rsidR="004A494A">
        <w:t xml:space="preserve">. </w:t>
      </w:r>
    </w:p>
    <w:p w14:paraId="32F9EEEE" w14:textId="7082BFAB" w:rsidR="004451FF" w:rsidRDefault="004451FF" w:rsidP="002546E7"/>
    <w:p w14:paraId="62FFFB74" w14:textId="77777777" w:rsidR="005A741D" w:rsidRDefault="005A741D" w:rsidP="002546E7"/>
    <w:p w14:paraId="7AFCED55" w14:textId="50170AC5" w:rsidR="002546E7" w:rsidRPr="002E62AF" w:rsidRDefault="00DC08A6" w:rsidP="002546E7">
      <w:pPr>
        <w:tabs>
          <w:tab w:val="center" w:pos="4680"/>
        </w:tabs>
        <w:jc w:val="center"/>
        <w:rPr>
          <w:b/>
          <w:spacing w:val="-4"/>
          <w:sz w:val="28"/>
          <w:szCs w:val="28"/>
        </w:rPr>
      </w:pPr>
      <w:r>
        <w:rPr>
          <w:b/>
          <w:spacing w:val="-4"/>
          <w:sz w:val="28"/>
          <w:szCs w:val="28"/>
        </w:rPr>
        <w:t xml:space="preserve">Massachusetts </w:t>
      </w:r>
      <w:r w:rsidR="002546E7">
        <w:rPr>
          <w:b/>
          <w:spacing w:val="-4"/>
          <w:sz w:val="28"/>
          <w:szCs w:val="28"/>
        </w:rPr>
        <w:t>Division of Banks</w:t>
      </w:r>
    </w:p>
    <w:p w14:paraId="5429CD17" w14:textId="77777777" w:rsidR="002546E7" w:rsidRDefault="002546E7" w:rsidP="002546E7">
      <w:pPr>
        <w:tabs>
          <w:tab w:val="center" w:pos="4680"/>
        </w:tabs>
        <w:jc w:val="both"/>
        <w:rPr>
          <w:b/>
          <w:i/>
          <w:spacing w:val="-4"/>
        </w:rPr>
      </w:pPr>
    </w:p>
    <w:p w14:paraId="62ADC4E5" w14:textId="77777777" w:rsidR="002546E7" w:rsidRPr="00C761BC" w:rsidRDefault="002546E7" w:rsidP="002546E7">
      <w:pPr>
        <w:tabs>
          <w:tab w:val="center" w:pos="4680"/>
        </w:tabs>
        <w:jc w:val="both"/>
        <w:rPr>
          <w:b/>
          <w:caps/>
          <w:spacing w:val="-4"/>
        </w:rPr>
      </w:pPr>
      <w:r w:rsidRPr="00C761BC">
        <w:rPr>
          <w:b/>
          <w:caps/>
          <w:spacing w:val="-4"/>
        </w:rPr>
        <w:t>Fair Lending Policies and Procedures</w:t>
      </w:r>
    </w:p>
    <w:p w14:paraId="3F67615B" w14:textId="77777777" w:rsidR="002546E7" w:rsidRDefault="002546E7" w:rsidP="002546E7">
      <w:pPr>
        <w:tabs>
          <w:tab w:val="center" w:pos="4680"/>
        </w:tabs>
        <w:jc w:val="both"/>
        <w:rPr>
          <w:b/>
          <w:spacing w:val="-4"/>
        </w:rPr>
      </w:pPr>
    </w:p>
    <w:p w14:paraId="7C0EA391" w14:textId="77777777" w:rsidR="002546E7" w:rsidRPr="003E194F" w:rsidRDefault="002546E7" w:rsidP="002546E7">
      <w:pPr>
        <w:tabs>
          <w:tab w:val="center" w:pos="4680"/>
        </w:tabs>
        <w:rPr>
          <w:b/>
          <w:spacing w:val="-4"/>
          <w:sz w:val="28"/>
        </w:rPr>
      </w:pPr>
      <w:r w:rsidRPr="003E194F">
        <w:rPr>
          <w:szCs w:val="23"/>
        </w:rPr>
        <w:t>The Division of Banks provides comments regarding the bank’s fair lending policies and procedures pursuant to Regulatory Bulletin 1.3-106, the Division’s Community Reinvestment and Fair Lending Policy.  Based upon the review of the bank’s public comment file and its performance relative to fair lending policies and practices, examiners did not identify any violations of anti-discrimination laws and regulations.</w:t>
      </w:r>
    </w:p>
    <w:p w14:paraId="58A5E4C4" w14:textId="77777777" w:rsidR="002546E7" w:rsidRDefault="002546E7" w:rsidP="00D645D2">
      <w:pPr>
        <w:pStyle w:val="Heading1"/>
        <w:jc w:val="left"/>
      </w:pPr>
    </w:p>
    <w:p w14:paraId="54B3EED6" w14:textId="77777777" w:rsidR="005A741D" w:rsidRDefault="005A741D" w:rsidP="00D645D2">
      <w:pPr>
        <w:tabs>
          <w:tab w:val="center" w:pos="4680"/>
        </w:tabs>
        <w:jc w:val="both"/>
        <w:rPr>
          <w:b/>
          <w:spacing w:val="-4"/>
        </w:rPr>
      </w:pPr>
    </w:p>
    <w:p w14:paraId="6F460D0A" w14:textId="148BDD42" w:rsidR="00D645D2" w:rsidRPr="0041358C" w:rsidRDefault="00D645D2" w:rsidP="00D645D2">
      <w:pPr>
        <w:tabs>
          <w:tab w:val="center" w:pos="4680"/>
        </w:tabs>
        <w:jc w:val="both"/>
        <w:rPr>
          <w:b/>
          <w:spacing w:val="-4"/>
        </w:rPr>
      </w:pPr>
      <w:r w:rsidRPr="0041358C">
        <w:rPr>
          <w:b/>
          <w:spacing w:val="-4"/>
        </w:rPr>
        <w:lastRenderedPageBreak/>
        <w:t>MINORITY APPLICATION FLOW</w:t>
      </w:r>
    </w:p>
    <w:p w14:paraId="6D6F30AA" w14:textId="77777777" w:rsidR="00D645D2" w:rsidRPr="0041358C" w:rsidRDefault="00D645D2" w:rsidP="00D645D2">
      <w:pPr>
        <w:tabs>
          <w:tab w:val="center" w:pos="4680"/>
        </w:tabs>
        <w:jc w:val="both"/>
        <w:rPr>
          <w:b/>
          <w:spacing w:val="-4"/>
        </w:rPr>
      </w:pPr>
    </w:p>
    <w:p w14:paraId="5DAAE9A9" w14:textId="77777777" w:rsidR="00D645D2" w:rsidRPr="0041358C" w:rsidRDefault="00D645D2" w:rsidP="00D645D2">
      <w:pPr>
        <w:autoSpaceDE w:val="0"/>
        <w:autoSpaceDN w:val="0"/>
        <w:adjustRightInd w:val="0"/>
        <w:rPr>
          <w:color w:val="000000"/>
        </w:rPr>
      </w:pPr>
      <w:r w:rsidRPr="0041358C">
        <w:rPr>
          <w:color w:val="000000"/>
        </w:rPr>
        <w:t>The bank’s HMDA LARs for 2018 and 2019 were reviewed to determine if the application flow from the different racial groups within the bank’s assessment area was reflective of the assessment area’s demographics.</w:t>
      </w:r>
    </w:p>
    <w:p w14:paraId="00D2D4A3" w14:textId="77777777" w:rsidR="00D645D2" w:rsidRPr="001919A5" w:rsidRDefault="00D645D2" w:rsidP="00D645D2">
      <w:pPr>
        <w:autoSpaceDE w:val="0"/>
        <w:autoSpaceDN w:val="0"/>
        <w:adjustRightInd w:val="0"/>
        <w:rPr>
          <w:color w:val="000000"/>
          <w:highlight w:val="yellow"/>
        </w:rPr>
      </w:pPr>
    </w:p>
    <w:p w14:paraId="33341555" w14:textId="77777777" w:rsidR="00D645D2" w:rsidRPr="000D57C1" w:rsidRDefault="00D645D2" w:rsidP="00D645D2">
      <w:pPr>
        <w:autoSpaceDE w:val="0"/>
        <w:autoSpaceDN w:val="0"/>
        <w:adjustRightInd w:val="0"/>
        <w:rPr>
          <w:color w:val="000000"/>
        </w:rPr>
      </w:pPr>
      <w:r w:rsidRPr="000D57C1">
        <w:rPr>
          <w:color w:val="000000"/>
        </w:rPr>
        <w:t xml:space="preserve">According to the 2015 ACS Census Data, the </w:t>
      </w:r>
      <w:r w:rsidR="004A494A">
        <w:rPr>
          <w:color w:val="000000"/>
        </w:rPr>
        <w:t>b</w:t>
      </w:r>
      <w:r w:rsidRPr="000D57C1">
        <w:rPr>
          <w:color w:val="000000"/>
        </w:rPr>
        <w:t>ank’s assessment area contained a total population of 177,312 individuals</w:t>
      </w:r>
      <w:r w:rsidR="00CA6D4C">
        <w:rPr>
          <w:color w:val="000000"/>
        </w:rPr>
        <w:t>,</w:t>
      </w:r>
      <w:r w:rsidRPr="000D57C1">
        <w:rPr>
          <w:color w:val="000000"/>
        </w:rPr>
        <w:t xml:space="preserve"> of which 12.1 percent are minorities.  The minority population represented is 1.7 percent Black/African American, 2.1 percent Asian, 0.1 percent American Indian, 6.5 percent Hispanic or Latino, and 1.7 percent </w:t>
      </w:r>
      <w:r w:rsidR="00CA6D4C">
        <w:rPr>
          <w:color w:val="000000"/>
        </w:rPr>
        <w:t>O</w:t>
      </w:r>
      <w:r w:rsidRPr="000D57C1">
        <w:rPr>
          <w:color w:val="000000"/>
        </w:rPr>
        <w:t xml:space="preserve">ther.  </w:t>
      </w:r>
    </w:p>
    <w:p w14:paraId="7023267C" w14:textId="77777777" w:rsidR="00D645D2" w:rsidRPr="000D57C1" w:rsidRDefault="00D645D2" w:rsidP="00D645D2">
      <w:pPr>
        <w:autoSpaceDE w:val="0"/>
        <w:autoSpaceDN w:val="0"/>
        <w:adjustRightInd w:val="0"/>
        <w:rPr>
          <w:color w:val="000000"/>
        </w:rPr>
      </w:pPr>
    </w:p>
    <w:p w14:paraId="0F8848C4" w14:textId="77777777" w:rsidR="00D645D2" w:rsidRPr="000D57C1" w:rsidRDefault="00D645D2" w:rsidP="00D645D2">
      <w:pPr>
        <w:autoSpaceDE w:val="0"/>
        <w:autoSpaceDN w:val="0"/>
        <w:adjustRightInd w:val="0"/>
        <w:rPr>
          <w:color w:val="000000"/>
        </w:rPr>
      </w:pPr>
      <w:r w:rsidRPr="000D57C1">
        <w:rPr>
          <w:color w:val="000000"/>
        </w:rPr>
        <w:t>The bank’s level of lending in 2019 was compared w</w:t>
      </w:r>
      <w:r w:rsidR="009019B1">
        <w:rPr>
          <w:color w:val="000000"/>
        </w:rPr>
        <w:t>ith that of the 2019 aggregate</w:t>
      </w:r>
      <w:r w:rsidRPr="000D57C1">
        <w:rPr>
          <w:color w:val="000000"/>
        </w:rPr>
        <w:t xml:space="preserve"> lending performance.  The comparison of this data assists in deriving reasonable expectations for the rate of applications the bank received from minority home mortgage loan applicants.  Refer to the table below for information on the bank’s minority application flow</w:t>
      </w:r>
      <w:r w:rsidR="00DC2DAF">
        <w:rPr>
          <w:color w:val="000000"/>
        </w:rPr>
        <w:t>,</w:t>
      </w:r>
      <w:r w:rsidRPr="000D57C1">
        <w:rPr>
          <w:color w:val="000000"/>
        </w:rPr>
        <w:t xml:space="preserve"> as well as </w:t>
      </w:r>
      <w:r w:rsidR="00DC2DAF">
        <w:rPr>
          <w:color w:val="000000"/>
        </w:rPr>
        <w:t xml:space="preserve">for </w:t>
      </w:r>
      <w:r w:rsidRPr="000D57C1">
        <w:rPr>
          <w:color w:val="000000"/>
        </w:rPr>
        <w:t>the aggregate lenders in the bank’s assessment area.</w:t>
      </w:r>
    </w:p>
    <w:p w14:paraId="11BF5AAA" w14:textId="77777777" w:rsidR="00D645D2" w:rsidRDefault="00D645D2" w:rsidP="00D645D2">
      <w:pPr>
        <w:autoSpaceDE w:val="0"/>
        <w:autoSpaceDN w:val="0"/>
        <w:adjustRightInd w:val="0"/>
      </w:pPr>
      <w:r>
        <w:rPr>
          <w:rFonts w:asciiTheme="minorHAnsi" w:eastAsiaTheme="minorHAnsi" w:hAnsiTheme="minorHAnsi" w:cstheme="minorBidi"/>
          <w:sz w:val="22"/>
          <w:szCs w:val="22"/>
          <w:highlight w:val="yellow"/>
        </w:rPr>
        <w:fldChar w:fldCharType="begin"/>
      </w:r>
      <w:r>
        <w:rPr>
          <w:highlight w:val="yellow"/>
        </w:rPr>
        <w:instrText xml:space="preserve"> LINK Excel.Sheet.12 "Book1" "Sheet1!R5C5:R25C11" \a \f 4 \h  \* MERGEFORMAT </w:instrText>
      </w:r>
      <w:r>
        <w:rPr>
          <w:rFonts w:asciiTheme="minorHAnsi" w:eastAsiaTheme="minorHAnsi" w:hAnsiTheme="minorHAnsi" w:cstheme="minorBidi"/>
          <w:sz w:val="22"/>
          <w:szCs w:val="22"/>
          <w:highlight w:val="yellow"/>
        </w:rPr>
        <w:fldChar w:fldCharType="separate"/>
      </w:r>
    </w:p>
    <w:tbl>
      <w:tblPr>
        <w:tblW w:w="9822" w:type="dxa"/>
        <w:tblLook w:val="04A0" w:firstRow="1" w:lastRow="0" w:firstColumn="1" w:lastColumn="0" w:noHBand="0" w:noVBand="1"/>
      </w:tblPr>
      <w:tblGrid>
        <w:gridCol w:w="2313"/>
        <w:gridCol w:w="1218"/>
        <w:gridCol w:w="1231"/>
        <w:gridCol w:w="1448"/>
        <w:gridCol w:w="1376"/>
        <w:gridCol w:w="785"/>
        <w:gridCol w:w="1451"/>
      </w:tblGrid>
      <w:tr w:rsidR="00D645D2" w:rsidRPr="00197DFB" w14:paraId="7F545B51" w14:textId="77777777" w:rsidTr="00DC08A6">
        <w:trPr>
          <w:trHeight w:val="172"/>
        </w:trPr>
        <w:tc>
          <w:tcPr>
            <w:tcW w:w="982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505ECA5" w14:textId="77777777" w:rsidR="00D645D2" w:rsidRPr="00197DFB" w:rsidRDefault="00D645D2" w:rsidP="00301A2E">
            <w:pPr>
              <w:jc w:val="center"/>
              <w:rPr>
                <w:b/>
                <w:bCs/>
                <w:color w:val="000000"/>
                <w:sz w:val="20"/>
                <w:szCs w:val="20"/>
              </w:rPr>
            </w:pPr>
            <w:r w:rsidRPr="00197DFB">
              <w:rPr>
                <w:b/>
                <w:bCs/>
                <w:color w:val="000000"/>
                <w:sz w:val="20"/>
                <w:szCs w:val="20"/>
              </w:rPr>
              <w:t>MINORITY APPLICATION FLOW</w:t>
            </w:r>
          </w:p>
        </w:tc>
      </w:tr>
      <w:tr w:rsidR="00D645D2" w:rsidRPr="00197DFB" w14:paraId="484C04D7" w14:textId="77777777" w:rsidTr="00DC08A6">
        <w:trPr>
          <w:trHeight w:val="230"/>
        </w:trPr>
        <w:tc>
          <w:tcPr>
            <w:tcW w:w="2313" w:type="dxa"/>
            <w:vMerge w:val="restart"/>
            <w:tcBorders>
              <w:top w:val="nil"/>
              <w:left w:val="single" w:sz="8" w:space="0" w:color="auto"/>
              <w:bottom w:val="single" w:sz="8" w:space="0" w:color="000000"/>
              <w:right w:val="single" w:sz="8" w:space="0" w:color="auto"/>
            </w:tcBorders>
            <w:shd w:val="clear" w:color="auto" w:fill="auto"/>
            <w:vAlign w:val="center"/>
            <w:hideMark/>
          </w:tcPr>
          <w:p w14:paraId="6240297C" w14:textId="77777777" w:rsidR="00D645D2" w:rsidRPr="00197DFB" w:rsidRDefault="00D645D2" w:rsidP="00301A2E">
            <w:pPr>
              <w:jc w:val="center"/>
              <w:rPr>
                <w:b/>
                <w:bCs/>
                <w:color w:val="000000"/>
                <w:sz w:val="20"/>
                <w:szCs w:val="20"/>
              </w:rPr>
            </w:pPr>
            <w:r w:rsidRPr="00197DFB">
              <w:rPr>
                <w:b/>
                <w:bCs/>
                <w:color w:val="000000"/>
                <w:sz w:val="20"/>
                <w:szCs w:val="20"/>
              </w:rPr>
              <w:t>RACE</w:t>
            </w:r>
          </w:p>
        </w:tc>
        <w:tc>
          <w:tcPr>
            <w:tcW w:w="244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846C03" w14:textId="77777777" w:rsidR="00D645D2" w:rsidRPr="00197DFB" w:rsidRDefault="00D645D2" w:rsidP="00301A2E">
            <w:pPr>
              <w:jc w:val="center"/>
              <w:rPr>
                <w:b/>
                <w:bCs/>
                <w:color w:val="000000"/>
                <w:sz w:val="20"/>
                <w:szCs w:val="20"/>
              </w:rPr>
            </w:pPr>
            <w:r w:rsidRPr="00197DFB">
              <w:rPr>
                <w:b/>
                <w:bCs/>
                <w:color w:val="000000"/>
                <w:sz w:val="20"/>
                <w:szCs w:val="20"/>
              </w:rPr>
              <w:t>Bank 2018 HMDA</w:t>
            </w:r>
          </w:p>
        </w:tc>
        <w:tc>
          <w:tcPr>
            <w:tcW w:w="1448" w:type="dxa"/>
            <w:vMerge w:val="restart"/>
            <w:tcBorders>
              <w:top w:val="nil"/>
              <w:left w:val="single" w:sz="8" w:space="0" w:color="000000"/>
              <w:bottom w:val="single" w:sz="8" w:space="0" w:color="000000"/>
              <w:right w:val="single" w:sz="8" w:space="0" w:color="auto"/>
            </w:tcBorders>
            <w:shd w:val="clear" w:color="000000" w:fill="D9D9D9"/>
            <w:vAlign w:val="center"/>
            <w:hideMark/>
          </w:tcPr>
          <w:p w14:paraId="3D30937F" w14:textId="77777777" w:rsidR="00D645D2" w:rsidRPr="00197DFB" w:rsidRDefault="00D645D2" w:rsidP="00301A2E">
            <w:pPr>
              <w:jc w:val="center"/>
              <w:rPr>
                <w:b/>
                <w:bCs/>
                <w:color w:val="000000"/>
                <w:sz w:val="20"/>
                <w:szCs w:val="20"/>
              </w:rPr>
            </w:pPr>
            <w:r w:rsidRPr="00197DFB">
              <w:rPr>
                <w:b/>
                <w:bCs/>
                <w:color w:val="000000"/>
                <w:sz w:val="20"/>
                <w:szCs w:val="20"/>
              </w:rPr>
              <w:t>2018 Aggregate Data</w:t>
            </w:r>
          </w:p>
        </w:tc>
        <w:tc>
          <w:tcPr>
            <w:tcW w:w="216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B9731E7" w14:textId="77777777" w:rsidR="00D645D2" w:rsidRPr="00197DFB" w:rsidRDefault="00D645D2" w:rsidP="00301A2E">
            <w:pPr>
              <w:jc w:val="center"/>
              <w:rPr>
                <w:b/>
                <w:bCs/>
                <w:color w:val="000000"/>
                <w:sz w:val="20"/>
                <w:szCs w:val="20"/>
              </w:rPr>
            </w:pPr>
            <w:r w:rsidRPr="00197DFB">
              <w:rPr>
                <w:b/>
                <w:bCs/>
                <w:color w:val="000000"/>
                <w:sz w:val="20"/>
                <w:szCs w:val="20"/>
              </w:rPr>
              <w:t>Bank 2</w:t>
            </w:r>
            <w:r w:rsidR="004A494A">
              <w:rPr>
                <w:b/>
                <w:bCs/>
                <w:color w:val="000000"/>
                <w:sz w:val="20"/>
                <w:szCs w:val="20"/>
              </w:rPr>
              <w:t>019</w:t>
            </w:r>
            <w:r w:rsidRPr="00197DFB">
              <w:rPr>
                <w:b/>
                <w:bCs/>
                <w:color w:val="000000"/>
                <w:sz w:val="20"/>
                <w:szCs w:val="20"/>
              </w:rPr>
              <w:t xml:space="preserve"> HMDA</w:t>
            </w:r>
          </w:p>
        </w:tc>
        <w:tc>
          <w:tcPr>
            <w:tcW w:w="1449" w:type="dxa"/>
            <w:vMerge w:val="restart"/>
            <w:tcBorders>
              <w:top w:val="nil"/>
              <w:left w:val="single" w:sz="8" w:space="0" w:color="000000"/>
              <w:bottom w:val="single" w:sz="8" w:space="0" w:color="000000"/>
              <w:right w:val="single" w:sz="8" w:space="0" w:color="auto"/>
            </w:tcBorders>
            <w:shd w:val="clear" w:color="000000" w:fill="D9D9D9"/>
            <w:vAlign w:val="center"/>
            <w:hideMark/>
          </w:tcPr>
          <w:p w14:paraId="42621853" w14:textId="77777777" w:rsidR="00D645D2" w:rsidRPr="00197DFB" w:rsidRDefault="00D645D2" w:rsidP="00301A2E">
            <w:pPr>
              <w:jc w:val="center"/>
              <w:rPr>
                <w:b/>
                <w:bCs/>
                <w:color w:val="000000"/>
                <w:sz w:val="20"/>
                <w:szCs w:val="20"/>
              </w:rPr>
            </w:pPr>
            <w:r>
              <w:rPr>
                <w:b/>
                <w:bCs/>
                <w:color w:val="000000"/>
                <w:sz w:val="20"/>
                <w:szCs w:val="20"/>
              </w:rPr>
              <w:t>2019</w:t>
            </w:r>
            <w:r w:rsidRPr="00197DFB">
              <w:rPr>
                <w:b/>
                <w:bCs/>
                <w:color w:val="000000"/>
                <w:sz w:val="20"/>
                <w:szCs w:val="20"/>
              </w:rPr>
              <w:t xml:space="preserve"> Aggregate Data</w:t>
            </w:r>
          </w:p>
        </w:tc>
      </w:tr>
      <w:tr w:rsidR="00D645D2" w:rsidRPr="00197DFB" w14:paraId="32E81FEC" w14:textId="77777777" w:rsidTr="00DC08A6">
        <w:trPr>
          <w:trHeight w:val="276"/>
        </w:trPr>
        <w:tc>
          <w:tcPr>
            <w:tcW w:w="2313" w:type="dxa"/>
            <w:vMerge/>
            <w:tcBorders>
              <w:top w:val="nil"/>
              <w:left w:val="single" w:sz="8" w:space="0" w:color="auto"/>
              <w:bottom w:val="single" w:sz="8" w:space="0" w:color="000000"/>
              <w:right w:val="single" w:sz="8" w:space="0" w:color="auto"/>
            </w:tcBorders>
            <w:vAlign w:val="center"/>
            <w:hideMark/>
          </w:tcPr>
          <w:p w14:paraId="27627A08" w14:textId="77777777" w:rsidR="00D645D2" w:rsidRPr="00197DFB" w:rsidRDefault="00D645D2" w:rsidP="00301A2E">
            <w:pPr>
              <w:rPr>
                <w:b/>
                <w:bCs/>
                <w:color w:val="000000"/>
                <w:sz w:val="20"/>
                <w:szCs w:val="20"/>
              </w:rPr>
            </w:pPr>
          </w:p>
        </w:tc>
        <w:tc>
          <w:tcPr>
            <w:tcW w:w="2449" w:type="dxa"/>
            <w:gridSpan w:val="2"/>
            <w:vMerge/>
            <w:tcBorders>
              <w:top w:val="single" w:sz="8" w:space="0" w:color="auto"/>
              <w:left w:val="single" w:sz="8" w:space="0" w:color="auto"/>
              <w:bottom w:val="single" w:sz="8" w:space="0" w:color="000000"/>
              <w:right w:val="single" w:sz="8" w:space="0" w:color="000000"/>
            </w:tcBorders>
            <w:vAlign w:val="center"/>
            <w:hideMark/>
          </w:tcPr>
          <w:p w14:paraId="07F05B27" w14:textId="77777777" w:rsidR="00D645D2" w:rsidRPr="00197DFB" w:rsidRDefault="00D645D2" w:rsidP="00301A2E">
            <w:pPr>
              <w:rPr>
                <w:b/>
                <w:bCs/>
                <w:color w:val="000000"/>
                <w:sz w:val="20"/>
                <w:szCs w:val="20"/>
              </w:rPr>
            </w:pPr>
          </w:p>
        </w:tc>
        <w:tc>
          <w:tcPr>
            <w:tcW w:w="1448" w:type="dxa"/>
            <w:vMerge/>
            <w:tcBorders>
              <w:top w:val="nil"/>
              <w:left w:val="single" w:sz="8" w:space="0" w:color="000000"/>
              <w:bottom w:val="single" w:sz="8" w:space="0" w:color="000000"/>
              <w:right w:val="single" w:sz="8" w:space="0" w:color="auto"/>
            </w:tcBorders>
            <w:vAlign w:val="center"/>
            <w:hideMark/>
          </w:tcPr>
          <w:p w14:paraId="2AE59D45" w14:textId="77777777" w:rsidR="00D645D2" w:rsidRPr="00197DFB" w:rsidRDefault="00D645D2" w:rsidP="00301A2E">
            <w:pPr>
              <w:rPr>
                <w:b/>
                <w:bCs/>
                <w:color w:val="000000"/>
                <w:sz w:val="20"/>
                <w:szCs w:val="20"/>
              </w:rPr>
            </w:pPr>
          </w:p>
        </w:tc>
        <w:tc>
          <w:tcPr>
            <w:tcW w:w="2161" w:type="dxa"/>
            <w:gridSpan w:val="2"/>
            <w:vMerge/>
            <w:tcBorders>
              <w:top w:val="single" w:sz="8" w:space="0" w:color="auto"/>
              <w:left w:val="single" w:sz="8" w:space="0" w:color="auto"/>
              <w:bottom w:val="single" w:sz="8" w:space="0" w:color="000000"/>
              <w:right w:val="single" w:sz="8" w:space="0" w:color="000000"/>
            </w:tcBorders>
            <w:vAlign w:val="center"/>
            <w:hideMark/>
          </w:tcPr>
          <w:p w14:paraId="45CF1916" w14:textId="77777777" w:rsidR="00D645D2" w:rsidRPr="00197DFB" w:rsidRDefault="00D645D2" w:rsidP="00301A2E">
            <w:pPr>
              <w:rPr>
                <w:b/>
                <w:bCs/>
                <w:color w:val="000000"/>
                <w:sz w:val="20"/>
                <w:szCs w:val="20"/>
              </w:rPr>
            </w:pPr>
          </w:p>
        </w:tc>
        <w:tc>
          <w:tcPr>
            <w:tcW w:w="1449" w:type="dxa"/>
            <w:vMerge/>
            <w:tcBorders>
              <w:top w:val="nil"/>
              <w:left w:val="single" w:sz="8" w:space="0" w:color="000000"/>
              <w:bottom w:val="single" w:sz="8" w:space="0" w:color="000000"/>
              <w:right w:val="single" w:sz="8" w:space="0" w:color="auto"/>
            </w:tcBorders>
            <w:vAlign w:val="center"/>
            <w:hideMark/>
          </w:tcPr>
          <w:p w14:paraId="35024399" w14:textId="77777777" w:rsidR="00D645D2" w:rsidRPr="00197DFB" w:rsidRDefault="00D645D2" w:rsidP="00301A2E">
            <w:pPr>
              <w:rPr>
                <w:b/>
                <w:bCs/>
                <w:color w:val="000000"/>
                <w:sz w:val="20"/>
                <w:szCs w:val="20"/>
              </w:rPr>
            </w:pPr>
          </w:p>
        </w:tc>
      </w:tr>
      <w:tr w:rsidR="00D645D2" w:rsidRPr="00197DFB" w14:paraId="5A7EFA4D" w14:textId="77777777" w:rsidTr="00DC08A6">
        <w:trPr>
          <w:trHeight w:val="172"/>
        </w:trPr>
        <w:tc>
          <w:tcPr>
            <w:tcW w:w="2313" w:type="dxa"/>
            <w:vMerge/>
            <w:tcBorders>
              <w:top w:val="nil"/>
              <w:left w:val="single" w:sz="8" w:space="0" w:color="auto"/>
              <w:bottom w:val="single" w:sz="8" w:space="0" w:color="000000"/>
              <w:right w:val="single" w:sz="8" w:space="0" w:color="auto"/>
            </w:tcBorders>
            <w:vAlign w:val="center"/>
            <w:hideMark/>
          </w:tcPr>
          <w:p w14:paraId="0E1D6453" w14:textId="77777777" w:rsidR="00D645D2" w:rsidRPr="00197DFB" w:rsidRDefault="00D645D2" w:rsidP="00301A2E">
            <w:pPr>
              <w:rPr>
                <w:b/>
                <w:bCs/>
                <w:color w:val="000000"/>
                <w:sz w:val="20"/>
                <w:szCs w:val="20"/>
              </w:rPr>
            </w:pPr>
          </w:p>
        </w:tc>
        <w:tc>
          <w:tcPr>
            <w:tcW w:w="1218" w:type="dxa"/>
            <w:tcBorders>
              <w:top w:val="nil"/>
              <w:left w:val="nil"/>
              <w:bottom w:val="single" w:sz="8" w:space="0" w:color="auto"/>
              <w:right w:val="single" w:sz="8" w:space="0" w:color="auto"/>
            </w:tcBorders>
            <w:shd w:val="clear" w:color="auto" w:fill="auto"/>
            <w:vAlign w:val="center"/>
            <w:hideMark/>
          </w:tcPr>
          <w:p w14:paraId="189E717D" w14:textId="77777777" w:rsidR="00D645D2" w:rsidRPr="00197DFB" w:rsidRDefault="00D645D2" w:rsidP="00301A2E">
            <w:pPr>
              <w:jc w:val="center"/>
              <w:rPr>
                <w:color w:val="000000"/>
                <w:sz w:val="20"/>
                <w:szCs w:val="20"/>
              </w:rPr>
            </w:pPr>
            <w:r w:rsidRPr="00197DFB">
              <w:rPr>
                <w:color w:val="000000"/>
                <w:sz w:val="20"/>
                <w:szCs w:val="20"/>
              </w:rPr>
              <w:t>#</w:t>
            </w:r>
          </w:p>
        </w:tc>
        <w:tc>
          <w:tcPr>
            <w:tcW w:w="1231" w:type="dxa"/>
            <w:tcBorders>
              <w:top w:val="nil"/>
              <w:left w:val="nil"/>
              <w:bottom w:val="single" w:sz="8" w:space="0" w:color="auto"/>
              <w:right w:val="single" w:sz="8" w:space="0" w:color="auto"/>
            </w:tcBorders>
            <w:shd w:val="clear" w:color="auto" w:fill="auto"/>
            <w:vAlign w:val="center"/>
            <w:hideMark/>
          </w:tcPr>
          <w:p w14:paraId="117477C5" w14:textId="77777777" w:rsidR="00D645D2" w:rsidRPr="00197DFB" w:rsidRDefault="00D645D2" w:rsidP="00301A2E">
            <w:pPr>
              <w:jc w:val="center"/>
              <w:rPr>
                <w:color w:val="000000"/>
                <w:sz w:val="20"/>
                <w:szCs w:val="20"/>
              </w:rPr>
            </w:pPr>
            <w:r w:rsidRPr="00197DFB">
              <w:rPr>
                <w:color w:val="000000"/>
                <w:sz w:val="20"/>
                <w:szCs w:val="20"/>
              </w:rPr>
              <w:t>%</w:t>
            </w:r>
          </w:p>
        </w:tc>
        <w:tc>
          <w:tcPr>
            <w:tcW w:w="1448" w:type="dxa"/>
            <w:tcBorders>
              <w:top w:val="nil"/>
              <w:left w:val="nil"/>
              <w:bottom w:val="single" w:sz="8" w:space="0" w:color="auto"/>
              <w:right w:val="single" w:sz="8" w:space="0" w:color="auto"/>
            </w:tcBorders>
            <w:shd w:val="clear" w:color="000000" w:fill="D9D9D9"/>
            <w:vAlign w:val="center"/>
            <w:hideMark/>
          </w:tcPr>
          <w:p w14:paraId="3C236C40" w14:textId="77777777" w:rsidR="00D645D2" w:rsidRPr="00197DFB" w:rsidRDefault="00D645D2" w:rsidP="00301A2E">
            <w:pPr>
              <w:jc w:val="center"/>
              <w:rPr>
                <w:color w:val="000000"/>
                <w:sz w:val="20"/>
                <w:szCs w:val="20"/>
              </w:rPr>
            </w:pPr>
            <w:r w:rsidRPr="00197DFB">
              <w:rPr>
                <w:color w:val="000000"/>
                <w:sz w:val="20"/>
                <w:szCs w:val="20"/>
              </w:rPr>
              <w:t>%</w:t>
            </w:r>
          </w:p>
        </w:tc>
        <w:tc>
          <w:tcPr>
            <w:tcW w:w="1376" w:type="dxa"/>
            <w:tcBorders>
              <w:top w:val="nil"/>
              <w:left w:val="nil"/>
              <w:bottom w:val="single" w:sz="8" w:space="0" w:color="auto"/>
              <w:right w:val="single" w:sz="8" w:space="0" w:color="auto"/>
            </w:tcBorders>
            <w:shd w:val="clear" w:color="auto" w:fill="auto"/>
            <w:vAlign w:val="center"/>
            <w:hideMark/>
          </w:tcPr>
          <w:p w14:paraId="35FCA91E" w14:textId="77777777" w:rsidR="00D645D2" w:rsidRPr="00197DFB" w:rsidRDefault="00D645D2" w:rsidP="00301A2E">
            <w:pPr>
              <w:jc w:val="center"/>
              <w:rPr>
                <w:color w:val="000000"/>
                <w:sz w:val="20"/>
                <w:szCs w:val="20"/>
              </w:rPr>
            </w:pPr>
            <w:r w:rsidRPr="00197DFB">
              <w:rPr>
                <w:color w:val="000000"/>
                <w:sz w:val="20"/>
                <w:szCs w:val="20"/>
              </w:rPr>
              <w:t>#</w:t>
            </w:r>
          </w:p>
        </w:tc>
        <w:tc>
          <w:tcPr>
            <w:tcW w:w="784" w:type="dxa"/>
            <w:tcBorders>
              <w:top w:val="nil"/>
              <w:left w:val="nil"/>
              <w:bottom w:val="single" w:sz="8" w:space="0" w:color="auto"/>
              <w:right w:val="single" w:sz="8" w:space="0" w:color="auto"/>
            </w:tcBorders>
            <w:shd w:val="clear" w:color="auto" w:fill="auto"/>
            <w:noWrap/>
            <w:vAlign w:val="center"/>
            <w:hideMark/>
          </w:tcPr>
          <w:p w14:paraId="38F0C3E2" w14:textId="77777777" w:rsidR="00D645D2" w:rsidRPr="00197DFB" w:rsidRDefault="00D645D2" w:rsidP="00301A2E">
            <w:pPr>
              <w:jc w:val="center"/>
              <w:rPr>
                <w:color w:val="000000"/>
                <w:sz w:val="20"/>
                <w:szCs w:val="20"/>
              </w:rPr>
            </w:pPr>
            <w:r w:rsidRPr="00197DFB">
              <w:rPr>
                <w:color w:val="000000"/>
                <w:sz w:val="20"/>
                <w:szCs w:val="20"/>
              </w:rPr>
              <w:t>%</w:t>
            </w:r>
          </w:p>
        </w:tc>
        <w:tc>
          <w:tcPr>
            <w:tcW w:w="1449" w:type="dxa"/>
            <w:tcBorders>
              <w:top w:val="nil"/>
              <w:left w:val="nil"/>
              <w:bottom w:val="single" w:sz="8" w:space="0" w:color="auto"/>
              <w:right w:val="single" w:sz="8" w:space="0" w:color="auto"/>
            </w:tcBorders>
            <w:shd w:val="clear" w:color="000000" w:fill="D9D9D9"/>
            <w:vAlign w:val="center"/>
            <w:hideMark/>
          </w:tcPr>
          <w:p w14:paraId="079782BB" w14:textId="77777777" w:rsidR="00D645D2" w:rsidRPr="00197DFB" w:rsidRDefault="00D645D2" w:rsidP="00301A2E">
            <w:pPr>
              <w:jc w:val="center"/>
              <w:rPr>
                <w:color w:val="000000"/>
                <w:sz w:val="20"/>
                <w:szCs w:val="20"/>
              </w:rPr>
            </w:pPr>
            <w:r w:rsidRPr="00197DFB">
              <w:rPr>
                <w:color w:val="000000"/>
                <w:sz w:val="20"/>
                <w:szCs w:val="20"/>
              </w:rPr>
              <w:t>%</w:t>
            </w:r>
          </w:p>
        </w:tc>
      </w:tr>
      <w:tr w:rsidR="00D645D2" w:rsidRPr="00197DFB" w14:paraId="69B5BA82"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545548EB" w14:textId="77777777" w:rsidR="00D645D2" w:rsidRPr="00197DFB" w:rsidRDefault="00D645D2" w:rsidP="00301A2E">
            <w:pPr>
              <w:rPr>
                <w:color w:val="000000"/>
                <w:sz w:val="20"/>
                <w:szCs w:val="20"/>
              </w:rPr>
            </w:pPr>
            <w:r w:rsidRPr="00197DFB">
              <w:rPr>
                <w:color w:val="000000"/>
                <w:sz w:val="20"/>
                <w:szCs w:val="20"/>
              </w:rPr>
              <w:t>American Indian/ Alaska Native</w:t>
            </w:r>
          </w:p>
        </w:tc>
        <w:tc>
          <w:tcPr>
            <w:tcW w:w="1218" w:type="dxa"/>
            <w:tcBorders>
              <w:top w:val="nil"/>
              <w:left w:val="nil"/>
              <w:bottom w:val="single" w:sz="8" w:space="0" w:color="auto"/>
              <w:right w:val="single" w:sz="8" w:space="0" w:color="auto"/>
            </w:tcBorders>
            <w:shd w:val="clear" w:color="auto" w:fill="auto"/>
            <w:vAlign w:val="center"/>
            <w:hideMark/>
          </w:tcPr>
          <w:p w14:paraId="66DB3D41" w14:textId="77777777" w:rsidR="00D645D2" w:rsidRPr="00197DFB" w:rsidRDefault="00D645D2" w:rsidP="00301A2E">
            <w:pPr>
              <w:jc w:val="center"/>
              <w:rPr>
                <w:color w:val="000000"/>
                <w:sz w:val="20"/>
                <w:szCs w:val="20"/>
              </w:rPr>
            </w:pPr>
            <w:r>
              <w:rPr>
                <w:color w:val="000000"/>
                <w:sz w:val="20"/>
                <w:szCs w:val="20"/>
              </w:rPr>
              <w:t>0</w:t>
            </w:r>
          </w:p>
        </w:tc>
        <w:tc>
          <w:tcPr>
            <w:tcW w:w="1231" w:type="dxa"/>
            <w:tcBorders>
              <w:top w:val="nil"/>
              <w:left w:val="nil"/>
              <w:bottom w:val="single" w:sz="8" w:space="0" w:color="auto"/>
              <w:right w:val="single" w:sz="8" w:space="0" w:color="auto"/>
            </w:tcBorders>
            <w:shd w:val="clear" w:color="auto" w:fill="auto"/>
            <w:vAlign w:val="center"/>
            <w:hideMark/>
          </w:tcPr>
          <w:p w14:paraId="03C9D74F" w14:textId="77777777" w:rsidR="00D645D2" w:rsidRPr="00197DFB" w:rsidRDefault="00D645D2" w:rsidP="00301A2E">
            <w:pPr>
              <w:jc w:val="center"/>
              <w:rPr>
                <w:color w:val="000000"/>
                <w:sz w:val="20"/>
                <w:szCs w:val="20"/>
              </w:rPr>
            </w:pPr>
            <w:r>
              <w:rPr>
                <w:color w:val="000000"/>
                <w:sz w:val="20"/>
                <w:szCs w:val="20"/>
              </w:rPr>
              <w:t>0.0</w:t>
            </w:r>
          </w:p>
        </w:tc>
        <w:tc>
          <w:tcPr>
            <w:tcW w:w="1448" w:type="dxa"/>
            <w:tcBorders>
              <w:top w:val="nil"/>
              <w:left w:val="nil"/>
              <w:bottom w:val="single" w:sz="8" w:space="0" w:color="auto"/>
              <w:right w:val="single" w:sz="8" w:space="0" w:color="auto"/>
            </w:tcBorders>
            <w:shd w:val="clear" w:color="000000" w:fill="D9D9D9"/>
            <w:vAlign w:val="center"/>
            <w:hideMark/>
          </w:tcPr>
          <w:p w14:paraId="7155AC5E" w14:textId="77777777" w:rsidR="00D645D2" w:rsidRPr="00197DFB" w:rsidRDefault="00D645D2" w:rsidP="00301A2E">
            <w:pPr>
              <w:jc w:val="center"/>
              <w:rPr>
                <w:color w:val="000000"/>
                <w:sz w:val="20"/>
                <w:szCs w:val="20"/>
              </w:rPr>
            </w:pPr>
            <w:r>
              <w:rPr>
                <w:color w:val="000000"/>
                <w:sz w:val="20"/>
                <w:szCs w:val="20"/>
              </w:rPr>
              <w:t>0.3</w:t>
            </w:r>
          </w:p>
        </w:tc>
        <w:tc>
          <w:tcPr>
            <w:tcW w:w="1376" w:type="dxa"/>
            <w:tcBorders>
              <w:top w:val="nil"/>
              <w:left w:val="nil"/>
              <w:bottom w:val="single" w:sz="8" w:space="0" w:color="auto"/>
              <w:right w:val="single" w:sz="8" w:space="0" w:color="auto"/>
            </w:tcBorders>
            <w:shd w:val="clear" w:color="auto" w:fill="auto"/>
            <w:vAlign w:val="center"/>
            <w:hideMark/>
          </w:tcPr>
          <w:p w14:paraId="7EC2749A" w14:textId="77777777" w:rsidR="00D645D2" w:rsidRPr="00197DFB" w:rsidRDefault="00D645D2" w:rsidP="00301A2E">
            <w:pPr>
              <w:jc w:val="center"/>
              <w:rPr>
                <w:color w:val="000000"/>
                <w:sz w:val="20"/>
                <w:szCs w:val="20"/>
              </w:rPr>
            </w:pPr>
            <w:r>
              <w:rPr>
                <w:color w:val="000000"/>
                <w:sz w:val="20"/>
                <w:szCs w:val="20"/>
              </w:rPr>
              <w:t>0</w:t>
            </w:r>
          </w:p>
        </w:tc>
        <w:tc>
          <w:tcPr>
            <w:tcW w:w="784" w:type="dxa"/>
            <w:tcBorders>
              <w:top w:val="nil"/>
              <w:left w:val="nil"/>
              <w:bottom w:val="single" w:sz="8" w:space="0" w:color="auto"/>
              <w:right w:val="single" w:sz="8" w:space="0" w:color="auto"/>
            </w:tcBorders>
            <w:shd w:val="clear" w:color="auto" w:fill="auto"/>
            <w:noWrap/>
            <w:vAlign w:val="center"/>
            <w:hideMark/>
          </w:tcPr>
          <w:p w14:paraId="05002BDD" w14:textId="77777777" w:rsidR="00D645D2" w:rsidRPr="00197DFB" w:rsidRDefault="00D645D2" w:rsidP="00301A2E">
            <w:pPr>
              <w:jc w:val="center"/>
              <w:rPr>
                <w:color w:val="000000"/>
                <w:sz w:val="20"/>
                <w:szCs w:val="20"/>
              </w:rPr>
            </w:pPr>
            <w:r>
              <w:rPr>
                <w:color w:val="000000"/>
                <w:sz w:val="20"/>
                <w:szCs w:val="20"/>
              </w:rPr>
              <w:t>0.0</w:t>
            </w:r>
          </w:p>
        </w:tc>
        <w:tc>
          <w:tcPr>
            <w:tcW w:w="1449" w:type="dxa"/>
            <w:tcBorders>
              <w:top w:val="nil"/>
              <w:left w:val="nil"/>
              <w:bottom w:val="single" w:sz="8" w:space="0" w:color="auto"/>
              <w:right w:val="single" w:sz="8" w:space="0" w:color="auto"/>
            </w:tcBorders>
            <w:shd w:val="clear" w:color="000000" w:fill="D9D9D9"/>
            <w:vAlign w:val="center"/>
            <w:hideMark/>
          </w:tcPr>
          <w:p w14:paraId="729F70C2" w14:textId="77777777" w:rsidR="00D645D2" w:rsidRPr="00197DFB" w:rsidRDefault="00D645D2" w:rsidP="00301A2E">
            <w:pPr>
              <w:jc w:val="center"/>
              <w:rPr>
                <w:color w:val="000000"/>
                <w:sz w:val="20"/>
                <w:szCs w:val="20"/>
              </w:rPr>
            </w:pPr>
            <w:r>
              <w:rPr>
                <w:color w:val="000000"/>
                <w:sz w:val="20"/>
                <w:szCs w:val="20"/>
              </w:rPr>
              <w:t>0.1</w:t>
            </w:r>
          </w:p>
        </w:tc>
      </w:tr>
      <w:tr w:rsidR="00D645D2" w:rsidRPr="00197DFB" w14:paraId="5411ABF4"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7BC10D20" w14:textId="77777777" w:rsidR="00D645D2" w:rsidRPr="00197DFB" w:rsidRDefault="00D645D2" w:rsidP="00301A2E">
            <w:pPr>
              <w:rPr>
                <w:color w:val="000000"/>
                <w:sz w:val="20"/>
                <w:szCs w:val="20"/>
              </w:rPr>
            </w:pPr>
            <w:r w:rsidRPr="00197DFB">
              <w:rPr>
                <w:color w:val="000000"/>
                <w:sz w:val="20"/>
                <w:szCs w:val="20"/>
              </w:rPr>
              <w:t>Asian</w:t>
            </w:r>
          </w:p>
        </w:tc>
        <w:tc>
          <w:tcPr>
            <w:tcW w:w="1218" w:type="dxa"/>
            <w:tcBorders>
              <w:top w:val="nil"/>
              <w:left w:val="nil"/>
              <w:bottom w:val="single" w:sz="8" w:space="0" w:color="auto"/>
              <w:right w:val="single" w:sz="8" w:space="0" w:color="auto"/>
            </w:tcBorders>
            <w:shd w:val="clear" w:color="auto" w:fill="auto"/>
            <w:vAlign w:val="center"/>
            <w:hideMark/>
          </w:tcPr>
          <w:p w14:paraId="38218727" w14:textId="77777777" w:rsidR="00D645D2" w:rsidRPr="00197DFB" w:rsidRDefault="00D645D2" w:rsidP="00301A2E">
            <w:pPr>
              <w:jc w:val="center"/>
              <w:rPr>
                <w:color w:val="000000"/>
                <w:sz w:val="20"/>
                <w:szCs w:val="20"/>
              </w:rPr>
            </w:pPr>
            <w:r>
              <w:rPr>
                <w:color w:val="000000"/>
                <w:sz w:val="20"/>
                <w:szCs w:val="20"/>
              </w:rPr>
              <w:t>2</w:t>
            </w:r>
          </w:p>
        </w:tc>
        <w:tc>
          <w:tcPr>
            <w:tcW w:w="1231" w:type="dxa"/>
            <w:tcBorders>
              <w:top w:val="nil"/>
              <w:left w:val="nil"/>
              <w:bottom w:val="single" w:sz="8" w:space="0" w:color="auto"/>
              <w:right w:val="single" w:sz="8" w:space="0" w:color="auto"/>
            </w:tcBorders>
            <w:shd w:val="clear" w:color="auto" w:fill="auto"/>
            <w:vAlign w:val="center"/>
            <w:hideMark/>
          </w:tcPr>
          <w:p w14:paraId="794AA6D3" w14:textId="77777777" w:rsidR="00D645D2" w:rsidRPr="00197DFB" w:rsidRDefault="00D645D2" w:rsidP="00301A2E">
            <w:pPr>
              <w:jc w:val="center"/>
              <w:rPr>
                <w:color w:val="000000"/>
                <w:sz w:val="20"/>
                <w:szCs w:val="20"/>
              </w:rPr>
            </w:pPr>
            <w:r>
              <w:rPr>
                <w:color w:val="000000"/>
                <w:sz w:val="20"/>
                <w:szCs w:val="20"/>
              </w:rPr>
              <w:t>1.2</w:t>
            </w:r>
          </w:p>
        </w:tc>
        <w:tc>
          <w:tcPr>
            <w:tcW w:w="1448" w:type="dxa"/>
            <w:tcBorders>
              <w:top w:val="nil"/>
              <w:left w:val="nil"/>
              <w:bottom w:val="single" w:sz="8" w:space="0" w:color="auto"/>
              <w:right w:val="single" w:sz="8" w:space="0" w:color="auto"/>
            </w:tcBorders>
            <w:shd w:val="clear" w:color="000000" w:fill="D9D9D9"/>
            <w:vAlign w:val="center"/>
            <w:hideMark/>
          </w:tcPr>
          <w:p w14:paraId="3FEEEDAE" w14:textId="77777777" w:rsidR="00D645D2" w:rsidRPr="00197DFB" w:rsidRDefault="00D645D2" w:rsidP="00301A2E">
            <w:pPr>
              <w:jc w:val="center"/>
              <w:rPr>
                <w:color w:val="000000"/>
                <w:sz w:val="20"/>
                <w:szCs w:val="20"/>
              </w:rPr>
            </w:pPr>
            <w:r>
              <w:rPr>
                <w:color w:val="000000"/>
                <w:sz w:val="20"/>
                <w:szCs w:val="20"/>
              </w:rPr>
              <w:t>2.5</w:t>
            </w:r>
          </w:p>
        </w:tc>
        <w:tc>
          <w:tcPr>
            <w:tcW w:w="1376" w:type="dxa"/>
            <w:tcBorders>
              <w:top w:val="nil"/>
              <w:left w:val="nil"/>
              <w:bottom w:val="single" w:sz="8" w:space="0" w:color="auto"/>
              <w:right w:val="single" w:sz="8" w:space="0" w:color="auto"/>
            </w:tcBorders>
            <w:shd w:val="clear" w:color="auto" w:fill="auto"/>
            <w:vAlign w:val="center"/>
            <w:hideMark/>
          </w:tcPr>
          <w:p w14:paraId="4C20FDF5" w14:textId="77777777" w:rsidR="00D645D2" w:rsidRPr="00197DFB" w:rsidRDefault="00D645D2" w:rsidP="00301A2E">
            <w:pPr>
              <w:jc w:val="center"/>
              <w:rPr>
                <w:color w:val="000000"/>
                <w:sz w:val="20"/>
                <w:szCs w:val="20"/>
              </w:rPr>
            </w:pPr>
            <w:r>
              <w:rPr>
                <w:color w:val="000000"/>
                <w:sz w:val="20"/>
                <w:szCs w:val="20"/>
              </w:rPr>
              <w:t>5</w:t>
            </w:r>
          </w:p>
        </w:tc>
        <w:tc>
          <w:tcPr>
            <w:tcW w:w="784" w:type="dxa"/>
            <w:tcBorders>
              <w:top w:val="nil"/>
              <w:left w:val="nil"/>
              <w:bottom w:val="single" w:sz="8" w:space="0" w:color="auto"/>
              <w:right w:val="single" w:sz="8" w:space="0" w:color="auto"/>
            </w:tcBorders>
            <w:shd w:val="clear" w:color="auto" w:fill="auto"/>
            <w:noWrap/>
            <w:vAlign w:val="center"/>
            <w:hideMark/>
          </w:tcPr>
          <w:p w14:paraId="28BB805D" w14:textId="77777777" w:rsidR="00D645D2" w:rsidRPr="00197DFB" w:rsidRDefault="00D645D2" w:rsidP="00301A2E">
            <w:pPr>
              <w:jc w:val="center"/>
              <w:rPr>
                <w:color w:val="000000"/>
                <w:sz w:val="20"/>
                <w:szCs w:val="20"/>
              </w:rPr>
            </w:pPr>
            <w:r>
              <w:rPr>
                <w:color w:val="000000"/>
                <w:sz w:val="20"/>
                <w:szCs w:val="20"/>
              </w:rPr>
              <w:t>2.3</w:t>
            </w:r>
          </w:p>
        </w:tc>
        <w:tc>
          <w:tcPr>
            <w:tcW w:w="1449" w:type="dxa"/>
            <w:tcBorders>
              <w:top w:val="nil"/>
              <w:left w:val="nil"/>
              <w:bottom w:val="single" w:sz="8" w:space="0" w:color="auto"/>
              <w:right w:val="single" w:sz="8" w:space="0" w:color="auto"/>
            </w:tcBorders>
            <w:shd w:val="clear" w:color="000000" w:fill="D9D9D9"/>
            <w:vAlign w:val="center"/>
            <w:hideMark/>
          </w:tcPr>
          <w:p w14:paraId="3C3839E4" w14:textId="77777777" w:rsidR="00D645D2" w:rsidRPr="00197DFB" w:rsidRDefault="00D645D2" w:rsidP="00301A2E">
            <w:pPr>
              <w:jc w:val="center"/>
              <w:rPr>
                <w:color w:val="000000"/>
                <w:sz w:val="20"/>
                <w:szCs w:val="20"/>
              </w:rPr>
            </w:pPr>
            <w:r>
              <w:rPr>
                <w:color w:val="000000"/>
                <w:sz w:val="20"/>
                <w:szCs w:val="20"/>
              </w:rPr>
              <w:t>3.0</w:t>
            </w:r>
          </w:p>
        </w:tc>
      </w:tr>
      <w:tr w:rsidR="00D645D2" w:rsidRPr="00197DFB" w14:paraId="1F84637C"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44FE9E76" w14:textId="77777777" w:rsidR="00D645D2" w:rsidRPr="00197DFB" w:rsidRDefault="00D645D2" w:rsidP="00301A2E">
            <w:pPr>
              <w:rPr>
                <w:color w:val="000000"/>
                <w:sz w:val="20"/>
                <w:szCs w:val="20"/>
              </w:rPr>
            </w:pPr>
            <w:r w:rsidRPr="00197DFB">
              <w:rPr>
                <w:color w:val="000000"/>
                <w:sz w:val="20"/>
                <w:szCs w:val="20"/>
              </w:rPr>
              <w:t>Black/ African American</w:t>
            </w:r>
          </w:p>
        </w:tc>
        <w:tc>
          <w:tcPr>
            <w:tcW w:w="1218" w:type="dxa"/>
            <w:tcBorders>
              <w:top w:val="nil"/>
              <w:left w:val="nil"/>
              <w:bottom w:val="single" w:sz="8" w:space="0" w:color="auto"/>
              <w:right w:val="single" w:sz="8" w:space="0" w:color="auto"/>
            </w:tcBorders>
            <w:shd w:val="clear" w:color="auto" w:fill="auto"/>
            <w:vAlign w:val="center"/>
            <w:hideMark/>
          </w:tcPr>
          <w:p w14:paraId="7711E124" w14:textId="77777777" w:rsidR="00D645D2" w:rsidRPr="00197DFB" w:rsidRDefault="00D645D2" w:rsidP="00301A2E">
            <w:pPr>
              <w:jc w:val="center"/>
              <w:rPr>
                <w:color w:val="000000"/>
                <w:sz w:val="20"/>
                <w:szCs w:val="20"/>
              </w:rPr>
            </w:pPr>
            <w:r>
              <w:rPr>
                <w:color w:val="000000"/>
                <w:sz w:val="20"/>
                <w:szCs w:val="20"/>
              </w:rPr>
              <w:t>1</w:t>
            </w:r>
          </w:p>
        </w:tc>
        <w:tc>
          <w:tcPr>
            <w:tcW w:w="1231" w:type="dxa"/>
            <w:tcBorders>
              <w:top w:val="nil"/>
              <w:left w:val="nil"/>
              <w:bottom w:val="single" w:sz="8" w:space="0" w:color="auto"/>
              <w:right w:val="single" w:sz="8" w:space="0" w:color="auto"/>
            </w:tcBorders>
            <w:shd w:val="clear" w:color="auto" w:fill="auto"/>
            <w:vAlign w:val="center"/>
            <w:hideMark/>
          </w:tcPr>
          <w:p w14:paraId="03F71ED6" w14:textId="77777777" w:rsidR="00D645D2" w:rsidRPr="00197DFB" w:rsidRDefault="00D645D2" w:rsidP="00301A2E">
            <w:pPr>
              <w:jc w:val="center"/>
              <w:rPr>
                <w:color w:val="000000"/>
                <w:sz w:val="20"/>
                <w:szCs w:val="20"/>
              </w:rPr>
            </w:pPr>
            <w:r>
              <w:rPr>
                <w:color w:val="000000"/>
                <w:sz w:val="20"/>
                <w:szCs w:val="20"/>
              </w:rPr>
              <w:t>0.6</w:t>
            </w:r>
          </w:p>
        </w:tc>
        <w:tc>
          <w:tcPr>
            <w:tcW w:w="1448" w:type="dxa"/>
            <w:tcBorders>
              <w:top w:val="nil"/>
              <w:left w:val="nil"/>
              <w:bottom w:val="single" w:sz="8" w:space="0" w:color="auto"/>
              <w:right w:val="single" w:sz="8" w:space="0" w:color="auto"/>
            </w:tcBorders>
            <w:shd w:val="clear" w:color="000000" w:fill="D9D9D9"/>
            <w:vAlign w:val="center"/>
            <w:hideMark/>
          </w:tcPr>
          <w:p w14:paraId="3A66BBDA" w14:textId="77777777" w:rsidR="00D645D2" w:rsidRPr="00197DFB" w:rsidRDefault="00D645D2" w:rsidP="00301A2E">
            <w:pPr>
              <w:jc w:val="center"/>
              <w:rPr>
                <w:color w:val="000000"/>
                <w:sz w:val="20"/>
                <w:szCs w:val="20"/>
              </w:rPr>
            </w:pPr>
            <w:r>
              <w:rPr>
                <w:color w:val="000000"/>
                <w:sz w:val="20"/>
                <w:szCs w:val="20"/>
              </w:rPr>
              <w:t>1.6</w:t>
            </w:r>
          </w:p>
        </w:tc>
        <w:tc>
          <w:tcPr>
            <w:tcW w:w="1376" w:type="dxa"/>
            <w:tcBorders>
              <w:top w:val="nil"/>
              <w:left w:val="nil"/>
              <w:bottom w:val="single" w:sz="8" w:space="0" w:color="auto"/>
              <w:right w:val="single" w:sz="8" w:space="0" w:color="auto"/>
            </w:tcBorders>
            <w:shd w:val="clear" w:color="auto" w:fill="auto"/>
            <w:vAlign w:val="center"/>
            <w:hideMark/>
          </w:tcPr>
          <w:p w14:paraId="1241784F" w14:textId="77777777" w:rsidR="00D645D2" w:rsidRPr="00197DFB" w:rsidRDefault="00D645D2" w:rsidP="00301A2E">
            <w:pPr>
              <w:jc w:val="center"/>
              <w:rPr>
                <w:color w:val="000000"/>
                <w:sz w:val="20"/>
                <w:szCs w:val="20"/>
              </w:rPr>
            </w:pPr>
            <w:r>
              <w:rPr>
                <w:color w:val="000000"/>
                <w:sz w:val="20"/>
                <w:szCs w:val="20"/>
              </w:rPr>
              <w:t>1</w:t>
            </w:r>
          </w:p>
        </w:tc>
        <w:tc>
          <w:tcPr>
            <w:tcW w:w="784" w:type="dxa"/>
            <w:tcBorders>
              <w:top w:val="nil"/>
              <w:left w:val="nil"/>
              <w:bottom w:val="single" w:sz="8" w:space="0" w:color="auto"/>
              <w:right w:val="single" w:sz="8" w:space="0" w:color="auto"/>
            </w:tcBorders>
            <w:shd w:val="clear" w:color="auto" w:fill="auto"/>
            <w:noWrap/>
            <w:vAlign w:val="center"/>
            <w:hideMark/>
          </w:tcPr>
          <w:p w14:paraId="74B12791" w14:textId="77777777" w:rsidR="00D645D2" w:rsidRPr="00197DFB" w:rsidRDefault="00D645D2" w:rsidP="00301A2E">
            <w:pPr>
              <w:jc w:val="center"/>
              <w:rPr>
                <w:color w:val="000000"/>
                <w:sz w:val="20"/>
                <w:szCs w:val="20"/>
              </w:rPr>
            </w:pPr>
            <w:r>
              <w:rPr>
                <w:color w:val="000000"/>
                <w:sz w:val="20"/>
                <w:szCs w:val="20"/>
              </w:rPr>
              <w:t>0.5</w:t>
            </w:r>
          </w:p>
        </w:tc>
        <w:tc>
          <w:tcPr>
            <w:tcW w:w="1449" w:type="dxa"/>
            <w:tcBorders>
              <w:top w:val="nil"/>
              <w:left w:val="nil"/>
              <w:bottom w:val="single" w:sz="8" w:space="0" w:color="auto"/>
              <w:right w:val="single" w:sz="8" w:space="0" w:color="auto"/>
            </w:tcBorders>
            <w:shd w:val="clear" w:color="000000" w:fill="D9D9D9"/>
            <w:vAlign w:val="center"/>
            <w:hideMark/>
          </w:tcPr>
          <w:p w14:paraId="4B47E0B5" w14:textId="77777777" w:rsidR="00D645D2" w:rsidRPr="00197DFB" w:rsidRDefault="00D645D2" w:rsidP="00301A2E">
            <w:pPr>
              <w:jc w:val="center"/>
              <w:rPr>
                <w:color w:val="000000"/>
                <w:sz w:val="20"/>
                <w:szCs w:val="20"/>
              </w:rPr>
            </w:pPr>
            <w:r>
              <w:rPr>
                <w:color w:val="000000"/>
                <w:sz w:val="20"/>
                <w:szCs w:val="20"/>
              </w:rPr>
              <w:t>1.5</w:t>
            </w:r>
          </w:p>
        </w:tc>
      </w:tr>
      <w:tr w:rsidR="00D645D2" w:rsidRPr="00197DFB" w14:paraId="099DDA56"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34E95CD2" w14:textId="77777777" w:rsidR="00D645D2" w:rsidRPr="00197DFB" w:rsidRDefault="00D645D2" w:rsidP="00301A2E">
            <w:pPr>
              <w:rPr>
                <w:color w:val="000000"/>
                <w:sz w:val="20"/>
                <w:szCs w:val="20"/>
              </w:rPr>
            </w:pPr>
            <w:r w:rsidRPr="00197DFB">
              <w:rPr>
                <w:color w:val="000000"/>
                <w:sz w:val="20"/>
                <w:szCs w:val="20"/>
              </w:rPr>
              <w:t>Hawaiian/Pacific Islander</w:t>
            </w:r>
          </w:p>
        </w:tc>
        <w:tc>
          <w:tcPr>
            <w:tcW w:w="1218" w:type="dxa"/>
            <w:tcBorders>
              <w:top w:val="nil"/>
              <w:left w:val="nil"/>
              <w:bottom w:val="single" w:sz="8" w:space="0" w:color="auto"/>
              <w:right w:val="single" w:sz="8" w:space="0" w:color="auto"/>
            </w:tcBorders>
            <w:shd w:val="clear" w:color="auto" w:fill="auto"/>
            <w:vAlign w:val="center"/>
            <w:hideMark/>
          </w:tcPr>
          <w:p w14:paraId="779AB6C8" w14:textId="77777777" w:rsidR="00D645D2" w:rsidRPr="00197DFB" w:rsidRDefault="00D645D2" w:rsidP="00301A2E">
            <w:pPr>
              <w:jc w:val="center"/>
              <w:rPr>
                <w:color w:val="000000"/>
                <w:sz w:val="20"/>
                <w:szCs w:val="20"/>
              </w:rPr>
            </w:pPr>
            <w:r>
              <w:rPr>
                <w:color w:val="000000"/>
                <w:sz w:val="20"/>
                <w:szCs w:val="20"/>
              </w:rPr>
              <w:t>0</w:t>
            </w:r>
          </w:p>
        </w:tc>
        <w:tc>
          <w:tcPr>
            <w:tcW w:w="1231" w:type="dxa"/>
            <w:tcBorders>
              <w:top w:val="nil"/>
              <w:left w:val="nil"/>
              <w:bottom w:val="single" w:sz="8" w:space="0" w:color="auto"/>
              <w:right w:val="single" w:sz="8" w:space="0" w:color="auto"/>
            </w:tcBorders>
            <w:shd w:val="clear" w:color="auto" w:fill="auto"/>
            <w:vAlign w:val="center"/>
            <w:hideMark/>
          </w:tcPr>
          <w:p w14:paraId="05631657" w14:textId="77777777" w:rsidR="00D645D2" w:rsidRPr="00197DFB" w:rsidRDefault="00D645D2" w:rsidP="00301A2E">
            <w:pPr>
              <w:jc w:val="center"/>
              <w:rPr>
                <w:color w:val="000000"/>
                <w:sz w:val="20"/>
                <w:szCs w:val="20"/>
              </w:rPr>
            </w:pPr>
            <w:r>
              <w:rPr>
                <w:color w:val="000000"/>
                <w:sz w:val="20"/>
                <w:szCs w:val="20"/>
              </w:rPr>
              <w:t>0.0</w:t>
            </w:r>
          </w:p>
        </w:tc>
        <w:tc>
          <w:tcPr>
            <w:tcW w:w="1448" w:type="dxa"/>
            <w:tcBorders>
              <w:top w:val="nil"/>
              <w:left w:val="nil"/>
              <w:bottom w:val="single" w:sz="8" w:space="0" w:color="auto"/>
              <w:right w:val="single" w:sz="8" w:space="0" w:color="auto"/>
            </w:tcBorders>
            <w:shd w:val="clear" w:color="000000" w:fill="D9D9D9"/>
            <w:vAlign w:val="center"/>
            <w:hideMark/>
          </w:tcPr>
          <w:p w14:paraId="455CA880" w14:textId="77777777" w:rsidR="00D645D2" w:rsidRPr="00197DFB" w:rsidRDefault="00D645D2" w:rsidP="00301A2E">
            <w:pPr>
              <w:jc w:val="center"/>
              <w:rPr>
                <w:color w:val="000000"/>
                <w:sz w:val="20"/>
                <w:szCs w:val="20"/>
              </w:rPr>
            </w:pPr>
            <w:r>
              <w:rPr>
                <w:color w:val="000000"/>
                <w:sz w:val="20"/>
                <w:szCs w:val="20"/>
              </w:rPr>
              <w:t>0.0</w:t>
            </w:r>
          </w:p>
        </w:tc>
        <w:tc>
          <w:tcPr>
            <w:tcW w:w="1376" w:type="dxa"/>
            <w:tcBorders>
              <w:top w:val="nil"/>
              <w:left w:val="nil"/>
              <w:bottom w:val="single" w:sz="8" w:space="0" w:color="auto"/>
              <w:right w:val="single" w:sz="8" w:space="0" w:color="auto"/>
            </w:tcBorders>
            <w:shd w:val="clear" w:color="auto" w:fill="auto"/>
            <w:vAlign w:val="center"/>
            <w:hideMark/>
          </w:tcPr>
          <w:p w14:paraId="0EB90660" w14:textId="77777777" w:rsidR="00D645D2" w:rsidRPr="00197DFB" w:rsidRDefault="00D645D2" w:rsidP="00301A2E">
            <w:pPr>
              <w:jc w:val="center"/>
              <w:rPr>
                <w:color w:val="000000"/>
                <w:sz w:val="20"/>
                <w:szCs w:val="20"/>
              </w:rPr>
            </w:pPr>
            <w:r>
              <w:rPr>
                <w:color w:val="000000"/>
                <w:sz w:val="20"/>
                <w:szCs w:val="20"/>
              </w:rPr>
              <w:t>0</w:t>
            </w:r>
          </w:p>
        </w:tc>
        <w:tc>
          <w:tcPr>
            <w:tcW w:w="784" w:type="dxa"/>
            <w:tcBorders>
              <w:top w:val="nil"/>
              <w:left w:val="nil"/>
              <w:bottom w:val="single" w:sz="8" w:space="0" w:color="auto"/>
              <w:right w:val="single" w:sz="8" w:space="0" w:color="auto"/>
            </w:tcBorders>
            <w:shd w:val="clear" w:color="auto" w:fill="auto"/>
            <w:noWrap/>
            <w:vAlign w:val="center"/>
            <w:hideMark/>
          </w:tcPr>
          <w:p w14:paraId="6B365C7A" w14:textId="77777777" w:rsidR="00D645D2" w:rsidRPr="00197DFB" w:rsidRDefault="00D645D2" w:rsidP="00301A2E">
            <w:pPr>
              <w:jc w:val="center"/>
              <w:rPr>
                <w:color w:val="000000"/>
                <w:sz w:val="20"/>
                <w:szCs w:val="20"/>
              </w:rPr>
            </w:pPr>
            <w:r>
              <w:rPr>
                <w:color w:val="000000"/>
                <w:sz w:val="20"/>
                <w:szCs w:val="20"/>
              </w:rPr>
              <w:t>0.0</w:t>
            </w:r>
          </w:p>
        </w:tc>
        <w:tc>
          <w:tcPr>
            <w:tcW w:w="1449" w:type="dxa"/>
            <w:tcBorders>
              <w:top w:val="nil"/>
              <w:left w:val="nil"/>
              <w:bottom w:val="single" w:sz="8" w:space="0" w:color="auto"/>
              <w:right w:val="single" w:sz="8" w:space="0" w:color="auto"/>
            </w:tcBorders>
            <w:shd w:val="clear" w:color="000000" w:fill="D9D9D9"/>
            <w:vAlign w:val="center"/>
            <w:hideMark/>
          </w:tcPr>
          <w:p w14:paraId="1F8698BA" w14:textId="77777777" w:rsidR="00D645D2" w:rsidRPr="00197DFB" w:rsidRDefault="00D645D2" w:rsidP="00301A2E">
            <w:pPr>
              <w:jc w:val="center"/>
              <w:rPr>
                <w:color w:val="000000"/>
                <w:sz w:val="20"/>
                <w:szCs w:val="20"/>
              </w:rPr>
            </w:pPr>
            <w:r>
              <w:rPr>
                <w:color w:val="000000"/>
                <w:sz w:val="20"/>
                <w:szCs w:val="20"/>
              </w:rPr>
              <w:t>0.2</w:t>
            </w:r>
          </w:p>
        </w:tc>
      </w:tr>
      <w:tr w:rsidR="00D645D2" w:rsidRPr="00197DFB" w14:paraId="12CCB5BB"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07CDC2A7" w14:textId="77777777" w:rsidR="00D645D2" w:rsidRPr="00197DFB" w:rsidRDefault="00D645D2" w:rsidP="00301A2E">
            <w:pPr>
              <w:rPr>
                <w:color w:val="000000"/>
                <w:sz w:val="20"/>
                <w:szCs w:val="20"/>
              </w:rPr>
            </w:pPr>
            <w:r w:rsidRPr="00197DFB">
              <w:rPr>
                <w:color w:val="000000"/>
                <w:sz w:val="20"/>
                <w:szCs w:val="20"/>
              </w:rPr>
              <w:t>2 or more Minority</w:t>
            </w:r>
          </w:p>
        </w:tc>
        <w:tc>
          <w:tcPr>
            <w:tcW w:w="1218" w:type="dxa"/>
            <w:tcBorders>
              <w:top w:val="nil"/>
              <w:left w:val="nil"/>
              <w:bottom w:val="single" w:sz="8" w:space="0" w:color="auto"/>
              <w:right w:val="single" w:sz="8" w:space="0" w:color="auto"/>
            </w:tcBorders>
            <w:shd w:val="clear" w:color="auto" w:fill="auto"/>
            <w:vAlign w:val="center"/>
            <w:hideMark/>
          </w:tcPr>
          <w:p w14:paraId="7BB136FD" w14:textId="77777777" w:rsidR="00D645D2" w:rsidRPr="00197DFB" w:rsidRDefault="00D645D2" w:rsidP="00301A2E">
            <w:pPr>
              <w:jc w:val="center"/>
              <w:rPr>
                <w:color w:val="000000"/>
                <w:sz w:val="20"/>
                <w:szCs w:val="20"/>
              </w:rPr>
            </w:pPr>
            <w:r>
              <w:rPr>
                <w:color w:val="000000"/>
                <w:sz w:val="20"/>
                <w:szCs w:val="20"/>
              </w:rPr>
              <w:t>0</w:t>
            </w:r>
          </w:p>
        </w:tc>
        <w:tc>
          <w:tcPr>
            <w:tcW w:w="1231" w:type="dxa"/>
            <w:tcBorders>
              <w:top w:val="nil"/>
              <w:left w:val="nil"/>
              <w:bottom w:val="single" w:sz="8" w:space="0" w:color="auto"/>
              <w:right w:val="single" w:sz="8" w:space="0" w:color="auto"/>
            </w:tcBorders>
            <w:shd w:val="clear" w:color="auto" w:fill="auto"/>
            <w:vAlign w:val="center"/>
            <w:hideMark/>
          </w:tcPr>
          <w:p w14:paraId="58977C33" w14:textId="77777777" w:rsidR="00D645D2" w:rsidRPr="00197DFB" w:rsidRDefault="00D645D2" w:rsidP="00301A2E">
            <w:pPr>
              <w:jc w:val="center"/>
              <w:rPr>
                <w:color w:val="000000"/>
                <w:sz w:val="20"/>
                <w:szCs w:val="20"/>
              </w:rPr>
            </w:pPr>
            <w:r>
              <w:rPr>
                <w:color w:val="000000"/>
                <w:sz w:val="20"/>
                <w:szCs w:val="20"/>
              </w:rPr>
              <w:t>0.0</w:t>
            </w:r>
          </w:p>
        </w:tc>
        <w:tc>
          <w:tcPr>
            <w:tcW w:w="1448" w:type="dxa"/>
            <w:tcBorders>
              <w:top w:val="nil"/>
              <w:left w:val="nil"/>
              <w:bottom w:val="single" w:sz="8" w:space="0" w:color="auto"/>
              <w:right w:val="single" w:sz="8" w:space="0" w:color="auto"/>
            </w:tcBorders>
            <w:shd w:val="clear" w:color="000000" w:fill="D9D9D9"/>
            <w:vAlign w:val="center"/>
            <w:hideMark/>
          </w:tcPr>
          <w:p w14:paraId="468486C5" w14:textId="77777777" w:rsidR="00D645D2" w:rsidRPr="00197DFB" w:rsidRDefault="00D645D2" w:rsidP="00301A2E">
            <w:pPr>
              <w:jc w:val="center"/>
              <w:rPr>
                <w:color w:val="000000"/>
                <w:sz w:val="20"/>
                <w:szCs w:val="20"/>
              </w:rPr>
            </w:pPr>
            <w:r>
              <w:rPr>
                <w:color w:val="000000"/>
                <w:sz w:val="20"/>
                <w:szCs w:val="20"/>
              </w:rPr>
              <w:t>0.1</w:t>
            </w:r>
          </w:p>
        </w:tc>
        <w:tc>
          <w:tcPr>
            <w:tcW w:w="1376" w:type="dxa"/>
            <w:tcBorders>
              <w:top w:val="nil"/>
              <w:left w:val="nil"/>
              <w:bottom w:val="single" w:sz="8" w:space="0" w:color="auto"/>
              <w:right w:val="single" w:sz="8" w:space="0" w:color="auto"/>
            </w:tcBorders>
            <w:shd w:val="clear" w:color="auto" w:fill="auto"/>
            <w:vAlign w:val="center"/>
            <w:hideMark/>
          </w:tcPr>
          <w:p w14:paraId="65331007" w14:textId="77777777" w:rsidR="00D645D2" w:rsidRPr="00197DFB" w:rsidRDefault="00D645D2" w:rsidP="00301A2E">
            <w:pPr>
              <w:jc w:val="center"/>
              <w:rPr>
                <w:color w:val="000000"/>
                <w:sz w:val="20"/>
                <w:szCs w:val="20"/>
              </w:rPr>
            </w:pPr>
            <w:r>
              <w:rPr>
                <w:color w:val="000000"/>
                <w:sz w:val="20"/>
                <w:szCs w:val="20"/>
              </w:rPr>
              <w:t>0</w:t>
            </w:r>
          </w:p>
        </w:tc>
        <w:tc>
          <w:tcPr>
            <w:tcW w:w="784" w:type="dxa"/>
            <w:tcBorders>
              <w:top w:val="nil"/>
              <w:left w:val="nil"/>
              <w:bottom w:val="single" w:sz="8" w:space="0" w:color="auto"/>
              <w:right w:val="single" w:sz="8" w:space="0" w:color="auto"/>
            </w:tcBorders>
            <w:shd w:val="clear" w:color="auto" w:fill="auto"/>
            <w:noWrap/>
            <w:vAlign w:val="center"/>
            <w:hideMark/>
          </w:tcPr>
          <w:p w14:paraId="72FABBED" w14:textId="77777777" w:rsidR="00D645D2" w:rsidRPr="00197DFB" w:rsidRDefault="00D645D2" w:rsidP="00301A2E">
            <w:pPr>
              <w:jc w:val="center"/>
              <w:rPr>
                <w:color w:val="000000"/>
                <w:sz w:val="20"/>
                <w:szCs w:val="20"/>
              </w:rPr>
            </w:pPr>
            <w:r>
              <w:rPr>
                <w:color w:val="000000"/>
                <w:sz w:val="20"/>
                <w:szCs w:val="20"/>
              </w:rPr>
              <w:t>0.0</w:t>
            </w:r>
          </w:p>
        </w:tc>
        <w:tc>
          <w:tcPr>
            <w:tcW w:w="1449" w:type="dxa"/>
            <w:tcBorders>
              <w:top w:val="nil"/>
              <w:left w:val="nil"/>
              <w:bottom w:val="single" w:sz="8" w:space="0" w:color="auto"/>
              <w:right w:val="single" w:sz="8" w:space="0" w:color="auto"/>
            </w:tcBorders>
            <w:shd w:val="clear" w:color="000000" w:fill="D9D9D9"/>
            <w:vAlign w:val="center"/>
            <w:hideMark/>
          </w:tcPr>
          <w:p w14:paraId="180855B5" w14:textId="77777777" w:rsidR="00D645D2" w:rsidRPr="00197DFB" w:rsidRDefault="00D645D2" w:rsidP="00301A2E">
            <w:pPr>
              <w:jc w:val="center"/>
              <w:rPr>
                <w:color w:val="000000"/>
                <w:sz w:val="20"/>
                <w:szCs w:val="20"/>
              </w:rPr>
            </w:pPr>
            <w:r>
              <w:rPr>
                <w:color w:val="000000"/>
                <w:sz w:val="20"/>
                <w:szCs w:val="20"/>
              </w:rPr>
              <w:t>0.1</w:t>
            </w:r>
          </w:p>
        </w:tc>
      </w:tr>
      <w:tr w:rsidR="00D645D2" w:rsidRPr="00197DFB" w14:paraId="2D9ED97D"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52648A85" w14:textId="77777777" w:rsidR="00D645D2" w:rsidRPr="00197DFB" w:rsidRDefault="00D645D2" w:rsidP="00301A2E">
            <w:pPr>
              <w:rPr>
                <w:color w:val="000000"/>
                <w:sz w:val="20"/>
                <w:szCs w:val="20"/>
              </w:rPr>
            </w:pPr>
            <w:r w:rsidRPr="00197DFB">
              <w:rPr>
                <w:color w:val="000000"/>
                <w:sz w:val="20"/>
                <w:szCs w:val="20"/>
              </w:rPr>
              <w:t>Joint Race (White/Minority)</w:t>
            </w:r>
          </w:p>
        </w:tc>
        <w:tc>
          <w:tcPr>
            <w:tcW w:w="1218" w:type="dxa"/>
            <w:tcBorders>
              <w:top w:val="nil"/>
              <w:left w:val="nil"/>
              <w:bottom w:val="nil"/>
              <w:right w:val="single" w:sz="8" w:space="0" w:color="auto"/>
            </w:tcBorders>
            <w:shd w:val="clear" w:color="auto" w:fill="auto"/>
            <w:vAlign w:val="center"/>
            <w:hideMark/>
          </w:tcPr>
          <w:p w14:paraId="7622E402" w14:textId="77777777" w:rsidR="00D645D2" w:rsidRPr="00197DFB" w:rsidRDefault="00D645D2" w:rsidP="00301A2E">
            <w:pPr>
              <w:jc w:val="center"/>
              <w:rPr>
                <w:color w:val="000000"/>
                <w:sz w:val="20"/>
                <w:szCs w:val="20"/>
              </w:rPr>
            </w:pPr>
            <w:r>
              <w:rPr>
                <w:color w:val="000000"/>
                <w:sz w:val="20"/>
                <w:szCs w:val="20"/>
              </w:rPr>
              <w:t>3</w:t>
            </w:r>
          </w:p>
        </w:tc>
        <w:tc>
          <w:tcPr>
            <w:tcW w:w="1231" w:type="dxa"/>
            <w:tcBorders>
              <w:top w:val="nil"/>
              <w:left w:val="nil"/>
              <w:bottom w:val="nil"/>
              <w:right w:val="single" w:sz="8" w:space="0" w:color="auto"/>
            </w:tcBorders>
            <w:shd w:val="clear" w:color="auto" w:fill="auto"/>
            <w:vAlign w:val="center"/>
            <w:hideMark/>
          </w:tcPr>
          <w:p w14:paraId="33921CCF" w14:textId="77777777" w:rsidR="00D645D2" w:rsidRPr="00197DFB" w:rsidRDefault="00D645D2" w:rsidP="00301A2E">
            <w:pPr>
              <w:jc w:val="center"/>
              <w:rPr>
                <w:color w:val="000000"/>
                <w:sz w:val="20"/>
                <w:szCs w:val="20"/>
              </w:rPr>
            </w:pPr>
            <w:r>
              <w:rPr>
                <w:color w:val="000000"/>
                <w:sz w:val="20"/>
                <w:szCs w:val="20"/>
              </w:rPr>
              <w:t>1.7</w:t>
            </w:r>
          </w:p>
        </w:tc>
        <w:tc>
          <w:tcPr>
            <w:tcW w:w="1448" w:type="dxa"/>
            <w:tcBorders>
              <w:top w:val="nil"/>
              <w:left w:val="nil"/>
              <w:bottom w:val="nil"/>
              <w:right w:val="single" w:sz="8" w:space="0" w:color="auto"/>
            </w:tcBorders>
            <w:shd w:val="clear" w:color="000000" w:fill="D9D9D9"/>
            <w:vAlign w:val="center"/>
            <w:hideMark/>
          </w:tcPr>
          <w:p w14:paraId="07680340" w14:textId="77777777" w:rsidR="00D645D2" w:rsidRPr="00197DFB" w:rsidRDefault="00D645D2" w:rsidP="00301A2E">
            <w:pPr>
              <w:jc w:val="center"/>
              <w:rPr>
                <w:color w:val="000000"/>
                <w:sz w:val="20"/>
                <w:szCs w:val="20"/>
              </w:rPr>
            </w:pPr>
            <w:r>
              <w:rPr>
                <w:color w:val="000000"/>
                <w:sz w:val="20"/>
                <w:szCs w:val="20"/>
              </w:rPr>
              <w:t>1.1</w:t>
            </w:r>
          </w:p>
        </w:tc>
        <w:tc>
          <w:tcPr>
            <w:tcW w:w="1376" w:type="dxa"/>
            <w:tcBorders>
              <w:top w:val="nil"/>
              <w:left w:val="nil"/>
              <w:bottom w:val="nil"/>
              <w:right w:val="single" w:sz="8" w:space="0" w:color="auto"/>
            </w:tcBorders>
            <w:shd w:val="clear" w:color="auto" w:fill="auto"/>
            <w:vAlign w:val="center"/>
            <w:hideMark/>
          </w:tcPr>
          <w:p w14:paraId="3C515DC1" w14:textId="77777777" w:rsidR="00D645D2" w:rsidRPr="00197DFB" w:rsidRDefault="00D645D2" w:rsidP="00301A2E">
            <w:pPr>
              <w:jc w:val="center"/>
              <w:rPr>
                <w:color w:val="000000"/>
                <w:sz w:val="20"/>
                <w:szCs w:val="20"/>
              </w:rPr>
            </w:pPr>
            <w:r>
              <w:rPr>
                <w:color w:val="000000"/>
                <w:sz w:val="20"/>
                <w:szCs w:val="20"/>
              </w:rPr>
              <w:t>1</w:t>
            </w:r>
          </w:p>
        </w:tc>
        <w:tc>
          <w:tcPr>
            <w:tcW w:w="784" w:type="dxa"/>
            <w:tcBorders>
              <w:top w:val="nil"/>
              <w:left w:val="nil"/>
              <w:bottom w:val="nil"/>
              <w:right w:val="single" w:sz="8" w:space="0" w:color="auto"/>
            </w:tcBorders>
            <w:shd w:val="clear" w:color="auto" w:fill="auto"/>
            <w:noWrap/>
            <w:vAlign w:val="center"/>
            <w:hideMark/>
          </w:tcPr>
          <w:p w14:paraId="18869519" w14:textId="77777777" w:rsidR="00D645D2" w:rsidRPr="00197DFB" w:rsidRDefault="00D645D2" w:rsidP="00301A2E">
            <w:pPr>
              <w:jc w:val="center"/>
              <w:rPr>
                <w:color w:val="000000"/>
                <w:sz w:val="20"/>
                <w:szCs w:val="20"/>
              </w:rPr>
            </w:pPr>
            <w:r>
              <w:rPr>
                <w:color w:val="000000"/>
                <w:sz w:val="20"/>
                <w:szCs w:val="20"/>
              </w:rPr>
              <w:t>0.5</w:t>
            </w:r>
          </w:p>
        </w:tc>
        <w:tc>
          <w:tcPr>
            <w:tcW w:w="1449" w:type="dxa"/>
            <w:tcBorders>
              <w:top w:val="nil"/>
              <w:left w:val="nil"/>
              <w:bottom w:val="nil"/>
              <w:right w:val="single" w:sz="8" w:space="0" w:color="auto"/>
            </w:tcBorders>
            <w:shd w:val="clear" w:color="000000" w:fill="D9D9D9"/>
            <w:vAlign w:val="center"/>
            <w:hideMark/>
          </w:tcPr>
          <w:p w14:paraId="7E12ADB4" w14:textId="77777777" w:rsidR="00D645D2" w:rsidRPr="00197DFB" w:rsidRDefault="00D645D2" w:rsidP="00301A2E">
            <w:pPr>
              <w:jc w:val="center"/>
              <w:rPr>
                <w:color w:val="000000"/>
                <w:sz w:val="20"/>
                <w:szCs w:val="20"/>
              </w:rPr>
            </w:pPr>
            <w:r>
              <w:rPr>
                <w:color w:val="000000"/>
                <w:sz w:val="20"/>
                <w:szCs w:val="20"/>
              </w:rPr>
              <w:t>1.1</w:t>
            </w:r>
          </w:p>
        </w:tc>
      </w:tr>
      <w:tr w:rsidR="00D645D2" w:rsidRPr="00197DFB" w14:paraId="4BE7CF58"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420A5711" w14:textId="77777777" w:rsidR="00D645D2" w:rsidRPr="00197DFB" w:rsidRDefault="00D645D2" w:rsidP="00301A2E">
            <w:pPr>
              <w:jc w:val="center"/>
              <w:rPr>
                <w:b/>
                <w:bCs/>
                <w:color w:val="000000"/>
                <w:sz w:val="20"/>
                <w:szCs w:val="20"/>
              </w:rPr>
            </w:pPr>
            <w:r w:rsidRPr="00197DFB">
              <w:rPr>
                <w:b/>
                <w:bCs/>
                <w:color w:val="000000"/>
                <w:sz w:val="20"/>
                <w:szCs w:val="20"/>
              </w:rPr>
              <w:t>Total Racial Minority</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21BB0C08" w14:textId="77777777" w:rsidR="00D645D2" w:rsidRPr="00197DFB" w:rsidRDefault="00D645D2" w:rsidP="00301A2E">
            <w:pPr>
              <w:jc w:val="center"/>
              <w:rPr>
                <w:b/>
                <w:bCs/>
                <w:color w:val="000000"/>
                <w:sz w:val="20"/>
                <w:szCs w:val="20"/>
              </w:rPr>
            </w:pPr>
            <w:r>
              <w:rPr>
                <w:b/>
                <w:bCs/>
                <w:color w:val="000000"/>
                <w:sz w:val="20"/>
                <w:szCs w:val="20"/>
              </w:rPr>
              <w:t>6</w:t>
            </w:r>
          </w:p>
        </w:tc>
        <w:tc>
          <w:tcPr>
            <w:tcW w:w="1231" w:type="dxa"/>
            <w:tcBorders>
              <w:top w:val="single" w:sz="8" w:space="0" w:color="auto"/>
              <w:left w:val="nil"/>
              <w:bottom w:val="single" w:sz="8" w:space="0" w:color="auto"/>
              <w:right w:val="single" w:sz="8" w:space="0" w:color="auto"/>
            </w:tcBorders>
            <w:shd w:val="clear" w:color="auto" w:fill="auto"/>
            <w:vAlign w:val="center"/>
            <w:hideMark/>
          </w:tcPr>
          <w:p w14:paraId="1FC9551E" w14:textId="77777777" w:rsidR="00D645D2" w:rsidRPr="00197DFB" w:rsidRDefault="00D645D2" w:rsidP="00301A2E">
            <w:pPr>
              <w:jc w:val="center"/>
              <w:rPr>
                <w:b/>
                <w:bCs/>
                <w:color w:val="000000"/>
                <w:sz w:val="20"/>
                <w:szCs w:val="20"/>
              </w:rPr>
            </w:pPr>
            <w:r>
              <w:rPr>
                <w:b/>
                <w:bCs/>
                <w:color w:val="000000"/>
                <w:sz w:val="20"/>
                <w:szCs w:val="20"/>
              </w:rPr>
              <w:t>3.5</w:t>
            </w:r>
          </w:p>
        </w:tc>
        <w:tc>
          <w:tcPr>
            <w:tcW w:w="1448" w:type="dxa"/>
            <w:tcBorders>
              <w:top w:val="single" w:sz="8" w:space="0" w:color="auto"/>
              <w:left w:val="nil"/>
              <w:bottom w:val="single" w:sz="8" w:space="0" w:color="auto"/>
              <w:right w:val="single" w:sz="8" w:space="0" w:color="auto"/>
            </w:tcBorders>
            <w:shd w:val="clear" w:color="000000" w:fill="D9D9D9"/>
            <w:vAlign w:val="center"/>
            <w:hideMark/>
          </w:tcPr>
          <w:p w14:paraId="09D31AF2" w14:textId="77777777" w:rsidR="00D645D2" w:rsidRPr="00197DFB" w:rsidRDefault="00D645D2" w:rsidP="00301A2E">
            <w:pPr>
              <w:jc w:val="center"/>
              <w:rPr>
                <w:b/>
                <w:bCs/>
                <w:color w:val="000000"/>
                <w:sz w:val="20"/>
                <w:szCs w:val="20"/>
              </w:rPr>
            </w:pPr>
            <w:r>
              <w:rPr>
                <w:b/>
                <w:bCs/>
                <w:color w:val="000000"/>
                <w:sz w:val="20"/>
                <w:szCs w:val="20"/>
              </w:rPr>
              <w:t>5.6</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02BD6E7D" w14:textId="77777777" w:rsidR="00D645D2" w:rsidRPr="00197DFB" w:rsidRDefault="00D645D2" w:rsidP="00301A2E">
            <w:pPr>
              <w:jc w:val="center"/>
              <w:rPr>
                <w:b/>
                <w:bCs/>
                <w:color w:val="000000"/>
                <w:sz w:val="20"/>
                <w:szCs w:val="20"/>
              </w:rPr>
            </w:pPr>
            <w:r>
              <w:rPr>
                <w:b/>
                <w:bCs/>
                <w:color w:val="000000"/>
                <w:sz w:val="20"/>
                <w:szCs w:val="20"/>
              </w:rPr>
              <w:t>7</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14:paraId="38446A35" w14:textId="77777777" w:rsidR="00D645D2" w:rsidRPr="00197DFB" w:rsidRDefault="00D645D2" w:rsidP="00301A2E">
            <w:pPr>
              <w:jc w:val="center"/>
              <w:rPr>
                <w:b/>
                <w:bCs/>
                <w:color w:val="000000"/>
                <w:sz w:val="20"/>
                <w:szCs w:val="20"/>
              </w:rPr>
            </w:pPr>
            <w:r>
              <w:rPr>
                <w:b/>
                <w:bCs/>
                <w:color w:val="000000"/>
                <w:sz w:val="20"/>
                <w:szCs w:val="20"/>
              </w:rPr>
              <w:t>3.3</w:t>
            </w:r>
          </w:p>
        </w:tc>
        <w:tc>
          <w:tcPr>
            <w:tcW w:w="1449" w:type="dxa"/>
            <w:tcBorders>
              <w:top w:val="single" w:sz="8" w:space="0" w:color="auto"/>
              <w:left w:val="nil"/>
              <w:bottom w:val="single" w:sz="8" w:space="0" w:color="auto"/>
              <w:right w:val="single" w:sz="8" w:space="0" w:color="auto"/>
            </w:tcBorders>
            <w:shd w:val="clear" w:color="000000" w:fill="D9D9D9"/>
            <w:vAlign w:val="center"/>
            <w:hideMark/>
          </w:tcPr>
          <w:p w14:paraId="33AB40F5" w14:textId="77777777" w:rsidR="00D645D2" w:rsidRPr="00197DFB" w:rsidRDefault="00D645D2" w:rsidP="00301A2E">
            <w:pPr>
              <w:jc w:val="center"/>
              <w:rPr>
                <w:b/>
                <w:bCs/>
                <w:color w:val="000000"/>
                <w:sz w:val="20"/>
                <w:szCs w:val="20"/>
              </w:rPr>
            </w:pPr>
            <w:r>
              <w:rPr>
                <w:b/>
                <w:bCs/>
                <w:color w:val="000000"/>
                <w:sz w:val="20"/>
                <w:szCs w:val="20"/>
              </w:rPr>
              <w:t>6.0</w:t>
            </w:r>
          </w:p>
        </w:tc>
      </w:tr>
      <w:tr w:rsidR="00D645D2" w:rsidRPr="00197DFB" w14:paraId="222DCF85"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170A42BB" w14:textId="77777777" w:rsidR="00D645D2" w:rsidRPr="00197DFB" w:rsidRDefault="00D645D2" w:rsidP="00301A2E">
            <w:pPr>
              <w:rPr>
                <w:color w:val="000000"/>
                <w:sz w:val="20"/>
                <w:szCs w:val="20"/>
              </w:rPr>
            </w:pPr>
            <w:r w:rsidRPr="00197DFB">
              <w:rPr>
                <w:color w:val="000000"/>
                <w:sz w:val="20"/>
                <w:szCs w:val="20"/>
              </w:rPr>
              <w:t>White</w:t>
            </w:r>
          </w:p>
        </w:tc>
        <w:tc>
          <w:tcPr>
            <w:tcW w:w="1218" w:type="dxa"/>
            <w:tcBorders>
              <w:top w:val="nil"/>
              <w:left w:val="nil"/>
              <w:bottom w:val="single" w:sz="8" w:space="0" w:color="auto"/>
              <w:right w:val="single" w:sz="8" w:space="0" w:color="auto"/>
            </w:tcBorders>
            <w:shd w:val="clear" w:color="auto" w:fill="auto"/>
            <w:vAlign w:val="center"/>
            <w:hideMark/>
          </w:tcPr>
          <w:p w14:paraId="7FAEB8A7" w14:textId="77777777" w:rsidR="00D645D2" w:rsidRPr="00197DFB" w:rsidRDefault="00D645D2" w:rsidP="00301A2E">
            <w:pPr>
              <w:jc w:val="center"/>
              <w:rPr>
                <w:color w:val="000000"/>
                <w:sz w:val="20"/>
                <w:szCs w:val="20"/>
              </w:rPr>
            </w:pPr>
            <w:r>
              <w:rPr>
                <w:color w:val="000000"/>
                <w:sz w:val="20"/>
                <w:szCs w:val="20"/>
              </w:rPr>
              <w:t>159</w:t>
            </w:r>
          </w:p>
        </w:tc>
        <w:tc>
          <w:tcPr>
            <w:tcW w:w="1231" w:type="dxa"/>
            <w:tcBorders>
              <w:top w:val="nil"/>
              <w:left w:val="nil"/>
              <w:bottom w:val="single" w:sz="8" w:space="0" w:color="auto"/>
              <w:right w:val="single" w:sz="8" w:space="0" w:color="auto"/>
            </w:tcBorders>
            <w:shd w:val="clear" w:color="auto" w:fill="auto"/>
            <w:vAlign w:val="center"/>
            <w:hideMark/>
          </w:tcPr>
          <w:p w14:paraId="6CEECBC3" w14:textId="77777777" w:rsidR="00D645D2" w:rsidRPr="00197DFB" w:rsidRDefault="00D645D2" w:rsidP="00301A2E">
            <w:pPr>
              <w:jc w:val="center"/>
              <w:rPr>
                <w:color w:val="000000"/>
                <w:sz w:val="20"/>
                <w:szCs w:val="20"/>
              </w:rPr>
            </w:pPr>
            <w:r>
              <w:rPr>
                <w:color w:val="000000"/>
                <w:sz w:val="20"/>
                <w:szCs w:val="20"/>
              </w:rPr>
              <w:t>91.9</w:t>
            </w:r>
          </w:p>
        </w:tc>
        <w:tc>
          <w:tcPr>
            <w:tcW w:w="1448" w:type="dxa"/>
            <w:tcBorders>
              <w:top w:val="nil"/>
              <w:left w:val="nil"/>
              <w:bottom w:val="single" w:sz="8" w:space="0" w:color="auto"/>
              <w:right w:val="single" w:sz="8" w:space="0" w:color="auto"/>
            </w:tcBorders>
            <w:shd w:val="clear" w:color="000000" w:fill="D9D9D9"/>
            <w:vAlign w:val="center"/>
            <w:hideMark/>
          </w:tcPr>
          <w:p w14:paraId="200BE3AA" w14:textId="77777777" w:rsidR="00D645D2" w:rsidRPr="00197DFB" w:rsidRDefault="00D645D2" w:rsidP="00301A2E">
            <w:pPr>
              <w:jc w:val="center"/>
              <w:rPr>
                <w:color w:val="000000"/>
                <w:sz w:val="20"/>
                <w:szCs w:val="20"/>
              </w:rPr>
            </w:pPr>
            <w:r>
              <w:rPr>
                <w:color w:val="000000"/>
                <w:sz w:val="20"/>
                <w:szCs w:val="20"/>
              </w:rPr>
              <w:t>74.7</w:t>
            </w:r>
          </w:p>
        </w:tc>
        <w:tc>
          <w:tcPr>
            <w:tcW w:w="1376" w:type="dxa"/>
            <w:tcBorders>
              <w:top w:val="nil"/>
              <w:left w:val="nil"/>
              <w:bottom w:val="single" w:sz="8" w:space="0" w:color="auto"/>
              <w:right w:val="single" w:sz="8" w:space="0" w:color="auto"/>
            </w:tcBorders>
            <w:shd w:val="clear" w:color="auto" w:fill="auto"/>
            <w:vAlign w:val="center"/>
            <w:hideMark/>
          </w:tcPr>
          <w:p w14:paraId="0329B2EC" w14:textId="77777777" w:rsidR="00D645D2" w:rsidRPr="00197DFB" w:rsidRDefault="00D645D2" w:rsidP="00301A2E">
            <w:pPr>
              <w:jc w:val="center"/>
              <w:rPr>
                <w:color w:val="000000"/>
                <w:sz w:val="20"/>
                <w:szCs w:val="20"/>
              </w:rPr>
            </w:pPr>
            <w:r>
              <w:rPr>
                <w:color w:val="000000"/>
                <w:sz w:val="20"/>
                <w:szCs w:val="20"/>
              </w:rPr>
              <w:t>192</w:t>
            </w:r>
          </w:p>
        </w:tc>
        <w:tc>
          <w:tcPr>
            <w:tcW w:w="784" w:type="dxa"/>
            <w:tcBorders>
              <w:top w:val="nil"/>
              <w:left w:val="nil"/>
              <w:bottom w:val="single" w:sz="8" w:space="0" w:color="auto"/>
              <w:right w:val="single" w:sz="8" w:space="0" w:color="auto"/>
            </w:tcBorders>
            <w:shd w:val="clear" w:color="auto" w:fill="auto"/>
            <w:noWrap/>
            <w:vAlign w:val="center"/>
            <w:hideMark/>
          </w:tcPr>
          <w:p w14:paraId="71C1CA1E" w14:textId="77777777" w:rsidR="00D645D2" w:rsidRPr="00197DFB" w:rsidRDefault="00D645D2" w:rsidP="00301A2E">
            <w:pPr>
              <w:jc w:val="center"/>
              <w:rPr>
                <w:color w:val="000000"/>
                <w:sz w:val="20"/>
                <w:szCs w:val="20"/>
              </w:rPr>
            </w:pPr>
            <w:r>
              <w:rPr>
                <w:color w:val="000000"/>
                <w:sz w:val="20"/>
                <w:szCs w:val="20"/>
              </w:rPr>
              <w:t>88.8</w:t>
            </w:r>
          </w:p>
        </w:tc>
        <w:tc>
          <w:tcPr>
            <w:tcW w:w="1449" w:type="dxa"/>
            <w:tcBorders>
              <w:top w:val="nil"/>
              <w:left w:val="nil"/>
              <w:bottom w:val="single" w:sz="8" w:space="0" w:color="auto"/>
              <w:right w:val="single" w:sz="8" w:space="0" w:color="auto"/>
            </w:tcBorders>
            <w:shd w:val="clear" w:color="000000" w:fill="D9D9D9"/>
            <w:vAlign w:val="center"/>
            <w:hideMark/>
          </w:tcPr>
          <w:p w14:paraId="3273DE8F" w14:textId="77777777" w:rsidR="00D645D2" w:rsidRPr="00197DFB" w:rsidRDefault="00D645D2" w:rsidP="00301A2E">
            <w:pPr>
              <w:jc w:val="center"/>
              <w:rPr>
                <w:color w:val="000000"/>
                <w:sz w:val="20"/>
                <w:szCs w:val="20"/>
              </w:rPr>
            </w:pPr>
            <w:r>
              <w:rPr>
                <w:color w:val="000000"/>
                <w:sz w:val="20"/>
                <w:szCs w:val="20"/>
              </w:rPr>
              <w:t>72.7</w:t>
            </w:r>
          </w:p>
        </w:tc>
      </w:tr>
      <w:tr w:rsidR="00D645D2" w:rsidRPr="00197DFB" w14:paraId="5C2F1A24" w14:textId="77777777" w:rsidTr="00DC08A6">
        <w:trPr>
          <w:trHeight w:val="275"/>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527EE44D" w14:textId="77777777" w:rsidR="00D645D2" w:rsidRPr="00197DFB" w:rsidRDefault="00D645D2" w:rsidP="00301A2E">
            <w:pPr>
              <w:rPr>
                <w:color w:val="000000"/>
                <w:sz w:val="20"/>
                <w:szCs w:val="20"/>
              </w:rPr>
            </w:pPr>
            <w:r w:rsidRPr="00197DFB">
              <w:rPr>
                <w:color w:val="000000"/>
                <w:sz w:val="20"/>
                <w:szCs w:val="20"/>
              </w:rPr>
              <w:t>Race Not Available</w:t>
            </w:r>
          </w:p>
        </w:tc>
        <w:tc>
          <w:tcPr>
            <w:tcW w:w="1218" w:type="dxa"/>
            <w:tcBorders>
              <w:top w:val="nil"/>
              <w:left w:val="nil"/>
              <w:bottom w:val="nil"/>
              <w:right w:val="single" w:sz="8" w:space="0" w:color="auto"/>
            </w:tcBorders>
            <w:shd w:val="clear" w:color="auto" w:fill="auto"/>
            <w:vAlign w:val="center"/>
            <w:hideMark/>
          </w:tcPr>
          <w:p w14:paraId="690946A5" w14:textId="77777777" w:rsidR="00D645D2" w:rsidRPr="00197DFB" w:rsidRDefault="00D645D2" w:rsidP="00301A2E">
            <w:pPr>
              <w:jc w:val="center"/>
              <w:rPr>
                <w:color w:val="000000"/>
                <w:sz w:val="20"/>
                <w:szCs w:val="20"/>
              </w:rPr>
            </w:pPr>
            <w:r>
              <w:rPr>
                <w:color w:val="000000"/>
                <w:sz w:val="20"/>
                <w:szCs w:val="20"/>
              </w:rPr>
              <w:t>8</w:t>
            </w:r>
          </w:p>
        </w:tc>
        <w:tc>
          <w:tcPr>
            <w:tcW w:w="1231" w:type="dxa"/>
            <w:tcBorders>
              <w:top w:val="nil"/>
              <w:left w:val="nil"/>
              <w:bottom w:val="nil"/>
              <w:right w:val="single" w:sz="8" w:space="0" w:color="auto"/>
            </w:tcBorders>
            <w:shd w:val="clear" w:color="auto" w:fill="auto"/>
            <w:vAlign w:val="center"/>
            <w:hideMark/>
          </w:tcPr>
          <w:p w14:paraId="23E81EA1" w14:textId="77777777" w:rsidR="00D645D2" w:rsidRPr="00197DFB" w:rsidRDefault="00D645D2" w:rsidP="00301A2E">
            <w:pPr>
              <w:jc w:val="center"/>
              <w:rPr>
                <w:color w:val="000000"/>
                <w:sz w:val="20"/>
                <w:szCs w:val="20"/>
              </w:rPr>
            </w:pPr>
            <w:r>
              <w:rPr>
                <w:color w:val="000000"/>
                <w:sz w:val="20"/>
                <w:szCs w:val="20"/>
              </w:rPr>
              <w:t>4.6</w:t>
            </w:r>
          </w:p>
        </w:tc>
        <w:tc>
          <w:tcPr>
            <w:tcW w:w="1448" w:type="dxa"/>
            <w:tcBorders>
              <w:top w:val="nil"/>
              <w:left w:val="nil"/>
              <w:bottom w:val="nil"/>
              <w:right w:val="single" w:sz="8" w:space="0" w:color="auto"/>
            </w:tcBorders>
            <w:shd w:val="clear" w:color="000000" w:fill="D9D9D9"/>
            <w:vAlign w:val="center"/>
            <w:hideMark/>
          </w:tcPr>
          <w:p w14:paraId="1AEBD58A" w14:textId="77777777" w:rsidR="00D645D2" w:rsidRPr="00197DFB" w:rsidRDefault="00D645D2" w:rsidP="00301A2E">
            <w:pPr>
              <w:jc w:val="center"/>
              <w:rPr>
                <w:color w:val="000000"/>
                <w:sz w:val="20"/>
                <w:szCs w:val="20"/>
              </w:rPr>
            </w:pPr>
            <w:r>
              <w:rPr>
                <w:color w:val="000000"/>
                <w:sz w:val="20"/>
                <w:szCs w:val="20"/>
              </w:rPr>
              <w:t>19.7</w:t>
            </w:r>
          </w:p>
        </w:tc>
        <w:tc>
          <w:tcPr>
            <w:tcW w:w="1376" w:type="dxa"/>
            <w:tcBorders>
              <w:top w:val="nil"/>
              <w:left w:val="nil"/>
              <w:bottom w:val="nil"/>
              <w:right w:val="single" w:sz="8" w:space="0" w:color="auto"/>
            </w:tcBorders>
            <w:shd w:val="clear" w:color="auto" w:fill="auto"/>
            <w:vAlign w:val="center"/>
            <w:hideMark/>
          </w:tcPr>
          <w:p w14:paraId="646BDACF" w14:textId="77777777" w:rsidR="00D645D2" w:rsidRPr="00197DFB" w:rsidRDefault="00D645D2" w:rsidP="00301A2E">
            <w:pPr>
              <w:jc w:val="center"/>
              <w:rPr>
                <w:color w:val="000000"/>
                <w:sz w:val="20"/>
                <w:szCs w:val="20"/>
              </w:rPr>
            </w:pPr>
            <w:r>
              <w:rPr>
                <w:color w:val="000000"/>
                <w:sz w:val="20"/>
                <w:szCs w:val="20"/>
              </w:rPr>
              <w:t>17</w:t>
            </w:r>
          </w:p>
        </w:tc>
        <w:tc>
          <w:tcPr>
            <w:tcW w:w="784" w:type="dxa"/>
            <w:tcBorders>
              <w:top w:val="nil"/>
              <w:left w:val="nil"/>
              <w:bottom w:val="nil"/>
              <w:right w:val="single" w:sz="8" w:space="0" w:color="auto"/>
            </w:tcBorders>
            <w:shd w:val="clear" w:color="auto" w:fill="auto"/>
            <w:noWrap/>
            <w:vAlign w:val="center"/>
            <w:hideMark/>
          </w:tcPr>
          <w:p w14:paraId="18B62293" w14:textId="77777777" w:rsidR="00D645D2" w:rsidRPr="00197DFB" w:rsidRDefault="00D645D2" w:rsidP="00301A2E">
            <w:pPr>
              <w:jc w:val="center"/>
              <w:rPr>
                <w:color w:val="000000"/>
                <w:sz w:val="20"/>
                <w:szCs w:val="20"/>
              </w:rPr>
            </w:pPr>
            <w:r>
              <w:rPr>
                <w:color w:val="000000"/>
                <w:sz w:val="20"/>
                <w:szCs w:val="20"/>
              </w:rPr>
              <w:t>7.9</w:t>
            </w:r>
          </w:p>
        </w:tc>
        <w:tc>
          <w:tcPr>
            <w:tcW w:w="1449" w:type="dxa"/>
            <w:tcBorders>
              <w:top w:val="nil"/>
              <w:left w:val="nil"/>
              <w:bottom w:val="nil"/>
              <w:right w:val="single" w:sz="8" w:space="0" w:color="auto"/>
            </w:tcBorders>
            <w:shd w:val="clear" w:color="000000" w:fill="D9D9D9"/>
            <w:vAlign w:val="center"/>
            <w:hideMark/>
          </w:tcPr>
          <w:p w14:paraId="1E59200B" w14:textId="77777777" w:rsidR="00D645D2" w:rsidRPr="00197DFB" w:rsidRDefault="00D645D2" w:rsidP="00301A2E">
            <w:pPr>
              <w:jc w:val="center"/>
              <w:rPr>
                <w:color w:val="000000"/>
                <w:sz w:val="20"/>
                <w:szCs w:val="20"/>
              </w:rPr>
            </w:pPr>
            <w:r>
              <w:rPr>
                <w:color w:val="000000"/>
                <w:sz w:val="20"/>
                <w:szCs w:val="20"/>
              </w:rPr>
              <w:t>21.3</w:t>
            </w:r>
          </w:p>
        </w:tc>
      </w:tr>
      <w:tr w:rsidR="00D645D2" w:rsidRPr="00197DFB" w14:paraId="6A5C215F" w14:textId="77777777" w:rsidTr="00DC08A6">
        <w:trPr>
          <w:trHeight w:val="172"/>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160AB03F" w14:textId="77777777" w:rsidR="00D645D2" w:rsidRPr="00197DFB" w:rsidRDefault="00D645D2" w:rsidP="00301A2E">
            <w:pPr>
              <w:jc w:val="center"/>
              <w:rPr>
                <w:b/>
                <w:bCs/>
                <w:color w:val="000000"/>
                <w:sz w:val="20"/>
                <w:szCs w:val="20"/>
              </w:rPr>
            </w:pPr>
            <w:r w:rsidRPr="00197DFB">
              <w:rPr>
                <w:b/>
                <w:bCs/>
                <w:color w:val="000000"/>
                <w:sz w:val="20"/>
                <w:szCs w:val="20"/>
              </w:rPr>
              <w:t>Total</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33181A35" w14:textId="77777777" w:rsidR="00D645D2" w:rsidRPr="00197DFB" w:rsidRDefault="00D645D2" w:rsidP="00301A2E">
            <w:pPr>
              <w:jc w:val="center"/>
              <w:rPr>
                <w:b/>
                <w:bCs/>
                <w:color w:val="000000"/>
                <w:sz w:val="20"/>
                <w:szCs w:val="20"/>
              </w:rPr>
            </w:pPr>
            <w:r>
              <w:rPr>
                <w:b/>
                <w:bCs/>
                <w:color w:val="000000"/>
                <w:sz w:val="20"/>
                <w:szCs w:val="20"/>
              </w:rPr>
              <w:t>173</w:t>
            </w:r>
          </w:p>
        </w:tc>
        <w:tc>
          <w:tcPr>
            <w:tcW w:w="1231" w:type="dxa"/>
            <w:tcBorders>
              <w:top w:val="single" w:sz="8" w:space="0" w:color="auto"/>
              <w:left w:val="nil"/>
              <w:bottom w:val="single" w:sz="8" w:space="0" w:color="auto"/>
              <w:right w:val="single" w:sz="8" w:space="0" w:color="auto"/>
            </w:tcBorders>
            <w:shd w:val="clear" w:color="auto" w:fill="auto"/>
            <w:vAlign w:val="center"/>
            <w:hideMark/>
          </w:tcPr>
          <w:p w14:paraId="3EB23B5F" w14:textId="77777777" w:rsidR="00D645D2" w:rsidRPr="00197DFB" w:rsidRDefault="00D645D2" w:rsidP="00301A2E">
            <w:pPr>
              <w:jc w:val="center"/>
              <w:rPr>
                <w:b/>
                <w:bCs/>
                <w:color w:val="000000"/>
                <w:sz w:val="20"/>
                <w:szCs w:val="20"/>
              </w:rPr>
            </w:pPr>
            <w:r>
              <w:rPr>
                <w:b/>
                <w:bCs/>
                <w:color w:val="000000"/>
                <w:sz w:val="20"/>
                <w:szCs w:val="20"/>
              </w:rPr>
              <w:t>100.0</w:t>
            </w:r>
          </w:p>
        </w:tc>
        <w:tc>
          <w:tcPr>
            <w:tcW w:w="1448" w:type="dxa"/>
            <w:tcBorders>
              <w:top w:val="single" w:sz="8" w:space="0" w:color="auto"/>
              <w:left w:val="nil"/>
              <w:bottom w:val="single" w:sz="8" w:space="0" w:color="auto"/>
              <w:right w:val="single" w:sz="8" w:space="0" w:color="auto"/>
            </w:tcBorders>
            <w:shd w:val="clear" w:color="000000" w:fill="D9D9D9"/>
            <w:vAlign w:val="center"/>
            <w:hideMark/>
          </w:tcPr>
          <w:p w14:paraId="569C765D" w14:textId="77777777" w:rsidR="00D645D2" w:rsidRPr="00197DFB" w:rsidRDefault="00D645D2" w:rsidP="00301A2E">
            <w:pPr>
              <w:jc w:val="center"/>
              <w:rPr>
                <w:b/>
                <w:bCs/>
                <w:color w:val="000000"/>
                <w:sz w:val="20"/>
                <w:szCs w:val="20"/>
              </w:rPr>
            </w:pPr>
            <w:r>
              <w:rPr>
                <w:b/>
                <w:bCs/>
                <w:color w:val="000000"/>
                <w:sz w:val="20"/>
                <w:szCs w:val="20"/>
              </w:rPr>
              <w:t>100.0</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4B75B93B" w14:textId="77777777" w:rsidR="00D645D2" w:rsidRPr="00197DFB" w:rsidRDefault="00D645D2" w:rsidP="00301A2E">
            <w:pPr>
              <w:jc w:val="center"/>
              <w:rPr>
                <w:b/>
                <w:bCs/>
                <w:color w:val="000000"/>
                <w:sz w:val="20"/>
                <w:szCs w:val="20"/>
              </w:rPr>
            </w:pPr>
            <w:r>
              <w:rPr>
                <w:b/>
                <w:bCs/>
                <w:color w:val="000000"/>
                <w:sz w:val="20"/>
                <w:szCs w:val="20"/>
              </w:rPr>
              <w:t>216</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14:paraId="7E4FF867" w14:textId="77777777" w:rsidR="00D645D2" w:rsidRPr="00197DFB" w:rsidRDefault="00D645D2" w:rsidP="00301A2E">
            <w:pPr>
              <w:jc w:val="center"/>
              <w:rPr>
                <w:b/>
                <w:bCs/>
                <w:color w:val="000000"/>
                <w:sz w:val="20"/>
                <w:szCs w:val="20"/>
              </w:rPr>
            </w:pPr>
            <w:r>
              <w:rPr>
                <w:b/>
                <w:bCs/>
                <w:color w:val="000000"/>
                <w:sz w:val="20"/>
                <w:szCs w:val="20"/>
              </w:rPr>
              <w:t>100.0</w:t>
            </w:r>
          </w:p>
        </w:tc>
        <w:tc>
          <w:tcPr>
            <w:tcW w:w="1449" w:type="dxa"/>
            <w:tcBorders>
              <w:top w:val="single" w:sz="8" w:space="0" w:color="auto"/>
              <w:left w:val="nil"/>
              <w:bottom w:val="single" w:sz="8" w:space="0" w:color="auto"/>
              <w:right w:val="single" w:sz="8" w:space="0" w:color="auto"/>
            </w:tcBorders>
            <w:shd w:val="clear" w:color="000000" w:fill="D9D9D9"/>
            <w:vAlign w:val="center"/>
            <w:hideMark/>
          </w:tcPr>
          <w:p w14:paraId="5CF97DCE" w14:textId="77777777" w:rsidR="00D645D2" w:rsidRPr="00197DFB" w:rsidRDefault="00D645D2" w:rsidP="00301A2E">
            <w:pPr>
              <w:jc w:val="center"/>
              <w:rPr>
                <w:b/>
                <w:bCs/>
                <w:color w:val="000000"/>
                <w:sz w:val="20"/>
                <w:szCs w:val="20"/>
              </w:rPr>
            </w:pPr>
            <w:r>
              <w:rPr>
                <w:b/>
                <w:bCs/>
                <w:color w:val="000000"/>
                <w:sz w:val="20"/>
                <w:szCs w:val="20"/>
              </w:rPr>
              <w:t>100.0</w:t>
            </w:r>
          </w:p>
        </w:tc>
      </w:tr>
      <w:tr w:rsidR="00D645D2" w:rsidRPr="00197DFB" w14:paraId="1D7D95F1" w14:textId="77777777" w:rsidTr="00DC08A6">
        <w:trPr>
          <w:trHeight w:val="172"/>
        </w:trPr>
        <w:tc>
          <w:tcPr>
            <w:tcW w:w="2313" w:type="dxa"/>
            <w:tcBorders>
              <w:top w:val="nil"/>
              <w:left w:val="single" w:sz="8" w:space="0" w:color="auto"/>
              <w:bottom w:val="single" w:sz="8" w:space="0" w:color="auto"/>
              <w:right w:val="nil"/>
            </w:tcBorders>
            <w:shd w:val="clear" w:color="auto" w:fill="auto"/>
            <w:vAlign w:val="center"/>
            <w:hideMark/>
          </w:tcPr>
          <w:p w14:paraId="6B793C09" w14:textId="77777777" w:rsidR="00D645D2" w:rsidRPr="00197DFB" w:rsidRDefault="00D645D2" w:rsidP="00301A2E">
            <w:pPr>
              <w:jc w:val="center"/>
              <w:rPr>
                <w:b/>
                <w:bCs/>
                <w:color w:val="000000"/>
                <w:sz w:val="20"/>
                <w:szCs w:val="20"/>
              </w:rPr>
            </w:pPr>
            <w:r w:rsidRPr="00197DFB">
              <w:rPr>
                <w:b/>
                <w:bCs/>
                <w:color w:val="000000"/>
                <w:sz w:val="20"/>
                <w:szCs w:val="20"/>
              </w:rPr>
              <w:t>ETHNICITY</w:t>
            </w:r>
          </w:p>
        </w:tc>
        <w:tc>
          <w:tcPr>
            <w:tcW w:w="1218" w:type="dxa"/>
            <w:tcBorders>
              <w:top w:val="nil"/>
              <w:left w:val="single" w:sz="8" w:space="0" w:color="auto"/>
              <w:bottom w:val="single" w:sz="8" w:space="0" w:color="auto"/>
              <w:right w:val="nil"/>
            </w:tcBorders>
            <w:shd w:val="clear" w:color="auto" w:fill="auto"/>
            <w:vAlign w:val="center"/>
            <w:hideMark/>
          </w:tcPr>
          <w:p w14:paraId="25010F25" w14:textId="77777777" w:rsidR="00D645D2" w:rsidRPr="00197DFB" w:rsidRDefault="00D645D2" w:rsidP="00301A2E">
            <w:pPr>
              <w:jc w:val="center"/>
              <w:rPr>
                <w:b/>
                <w:bCs/>
                <w:color w:val="000000"/>
                <w:sz w:val="20"/>
                <w:szCs w:val="20"/>
              </w:rPr>
            </w:pPr>
            <w:r w:rsidRPr="00197DFB">
              <w:rPr>
                <w:b/>
                <w:bCs/>
                <w:color w:val="000000"/>
                <w:sz w:val="20"/>
                <w:szCs w:val="20"/>
              </w:rPr>
              <w:t> </w:t>
            </w:r>
          </w:p>
        </w:tc>
        <w:tc>
          <w:tcPr>
            <w:tcW w:w="1231" w:type="dxa"/>
            <w:tcBorders>
              <w:top w:val="nil"/>
              <w:left w:val="nil"/>
              <w:bottom w:val="single" w:sz="8" w:space="0" w:color="auto"/>
              <w:right w:val="nil"/>
            </w:tcBorders>
            <w:shd w:val="clear" w:color="auto" w:fill="auto"/>
            <w:vAlign w:val="center"/>
            <w:hideMark/>
          </w:tcPr>
          <w:p w14:paraId="34AECB3E" w14:textId="77777777" w:rsidR="00D645D2" w:rsidRPr="00197DFB" w:rsidRDefault="00D645D2" w:rsidP="00301A2E">
            <w:pPr>
              <w:jc w:val="center"/>
              <w:rPr>
                <w:b/>
                <w:bCs/>
                <w:color w:val="000000"/>
                <w:sz w:val="20"/>
                <w:szCs w:val="20"/>
              </w:rPr>
            </w:pPr>
            <w:r w:rsidRPr="00197DFB">
              <w:rPr>
                <w:b/>
                <w:bCs/>
                <w:color w:val="000000"/>
                <w:sz w:val="20"/>
                <w:szCs w:val="20"/>
              </w:rPr>
              <w:t> </w:t>
            </w:r>
          </w:p>
        </w:tc>
        <w:tc>
          <w:tcPr>
            <w:tcW w:w="1448" w:type="dxa"/>
            <w:tcBorders>
              <w:top w:val="nil"/>
              <w:left w:val="nil"/>
              <w:bottom w:val="single" w:sz="8" w:space="0" w:color="auto"/>
              <w:right w:val="nil"/>
            </w:tcBorders>
            <w:shd w:val="clear" w:color="auto" w:fill="auto"/>
            <w:noWrap/>
            <w:vAlign w:val="center"/>
            <w:hideMark/>
          </w:tcPr>
          <w:p w14:paraId="30B7EA55" w14:textId="77777777" w:rsidR="00D645D2" w:rsidRPr="00197DFB" w:rsidRDefault="00D645D2" w:rsidP="00301A2E">
            <w:pPr>
              <w:rPr>
                <w:color w:val="000000"/>
                <w:sz w:val="20"/>
                <w:szCs w:val="20"/>
              </w:rPr>
            </w:pPr>
            <w:r w:rsidRPr="00197DFB">
              <w:rPr>
                <w:color w:val="000000"/>
                <w:sz w:val="20"/>
                <w:szCs w:val="20"/>
              </w:rPr>
              <w:t> </w:t>
            </w:r>
          </w:p>
        </w:tc>
        <w:tc>
          <w:tcPr>
            <w:tcW w:w="1376" w:type="dxa"/>
            <w:tcBorders>
              <w:top w:val="nil"/>
              <w:left w:val="nil"/>
              <w:bottom w:val="single" w:sz="8" w:space="0" w:color="auto"/>
              <w:right w:val="nil"/>
            </w:tcBorders>
            <w:shd w:val="clear" w:color="auto" w:fill="auto"/>
            <w:vAlign w:val="center"/>
            <w:hideMark/>
          </w:tcPr>
          <w:p w14:paraId="1AA58C6F" w14:textId="77777777" w:rsidR="00D645D2" w:rsidRPr="00197DFB" w:rsidRDefault="00D645D2" w:rsidP="00301A2E">
            <w:pPr>
              <w:jc w:val="center"/>
              <w:rPr>
                <w:b/>
                <w:bCs/>
                <w:color w:val="000000"/>
                <w:sz w:val="20"/>
                <w:szCs w:val="20"/>
              </w:rPr>
            </w:pPr>
            <w:r w:rsidRPr="00197DFB">
              <w:rPr>
                <w:b/>
                <w:bCs/>
                <w:color w:val="000000"/>
                <w:sz w:val="20"/>
                <w:szCs w:val="20"/>
              </w:rPr>
              <w:t> </w:t>
            </w:r>
          </w:p>
        </w:tc>
        <w:tc>
          <w:tcPr>
            <w:tcW w:w="784" w:type="dxa"/>
            <w:tcBorders>
              <w:top w:val="nil"/>
              <w:left w:val="nil"/>
              <w:bottom w:val="single" w:sz="8" w:space="0" w:color="auto"/>
              <w:right w:val="nil"/>
            </w:tcBorders>
            <w:shd w:val="clear" w:color="auto" w:fill="auto"/>
            <w:noWrap/>
            <w:vAlign w:val="center"/>
            <w:hideMark/>
          </w:tcPr>
          <w:p w14:paraId="5C0931B9" w14:textId="77777777" w:rsidR="00D645D2" w:rsidRPr="00197DFB" w:rsidRDefault="00D645D2" w:rsidP="00301A2E">
            <w:pPr>
              <w:jc w:val="center"/>
              <w:rPr>
                <w:color w:val="000000"/>
                <w:sz w:val="20"/>
                <w:szCs w:val="20"/>
              </w:rPr>
            </w:pPr>
            <w:r w:rsidRPr="00197DFB">
              <w:rPr>
                <w:color w:val="000000"/>
                <w:sz w:val="20"/>
                <w:szCs w:val="20"/>
              </w:rPr>
              <w:t> </w:t>
            </w:r>
          </w:p>
        </w:tc>
        <w:tc>
          <w:tcPr>
            <w:tcW w:w="1449" w:type="dxa"/>
            <w:tcBorders>
              <w:top w:val="nil"/>
              <w:left w:val="nil"/>
              <w:bottom w:val="single" w:sz="8" w:space="0" w:color="auto"/>
              <w:right w:val="single" w:sz="8" w:space="0" w:color="auto"/>
            </w:tcBorders>
            <w:shd w:val="clear" w:color="auto" w:fill="auto"/>
            <w:vAlign w:val="center"/>
            <w:hideMark/>
          </w:tcPr>
          <w:p w14:paraId="67C57746" w14:textId="77777777" w:rsidR="00D645D2" w:rsidRPr="00197DFB" w:rsidRDefault="00D645D2" w:rsidP="00301A2E">
            <w:pPr>
              <w:rPr>
                <w:rFonts w:ascii="Calibri" w:hAnsi="Calibri" w:cs="Calibri"/>
                <w:color w:val="000000"/>
              </w:rPr>
            </w:pPr>
            <w:r w:rsidRPr="00197DFB">
              <w:rPr>
                <w:rFonts w:ascii="Calibri" w:hAnsi="Calibri" w:cs="Calibri"/>
                <w:color w:val="000000"/>
              </w:rPr>
              <w:t> </w:t>
            </w:r>
          </w:p>
        </w:tc>
      </w:tr>
      <w:tr w:rsidR="00D645D2" w:rsidRPr="00197DFB" w14:paraId="63981C21" w14:textId="77777777" w:rsidTr="00DC08A6">
        <w:trPr>
          <w:trHeight w:val="330"/>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75EE0C66" w14:textId="77777777" w:rsidR="00D645D2" w:rsidRPr="00197DFB" w:rsidRDefault="00D645D2" w:rsidP="00301A2E">
            <w:pPr>
              <w:rPr>
                <w:color w:val="000000"/>
                <w:sz w:val="20"/>
                <w:szCs w:val="20"/>
              </w:rPr>
            </w:pPr>
            <w:r w:rsidRPr="00197DFB">
              <w:rPr>
                <w:color w:val="000000"/>
                <w:sz w:val="20"/>
                <w:szCs w:val="20"/>
              </w:rPr>
              <w:t>Hispanic or Latino</w:t>
            </w:r>
          </w:p>
        </w:tc>
        <w:tc>
          <w:tcPr>
            <w:tcW w:w="1218" w:type="dxa"/>
            <w:tcBorders>
              <w:top w:val="nil"/>
              <w:left w:val="nil"/>
              <w:bottom w:val="single" w:sz="8" w:space="0" w:color="auto"/>
              <w:right w:val="single" w:sz="8" w:space="0" w:color="auto"/>
            </w:tcBorders>
            <w:shd w:val="clear" w:color="auto" w:fill="auto"/>
            <w:vAlign w:val="center"/>
            <w:hideMark/>
          </w:tcPr>
          <w:p w14:paraId="485E9AB1" w14:textId="77777777" w:rsidR="00D645D2" w:rsidRPr="00197DFB" w:rsidRDefault="00D645D2" w:rsidP="00301A2E">
            <w:pPr>
              <w:jc w:val="center"/>
              <w:rPr>
                <w:color w:val="000000"/>
                <w:sz w:val="20"/>
                <w:szCs w:val="20"/>
              </w:rPr>
            </w:pPr>
            <w:r>
              <w:rPr>
                <w:color w:val="000000"/>
                <w:sz w:val="20"/>
                <w:szCs w:val="20"/>
              </w:rPr>
              <w:t>5</w:t>
            </w:r>
          </w:p>
        </w:tc>
        <w:tc>
          <w:tcPr>
            <w:tcW w:w="1231" w:type="dxa"/>
            <w:tcBorders>
              <w:top w:val="nil"/>
              <w:left w:val="nil"/>
              <w:bottom w:val="single" w:sz="8" w:space="0" w:color="auto"/>
              <w:right w:val="single" w:sz="8" w:space="0" w:color="auto"/>
            </w:tcBorders>
            <w:shd w:val="clear" w:color="auto" w:fill="auto"/>
            <w:vAlign w:val="center"/>
            <w:hideMark/>
          </w:tcPr>
          <w:p w14:paraId="70615908" w14:textId="77777777" w:rsidR="00D645D2" w:rsidRPr="00197DFB" w:rsidRDefault="00D645D2" w:rsidP="00301A2E">
            <w:pPr>
              <w:jc w:val="center"/>
              <w:rPr>
                <w:color w:val="000000"/>
                <w:sz w:val="20"/>
                <w:szCs w:val="20"/>
              </w:rPr>
            </w:pPr>
            <w:r>
              <w:rPr>
                <w:color w:val="000000"/>
                <w:sz w:val="20"/>
                <w:szCs w:val="20"/>
              </w:rPr>
              <w:t>2.9</w:t>
            </w:r>
          </w:p>
        </w:tc>
        <w:tc>
          <w:tcPr>
            <w:tcW w:w="1448" w:type="dxa"/>
            <w:tcBorders>
              <w:top w:val="nil"/>
              <w:left w:val="nil"/>
              <w:bottom w:val="single" w:sz="8" w:space="0" w:color="auto"/>
              <w:right w:val="single" w:sz="8" w:space="0" w:color="auto"/>
            </w:tcBorders>
            <w:shd w:val="clear" w:color="000000" w:fill="D9D9D9"/>
            <w:vAlign w:val="center"/>
            <w:hideMark/>
          </w:tcPr>
          <w:p w14:paraId="61A174DA" w14:textId="77777777" w:rsidR="00D645D2" w:rsidRPr="00197DFB" w:rsidRDefault="00D645D2" w:rsidP="00301A2E">
            <w:pPr>
              <w:jc w:val="center"/>
              <w:rPr>
                <w:color w:val="000000"/>
                <w:sz w:val="20"/>
                <w:szCs w:val="20"/>
              </w:rPr>
            </w:pPr>
            <w:r>
              <w:rPr>
                <w:color w:val="000000"/>
                <w:sz w:val="20"/>
                <w:szCs w:val="20"/>
              </w:rPr>
              <w:t>4.4</w:t>
            </w:r>
          </w:p>
        </w:tc>
        <w:tc>
          <w:tcPr>
            <w:tcW w:w="1376" w:type="dxa"/>
            <w:tcBorders>
              <w:top w:val="nil"/>
              <w:left w:val="nil"/>
              <w:bottom w:val="single" w:sz="8" w:space="0" w:color="auto"/>
              <w:right w:val="single" w:sz="8" w:space="0" w:color="auto"/>
            </w:tcBorders>
            <w:shd w:val="clear" w:color="auto" w:fill="auto"/>
            <w:vAlign w:val="center"/>
            <w:hideMark/>
          </w:tcPr>
          <w:p w14:paraId="0A0CAD3C" w14:textId="77777777" w:rsidR="00D645D2" w:rsidRPr="00197DFB" w:rsidRDefault="00D645D2" w:rsidP="00301A2E">
            <w:pPr>
              <w:jc w:val="center"/>
              <w:rPr>
                <w:color w:val="000000"/>
                <w:sz w:val="20"/>
                <w:szCs w:val="20"/>
              </w:rPr>
            </w:pPr>
            <w:r>
              <w:rPr>
                <w:color w:val="000000"/>
                <w:sz w:val="20"/>
                <w:szCs w:val="20"/>
              </w:rPr>
              <w:t>7</w:t>
            </w:r>
          </w:p>
        </w:tc>
        <w:tc>
          <w:tcPr>
            <w:tcW w:w="784" w:type="dxa"/>
            <w:tcBorders>
              <w:top w:val="nil"/>
              <w:left w:val="nil"/>
              <w:bottom w:val="single" w:sz="8" w:space="0" w:color="auto"/>
              <w:right w:val="single" w:sz="8" w:space="0" w:color="auto"/>
            </w:tcBorders>
            <w:shd w:val="clear" w:color="auto" w:fill="auto"/>
            <w:noWrap/>
            <w:vAlign w:val="center"/>
            <w:hideMark/>
          </w:tcPr>
          <w:p w14:paraId="235E88B4" w14:textId="77777777" w:rsidR="00D645D2" w:rsidRPr="00197DFB" w:rsidRDefault="00D645D2" w:rsidP="00301A2E">
            <w:pPr>
              <w:jc w:val="center"/>
              <w:rPr>
                <w:color w:val="000000"/>
                <w:sz w:val="20"/>
                <w:szCs w:val="20"/>
              </w:rPr>
            </w:pPr>
            <w:r>
              <w:rPr>
                <w:color w:val="000000"/>
                <w:sz w:val="20"/>
                <w:szCs w:val="20"/>
              </w:rPr>
              <w:t>3.2</w:t>
            </w:r>
          </w:p>
        </w:tc>
        <w:tc>
          <w:tcPr>
            <w:tcW w:w="1449" w:type="dxa"/>
            <w:tcBorders>
              <w:top w:val="nil"/>
              <w:left w:val="nil"/>
              <w:bottom w:val="single" w:sz="8" w:space="0" w:color="auto"/>
              <w:right w:val="single" w:sz="8" w:space="0" w:color="auto"/>
            </w:tcBorders>
            <w:shd w:val="clear" w:color="000000" w:fill="D9D9D9"/>
            <w:vAlign w:val="center"/>
            <w:hideMark/>
          </w:tcPr>
          <w:p w14:paraId="7CAF13D0" w14:textId="77777777" w:rsidR="00D645D2" w:rsidRPr="00197DFB" w:rsidRDefault="00D645D2" w:rsidP="00301A2E">
            <w:pPr>
              <w:jc w:val="center"/>
              <w:rPr>
                <w:color w:val="000000"/>
                <w:sz w:val="20"/>
                <w:szCs w:val="20"/>
              </w:rPr>
            </w:pPr>
            <w:r>
              <w:rPr>
                <w:color w:val="000000"/>
                <w:sz w:val="20"/>
                <w:szCs w:val="20"/>
              </w:rPr>
              <w:t>4.8</w:t>
            </w:r>
          </w:p>
        </w:tc>
      </w:tr>
      <w:tr w:rsidR="00D645D2" w:rsidRPr="00197DFB" w14:paraId="0EA4FDF1" w14:textId="77777777" w:rsidTr="00DC08A6">
        <w:trPr>
          <w:trHeight w:val="330"/>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5D7C0AB5" w14:textId="77777777" w:rsidR="00D645D2" w:rsidRPr="00197DFB" w:rsidRDefault="00D645D2" w:rsidP="00301A2E">
            <w:pPr>
              <w:rPr>
                <w:color w:val="000000"/>
                <w:sz w:val="20"/>
                <w:szCs w:val="20"/>
              </w:rPr>
            </w:pPr>
            <w:r w:rsidRPr="00197DFB">
              <w:rPr>
                <w:color w:val="000000"/>
                <w:sz w:val="20"/>
                <w:szCs w:val="20"/>
              </w:rPr>
              <w:t>Joint (Hisp/Lat /Not Hisp/Lat)</w:t>
            </w:r>
          </w:p>
        </w:tc>
        <w:tc>
          <w:tcPr>
            <w:tcW w:w="1218" w:type="dxa"/>
            <w:tcBorders>
              <w:top w:val="nil"/>
              <w:left w:val="nil"/>
              <w:bottom w:val="single" w:sz="8" w:space="0" w:color="auto"/>
              <w:right w:val="single" w:sz="8" w:space="0" w:color="auto"/>
            </w:tcBorders>
            <w:shd w:val="clear" w:color="auto" w:fill="auto"/>
            <w:vAlign w:val="center"/>
            <w:hideMark/>
          </w:tcPr>
          <w:p w14:paraId="7AB3B118" w14:textId="77777777" w:rsidR="00D645D2" w:rsidRPr="00197DFB" w:rsidRDefault="00D645D2" w:rsidP="00301A2E">
            <w:pPr>
              <w:jc w:val="center"/>
              <w:rPr>
                <w:color w:val="000000"/>
                <w:sz w:val="20"/>
                <w:szCs w:val="20"/>
              </w:rPr>
            </w:pPr>
            <w:r>
              <w:rPr>
                <w:color w:val="000000"/>
                <w:sz w:val="20"/>
                <w:szCs w:val="20"/>
              </w:rPr>
              <w:t>2</w:t>
            </w:r>
          </w:p>
        </w:tc>
        <w:tc>
          <w:tcPr>
            <w:tcW w:w="1231" w:type="dxa"/>
            <w:tcBorders>
              <w:top w:val="nil"/>
              <w:left w:val="nil"/>
              <w:bottom w:val="single" w:sz="8" w:space="0" w:color="auto"/>
              <w:right w:val="single" w:sz="8" w:space="0" w:color="auto"/>
            </w:tcBorders>
            <w:shd w:val="clear" w:color="auto" w:fill="auto"/>
            <w:vAlign w:val="center"/>
            <w:hideMark/>
          </w:tcPr>
          <w:p w14:paraId="5A9DE2C6" w14:textId="77777777" w:rsidR="00D645D2" w:rsidRPr="00197DFB" w:rsidRDefault="00D645D2" w:rsidP="00301A2E">
            <w:pPr>
              <w:jc w:val="center"/>
              <w:rPr>
                <w:color w:val="000000"/>
                <w:sz w:val="20"/>
                <w:szCs w:val="20"/>
              </w:rPr>
            </w:pPr>
            <w:r>
              <w:rPr>
                <w:color w:val="000000"/>
                <w:sz w:val="20"/>
                <w:szCs w:val="20"/>
              </w:rPr>
              <w:t>1.2</w:t>
            </w:r>
          </w:p>
        </w:tc>
        <w:tc>
          <w:tcPr>
            <w:tcW w:w="1448" w:type="dxa"/>
            <w:tcBorders>
              <w:top w:val="nil"/>
              <w:left w:val="nil"/>
              <w:bottom w:val="single" w:sz="8" w:space="0" w:color="auto"/>
              <w:right w:val="single" w:sz="8" w:space="0" w:color="auto"/>
            </w:tcBorders>
            <w:shd w:val="clear" w:color="000000" w:fill="D9D9D9"/>
            <w:vAlign w:val="center"/>
            <w:hideMark/>
          </w:tcPr>
          <w:p w14:paraId="7611A5E9" w14:textId="77777777" w:rsidR="00D645D2" w:rsidRPr="00197DFB" w:rsidRDefault="00D645D2" w:rsidP="00301A2E">
            <w:pPr>
              <w:jc w:val="center"/>
              <w:rPr>
                <w:color w:val="000000"/>
                <w:sz w:val="20"/>
                <w:szCs w:val="20"/>
              </w:rPr>
            </w:pPr>
            <w:r>
              <w:rPr>
                <w:color w:val="000000"/>
                <w:sz w:val="20"/>
                <w:szCs w:val="20"/>
              </w:rPr>
              <w:t>1.2</w:t>
            </w:r>
          </w:p>
        </w:tc>
        <w:tc>
          <w:tcPr>
            <w:tcW w:w="1376" w:type="dxa"/>
            <w:tcBorders>
              <w:top w:val="nil"/>
              <w:left w:val="nil"/>
              <w:bottom w:val="single" w:sz="8" w:space="0" w:color="auto"/>
              <w:right w:val="single" w:sz="8" w:space="0" w:color="auto"/>
            </w:tcBorders>
            <w:shd w:val="clear" w:color="auto" w:fill="auto"/>
            <w:vAlign w:val="center"/>
            <w:hideMark/>
          </w:tcPr>
          <w:p w14:paraId="1E16CFA3" w14:textId="77777777" w:rsidR="00D645D2" w:rsidRPr="00197DFB" w:rsidRDefault="00D645D2" w:rsidP="00301A2E">
            <w:pPr>
              <w:jc w:val="center"/>
              <w:rPr>
                <w:color w:val="000000"/>
                <w:sz w:val="20"/>
                <w:szCs w:val="20"/>
              </w:rPr>
            </w:pPr>
            <w:r>
              <w:rPr>
                <w:color w:val="000000"/>
                <w:sz w:val="20"/>
                <w:szCs w:val="20"/>
              </w:rPr>
              <w:t>4</w:t>
            </w:r>
          </w:p>
        </w:tc>
        <w:tc>
          <w:tcPr>
            <w:tcW w:w="784" w:type="dxa"/>
            <w:tcBorders>
              <w:top w:val="nil"/>
              <w:left w:val="nil"/>
              <w:bottom w:val="single" w:sz="8" w:space="0" w:color="auto"/>
              <w:right w:val="single" w:sz="8" w:space="0" w:color="auto"/>
            </w:tcBorders>
            <w:shd w:val="clear" w:color="auto" w:fill="auto"/>
            <w:noWrap/>
            <w:vAlign w:val="center"/>
            <w:hideMark/>
          </w:tcPr>
          <w:p w14:paraId="6C285A95" w14:textId="77777777" w:rsidR="00D645D2" w:rsidRPr="00197DFB" w:rsidRDefault="00D645D2" w:rsidP="00301A2E">
            <w:pPr>
              <w:jc w:val="center"/>
              <w:rPr>
                <w:color w:val="000000"/>
                <w:sz w:val="20"/>
                <w:szCs w:val="20"/>
              </w:rPr>
            </w:pPr>
            <w:r>
              <w:rPr>
                <w:color w:val="000000"/>
                <w:sz w:val="20"/>
                <w:szCs w:val="20"/>
              </w:rPr>
              <w:t>1.9</w:t>
            </w:r>
          </w:p>
        </w:tc>
        <w:tc>
          <w:tcPr>
            <w:tcW w:w="1449" w:type="dxa"/>
            <w:tcBorders>
              <w:top w:val="nil"/>
              <w:left w:val="nil"/>
              <w:bottom w:val="single" w:sz="8" w:space="0" w:color="auto"/>
              <w:right w:val="single" w:sz="8" w:space="0" w:color="auto"/>
            </w:tcBorders>
            <w:shd w:val="clear" w:color="000000" w:fill="D9D9D9"/>
            <w:vAlign w:val="center"/>
            <w:hideMark/>
          </w:tcPr>
          <w:p w14:paraId="6327F313" w14:textId="77777777" w:rsidR="00D645D2" w:rsidRPr="00197DFB" w:rsidRDefault="00D645D2" w:rsidP="00301A2E">
            <w:pPr>
              <w:jc w:val="center"/>
              <w:rPr>
                <w:color w:val="000000"/>
                <w:sz w:val="20"/>
                <w:szCs w:val="20"/>
              </w:rPr>
            </w:pPr>
            <w:r>
              <w:rPr>
                <w:color w:val="000000"/>
                <w:sz w:val="20"/>
                <w:szCs w:val="20"/>
              </w:rPr>
              <w:t>1.2</w:t>
            </w:r>
          </w:p>
        </w:tc>
      </w:tr>
      <w:tr w:rsidR="00D645D2" w:rsidRPr="00197DFB" w14:paraId="0330B9CD" w14:textId="77777777" w:rsidTr="00DC08A6">
        <w:trPr>
          <w:trHeight w:val="330"/>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6AAEB873" w14:textId="77777777" w:rsidR="00D645D2" w:rsidRPr="00197DFB" w:rsidRDefault="00D645D2" w:rsidP="00301A2E">
            <w:pPr>
              <w:rPr>
                <w:b/>
                <w:bCs/>
                <w:color w:val="000000"/>
                <w:sz w:val="20"/>
                <w:szCs w:val="20"/>
              </w:rPr>
            </w:pPr>
            <w:r w:rsidRPr="00197DFB">
              <w:rPr>
                <w:b/>
                <w:bCs/>
                <w:color w:val="000000"/>
                <w:sz w:val="20"/>
                <w:szCs w:val="20"/>
              </w:rPr>
              <w:t>Total Ethnic Minority</w:t>
            </w:r>
          </w:p>
        </w:tc>
        <w:tc>
          <w:tcPr>
            <w:tcW w:w="1218" w:type="dxa"/>
            <w:tcBorders>
              <w:top w:val="nil"/>
              <w:left w:val="nil"/>
              <w:bottom w:val="single" w:sz="8" w:space="0" w:color="auto"/>
              <w:right w:val="single" w:sz="8" w:space="0" w:color="auto"/>
            </w:tcBorders>
            <w:shd w:val="clear" w:color="auto" w:fill="auto"/>
            <w:vAlign w:val="center"/>
            <w:hideMark/>
          </w:tcPr>
          <w:p w14:paraId="4BE712EE" w14:textId="77777777" w:rsidR="00D645D2" w:rsidRPr="00197DFB" w:rsidRDefault="00D645D2" w:rsidP="00301A2E">
            <w:pPr>
              <w:jc w:val="center"/>
              <w:rPr>
                <w:b/>
                <w:bCs/>
                <w:color w:val="000000"/>
                <w:sz w:val="20"/>
                <w:szCs w:val="20"/>
              </w:rPr>
            </w:pPr>
            <w:r>
              <w:rPr>
                <w:b/>
                <w:bCs/>
                <w:color w:val="000000"/>
                <w:sz w:val="20"/>
                <w:szCs w:val="20"/>
              </w:rPr>
              <w:t>7</w:t>
            </w:r>
          </w:p>
        </w:tc>
        <w:tc>
          <w:tcPr>
            <w:tcW w:w="1231" w:type="dxa"/>
            <w:tcBorders>
              <w:top w:val="nil"/>
              <w:left w:val="nil"/>
              <w:bottom w:val="single" w:sz="8" w:space="0" w:color="auto"/>
              <w:right w:val="single" w:sz="8" w:space="0" w:color="auto"/>
            </w:tcBorders>
            <w:shd w:val="clear" w:color="auto" w:fill="auto"/>
            <w:vAlign w:val="center"/>
            <w:hideMark/>
          </w:tcPr>
          <w:p w14:paraId="7ACE17AA" w14:textId="77777777" w:rsidR="00D645D2" w:rsidRPr="00197DFB" w:rsidRDefault="00D645D2" w:rsidP="00301A2E">
            <w:pPr>
              <w:jc w:val="center"/>
              <w:rPr>
                <w:b/>
                <w:bCs/>
                <w:color w:val="000000"/>
                <w:sz w:val="20"/>
                <w:szCs w:val="20"/>
              </w:rPr>
            </w:pPr>
            <w:r>
              <w:rPr>
                <w:b/>
                <w:bCs/>
                <w:color w:val="000000"/>
                <w:sz w:val="20"/>
                <w:szCs w:val="20"/>
              </w:rPr>
              <w:t>4.1</w:t>
            </w:r>
          </w:p>
        </w:tc>
        <w:tc>
          <w:tcPr>
            <w:tcW w:w="1448" w:type="dxa"/>
            <w:tcBorders>
              <w:top w:val="nil"/>
              <w:left w:val="nil"/>
              <w:bottom w:val="single" w:sz="8" w:space="0" w:color="auto"/>
              <w:right w:val="single" w:sz="8" w:space="0" w:color="auto"/>
            </w:tcBorders>
            <w:shd w:val="clear" w:color="000000" w:fill="D9D9D9"/>
            <w:vAlign w:val="center"/>
            <w:hideMark/>
          </w:tcPr>
          <w:p w14:paraId="4F6EC17A" w14:textId="77777777" w:rsidR="00D645D2" w:rsidRPr="00197DFB" w:rsidRDefault="00D645D2" w:rsidP="00301A2E">
            <w:pPr>
              <w:jc w:val="center"/>
              <w:rPr>
                <w:b/>
                <w:bCs/>
                <w:color w:val="000000"/>
                <w:sz w:val="20"/>
                <w:szCs w:val="20"/>
              </w:rPr>
            </w:pPr>
            <w:r>
              <w:rPr>
                <w:b/>
                <w:bCs/>
                <w:color w:val="000000"/>
                <w:sz w:val="20"/>
                <w:szCs w:val="20"/>
              </w:rPr>
              <w:t>5.6</w:t>
            </w:r>
          </w:p>
        </w:tc>
        <w:tc>
          <w:tcPr>
            <w:tcW w:w="1376" w:type="dxa"/>
            <w:tcBorders>
              <w:top w:val="nil"/>
              <w:left w:val="nil"/>
              <w:bottom w:val="single" w:sz="8" w:space="0" w:color="auto"/>
              <w:right w:val="single" w:sz="8" w:space="0" w:color="auto"/>
            </w:tcBorders>
            <w:shd w:val="clear" w:color="auto" w:fill="auto"/>
            <w:vAlign w:val="center"/>
            <w:hideMark/>
          </w:tcPr>
          <w:p w14:paraId="670154BD" w14:textId="77777777" w:rsidR="00D645D2" w:rsidRPr="00197DFB" w:rsidRDefault="00D645D2" w:rsidP="00301A2E">
            <w:pPr>
              <w:jc w:val="center"/>
              <w:rPr>
                <w:b/>
                <w:bCs/>
                <w:color w:val="000000"/>
                <w:sz w:val="20"/>
                <w:szCs w:val="20"/>
              </w:rPr>
            </w:pPr>
            <w:r>
              <w:rPr>
                <w:b/>
                <w:bCs/>
                <w:color w:val="000000"/>
                <w:sz w:val="20"/>
                <w:szCs w:val="20"/>
              </w:rPr>
              <w:t>11</w:t>
            </w:r>
          </w:p>
        </w:tc>
        <w:tc>
          <w:tcPr>
            <w:tcW w:w="784" w:type="dxa"/>
            <w:tcBorders>
              <w:top w:val="nil"/>
              <w:left w:val="nil"/>
              <w:bottom w:val="single" w:sz="8" w:space="0" w:color="auto"/>
              <w:right w:val="single" w:sz="8" w:space="0" w:color="auto"/>
            </w:tcBorders>
            <w:shd w:val="clear" w:color="auto" w:fill="auto"/>
            <w:noWrap/>
            <w:vAlign w:val="center"/>
            <w:hideMark/>
          </w:tcPr>
          <w:p w14:paraId="391CB452" w14:textId="77777777" w:rsidR="00D645D2" w:rsidRPr="00197DFB" w:rsidRDefault="00D645D2" w:rsidP="00301A2E">
            <w:pPr>
              <w:jc w:val="center"/>
              <w:rPr>
                <w:b/>
                <w:bCs/>
                <w:color w:val="000000"/>
                <w:sz w:val="20"/>
                <w:szCs w:val="20"/>
              </w:rPr>
            </w:pPr>
            <w:r>
              <w:rPr>
                <w:b/>
                <w:bCs/>
                <w:color w:val="000000"/>
                <w:sz w:val="20"/>
                <w:szCs w:val="20"/>
              </w:rPr>
              <w:t>5.1</w:t>
            </w:r>
          </w:p>
        </w:tc>
        <w:tc>
          <w:tcPr>
            <w:tcW w:w="1449" w:type="dxa"/>
            <w:tcBorders>
              <w:top w:val="nil"/>
              <w:left w:val="nil"/>
              <w:bottom w:val="single" w:sz="8" w:space="0" w:color="auto"/>
              <w:right w:val="single" w:sz="8" w:space="0" w:color="auto"/>
            </w:tcBorders>
            <w:shd w:val="clear" w:color="000000" w:fill="D9D9D9"/>
            <w:vAlign w:val="center"/>
            <w:hideMark/>
          </w:tcPr>
          <w:p w14:paraId="1D3E8994" w14:textId="77777777" w:rsidR="00D645D2" w:rsidRPr="00197DFB" w:rsidRDefault="00D645D2" w:rsidP="00301A2E">
            <w:pPr>
              <w:jc w:val="center"/>
              <w:rPr>
                <w:b/>
                <w:bCs/>
                <w:color w:val="000000"/>
                <w:sz w:val="20"/>
                <w:szCs w:val="20"/>
              </w:rPr>
            </w:pPr>
            <w:r>
              <w:rPr>
                <w:b/>
                <w:bCs/>
                <w:color w:val="000000"/>
                <w:sz w:val="20"/>
                <w:szCs w:val="20"/>
              </w:rPr>
              <w:t>6.0</w:t>
            </w:r>
          </w:p>
        </w:tc>
      </w:tr>
      <w:tr w:rsidR="00D645D2" w:rsidRPr="00197DFB" w14:paraId="41D54134" w14:textId="77777777" w:rsidTr="00DC08A6">
        <w:trPr>
          <w:trHeight w:val="330"/>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7F54A870" w14:textId="77777777" w:rsidR="00D645D2" w:rsidRPr="00197DFB" w:rsidRDefault="00D645D2" w:rsidP="00301A2E">
            <w:pPr>
              <w:rPr>
                <w:color w:val="000000"/>
                <w:sz w:val="20"/>
                <w:szCs w:val="20"/>
              </w:rPr>
            </w:pPr>
            <w:r w:rsidRPr="00197DFB">
              <w:rPr>
                <w:color w:val="000000"/>
                <w:sz w:val="20"/>
                <w:szCs w:val="20"/>
              </w:rPr>
              <w:t>Not Hispanic or Latino</w:t>
            </w:r>
          </w:p>
        </w:tc>
        <w:tc>
          <w:tcPr>
            <w:tcW w:w="1218" w:type="dxa"/>
            <w:tcBorders>
              <w:top w:val="nil"/>
              <w:left w:val="nil"/>
              <w:bottom w:val="single" w:sz="8" w:space="0" w:color="auto"/>
              <w:right w:val="single" w:sz="8" w:space="0" w:color="auto"/>
            </w:tcBorders>
            <w:shd w:val="clear" w:color="auto" w:fill="auto"/>
            <w:vAlign w:val="center"/>
            <w:hideMark/>
          </w:tcPr>
          <w:p w14:paraId="6DCECF04" w14:textId="77777777" w:rsidR="00D645D2" w:rsidRPr="00197DFB" w:rsidRDefault="00D645D2" w:rsidP="00301A2E">
            <w:pPr>
              <w:jc w:val="center"/>
              <w:rPr>
                <w:color w:val="000000"/>
                <w:sz w:val="20"/>
                <w:szCs w:val="20"/>
              </w:rPr>
            </w:pPr>
            <w:r>
              <w:rPr>
                <w:color w:val="000000"/>
                <w:sz w:val="20"/>
                <w:szCs w:val="20"/>
              </w:rPr>
              <w:t>158</w:t>
            </w:r>
          </w:p>
        </w:tc>
        <w:tc>
          <w:tcPr>
            <w:tcW w:w="1231" w:type="dxa"/>
            <w:tcBorders>
              <w:top w:val="nil"/>
              <w:left w:val="nil"/>
              <w:bottom w:val="single" w:sz="8" w:space="0" w:color="auto"/>
              <w:right w:val="single" w:sz="8" w:space="0" w:color="auto"/>
            </w:tcBorders>
            <w:shd w:val="clear" w:color="auto" w:fill="auto"/>
            <w:vAlign w:val="center"/>
            <w:hideMark/>
          </w:tcPr>
          <w:p w14:paraId="31E8C6D0" w14:textId="77777777" w:rsidR="00D645D2" w:rsidRPr="00197DFB" w:rsidRDefault="00D645D2" w:rsidP="00301A2E">
            <w:pPr>
              <w:jc w:val="center"/>
              <w:rPr>
                <w:color w:val="000000"/>
                <w:sz w:val="20"/>
                <w:szCs w:val="20"/>
              </w:rPr>
            </w:pPr>
            <w:r>
              <w:rPr>
                <w:color w:val="000000"/>
                <w:sz w:val="20"/>
                <w:szCs w:val="20"/>
              </w:rPr>
              <w:t>91.3</w:t>
            </w:r>
          </w:p>
        </w:tc>
        <w:tc>
          <w:tcPr>
            <w:tcW w:w="1448" w:type="dxa"/>
            <w:tcBorders>
              <w:top w:val="nil"/>
              <w:left w:val="nil"/>
              <w:bottom w:val="single" w:sz="8" w:space="0" w:color="auto"/>
              <w:right w:val="single" w:sz="8" w:space="0" w:color="auto"/>
            </w:tcBorders>
            <w:shd w:val="clear" w:color="000000" w:fill="D9D9D9"/>
            <w:vAlign w:val="center"/>
            <w:hideMark/>
          </w:tcPr>
          <w:p w14:paraId="4A1FE4DD" w14:textId="77777777" w:rsidR="00D645D2" w:rsidRPr="00197DFB" w:rsidRDefault="00D645D2" w:rsidP="00301A2E">
            <w:pPr>
              <w:jc w:val="center"/>
              <w:rPr>
                <w:color w:val="000000"/>
                <w:sz w:val="20"/>
                <w:szCs w:val="20"/>
              </w:rPr>
            </w:pPr>
            <w:r>
              <w:rPr>
                <w:color w:val="000000"/>
                <w:sz w:val="20"/>
                <w:szCs w:val="20"/>
              </w:rPr>
              <w:t>73.8</w:t>
            </w:r>
          </w:p>
        </w:tc>
        <w:tc>
          <w:tcPr>
            <w:tcW w:w="1376" w:type="dxa"/>
            <w:tcBorders>
              <w:top w:val="nil"/>
              <w:left w:val="nil"/>
              <w:bottom w:val="single" w:sz="8" w:space="0" w:color="auto"/>
              <w:right w:val="single" w:sz="8" w:space="0" w:color="auto"/>
            </w:tcBorders>
            <w:shd w:val="clear" w:color="auto" w:fill="auto"/>
            <w:vAlign w:val="center"/>
            <w:hideMark/>
          </w:tcPr>
          <w:p w14:paraId="449BE12E" w14:textId="77777777" w:rsidR="00D645D2" w:rsidRPr="00197DFB" w:rsidRDefault="00D645D2" w:rsidP="00301A2E">
            <w:pPr>
              <w:jc w:val="center"/>
              <w:rPr>
                <w:color w:val="000000"/>
                <w:sz w:val="20"/>
                <w:szCs w:val="20"/>
              </w:rPr>
            </w:pPr>
            <w:r>
              <w:rPr>
                <w:color w:val="000000"/>
                <w:sz w:val="20"/>
                <w:szCs w:val="20"/>
              </w:rPr>
              <w:t>188</w:t>
            </w:r>
          </w:p>
        </w:tc>
        <w:tc>
          <w:tcPr>
            <w:tcW w:w="784" w:type="dxa"/>
            <w:tcBorders>
              <w:top w:val="nil"/>
              <w:left w:val="nil"/>
              <w:bottom w:val="single" w:sz="8" w:space="0" w:color="auto"/>
              <w:right w:val="single" w:sz="8" w:space="0" w:color="auto"/>
            </w:tcBorders>
            <w:shd w:val="clear" w:color="auto" w:fill="auto"/>
            <w:noWrap/>
            <w:vAlign w:val="center"/>
            <w:hideMark/>
          </w:tcPr>
          <w:p w14:paraId="2B1A74F5" w14:textId="77777777" w:rsidR="00D645D2" w:rsidRPr="00197DFB" w:rsidRDefault="00D645D2" w:rsidP="00301A2E">
            <w:pPr>
              <w:jc w:val="center"/>
              <w:rPr>
                <w:color w:val="000000"/>
                <w:sz w:val="20"/>
                <w:szCs w:val="20"/>
              </w:rPr>
            </w:pPr>
            <w:r>
              <w:rPr>
                <w:color w:val="000000"/>
                <w:sz w:val="20"/>
                <w:szCs w:val="20"/>
              </w:rPr>
              <w:t>87.0</w:t>
            </w:r>
          </w:p>
        </w:tc>
        <w:tc>
          <w:tcPr>
            <w:tcW w:w="1449" w:type="dxa"/>
            <w:tcBorders>
              <w:top w:val="nil"/>
              <w:left w:val="nil"/>
              <w:bottom w:val="single" w:sz="8" w:space="0" w:color="auto"/>
              <w:right w:val="single" w:sz="8" w:space="0" w:color="auto"/>
            </w:tcBorders>
            <w:shd w:val="clear" w:color="000000" w:fill="D9D9D9"/>
            <w:vAlign w:val="center"/>
            <w:hideMark/>
          </w:tcPr>
          <w:p w14:paraId="3105AD47" w14:textId="77777777" w:rsidR="00D645D2" w:rsidRPr="00197DFB" w:rsidRDefault="00D645D2" w:rsidP="00301A2E">
            <w:pPr>
              <w:jc w:val="center"/>
              <w:rPr>
                <w:color w:val="000000"/>
                <w:sz w:val="20"/>
                <w:szCs w:val="20"/>
              </w:rPr>
            </w:pPr>
            <w:r>
              <w:rPr>
                <w:color w:val="000000"/>
                <w:sz w:val="20"/>
                <w:szCs w:val="20"/>
              </w:rPr>
              <w:t>72.5</w:t>
            </w:r>
          </w:p>
        </w:tc>
      </w:tr>
      <w:tr w:rsidR="00D645D2" w:rsidRPr="00197DFB" w14:paraId="5AD83620" w14:textId="77777777" w:rsidTr="00DC08A6">
        <w:trPr>
          <w:trHeight w:val="330"/>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2D333B83" w14:textId="77777777" w:rsidR="00D645D2" w:rsidRPr="00197DFB" w:rsidRDefault="00D645D2" w:rsidP="00301A2E">
            <w:pPr>
              <w:rPr>
                <w:color w:val="000000"/>
                <w:sz w:val="20"/>
                <w:szCs w:val="20"/>
              </w:rPr>
            </w:pPr>
            <w:r w:rsidRPr="00197DFB">
              <w:rPr>
                <w:color w:val="000000"/>
                <w:sz w:val="20"/>
                <w:szCs w:val="20"/>
              </w:rPr>
              <w:t>Ethnicity Not Available</w:t>
            </w:r>
          </w:p>
        </w:tc>
        <w:tc>
          <w:tcPr>
            <w:tcW w:w="1218" w:type="dxa"/>
            <w:tcBorders>
              <w:top w:val="nil"/>
              <w:left w:val="nil"/>
              <w:bottom w:val="nil"/>
              <w:right w:val="single" w:sz="8" w:space="0" w:color="auto"/>
            </w:tcBorders>
            <w:shd w:val="clear" w:color="auto" w:fill="auto"/>
            <w:vAlign w:val="center"/>
            <w:hideMark/>
          </w:tcPr>
          <w:p w14:paraId="217EDF57" w14:textId="77777777" w:rsidR="00D645D2" w:rsidRPr="00197DFB" w:rsidRDefault="00D645D2" w:rsidP="00301A2E">
            <w:pPr>
              <w:jc w:val="center"/>
              <w:rPr>
                <w:color w:val="000000"/>
                <w:sz w:val="20"/>
                <w:szCs w:val="20"/>
              </w:rPr>
            </w:pPr>
            <w:r>
              <w:rPr>
                <w:color w:val="000000"/>
                <w:sz w:val="20"/>
                <w:szCs w:val="20"/>
              </w:rPr>
              <w:t>8</w:t>
            </w:r>
          </w:p>
        </w:tc>
        <w:tc>
          <w:tcPr>
            <w:tcW w:w="1231" w:type="dxa"/>
            <w:tcBorders>
              <w:top w:val="nil"/>
              <w:left w:val="nil"/>
              <w:bottom w:val="nil"/>
              <w:right w:val="single" w:sz="8" w:space="0" w:color="auto"/>
            </w:tcBorders>
            <w:shd w:val="clear" w:color="auto" w:fill="auto"/>
            <w:vAlign w:val="center"/>
            <w:hideMark/>
          </w:tcPr>
          <w:p w14:paraId="1B4AE2C7" w14:textId="77777777" w:rsidR="00D645D2" w:rsidRPr="00197DFB" w:rsidRDefault="00D645D2" w:rsidP="00301A2E">
            <w:pPr>
              <w:jc w:val="center"/>
              <w:rPr>
                <w:color w:val="000000"/>
                <w:sz w:val="20"/>
                <w:szCs w:val="20"/>
              </w:rPr>
            </w:pPr>
            <w:r>
              <w:rPr>
                <w:color w:val="000000"/>
                <w:sz w:val="20"/>
                <w:szCs w:val="20"/>
              </w:rPr>
              <w:t>4.6</w:t>
            </w:r>
          </w:p>
        </w:tc>
        <w:tc>
          <w:tcPr>
            <w:tcW w:w="1448" w:type="dxa"/>
            <w:tcBorders>
              <w:top w:val="nil"/>
              <w:left w:val="nil"/>
              <w:bottom w:val="nil"/>
              <w:right w:val="single" w:sz="8" w:space="0" w:color="auto"/>
            </w:tcBorders>
            <w:shd w:val="clear" w:color="000000" w:fill="D9D9D9"/>
            <w:vAlign w:val="center"/>
            <w:hideMark/>
          </w:tcPr>
          <w:p w14:paraId="22EA9B6D" w14:textId="77777777" w:rsidR="00D645D2" w:rsidRPr="00197DFB" w:rsidRDefault="00D645D2" w:rsidP="00301A2E">
            <w:pPr>
              <w:jc w:val="center"/>
              <w:rPr>
                <w:color w:val="000000"/>
                <w:sz w:val="20"/>
                <w:szCs w:val="20"/>
              </w:rPr>
            </w:pPr>
            <w:r>
              <w:rPr>
                <w:color w:val="000000"/>
                <w:sz w:val="20"/>
                <w:szCs w:val="20"/>
              </w:rPr>
              <w:t>20.6</w:t>
            </w:r>
          </w:p>
        </w:tc>
        <w:tc>
          <w:tcPr>
            <w:tcW w:w="1376" w:type="dxa"/>
            <w:tcBorders>
              <w:top w:val="nil"/>
              <w:left w:val="nil"/>
              <w:bottom w:val="nil"/>
              <w:right w:val="single" w:sz="8" w:space="0" w:color="auto"/>
            </w:tcBorders>
            <w:shd w:val="clear" w:color="auto" w:fill="auto"/>
            <w:vAlign w:val="center"/>
            <w:hideMark/>
          </w:tcPr>
          <w:p w14:paraId="1D5961BE" w14:textId="77777777" w:rsidR="00D645D2" w:rsidRPr="00197DFB" w:rsidRDefault="00D645D2" w:rsidP="00301A2E">
            <w:pPr>
              <w:jc w:val="center"/>
              <w:rPr>
                <w:color w:val="000000"/>
                <w:sz w:val="20"/>
                <w:szCs w:val="20"/>
              </w:rPr>
            </w:pPr>
            <w:r>
              <w:rPr>
                <w:color w:val="000000"/>
                <w:sz w:val="20"/>
                <w:szCs w:val="20"/>
              </w:rPr>
              <w:t>17</w:t>
            </w:r>
          </w:p>
        </w:tc>
        <w:tc>
          <w:tcPr>
            <w:tcW w:w="784" w:type="dxa"/>
            <w:tcBorders>
              <w:top w:val="nil"/>
              <w:left w:val="nil"/>
              <w:bottom w:val="nil"/>
              <w:right w:val="single" w:sz="8" w:space="0" w:color="auto"/>
            </w:tcBorders>
            <w:shd w:val="clear" w:color="auto" w:fill="auto"/>
            <w:noWrap/>
            <w:vAlign w:val="center"/>
            <w:hideMark/>
          </w:tcPr>
          <w:p w14:paraId="090771E5" w14:textId="77777777" w:rsidR="00D645D2" w:rsidRPr="00197DFB" w:rsidRDefault="00D645D2" w:rsidP="00301A2E">
            <w:pPr>
              <w:jc w:val="center"/>
              <w:rPr>
                <w:color w:val="000000"/>
                <w:sz w:val="20"/>
                <w:szCs w:val="20"/>
              </w:rPr>
            </w:pPr>
            <w:r>
              <w:rPr>
                <w:color w:val="000000"/>
                <w:sz w:val="20"/>
                <w:szCs w:val="20"/>
              </w:rPr>
              <w:t>7.9</w:t>
            </w:r>
          </w:p>
        </w:tc>
        <w:tc>
          <w:tcPr>
            <w:tcW w:w="1449" w:type="dxa"/>
            <w:tcBorders>
              <w:top w:val="nil"/>
              <w:left w:val="nil"/>
              <w:bottom w:val="nil"/>
              <w:right w:val="single" w:sz="8" w:space="0" w:color="auto"/>
            </w:tcBorders>
            <w:shd w:val="clear" w:color="000000" w:fill="D9D9D9"/>
            <w:vAlign w:val="center"/>
            <w:hideMark/>
          </w:tcPr>
          <w:p w14:paraId="7DA916AF" w14:textId="77777777" w:rsidR="00D645D2" w:rsidRPr="00197DFB" w:rsidRDefault="00D645D2" w:rsidP="00301A2E">
            <w:pPr>
              <w:jc w:val="center"/>
              <w:rPr>
                <w:color w:val="000000"/>
                <w:sz w:val="20"/>
                <w:szCs w:val="20"/>
              </w:rPr>
            </w:pPr>
            <w:r>
              <w:rPr>
                <w:color w:val="000000"/>
                <w:sz w:val="20"/>
                <w:szCs w:val="20"/>
              </w:rPr>
              <w:t>21.5</w:t>
            </w:r>
          </w:p>
        </w:tc>
      </w:tr>
      <w:tr w:rsidR="00D645D2" w:rsidRPr="00197DFB" w14:paraId="35F70E2C" w14:textId="77777777" w:rsidTr="00DC08A6">
        <w:trPr>
          <w:trHeight w:val="172"/>
        </w:trPr>
        <w:tc>
          <w:tcPr>
            <w:tcW w:w="2313" w:type="dxa"/>
            <w:tcBorders>
              <w:top w:val="nil"/>
              <w:left w:val="single" w:sz="8" w:space="0" w:color="auto"/>
              <w:bottom w:val="single" w:sz="8" w:space="0" w:color="auto"/>
              <w:right w:val="single" w:sz="8" w:space="0" w:color="auto"/>
            </w:tcBorders>
            <w:shd w:val="clear" w:color="auto" w:fill="auto"/>
            <w:vAlign w:val="center"/>
            <w:hideMark/>
          </w:tcPr>
          <w:p w14:paraId="33A161E3" w14:textId="77777777" w:rsidR="00D645D2" w:rsidRPr="00197DFB" w:rsidRDefault="00D645D2" w:rsidP="00301A2E">
            <w:pPr>
              <w:jc w:val="center"/>
              <w:rPr>
                <w:b/>
                <w:bCs/>
                <w:color w:val="000000"/>
                <w:sz w:val="20"/>
                <w:szCs w:val="20"/>
              </w:rPr>
            </w:pPr>
            <w:r w:rsidRPr="00197DFB">
              <w:rPr>
                <w:b/>
                <w:bCs/>
                <w:color w:val="000000"/>
                <w:sz w:val="20"/>
                <w:szCs w:val="20"/>
              </w:rPr>
              <w:t>Total</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51350965" w14:textId="77777777" w:rsidR="00D645D2" w:rsidRPr="00197DFB" w:rsidRDefault="00D645D2" w:rsidP="00301A2E">
            <w:pPr>
              <w:jc w:val="center"/>
              <w:rPr>
                <w:b/>
                <w:bCs/>
                <w:color w:val="000000"/>
                <w:sz w:val="20"/>
                <w:szCs w:val="20"/>
              </w:rPr>
            </w:pPr>
            <w:r>
              <w:rPr>
                <w:b/>
                <w:bCs/>
                <w:color w:val="000000"/>
                <w:sz w:val="20"/>
                <w:szCs w:val="20"/>
              </w:rPr>
              <w:t>173</w:t>
            </w:r>
          </w:p>
        </w:tc>
        <w:tc>
          <w:tcPr>
            <w:tcW w:w="1231" w:type="dxa"/>
            <w:tcBorders>
              <w:top w:val="single" w:sz="8" w:space="0" w:color="auto"/>
              <w:left w:val="nil"/>
              <w:bottom w:val="single" w:sz="8" w:space="0" w:color="auto"/>
              <w:right w:val="single" w:sz="8" w:space="0" w:color="auto"/>
            </w:tcBorders>
            <w:shd w:val="clear" w:color="auto" w:fill="auto"/>
            <w:vAlign w:val="center"/>
            <w:hideMark/>
          </w:tcPr>
          <w:p w14:paraId="7AB64FEA" w14:textId="77777777" w:rsidR="00D645D2" w:rsidRPr="00197DFB" w:rsidRDefault="00D645D2" w:rsidP="00301A2E">
            <w:pPr>
              <w:jc w:val="center"/>
              <w:rPr>
                <w:b/>
                <w:bCs/>
                <w:color w:val="000000"/>
                <w:sz w:val="20"/>
                <w:szCs w:val="20"/>
              </w:rPr>
            </w:pPr>
            <w:r>
              <w:rPr>
                <w:b/>
                <w:bCs/>
                <w:color w:val="000000"/>
                <w:sz w:val="20"/>
                <w:szCs w:val="20"/>
              </w:rPr>
              <w:t>100.0</w:t>
            </w:r>
          </w:p>
        </w:tc>
        <w:tc>
          <w:tcPr>
            <w:tcW w:w="1448" w:type="dxa"/>
            <w:tcBorders>
              <w:top w:val="single" w:sz="8" w:space="0" w:color="auto"/>
              <w:left w:val="nil"/>
              <w:bottom w:val="single" w:sz="8" w:space="0" w:color="auto"/>
              <w:right w:val="single" w:sz="8" w:space="0" w:color="auto"/>
            </w:tcBorders>
            <w:shd w:val="clear" w:color="000000" w:fill="D9D9D9"/>
            <w:vAlign w:val="center"/>
            <w:hideMark/>
          </w:tcPr>
          <w:p w14:paraId="3F24B73F" w14:textId="77777777" w:rsidR="00D645D2" w:rsidRPr="00197DFB" w:rsidRDefault="00D645D2" w:rsidP="00301A2E">
            <w:pPr>
              <w:jc w:val="center"/>
              <w:rPr>
                <w:b/>
                <w:bCs/>
                <w:color w:val="000000"/>
                <w:sz w:val="20"/>
                <w:szCs w:val="20"/>
              </w:rPr>
            </w:pPr>
            <w:r>
              <w:rPr>
                <w:b/>
                <w:bCs/>
                <w:color w:val="000000"/>
                <w:sz w:val="20"/>
                <w:szCs w:val="20"/>
              </w:rPr>
              <w:t>100.0</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7E96D3CF" w14:textId="77777777" w:rsidR="00D645D2" w:rsidRPr="00197DFB" w:rsidRDefault="00D645D2" w:rsidP="00301A2E">
            <w:pPr>
              <w:jc w:val="center"/>
              <w:rPr>
                <w:b/>
                <w:bCs/>
                <w:color w:val="000000"/>
                <w:sz w:val="20"/>
                <w:szCs w:val="20"/>
              </w:rPr>
            </w:pPr>
            <w:r>
              <w:rPr>
                <w:b/>
                <w:bCs/>
                <w:color w:val="000000"/>
                <w:sz w:val="20"/>
                <w:szCs w:val="20"/>
              </w:rPr>
              <w:t>216</w:t>
            </w:r>
          </w:p>
        </w:tc>
        <w:tc>
          <w:tcPr>
            <w:tcW w:w="784" w:type="dxa"/>
            <w:tcBorders>
              <w:top w:val="single" w:sz="8" w:space="0" w:color="auto"/>
              <w:left w:val="nil"/>
              <w:bottom w:val="single" w:sz="8" w:space="0" w:color="auto"/>
              <w:right w:val="single" w:sz="8" w:space="0" w:color="auto"/>
            </w:tcBorders>
            <w:shd w:val="clear" w:color="auto" w:fill="auto"/>
            <w:noWrap/>
            <w:vAlign w:val="center"/>
            <w:hideMark/>
          </w:tcPr>
          <w:p w14:paraId="7B48A9ED" w14:textId="77777777" w:rsidR="00D645D2" w:rsidRPr="00197DFB" w:rsidRDefault="00D645D2" w:rsidP="00301A2E">
            <w:pPr>
              <w:jc w:val="center"/>
              <w:rPr>
                <w:b/>
                <w:bCs/>
                <w:color w:val="000000"/>
                <w:sz w:val="20"/>
                <w:szCs w:val="20"/>
              </w:rPr>
            </w:pPr>
            <w:r>
              <w:rPr>
                <w:b/>
                <w:bCs/>
                <w:color w:val="000000"/>
                <w:sz w:val="20"/>
                <w:szCs w:val="20"/>
              </w:rPr>
              <w:t>100.0</w:t>
            </w:r>
          </w:p>
        </w:tc>
        <w:tc>
          <w:tcPr>
            <w:tcW w:w="1449" w:type="dxa"/>
            <w:tcBorders>
              <w:top w:val="single" w:sz="8" w:space="0" w:color="auto"/>
              <w:left w:val="nil"/>
              <w:bottom w:val="single" w:sz="8" w:space="0" w:color="auto"/>
              <w:right w:val="single" w:sz="8" w:space="0" w:color="auto"/>
            </w:tcBorders>
            <w:shd w:val="clear" w:color="000000" w:fill="D9D9D9"/>
            <w:vAlign w:val="center"/>
            <w:hideMark/>
          </w:tcPr>
          <w:p w14:paraId="2DABE182" w14:textId="77777777" w:rsidR="00D645D2" w:rsidRPr="00197DFB" w:rsidRDefault="00D645D2" w:rsidP="00301A2E">
            <w:pPr>
              <w:jc w:val="center"/>
              <w:rPr>
                <w:b/>
                <w:bCs/>
                <w:color w:val="000000"/>
                <w:sz w:val="20"/>
                <w:szCs w:val="20"/>
              </w:rPr>
            </w:pPr>
            <w:r>
              <w:rPr>
                <w:b/>
                <w:bCs/>
                <w:color w:val="000000"/>
                <w:sz w:val="20"/>
                <w:szCs w:val="20"/>
              </w:rPr>
              <w:t>100.0</w:t>
            </w:r>
          </w:p>
        </w:tc>
      </w:tr>
    </w:tbl>
    <w:p w14:paraId="61E76E92" w14:textId="77777777" w:rsidR="00D645D2" w:rsidRPr="0041358C" w:rsidRDefault="00D645D2" w:rsidP="00D645D2">
      <w:pPr>
        <w:autoSpaceDE w:val="0"/>
        <w:autoSpaceDN w:val="0"/>
        <w:adjustRightInd w:val="0"/>
        <w:rPr>
          <w:color w:val="000000"/>
        </w:rPr>
      </w:pPr>
      <w:r>
        <w:rPr>
          <w:color w:val="000000"/>
          <w:highlight w:val="yellow"/>
        </w:rPr>
        <w:fldChar w:fldCharType="end"/>
      </w:r>
      <w:r w:rsidRPr="0041358C">
        <w:rPr>
          <w:i/>
          <w:spacing w:val="-4"/>
          <w:sz w:val="16"/>
          <w:szCs w:val="16"/>
        </w:rPr>
        <w:t xml:space="preserve">Source: ACS Census 2015, HMDA Aggregate Data 2017, HMDA LAR Data 2018 and 2019   </w:t>
      </w:r>
    </w:p>
    <w:p w14:paraId="0689C6E9" w14:textId="77777777" w:rsidR="00D645D2" w:rsidRPr="000D57C1" w:rsidRDefault="00D645D2" w:rsidP="00D645D2">
      <w:pPr>
        <w:autoSpaceDE w:val="0"/>
        <w:autoSpaceDN w:val="0"/>
        <w:adjustRightInd w:val="0"/>
        <w:rPr>
          <w:color w:val="000000"/>
        </w:rPr>
      </w:pPr>
    </w:p>
    <w:p w14:paraId="6EA09363" w14:textId="77777777" w:rsidR="00D645D2" w:rsidRPr="001046C3" w:rsidRDefault="00D645D2" w:rsidP="00D645D2">
      <w:pPr>
        <w:autoSpaceDE w:val="0"/>
        <w:autoSpaceDN w:val="0"/>
        <w:adjustRightInd w:val="0"/>
        <w:rPr>
          <w:color w:val="000000"/>
        </w:rPr>
      </w:pPr>
      <w:r w:rsidRPr="000D57C1">
        <w:rPr>
          <w:color w:val="000000"/>
        </w:rPr>
        <w:t xml:space="preserve">In 2018, the bank received 173 HMDA reportable loan applications </w:t>
      </w:r>
      <w:r w:rsidR="00DC2DAF">
        <w:rPr>
          <w:color w:val="000000"/>
        </w:rPr>
        <w:t xml:space="preserve">from </w:t>
      </w:r>
      <w:r w:rsidRPr="000D57C1">
        <w:rPr>
          <w:color w:val="000000"/>
        </w:rPr>
        <w:t>within its assessment area.  Of these applications, 6</w:t>
      </w:r>
      <w:r w:rsidR="001046C3">
        <w:rPr>
          <w:color w:val="000000"/>
        </w:rPr>
        <w:t xml:space="preserve"> applications</w:t>
      </w:r>
      <w:r w:rsidR="00DC2DAF">
        <w:rPr>
          <w:color w:val="000000"/>
        </w:rPr>
        <w:t>,</w:t>
      </w:r>
      <w:r w:rsidRPr="000D57C1">
        <w:rPr>
          <w:color w:val="000000"/>
        </w:rPr>
        <w:t xml:space="preserve"> or 3.5 percent</w:t>
      </w:r>
      <w:r w:rsidR="00DC2DAF">
        <w:rPr>
          <w:color w:val="000000"/>
        </w:rPr>
        <w:t>,</w:t>
      </w:r>
      <w:r w:rsidRPr="000D57C1">
        <w:rPr>
          <w:color w:val="000000"/>
        </w:rPr>
        <w:t xml:space="preserve"> were received from minority applicants, 83.3 percent of which resulted in originations.  The aggregate received 5.6 percent of its applications </w:t>
      </w:r>
      <w:r w:rsidRPr="000D57C1">
        <w:rPr>
          <w:color w:val="000000"/>
        </w:rPr>
        <w:lastRenderedPageBreak/>
        <w:t>from minority consumers,</w:t>
      </w:r>
      <w:r w:rsidR="004A494A">
        <w:rPr>
          <w:color w:val="000000"/>
        </w:rPr>
        <w:t xml:space="preserve"> of which 60.8 percent </w:t>
      </w:r>
      <w:r w:rsidRPr="000D57C1">
        <w:rPr>
          <w:color w:val="000000"/>
        </w:rPr>
        <w:t>were originated.  For the same time period, the bank received 7</w:t>
      </w:r>
      <w:r w:rsidR="001046C3">
        <w:rPr>
          <w:color w:val="000000"/>
        </w:rPr>
        <w:t xml:space="preserve"> applications</w:t>
      </w:r>
      <w:r w:rsidR="00DC2DAF">
        <w:rPr>
          <w:color w:val="000000"/>
        </w:rPr>
        <w:t>,</w:t>
      </w:r>
      <w:r w:rsidRPr="000D57C1">
        <w:rPr>
          <w:color w:val="000000"/>
        </w:rPr>
        <w:t xml:space="preserve"> or 4.1 percent of all applications</w:t>
      </w:r>
      <w:r w:rsidR="00DC2DAF">
        <w:rPr>
          <w:color w:val="000000"/>
        </w:rPr>
        <w:t>,</w:t>
      </w:r>
      <w:r w:rsidRPr="000D57C1">
        <w:rPr>
          <w:color w:val="000000"/>
        </w:rPr>
        <w:t xml:space="preserve"> from ethnic groups of Hispanic origin within its assessment area</w:t>
      </w:r>
      <w:r w:rsidR="00DC2DAF">
        <w:rPr>
          <w:color w:val="000000"/>
        </w:rPr>
        <w:t>,</w:t>
      </w:r>
      <w:r w:rsidRPr="000D57C1">
        <w:rPr>
          <w:color w:val="000000"/>
        </w:rPr>
        <w:t xml:space="preserve"> </w:t>
      </w:r>
      <w:r w:rsidRPr="001046C3">
        <w:rPr>
          <w:color w:val="000000"/>
        </w:rPr>
        <w:t xml:space="preserve">57.1 </w:t>
      </w:r>
      <w:r w:rsidR="001046C3" w:rsidRPr="001046C3">
        <w:rPr>
          <w:color w:val="000000"/>
        </w:rPr>
        <w:t xml:space="preserve">of which </w:t>
      </w:r>
      <w:r w:rsidRPr="001046C3">
        <w:rPr>
          <w:color w:val="000000"/>
        </w:rPr>
        <w:t>were originated, compared to an aggregate ethnic minority application rate of 5.6 percent with a 60.0 percent origination rate.</w:t>
      </w:r>
    </w:p>
    <w:p w14:paraId="21432664" w14:textId="77777777" w:rsidR="00D645D2" w:rsidRPr="001046C3" w:rsidRDefault="00D645D2" w:rsidP="00D645D2">
      <w:pPr>
        <w:autoSpaceDE w:val="0"/>
        <w:autoSpaceDN w:val="0"/>
        <w:adjustRightInd w:val="0"/>
        <w:rPr>
          <w:color w:val="000000"/>
        </w:rPr>
      </w:pPr>
    </w:p>
    <w:p w14:paraId="282493AF" w14:textId="77777777" w:rsidR="00D645D2" w:rsidRPr="000D57C1" w:rsidRDefault="00D645D2" w:rsidP="00D645D2">
      <w:pPr>
        <w:autoSpaceDE w:val="0"/>
        <w:autoSpaceDN w:val="0"/>
        <w:adjustRightInd w:val="0"/>
        <w:rPr>
          <w:color w:val="000000"/>
        </w:rPr>
      </w:pPr>
      <w:r w:rsidRPr="001046C3">
        <w:rPr>
          <w:color w:val="000000"/>
        </w:rPr>
        <w:t xml:space="preserve">In 2019, the bank received 216 HMDA reportable loan applications </w:t>
      </w:r>
      <w:r w:rsidR="00DC2DAF" w:rsidRPr="001046C3">
        <w:rPr>
          <w:color w:val="000000"/>
        </w:rPr>
        <w:t xml:space="preserve">from </w:t>
      </w:r>
      <w:r w:rsidRPr="001046C3">
        <w:rPr>
          <w:color w:val="000000"/>
        </w:rPr>
        <w:t>within its assessment area.  Of these applications, 7</w:t>
      </w:r>
      <w:r w:rsidR="001046C3">
        <w:rPr>
          <w:color w:val="000000"/>
        </w:rPr>
        <w:t xml:space="preserve"> applications</w:t>
      </w:r>
      <w:r w:rsidR="00DC2DAF" w:rsidRPr="001046C3">
        <w:rPr>
          <w:color w:val="000000"/>
        </w:rPr>
        <w:t>,</w:t>
      </w:r>
      <w:r w:rsidRPr="001046C3">
        <w:rPr>
          <w:color w:val="000000"/>
        </w:rPr>
        <w:t xml:space="preserve"> or 3.3 percent</w:t>
      </w:r>
      <w:r w:rsidR="00DC2DAF" w:rsidRPr="001046C3">
        <w:rPr>
          <w:color w:val="000000"/>
        </w:rPr>
        <w:t>,</w:t>
      </w:r>
      <w:r w:rsidRPr="001046C3">
        <w:rPr>
          <w:color w:val="000000"/>
        </w:rPr>
        <w:t xml:space="preserve"> were received from minority applicants, 71.4 percent of which resulted in originations.  The aggregate received 6.0 percent of its applications from minority consumers, of which 59.9</w:t>
      </w:r>
      <w:r w:rsidR="00C52B9E" w:rsidRPr="001046C3">
        <w:rPr>
          <w:color w:val="000000"/>
        </w:rPr>
        <w:t xml:space="preserve"> percent </w:t>
      </w:r>
      <w:r w:rsidRPr="001046C3">
        <w:rPr>
          <w:color w:val="000000"/>
        </w:rPr>
        <w:t>were originated.  For the same time period, the bank received 11</w:t>
      </w:r>
      <w:r w:rsidR="001046C3">
        <w:rPr>
          <w:color w:val="000000"/>
        </w:rPr>
        <w:t xml:space="preserve"> applications</w:t>
      </w:r>
      <w:r w:rsidR="00DC2DAF" w:rsidRPr="001046C3">
        <w:rPr>
          <w:color w:val="000000"/>
        </w:rPr>
        <w:t>,</w:t>
      </w:r>
      <w:r w:rsidRPr="001046C3">
        <w:rPr>
          <w:color w:val="000000"/>
        </w:rPr>
        <w:t xml:space="preserve"> or 5.1 percent of all applications</w:t>
      </w:r>
      <w:r w:rsidR="00DC2DAF" w:rsidRPr="001046C3">
        <w:rPr>
          <w:color w:val="000000"/>
        </w:rPr>
        <w:t>,</w:t>
      </w:r>
      <w:r w:rsidRPr="001046C3">
        <w:rPr>
          <w:color w:val="000000"/>
        </w:rPr>
        <w:t xml:space="preserve"> from ethnic groups of Hispanic origin within its assessment area</w:t>
      </w:r>
      <w:r w:rsidR="00DC2DAF" w:rsidRPr="001046C3">
        <w:rPr>
          <w:color w:val="000000"/>
        </w:rPr>
        <w:t>,</w:t>
      </w:r>
      <w:r w:rsidR="001046C3" w:rsidRPr="001046C3">
        <w:rPr>
          <w:color w:val="000000"/>
        </w:rPr>
        <w:t xml:space="preserve"> </w:t>
      </w:r>
      <w:r w:rsidRPr="001046C3">
        <w:rPr>
          <w:color w:val="000000"/>
        </w:rPr>
        <w:t xml:space="preserve">90.0 percent </w:t>
      </w:r>
      <w:r w:rsidR="001046C3" w:rsidRPr="001046C3">
        <w:rPr>
          <w:color w:val="000000"/>
        </w:rPr>
        <w:t xml:space="preserve">of which </w:t>
      </w:r>
      <w:r w:rsidRPr="001046C3">
        <w:rPr>
          <w:color w:val="000000"/>
        </w:rPr>
        <w:t>were originated, compared to an aggregate ethnic minority application rate of 6.0 percent with a 60.1 percent origination rate.</w:t>
      </w:r>
    </w:p>
    <w:p w14:paraId="1E4273BF" w14:textId="77777777" w:rsidR="00D645D2" w:rsidRPr="001919A5" w:rsidRDefault="00D645D2" w:rsidP="00D645D2">
      <w:pPr>
        <w:tabs>
          <w:tab w:val="center" w:pos="4680"/>
        </w:tabs>
        <w:rPr>
          <w:color w:val="000000"/>
          <w:highlight w:val="yellow"/>
        </w:rPr>
      </w:pPr>
    </w:p>
    <w:p w14:paraId="765F31B0" w14:textId="77777777" w:rsidR="00D645D2" w:rsidRPr="00360006" w:rsidRDefault="00D645D2" w:rsidP="00D645D2">
      <w:pPr>
        <w:tabs>
          <w:tab w:val="center" w:pos="4680"/>
        </w:tabs>
        <w:rPr>
          <w:color w:val="000000"/>
        </w:rPr>
      </w:pPr>
      <w:r w:rsidRPr="00D645D2">
        <w:rPr>
          <w:color w:val="000000"/>
        </w:rPr>
        <w:t xml:space="preserve">The bank’s lending in 2018 and 2019 reflect a reasonable racial minority application flow.  The  variety of languages spoken </w:t>
      </w:r>
      <w:r w:rsidR="00E26DAF">
        <w:rPr>
          <w:color w:val="000000"/>
        </w:rPr>
        <w:t xml:space="preserve">at the </w:t>
      </w:r>
      <w:r w:rsidR="00E26DAF" w:rsidRPr="00D645D2">
        <w:rPr>
          <w:color w:val="000000"/>
        </w:rPr>
        <w:t xml:space="preserve">bank </w:t>
      </w:r>
      <w:r w:rsidRPr="00D645D2">
        <w:rPr>
          <w:color w:val="000000"/>
        </w:rPr>
        <w:t xml:space="preserve">and </w:t>
      </w:r>
      <w:r w:rsidR="00E26DAF">
        <w:rPr>
          <w:color w:val="000000"/>
        </w:rPr>
        <w:t xml:space="preserve">its </w:t>
      </w:r>
      <w:r w:rsidRPr="00D645D2">
        <w:rPr>
          <w:color w:val="000000"/>
        </w:rPr>
        <w:t xml:space="preserve">home mortgage lending origination rates further support good performance.  Additionally, the bank displayed strong performance in majority-minority census tracts just outside of the assessment area in 2018.  </w:t>
      </w:r>
      <w:r w:rsidRPr="00EA48FE">
        <w:rPr>
          <w:color w:val="000000"/>
        </w:rPr>
        <w:t xml:space="preserve">Considering the demographic composition of the assessment area and </w:t>
      </w:r>
      <w:r w:rsidR="00DC2DAF">
        <w:rPr>
          <w:color w:val="000000"/>
        </w:rPr>
        <w:t xml:space="preserve">the </w:t>
      </w:r>
      <w:r w:rsidRPr="00EA48FE">
        <w:rPr>
          <w:color w:val="000000"/>
        </w:rPr>
        <w:t>comparisons to aggregate data in 2019, the bank’s minority application flow is reasonable.</w:t>
      </w:r>
    </w:p>
    <w:p w14:paraId="3D021BD5" w14:textId="77777777" w:rsidR="00EE690A" w:rsidRDefault="00EE690A" w:rsidP="00EE690A"/>
    <w:p w14:paraId="14F28DA1" w14:textId="77777777" w:rsidR="00EE690A" w:rsidRDefault="00EE690A" w:rsidP="00EE690A"/>
    <w:p w14:paraId="38300566" w14:textId="77777777" w:rsidR="00EE690A" w:rsidRDefault="00EE690A" w:rsidP="00EE690A"/>
    <w:p w14:paraId="254BDE77" w14:textId="77777777" w:rsidR="00EE690A" w:rsidRDefault="00EE690A" w:rsidP="00EE690A"/>
    <w:p w14:paraId="6AA24ED9" w14:textId="77777777" w:rsidR="00EE690A" w:rsidRDefault="00EE690A" w:rsidP="00EE690A"/>
    <w:p w14:paraId="6FB7CFF1" w14:textId="77777777" w:rsidR="00EE690A" w:rsidRDefault="00EE690A" w:rsidP="00EE690A"/>
    <w:p w14:paraId="79B14D14" w14:textId="77777777" w:rsidR="00EE690A" w:rsidRDefault="00EE690A" w:rsidP="00EE690A"/>
    <w:p w14:paraId="21E6F446" w14:textId="77777777" w:rsidR="00EE690A" w:rsidRDefault="00EE690A" w:rsidP="00EE690A"/>
    <w:p w14:paraId="3435EC95" w14:textId="77777777" w:rsidR="00EE690A" w:rsidRDefault="00EE690A" w:rsidP="00EE690A"/>
    <w:p w14:paraId="13C1F117" w14:textId="77777777" w:rsidR="00EE690A" w:rsidRDefault="00EE690A" w:rsidP="00EE690A"/>
    <w:p w14:paraId="124AB47C" w14:textId="77777777" w:rsidR="00EE690A" w:rsidRDefault="00EE690A" w:rsidP="00EE690A"/>
    <w:p w14:paraId="56FAA434" w14:textId="77777777" w:rsidR="00EE690A" w:rsidRDefault="00EE690A" w:rsidP="00EE690A"/>
    <w:p w14:paraId="687A50B4" w14:textId="77777777" w:rsidR="00EE690A" w:rsidRDefault="00EE690A" w:rsidP="00EE690A"/>
    <w:p w14:paraId="37770639" w14:textId="77777777" w:rsidR="00EE690A" w:rsidRDefault="00EE690A" w:rsidP="00EE690A"/>
    <w:p w14:paraId="6C3683B5" w14:textId="77777777" w:rsidR="00EE690A" w:rsidRDefault="00EE690A" w:rsidP="00EE690A"/>
    <w:p w14:paraId="0267B024" w14:textId="77777777" w:rsidR="00EE690A" w:rsidRDefault="00EE690A" w:rsidP="00EE690A"/>
    <w:p w14:paraId="5EDD1271" w14:textId="77777777" w:rsidR="00EE690A" w:rsidRDefault="00EE690A" w:rsidP="00EE690A"/>
    <w:p w14:paraId="62197030" w14:textId="77777777" w:rsidR="00EE690A" w:rsidRDefault="00EE690A" w:rsidP="00EE690A"/>
    <w:p w14:paraId="04F1CAF1" w14:textId="77777777" w:rsidR="00EE690A" w:rsidRDefault="00EE690A" w:rsidP="00EE690A"/>
    <w:p w14:paraId="4B03296F" w14:textId="77777777" w:rsidR="00EE690A" w:rsidRDefault="00EE690A" w:rsidP="00EE690A"/>
    <w:p w14:paraId="535975C5" w14:textId="77777777" w:rsidR="009D2953" w:rsidRDefault="009D2953" w:rsidP="00EE690A"/>
    <w:p w14:paraId="2A07D65E" w14:textId="77777777" w:rsidR="009D2953" w:rsidRDefault="009D2953" w:rsidP="00EE690A"/>
    <w:p w14:paraId="09B798C9" w14:textId="77777777" w:rsidR="009D2953" w:rsidRDefault="009D2953" w:rsidP="00EE690A"/>
    <w:p w14:paraId="636D192E" w14:textId="77777777" w:rsidR="009D2953" w:rsidRDefault="009D2953" w:rsidP="00EE690A"/>
    <w:p w14:paraId="6B6BE275" w14:textId="77777777" w:rsidR="009D2953" w:rsidRDefault="009D2953" w:rsidP="00EE690A"/>
    <w:p w14:paraId="24DBA029" w14:textId="77777777" w:rsidR="009D2953" w:rsidRDefault="009D2953" w:rsidP="00EE690A"/>
    <w:p w14:paraId="189C0FE7" w14:textId="77777777" w:rsidR="009D2953" w:rsidRDefault="009D2953" w:rsidP="00EE690A"/>
    <w:p w14:paraId="3AE79422" w14:textId="77777777" w:rsidR="00C319B3" w:rsidRDefault="00C319B3" w:rsidP="000927D4">
      <w:pPr>
        <w:pStyle w:val="Heading1"/>
      </w:pPr>
      <w:bookmarkStart w:id="13" w:name="_Toc63684854"/>
      <w:r>
        <w:lastRenderedPageBreak/>
        <w:t>APPENDICES</w:t>
      </w:r>
      <w:bookmarkEnd w:id="13"/>
    </w:p>
    <w:p w14:paraId="612AAD1F" w14:textId="77777777" w:rsidR="00C319B3" w:rsidRPr="007844B9" w:rsidRDefault="00C319B3" w:rsidP="002E415C">
      <w:pPr>
        <w:jc w:val="center"/>
        <w:rPr>
          <w:bCs/>
        </w:rPr>
      </w:pPr>
    </w:p>
    <w:p w14:paraId="3D40771F" w14:textId="77777777" w:rsidR="002E415C" w:rsidRPr="00AE1F9E" w:rsidRDefault="002E415C" w:rsidP="000927D4">
      <w:pPr>
        <w:pStyle w:val="Heading2"/>
      </w:pPr>
      <w:bookmarkStart w:id="14" w:name="_Toc63684855"/>
      <w:r>
        <w:t xml:space="preserve">INTERMEDIATE SMALL </w:t>
      </w:r>
      <w:r w:rsidR="00D13B95">
        <w:t>BANK</w:t>
      </w:r>
      <w:r>
        <w:t xml:space="preserve"> PERFORMANCE CRITERIA</w:t>
      </w:r>
      <w:bookmarkEnd w:id="14"/>
    </w:p>
    <w:p w14:paraId="6D26B993" w14:textId="77777777" w:rsidR="002E415C" w:rsidRPr="007844B9" w:rsidRDefault="002E415C">
      <w:pPr>
        <w:rPr>
          <w:bCs/>
        </w:rPr>
      </w:pPr>
    </w:p>
    <w:p w14:paraId="01AA2A07" w14:textId="77777777" w:rsidR="002E415C" w:rsidRPr="00781CC6" w:rsidRDefault="002E415C" w:rsidP="002E415C">
      <w:pPr>
        <w:rPr>
          <w:b/>
          <w:u w:val="single"/>
        </w:rPr>
      </w:pPr>
      <w:r w:rsidRPr="00781CC6">
        <w:rPr>
          <w:b/>
          <w:u w:val="single"/>
        </w:rPr>
        <w:t>Lending Test</w:t>
      </w:r>
    </w:p>
    <w:p w14:paraId="781AF820" w14:textId="77777777" w:rsidR="002E415C" w:rsidRPr="00093472" w:rsidRDefault="002E415C" w:rsidP="002E415C"/>
    <w:p w14:paraId="3DADDC90" w14:textId="77777777" w:rsidR="002E415C" w:rsidRPr="00781CC6" w:rsidRDefault="002E415C" w:rsidP="002E415C">
      <w:r w:rsidRPr="00781CC6">
        <w:t xml:space="preserve">The Lending Test </w:t>
      </w:r>
      <w:r w:rsidR="00727C44">
        <w:t>evaluates the bank’s</w:t>
      </w:r>
      <w:r w:rsidRPr="00781CC6">
        <w:t xml:space="preserve"> record of helping to meet the credit needs of its assessment area(s) by considering the following criteria: </w:t>
      </w:r>
    </w:p>
    <w:p w14:paraId="51F345C5" w14:textId="77777777" w:rsidR="002E415C" w:rsidRPr="00781CC6" w:rsidRDefault="002E415C" w:rsidP="002E415C">
      <w:pPr>
        <w:tabs>
          <w:tab w:val="left" w:pos="720"/>
        </w:tabs>
        <w:ind w:left="720" w:hanging="360"/>
      </w:pPr>
      <w:r w:rsidRPr="00781CC6">
        <w:t>1)</w:t>
      </w:r>
      <w:r w:rsidRPr="00781CC6">
        <w:tab/>
        <w:t xml:space="preserve">The </w:t>
      </w:r>
      <w:r w:rsidR="00727C44">
        <w:t>bank</w:t>
      </w:r>
      <w:r w:rsidRPr="00781CC6">
        <w:t>’s loan-to-deposit ratio, adjusted for seasonal variation, and, as appropriate, other lending-related activities, such as loan originations for sale to the secondary markets, community development loans, or qualified investments;</w:t>
      </w:r>
    </w:p>
    <w:p w14:paraId="7CC87F03" w14:textId="77777777" w:rsidR="002E415C" w:rsidRDefault="002E415C" w:rsidP="002E415C">
      <w:pPr>
        <w:tabs>
          <w:tab w:val="left" w:pos="720"/>
        </w:tabs>
        <w:ind w:left="720" w:hanging="360"/>
      </w:pPr>
      <w:r w:rsidRPr="00781CC6">
        <w:t>2)</w:t>
      </w:r>
      <w:r w:rsidRPr="00781CC6">
        <w:tab/>
        <w:t xml:space="preserve">The percentage of loans, and as appropriate, other lending-related activities located in the </w:t>
      </w:r>
      <w:r w:rsidR="00727C44">
        <w:t>bank</w:t>
      </w:r>
      <w:r w:rsidR="000766C2">
        <w:t>’s assessment area(s);</w:t>
      </w:r>
    </w:p>
    <w:p w14:paraId="32BD9E3C" w14:textId="77777777" w:rsidR="000766C2" w:rsidRPr="00781CC6" w:rsidRDefault="000766C2" w:rsidP="000766C2">
      <w:pPr>
        <w:tabs>
          <w:tab w:val="left" w:pos="720"/>
        </w:tabs>
        <w:ind w:left="720" w:hanging="360"/>
      </w:pPr>
      <w:r>
        <w:t>3</w:t>
      </w:r>
      <w:r w:rsidRPr="00781CC6">
        <w:t>)</w:t>
      </w:r>
      <w:r w:rsidRPr="00781CC6">
        <w:tab/>
        <w:t xml:space="preserve">The geographic distribution of the </w:t>
      </w:r>
      <w:r>
        <w:t>bank’s loans;</w:t>
      </w:r>
    </w:p>
    <w:p w14:paraId="2F6C3F49" w14:textId="77777777" w:rsidR="002E415C" w:rsidRPr="00781CC6" w:rsidRDefault="000766C2" w:rsidP="002E415C">
      <w:pPr>
        <w:tabs>
          <w:tab w:val="left" w:pos="720"/>
        </w:tabs>
        <w:ind w:left="720" w:hanging="360"/>
      </w:pPr>
      <w:r>
        <w:t>4</w:t>
      </w:r>
      <w:r w:rsidR="002E415C" w:rsidRPr="00781CC6">
        <w:t>)</w:t>
      </w:r>
      <w:r w:rsidR="002E415C" w:rsidRPr="00781CC6">
        <w:tab/>
        <w:t xml:space="preserve">The </w:t>
      </w:r>
      <w:r w:rsidR="00727C44">
        <w:t>bank</w:t>
      </w:r>
      <w:r w:rsidR="002E415C" w:rsidRPr="00781CC6">
        <w:t>’s record of lending to and, as appropriate, engaging in other lending-related activities for borrowers of different income levels and businesses</w:t>
      </w:r>
      <w:r>
        <w:t xml:space="preserve"> and farms of different sizes; and</w:t>
      </w:r>
    </w:p>
    <w:p w14:paraId="66C4A50A" w14:textId="77777777" w:rsidR="002E415C" w:rsidRPr="00781CC6" w:rsidRDefault="002E415C" w:rsidP="002E415C">
      <w:pPr>
        <w:tabs>
          <w:tab w:val="left" w:pos="720"/>
        </w:tabs>
        <w:ind w:left="720" w:hanging="360"/>
      </w:pPr>
      <w:r w:rsidRPr="00781CC6">
        <w:t>5)</w:t>
      </w:r>
      <w:r w:rsidRPr="00781CC6">
        <w:tab/>
        <w:t xml:space="preserve">The </w:t>
      </w:r>
      <w:r w:rsidR="00727C44">
        <w:t>bank</w:t>
      </w:r>
      <w:r w:rsidRPr="00781CC6">
        <w:t xml:space="preserve">’s record of taking action, if warranted, in response to written complaints about its performance in helping to meet credit needs in its assessment area(s).   </w:t>
      </w:r>
    </w:p>
    <w:p w14:paraId="20FC6273" w14:textId="77777777" w:rsidR="002E415C" w:rsidRDefault="002E415C" w:rsidP="002E415C"/>
    <w:p w14:paraId="0D59AC3F" w14:textId="77777777" w:rsidR="002E415C" w:rsidRPr="00781CC6" w:rsidRDefault="002E415C" w:rsidP="002E415C">
      <w:pPr>
        <w:rPr>
          <w:b/>
          <w:u w:val="single"/>
        </w:rPr>
      </w:pPr>
      <w:r w:rsidRPr="00781CC6">
        <w:rPr>
          <w:b/>
          <w:u w:val="single"/>
        </w:rPr>
        <w:t>Community Development Test</w:t>
      </w:r>
    </w:p>
    <w:p w14:paraId="4431B7E4" w14:textId="77777777" w:rsidR="002E415C" w:rsidRPr="00781CC6" w:rsidRDefault="002E415C" w:rsidP="002E415C"/>
    <w:p w14:paraId="426878D9" w14:textId="77777777" w:rsidR="002E415C" w:rsidRPr="00781CC6" w:rsidRDefault="002E415C" w:rsidP="002E415C">
      <w:r w:rsidRPr="00781CC6">
        <w:t>The Community Development Test considers the following criteria:</w:t>
      </w:r>
    </w:p>
    <w:p w14:paraId="3CF10090" w14:textId="77777777" w:rsidR="002E415C" w:rsidRPr="00781CC6" w:rsidRDefault="002E415C" w:rsidP="00D645D2">
      <w:pPr>
        <w:widowControl w:val="0"/>
        <w:numPr>
          <w:ilvl w:val="0"/>
          <w:numId w:val="2"/>
        </w:numPr>
      </w:pPr>
      <w:r w:rsidRPr="00781CC6">
        <w:t>The number and amount of community development loans;</w:t>
      </w:r>
    </w:p>
    <w:p w14:paraId="04AF6517" w14:textId="77777777" w:rsidR="002E415C" w:rsidRPr="00781CC6" w:rsidRDefault="002E415C" w:rsidP="00D645D2">
      <w:pPr>
        <w:widowControl w:val="0"/>
        <w:numPr>
          <w:ilvl w:val="0"/>
          <w:numId w:val="2"/>
        </w:numPr>
        <w:tabs>
          <w:tab w:val="left" w:pos="360"/>
        </w:tabs>
      </w:pPr>
      <w:r w:rsidRPr="00781CC6">
        <w:t>The number and amount of qualified investments;</w:t>
      </w:r>
    </w:p>
    <w:p w14:paraId="57C5CF7D" w14:textId="77777777" w:rsidR="002E415C" w:rsidRPr="00781CC6" w:rsidRDefault="002E415C" w:rsidP="00D645D2">
      <w:pPr>
        <w:widowControl w:val="0"/>
        <w:numPr>
          <w:ilvl w:val="0"/>
          <w:numId w:val="2"/>
        </w:numPr>
        <w:tabs>
          <w:tab w:val="left" w:pos="360"/>
        </w:tabs>
      </w:pPr>
      <w:r w:rsidRPr="00781CC6">
        <w:t xml:space="preserve">The extent to which the </w:t>
      </w:r>
      <w:r w:rsidR="00727C44">
        <w:t>bank</w:t>
      </w:r>
      <w:r w:rsidRPr="00781CC6">
        <w:t xml:space="preserve"> provides community development services; and</w:t>
      </w:r>
    </w:p>
    <w:p w14:paraId="5AB5C7B9" w14:textId="77777777" w:rsidR="002E415C" w:rsidRPr="00781CC6" w:rsidRDefault="002E415C" w:rsidP="00D645D2">
      <w:pPr>
        <w:widowControl w:val="0"/>
        <w:numPr>
          <w:ilvl w:val="0"/>
          <w:numId w:val="2"/>
        </w:numPr>
        <w:tabs>
          <w:tab w:val="left" w:pos="360"/>
        </w:tabs>
      </w:pPr>
      <w:r w:rsidRPr="000235A0">
        <w:t xml:space="preserve">The </w:t>
      </w:r>
      <w:r w:rsidR="00727C44">
        <w:t>bank</w:t>
      </w:r>
      <w:r w:rsidRPr="000235A0">
        <w:t>’s responsiveness through such activities to</w:t>
      </w:r>
      <w:r>
        <w:t xml:space="preserve"> </w:t>
      </w:r>
      <w:r w:rsidRPr="000235A0">
        <w:t>community development</w:t>
      </w:r>
      <w:r>
        <w:t xml:space="preserve"> </w:t>
      </w:r>
      <w:r w:rsidR="00F63F27">
        <w:t xml:space="preserve">lending, investment, and service </w:t>
      </w:r>
      <w:r w:rsidRPr="000235A0">
        <w:t>needs</w:t>
      </w:r>
      <w:r w:rsidR="00F63F27">
        <w:t>.</w:t>
      </w:r>
      <w:r>
        <w:t xml:space="preserve"> </w:t>
      </w:r>
    </w:p>
    <w:p w14:paraId="0ABBF1D5" w14:textId="77777777" w:rsidR="002E415C" w:rsidRPr="00781CC6" w:rsidRDefault="002E415C" w:rsidP="002E415C">
      <w:pPr>
        <w:tabs>
          <w:tab w:val="left" w:pos="360"/>
        </w:tabs>
      </w:pPr>
    </w:p>
    <w:p w14:paraId="673921E3" w14:textId="77777777" w:rsidR="002E415C" w:rsidRDefault="002E415C">
      <w:pPr>
        <w:rPr>
          <w:b/>
          <w:bCs/>
          <w:sz w:val="28"/>
          <w:szCs w:val="28"/>
        </w:rPr>
      </w:pPr>
      <w:r>
        <w:rPr>
          <w:b/>
          <w:bCs/>
          <w:sz w:val="28"/>
          <w:szCs w:val="28"/>
        </w:rPr>
        <w:br w:type="page"/>
      </w:r>
    </w:p>
    <w:p w14:paraId="15D5F36F" w14:textId="77777777" w:rsidR="0099672C" w:rsidRPr="00AE1F9E" w:rsidRDefault="0099672C" w:rsidP="000927D4">
      <w:pPr>
        <w:pStyle w:val="Heading2"/>
      </w:pPr>
      <w:bookmarkStart w:id="15" w:name="_Toc63684856"/>
      <w:r w:rsidRPr="00AE1F9E">
        <w:lastRenderedPageBreak/>
        <w:t>GLOSSARY</w:t>
      </w:r>
      <w:bookmarkEnd w:id="15"/>
    </w:p>
    <w:p w14:paraId="4BE8A75D" w14:textId="77777777" w:rsidR="0099672C" w:rsidRPr="00093472" w:rsidRDefault="0099672C" w:rsidP="00D3354F">
      <w:pPr>
        <w:rPr>
          <w:bCs/>
        </w:rPr>
      </w:pPr>
    </w:p>
    <w:p w14:paraId="376983E9" w14:textId="77777777" w:rsidR="0099672C" w:rsidRPr="00D50F8D" w:rsidRDefault="00874E0E" w:rsidP="00D3354F">
      <w:r>
        <w:rPr>
          <w:b/>
          <w:bCs/>
        </w:rPr>
        <w:t>Aggregate L</w:t>
      </w:r>
      <w:r w:rsidR="0099672C" w:rsidRPr="00D50F8D">
        <w:rPr>
          <w:b/>
          <w:bCs/>
        </w:rPr>
        <w:t>ending:</w:t>
      </w:r>
      <w:r w:rsidR="0099672C" w:rsidRPr="00D50F8D">
        <w:t xml:space="preserve"> </w:t>
      </w:r>
      <w:r w:rsidR="0099672C">
        <w:t xml:space="preserve"> </w:t>
      </w:r>
      <w:r w:rsidR="0099672C" w:rsidRPr="00D50F8D">
        <w:t>The number of loans originated and purchased by all reporting lenders in specified income categories as a percentage of the aggregate number of loans originated and purchased by all reporting lenders in the metropolitan area/assessment area.</w:t>
      </w:r>
    </w:p>
    <w:p w14:paraId="65F6556A" w14:textId="77777777" w:rsidR="0099672C" w:rsidRPr="00093472" w:rsidRDefault="0099672C" w:rsidP="00D3354F">
      <w:pPr>
        <w:rPr>
          <w:bCs/>
        </w:rPr>
      </w:pPr>
    </w:p>
    <w:p w14:paraId="3637A032" w14:textId="77777777" w:rsidR="00D617B5" w:rsidRPr="00D617B5" w:rsidRDefault="00D617B5" w:rsidP="00D617B5">
      <w:pPr>
        <w:rPr>
          <w:bCs/>
        </w:rPr>
      </w:pPr>
      <w:r w:rsidRPr="00D617B5">
        <w:rPr>
          <w:b/>
          <w:bCs/>
        </w:rPr>
        <w:t>American Community Survey (ACS):</w:t>
      </w:r>
      <w:r w:rsidRPr="00D617B5">
        <w:rPr>
          <w:bCs/>
        </w:rPr>
        <w:t xml:space="preserve">  A nationwide United States Census survey that produces demographic, social, housing, and economic estimates in the form of five year estimates based on population thresholds.</w:t>
      </w:r>
    </w:p>
    <w:p w14:paraId="0F096C18" w14:textId="77777777" w:rsidR="00D617B5" w:rsidRPr="00D617B5" w:rsidRDefault="00D617B5" w:rsidP="00D617B5">
      <w:pPr>
        <w:rPr>
          <w:bCs/>
        </w:rPr>
      </w:pPr>
    </w:p>
    <w:p w14:paraId="77848498" w14:textId="77777777" w:rsidR="0099672C" w:rsidRDefault="0099672C" w:rsidP="00D3354F">
      <w:pPr>
        <w:rPr>
          <w:i/>
          <w:iCs/>
        </w:rPr>
      </w:pPr>
      <w:r>
        <w:rPr>
          <w:b/>
          <w:bCs/>
        </w:rPr>
        <w:t xml:space="preserve">Area Median Income: </w:t>
      </w:r>
      <w:r w:rsidRPr="00014F79">
        <w:rPr>
          <w:b/>
          <w:bCs/>
        </w:rPr>
        <w:t xml:space="preserve"> </w:t>
      </w:r>
      <w:r>
        <w:t xml:space="preserve">The median family income for the MSA, if a person or geography is located </w:t>
      </w:r>
      <w:r w:rsidR="00624BC7">
        <w:t>in an MSA; or the statewide non</w:t>
      </w:r>
      <w:r>
        <w:t>metropolitan median family income, if a person or geography is located outside an MSA</w:t>
      </w:r>
      <w:r>
        <w:rPr>
          <w:i/>
          <w:iCs/>
        </w:rPr>
        <w:t>.</w:t>
      </w:r>
    </w:p>
    <w:p w14:paraId="31DFBE0B" w14:textId="77777777" w:rsidR="0099672C" w:rsidRPr="00093472" w:rsidRDefault="0099672C" w:rsidP="00D3354F">
      <w:pPr>
        <w:rPr>
          <w:bCs/>
        </w:rPr>
      </w:pPr>
    </w:p>
    <w:p w14:paraId="6F8A8B87" w14:textId="77777777" w:rsidR="0099672C" w:rsidRDefault="0099672C" w:rsidP="00D3354F">
      <w:r>
        <w:rPr>
          <w:b/>
          <w:bCs/>
        </w:rPr>
        <w:t>Assessment Area:</w:t>
      </w:r>
      <w:r>
        <w:t xml:space="preserve">  A geographic area delineated by the </w:t>
      </w:r>
      <w:r w:rsidR="00727C44">
        <w:t>bank</w:t>
      </w:r>
      <w:r>
        <w:t xml:space="preserve"> under the requirements of the Community Reinvestment Act.</w:t>
      </w:r>
    </w:p>
    <w:p w14:paraId="3117AA96" w14:textId="77777777" w:rsidR="0099672C" w:rsidRPr="00093472" w:rsidRDefault="0099672C" w:rsidP="00D3354F">
      <w:pPr>
        <w:rPr>
          <w:bCs/>
        </w:rPr>
      </w:pPr>
    </w:p>
    <w:p w14:paraId="73F80FBC" w14:textId="77777777" w:rsidR="00C24E8B" w:rsidRPr="00E05BD4" w:rsidRDefault="00C24E8B" w:rsidP="00C24E8B">
      <w:r>
        <w:rPr>
          <w:b/>
          <w:bCs/>
        </w:rPr>
        <w:t xml:space="preserve">Census Tract:  </w:t>
      </w:r>
      <w:r w:rsidRPr="00E05BD4">
        <w:t xml:space="preserve">A small, relatively permanent statistical subdivision of a county or equivalent entity.  The primary purpose of census tracts is to provide a stable set of geographic units for the presentation of statistical data.  Census tracts generally have a population size between 1,200 and 8,000 people, with an optimum size of 4,000 people.  Census tract boundaries generally follow visible and identifiable features, but they may follow nonvisible legal boundaries in some instances.  State and county boundaries always are census tract boundaries.  </w:t>
      </w:r>
    </w:p>
    <w:p w14:paraId="0E8097EF" w14:textId="77777777" w:rsidR="0099672C" w:rsidRPr="00093472" w:rsidRDefault="0099672C" w:rsidP="00D3354F">
      <w:pPr>
        <w:rPr>
          <w:bCs/>
        </w:rPr>
      </w:pPr>
    </w:p>
    <w:p w14:paraId="76517061" w14:textId="77777777" w:rsidR="0099672C" w:rsidRPr="007A6E51" w:rsidRDefault="0099672C" w:rsidP="00145CB9">
      <w:pPr>
        <w:widowControl w:val="0"/>
      </w:pPr>
      <w:r w:rsidRPr="00D3354F">
        <w:rPr>
          <w:b/>
          <w:bCs/>
        </w:rPr>
        <w:t>C</w:t>
      </w:r>
      <w:r>
        <w:rPr>
          <w:b/>
          <w:bCs/>
        </w:rPr>
        <w:t xml:space="preserve">ombined Statistical Area (CSA):  </w:t>
      </w:r>
      <w:r w:rsidRPr="007A6E51">
        <w:t xml:space="preserve">A combination of several adjacent metropolitan statistical areas or micropolitan statistical areas or a mix of the two, which are linked by economic ties.  </w:t>
      </w:r>
    </w:p>
    <w:p w14:paraId="2D514129" w14:textId="77777777" w:rsidR="0099672C" w:rsidRPr="00D3354F" w:rsidRDefault="0099672C" w:rsidP="00D3354F"/>
    <w:p w14:paraId="213D888E" w14:textId="77777777" w:rsidR="00AA4546" w:rsidRPr="00AA4546" w:rsidRDefault="00AA4546" w:rsidP="00AA4546">
      <w:r w:rsidRPr="00AA4546">
        <w:rPr>
          <w:b/>
          <w:bCs/>
        </w:rPr>
        <w:t xml:space="preserve">Community Development:  </w:t>
      </w:r>
      <w:r w:rsidRPr="00AA4546">
        <w:t>For loans, investments, and services to qualify as community development activities, their primary purpose must:</w:t>
      </w:r>
    </w:p>
    <w:p w14:paraId="50AC6E13" w14:textId="77777777" w:rsidR="00AA4546" w:rsidRPr="00AA4546" w:rsidRDefault="00AA4546" w:rsidP="00AA4546">
      <w:pPr>
        <w:tabs>
          <w:tab w:val="left" w:pos="720"/>
        </w:tabs>
        <w:ind w:left="720" w:hanging="360"/>
      </w:pPr>
      <w:r w:rsidRPr="00AA4546">
        <w:t>(1)</w:t>
      </w:r>
      <w:r w:rsidRPr="00AA4546">
        <w:tab/>
        <w:t xml:space="preserve">Support affordable housing for low- and moderate-income individuals; </w:t>
      </w:r>
    </w:p>
    <w:p w14:paraId="0207BB7A" w14:textId="77777777" w:rsidR="00AA4546" w:rsidRPr="00AA4546" w:rsidRDefault="00AA4546" w:rsidP="00AA4546">
      <w:pPr>
        <w:tabs>
          <w:tab w:val="left" w:pos="720"/>
        </w:tabs>
        <w:ind w:left="720" w:hanging="360"/>
      </w:pPr>
      <w:r w:rsidRPr="00AA4546">
        <w:t>(2)</w:t>
      </w:r>
      <w:r w:rsidRPr="00AA4546">
        <w:tab/>
        <w:t xml:space="preserve">Target community services toward low- and moderate-income individuals; </w:t>
      </w:r>
    </w:p>
    <w:p w14:paraId="7DAFF25C" w14:textId="77777777" w:rsidR="00AA4546" w:rsidRPr="00AA4546" w:rsidRDefault="00AA4546" w:rsidP="00AA4546">
      <w:pPr>
        <w:tabs>
          <w:tab w:val="left" w:pos="720"/>
        </w:tabs>
        <w:ind w:left="720" w:hanging="360"/>
      </w:pPr>
      <w:r w:rsidRPr="00AA4546">
        <w:t>(3)</w:t>
      </w:r>
      <w:r w:rsidRPr="00AA4546">
        <w:tab/>
        <w:t>Promote economic development by financing small businesses or farms; or</w:t>
      </w:r>
    </w:p>
    <w:p w14:paraId="61F1B8B8" w14:textId="77777777" w:rsidR="00AA4546" w:rsidRPr="00AA4546" w:rsidRDefault="00AA4546" w:rsidP="00AA4546">
      <w:pPr>
        <w:tabs>
          <w:tab w:val="left" w:pos="720"/>
        </w:tabs>
        <w:ind w:left="720" w:hanging="360"/>
      </w:pPr>
      <w:r w:rsidRPr="00AA4546">
        <w:t>(4)</w:t>
      </w:r>
      <w:r w:rsidRPr="00AA4546">
        <w:tab/>
        <w:t>Provide activities that revitalize or stabilize low- and moderate-income geographies, designated disaster areas, or distressed or underserved nonmetropolitan middle-income geographies.</w:t>
      </w:r>
    </w:p>
    <w:p w14:paraId="11486102" w14:textId="77777777" w:rsidR="0099672C" w:rsidRPr="00D3354F" w:rsidRDefault="0099672C" w:rsidP="00D3354F"/>
    <w:p w14:paraId="20BE4E5D" w14:textId="77777777" w:rsidR="0099672C" w:rsidRPr="00D3354F" w:rsidRDefault="0099672C" w:rsidP="00D3354F">
      <w:r w:rsidRPr="00D3354F">
        <w:rPr>
          <w:b/>
          <w:bCs/>
        </w:rPr>
        <w:t xml:space="preserve">Community Development Corporation (CDC):  </w:t>
      </w:r>
      <w:r w:rsidRPr="00D3354F">
        <w:t xml:space="preserve">A CDC allows banks and holding companies to make equity type of investments in community development projects.  </w:t>
      </w:r>
      <w:r w:rsidR="00C67064">
        <w:t>Institution</w:t>
      </w:r>
      <w:r w:rsidRPr="00D3354F">
        <w:t xml:space="preserve"> CDCs can develop innovative debt instruments or provide near-equity investments tailored to the development needs of the community</w:t>
      </w:r>
      <w:r>
        <w:t xml:space="preserve">.  </w:t>
      </w:r>
      <w:r w:rsidR="00C67064">
        <w:t>Institution</w:t>
      </w:r>
      <w:r>
        <w:t xml:space="preserve"> CDCs are also tailored to their</w:t>
      </w:r>
      <w:r w:rsidRPr="00D3354F">
        <w:t xml:space="preserve"> financial and marketing needs</w:t>
      </w:r>
      <w:r>
        <w:t>.</w:t>
      </w:r>
      <w:r w:rsidRPr="00D3354F">
        <w:t xml:space="preserve">  A CDC may purchase, own, rehabilitate, construct, manage</w:t>
      </w:r>
      <w:r w:rsidR="00751988">
        <w:t>,</w:t>
      </w:r>
      <w:r w:rsidRPr="00D3354F">
        <w:t xml:space="preserve"> and sell real property.  Also, it may make equity or debt investments in development projects and in local businesses.  The CDC activities are expected to directly benefit low- and moderate-income groups, and the investment dollars should not represent an undue risk on the banking organization.  </w:t>
      </w:r>
    </w:p>
    <w:p w14:paraId="3FD107F2" w14:textId="77777777" w:rsidR="0099672C" w:rsidRPr="00D3354F" w:rsidRDefault="0099672C" w:rsidP="00D3354F"/>
    <w:p w14:paraId="512AB7AA" w14:textId="77777777" w:rsidR="0099672C" w:rsidRPr="00D3354F" w:rsidRDefault="0099672C" w:rsidP="00D3354F">
      <w:pPr>
        <w:pStyle w:val="HTMLPreformatted"/>
        <w:rPr>
          <w:rFonts w:ascii="Times New Roman" w:hAnsi="Times New Roman"/>
          <w:sz w:val="24"/>
          <w:szCs w:val="24"/>
        </w:rPr>
      </w:pPr>
      <w:r w:rsidRPr="00D3354F">
        <w:rPr>
          <w:rFonts w:ascii="Times New Roman" w:hAnsi="Times New Roman"/>
          <w:b/>
          <w:bCs/>
          <w:sz w:val="24"/>
          <w:szCs w:val="24"/>
        </w:rPr>
        <w:lastRenderedPageBreak/>
        <w:t>Community Development Financial Institutions (CDFIs):</w:t>
      </w:r>
      <w:r w:rsidRPr="00D3354F">
        <w:rPr>
          <w:rFonts w:ascii="Times New Roman" w:hAnsi="Times New Roman"/>
          <w:sz w:val="24"/>
          <w:szCs w:val="24"/>
        </w:rPr>
        <w:t xml:space="preserve">  CDFIs are private intermediaries (either for profit or nonprofit</w:t>
      </w:r>
      <w:r w:rsidRPr="00C24E8B">
        <w:rPr>
          <w:rFonts w:ascii="Times New Roman" w:hAnsi="Times New Roman"/>
          <w:sz w:val="24"/>
          <w:szCs w:val="24"/>
        </w:rPr>
        <w:t>)</w:t>
      </w:r>
      <w:r w:rsidRPr="00D3354F">
        <w:rPr>
          <w:rFonts w:ascii="Times New Roman" w:hAnsi="Times New Roman"/>
          <w:sz w:val="24"/>
          <w:szCs w:val="24"/>
        </w:rPr>
        <w:t xml:space="preserve"> with community development as their primary mission.  A CDFI facilitates the flow of lending and investment capital into distressed communities and to individuals who have been unable to take advantage of the services offered by traditional financial institutions.  Some basic types of CDFIs include community development banks, community development loan funds, community development credit unions, micro enterprise funds, and community development venture capital funds.  </w:t>
      </w:r>
    </w:p>
    <w:p w14:paraId="6ED4CC0C" w14:textId="77777777" w:rsidR="0099672C" w:rsidRPr="00D3354F" w:rsidRDefault="0099672C" w:rsidP="00D3354F">
      <w:pPr>
        <w:pStyle w:val="HTMLPreformatted"/>
        <w:rPr>
          <w:rFonts w:ascii="Times New Roman" w:hAnsi="Times New Roman"/>
          <w:sz w:val="24"/>
          <w:szCs w:val="24"/>
        </w:rPr>
      </w:pPr>
    </w:p>
    <w:p w14:paraId="74A4D9A6" w14:textId="77777777" w:rsidR="0099672C" w:rsidRDefault="0099672C" w:rsidP="00D3354F">
      <w:pPr>
        <w:pStyle w:val="HTMLPreformatted"/>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w:t>
      </w:r>
      <w:r w:rsidR="00BF291B">
        <w:rPr>
          <w:rFonts w:ascii="Times New Roman" w:hAnsi="Times New Roman"/>
          <w:sz w:val="24"/>
          <w:szCs w:val="24"/>
        </w:rPr>
        <w:t xml:space="preserve"> the following:</w:t>
      </w:r>
    </w:p>
    <w:p w14:paraId="733EA7B8" w14:textId="77777777" w:rsidR="0099672C" w:rsidRDefault="0099672C" w:rsidP="00D645D2">
      <w:pPr>
        <w:pStyle w:val="HTMLPreformatted"/>
        <w:numPr>
          <w:ilvl w:val="0"/>
          <w:numId w:val="1"/>
        </w:numPr>
        <w:rPr>
          <w:rFonts w:ascii="Times New Roman" w:hAnsi="Times New Roman"/>
          <w:sz w:val="24"/>
          <w:szCs w:val="24"/>
        </w:rPr>
      </w:pPr>
      <w:r>
        <w:rPr>
          <w:rFonts w:ascii="Times New Roman" w:hAnsi="Times New Roman"/>
          <w:sz w:val="24"/>
          <w:szCs w:val="24"/>
        </w:rPr>
        <w:t>H</w:t>
      </w:r>
      <w:r w:rsidRPr="00D3354F">
        <w:rPr>
          <w:rFonts w:ascii="Times New Roman" w:hAnsi="Times New Roman"/>
          <w:sz w:val="24"/>
          <w:szCs w:val="24"/>
        </w:rPr>
        <w:t xml:space="preserve">aving a primary mission of promoting community development; </w:t>
      </w:r>
    </w:p>
    <w:p w14:paraId="45B525C5" w14:textId="77777777" w:rsidR="0099672C" w:rsidRDefault="0099672C" w:rsidP="00D645D2">
      <w:pPr>
        <w:pStyle w:val="HTMLPreformatted"/>
        <w:numPr>
          <w:ilvl w:val="0"/>
          <w:numId w:val="1"/>
        </w:numPr>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5176CE02" w14:textId="77777777" w:rsidR="0099672C" w:rsidRDefault="0099672C" w:rsidP="00D645D2">
      <w:pPr>
        <w:pStyle w:val="HTMLPreformatted"/>
        <w:numPr>
          <w:ilvl w:val="0"/>
          <w:numId w:val="1"/>
        </w:numPr>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55C9FB97" w14:textId="77777777" w:rsidR="0099672C" w:rsidRDefault="0099672C" w:rsidP="00D645D2">
      <w:pPr>
        <w:pStyle w:val="HTMLPreformatted"/>
        <w:numPr>
          <w:ilvl w:val="0"/>
          <w:numId w:val="1"/>
        </w:numPr>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40C5BA07" w14:textId="77777777" w:rsidR="0099672C" w:rsidRPr="00D3354F" w:rsidRDefault="0099672C" w:rsidP="00D645D2">
      <w:pPr>
        <w:pStyle w:val="HTMLPreformatted"/>
        <w:numPr>
          <w:ilvl w:val="0"/>
          <w:numId w:val="1"/>
        </w:numPr>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7C7E8724" w14:textId="77777777" w:rsidR="0099672C" w:rsidRPr="00093472" w:rsidRDefault="0099672C" w:rsidP="00D3354F">
      <w:pPr>
        <w:pStyle w:val="HTMLPreformatted"/>
        <w:rPr>
          <w:rFonts w:ascii="Times New Roman" w:hAnsi="Times New Roman"/>
          <w:bCs/>
          <w:sz w:val="24"/>
          <w:szCs w:val="24"/>
        </w:rPr>
      </w:pPr>
    </w:p>
    <w:p w14:paraId="1D135FCC"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t>Community Development L</w:t>
      </w:r>
      <w:r w:rsidR="0099672C" w:rsidRPr="00D3354F">
        <w:rPr>
          <w:rFonts w:ascii="Times New Roman" w:hAnsi="Times New Roman"/>
          <w:b/>
          <w:bCs/>
          <w:sz w:val="24"/>
          <w:szCs w:val="24"/>
        </w:rPr>
        <w:t>oan:</w:t>
      </w:r>
      <w:r w:rsidR="0099672C" w:rsidRPr="00D3354F">
        <w:rPr>
          <w:rFonts w:ascii="Times New Roman" w:hAnsi="Times New Roman"/>
          <w:sz w:val="24"/>
          <w:szCs w:val="24"/>
        </w:rPr>
        <w:t xml:space="preserve">  A loan that</w:t>
      </w:r>
      <w:r w:rsidR="00AA4546">
        <w:rPr>
          <w:rFonts w:ascii="Times New Roman" w:hAnsi="Times New Roman"/>
          <w:sz w:val="24"/>
          <w:szCs w:val="24"/>
        </w:rPr>
        <w:t>:</w:t>
      </w:r>
      <w:r w:rsidR="0099672C" w:rsidRPr="00D3354F">
        <w:rPr>
          <w:rFonts w:ascii="Times New Roman" w:hAnsi="Times New Roman"/>
          <w:sz w:val="24"/>
          <w:szCs w:val="24"/>
        </w:rPr>
        <w:t xml:space="preserve"> </w:t>
      </w:r>
    </w:p>
    <w:p w14:paraId="0B4EE85C"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6D34BD54"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E</w:t>
      </w:r>
      <w:r w:rsidRPr="00D3354F">
        <w:rPr>
          <w:rFonts w:ascii="Times New Roman" w:hAnsi="Times New Roman"/>
          <w:sz w:val="24"/>
          <w:szCs w:val="24"/>
        </w:rPr>
        <w:t xml:space="preserve">xcept in the case of a wholesale or limited purpose </w:t>
      </w:r>
      <w:r w:rsidR="00C67064">
        <w:rPr>
          <w:rFonts w:ascii="Times New Roman" w:hAnsi="Times New Roman"/>
          <w:sz w:val="24"/>
          <w:szCs w:val="24"/>
        </w:rPr>
        <w:t>institution</w:t>
      </w:r>
      <w:r w:rsidRPr="00D3354F">
        <w:rPr>
          <w:rFonts w:ascii="Times New Roman" w:hAnsi="Times New Roman"/>
          <w:sz w:val="24"/>
          <w:szCs w:val="24"/>
        </w:rPr>
        <w:t xml:space="preserve">:  </w:t>
      </w:r>
    </w:p>
    <w:p w14:paraId="1B502A4A" w14:textId="77777777" w:rsidR="0099672C" w:rsidRDefault="0099672C" w:rsidP="007A7810">
      <w:pPr>
        <w:pStyle w:val="HTMLPreformatted"/>
        <w:ind w:left="1080" w:hanging="360"/>
        <w:rPr>
          <w:rFonts w:ascii="Times New Roman" w:hAnsi="Times New Roman"/>
          <w:sz w:val="24"/>
          <w:szCs w:val="24"/>
        </w:rPr>
      </w:pPr>
      <w:r w:rsidRPr="00D3354F">
        <w:rPr>
          <w:rFonts w:ascii="Times New Roman" w:hAnsi="Times New Roman"/>
          <w:sz w:val="24"/>
          <w:szCs w:val="24"/>
        </w:rPr>
        <w:t xml:space="preserve">(i) </w:t>
      </w:r>
      <w:r w:rsidR="00751988">
        <w:rPr>
          <w:rFonts w:ascii="Times New Roman" w:hAnsi="Times New Roman"/>
          <w:sz w:val="24"/>
          <w:szCs w:val="24"/>
        </w:rPr>
        <w:t>H</w:t>
      </w:r>
      <w:r w:rsidRPr="00D3354F">
        <w:rPr>
          <w:rFonts w:ascii="Times New Roman" w:hAnsi="Times New Roman"/>
          <w:sz w:val="24"/>
          <w:szCs w:val="24"/>
        </w:rPr>
        <w:t xml:space="preserve">as not been reported or collected by the </w:t>
      </w:r>
      <w:r w:rsidR="00C67064">
        <w:rPr>
          <w:rFonts w:ascii="Times New Roman" w:hAnsi="Times New Roman"/>
          <w:sz w:val="24"/>
          <w:szCs w:val="24"/>
        </w:rPr>
        <w:t>institution</w:t>
      </w:r>
      <w:r w:rsidRPr="00D3354F">
        <w:rPr>
          <w:rFonts w:ascii="Times New Roman" w:hAnsi="Times New Roman"/>
          <w:sz w:val="24"/>
          <w:szCs w:val="24"/>
        </w:rPr>
        <w:t xml:space="preserve"> or an affiliate for consideration in the </w:t>
      </w:r>
      <w:r w:rsidR="00C67064">
        <w:rPr>
          <w:rFonts w:ascii="Times New Roman" w:hAnsi="Times New Roman"/>
          <w:sz w:val="24"/>
          <w:szCs w:val="24"/>
        </w:rPr>
        <w:t>institution</w:t>
      </w:r>
      <w:r w:rsidRPr="00D3354F">
        <w:rPr>
          <w:rFonts w:ascii="Times New Roman" w:hAnsi="Times New Roman"/>
          <w:sz w:val="24"/>
          <w:szCs w:val="24"/>
        </w:rPr>
        <w:t xml:space="preserve">’s assessment area as a home mortgage, small business, small farm, or consumer loan, unless it is a multifamily dwelling loan (as described in Appendix A to Part 203 of this title); and </w:t>
      </w:r>
    </w:p>
    <w:p w14:paraId="6D732C93" w14:textId="77777777" w:rsidR="0099672C" w:rsidRPr="00D3354F" w:rsidRDefault="0099672C" w:rsidP="007A7810">
      <w:pPr>
        <w:pStyle w:val="HTMLPreformatted"/>
        <w:ind w:left="1080" w:hanging="360"/>
        <w:rPr>
          <w:rFonts w:ascii="Times New Roman" w:hAnsi="Times New Roman"/>
          <w:sz w:val="24"/>
          <w:szCs w:val="24"/>
        </w:rPr>
      </w:pPr>
      <w:r w:rsidRPr="00D3354F">
        <w:rPr>
          <w:rFonts w:ascii="Times New Roman" w:hAnsi="Times New Roman"/>
          <w:sz w:val="24"/>
          <w:szCs w:val="24"/>
        </w:rPr>
        <w:t xml:space="preserve">(ii) </w:t>
      </w:r>
      <w:r w:rsidR="00751988">
        <w:rPr>
          <w:rFonts w:ascii="Times New Roman" w:hAnsi="Times New Roman"/>
          <w:sz w:val="24"/>
          <w:szCs w:val="24"/>
        </w:rPr>
        <w:t>B</w:t>
      </w:r>
      <w:r w:rsidRPr="00D3354F">
        <w:rPr>
          <w:rFonts w:ascii="Times New Roman" w:hAnsi="Times New Roman"/>
          <w:sz w:val="24"/>
          <w:szCs w:val="24"/>
        </w:rPr>
        <w:t xml:space="preserve">enefits the </w:t>
      </w:r>
      <w:r w:rsidR="00C67064">
        <w:rPr>
          <w:rFonts w:ascii="Times New Roman" w:hAnsi="Times New Roman"/>
          <w:sz w:val="24"/>
          <w:szCs w:val="24"/>
        </w:rPr>
        <w:t>institution</w:t>
      </w:r>
      <w:r w:rsidRPr="00D3354F">
        <w:rPr>
          <w:rFonts w:ascii="Times New Roman" w:hAnsi="Times New Roman"/>
          <w:sz w:val="24"/>
          <w:szCs w:val="24"/>
        </w:rPr>
        <w:t>’s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w:t>
      </w:r>
      <w:r w:rsidR="00C67064">
        <w:rPr>
          <w:rFonts w:ascii="Times New Roman" w:hAnsi="Times New Roman"/>
          <w:sz w:val="24"/>
          <w:szCs w:val="24"/>
        </w:rPr>
        <w:t>institution</w:t>
      </w:r>
      <w:r w:rsidRPr="00D3354F">
        <w:rPr>
          <w:rFonts w:ascii="Times New Roman" w:hAnsi="Times New Roman"/>
          <w:sz w:val="24"/>
          <w:szCs w:val="24"/>
        </w:rPr>
        <w:t xml:space="preserve">’s assessment area(s).   </w:t>
      </w:r>
    </w:p>
    <w:p w14:paraId="7681FF7B" w14:textId="77777777" w:rsidR="0099672C" w:rsidRPr="00093472" w:rsidRDefault="0099672C" w:rsidP="00D3354F">
      <w:pPr>
        <w:pStyle w:val="HTMLPreformatted"/>
        <w:rPr>
          <w:rFonts w:ascii="Times New Roman" w:hAnsi="Times New Roman"/>
          <w:bCs/>
          <w:sz w:val="24"/>
          <w:szCs w:val="24"/>
        </w:rPr>
      </w:pPr>
    </w:p>
    <w:p w14:paraId="74330A17"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t>Community Development S</w:t>
      </w:r>
      <w:r w:rsidR="0099672C" w:rsidRPr="00D3354F">
        <w:rPr>
          <w:rFonts w:ascii="Times New Roman" w:hAnsi="Times New Roman"/>
          <w:b/>
          <w:bCs/>
          <w:sz w:val="24"/>
          <w:szCs w:val="24"/>
        </w:rPr>
        <w:t>ervice:</w:t>
      </w:r>
      <w:r w:rsidR="0099672C" w:rsidRPr="00D3354F">
        <w:rPr>
          <w:rFonts w:ascii="Times New Roman" w:hAnsi="Times New Roman"/>
          <w:sz w:val="24"/>
          <w:szCs w:val="24"/>
        </w:rPr>
        <w:t xml:space="preserve">  A service that</w:t>
      </w:r>
      <w:r w:rsidR="00AA4546">
        <w:rPr>
          <w:rFonts w:ascii="Times New Roman" w:hAnsi="Times New Roman"/>
          <w:sz w:val="24"/>
          <w:szCs w:val="24"/>
        </w:rPr>
        <w:t>:</w:t>
      </w:r>
      <w:r w:rsidR="0099672C" w:rsidRPr="00D3354F">
        <w:rPr>
          <w:rFonts w:ascii="Times New Roman" w:hAnsi="Times New Roman"/>
          <w:sz w:val="24"/>
          <w:szCs w:val="24"/>
        </w:rPr>
        <w:t xml:space="preserve"> </w:t>
      </w:r>
    </w:p>
    <w:p w14:paraId="651710A9"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(1) </w:t>
      </w:r>
      <w:r w:rsidR="00751988">
        <w:rPr>
          <w:rFonts w:ascii="Times New Roman" w:hAnsi="Times New Roman"/>
          <w:sz w:val="24"/>
          <w:szCs w:val="24"/>
        </w:rPr>
        <w:t>H</w:t>
      </w:r>
      <w:r w:rsidRPr="00D3354F">
        <w:rPr>
          <w:rFonts w:ascii="Times New Roman" w:hAnsi="Times New Roman"/>
          <w:sz w:val="24"/>
          <w:szCs w:val="24"/>
        </w:rPr>
        <w:t xml:space="preserve">as as its primary purpose community development; </w:t>
      </w:r>
    </w:p>
    <w:p w14:paraId="40E70A6C"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(2) </w:t>
      </w:r>
      <w:r w:rsidR="00751988">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7A87A1B4" w14:textId="77777777" w:rsidR="0099672C" w:rsidRPr="00D3354F"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(3) </w:t>
      </w:r>
      <w:r w:rsidR="00751988">
        <w:rPr>
          <w:rFonts w:ascii="Times New Roman" w:hAnsi="Times New Roman"/>
          <w:sz w:val="24"/>
          <w:szCs w:val="24"/>
        </w:rPr>
        <w:t>H</w:t>
      </w:r>
      <w:r w:rsidRPr="00D3354F">
        <w:rPr>
          <w:rFonts w:ascii="Times New Roman" w:hAnsi="Times New Roman"/>
          <w:sz w:val="24"/>
          <w:szCs w:val="24"/>
        </w:rPr>
        <w:t xml:space="preserve">as not been considered in the evaluation of the </w:t>
      </w:r>
      <w:r w:rsidR="00C67064">
        <w:rPr>
          <w:rFonts w:ascii="Times New Roman" w:hAnsi="Times New Roman"/>
          <w:sz w:val="24"/>
          <w:szCs w:val="24"/>
        </w:rPr>
        <w:t>institution</w:t>
      </w:r>
      <w:r w:rsidRPr="00D3354F">
        <w:rPr>
          <w:rFonts w:ascii="Times New Roman" w:hAnsi="Times New Roman"/>
          <w:sz w:val="24"/>
          <w:szCs w:val="24"/>
        </w:rPr>
        <w:t>’s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405379BD" w14:textId="77777777" w:rsidR="0099672C" w:rsidRPr="00093472" w:rsidRDefault="0099672C" w:rsidP="00D3354F">
      <w:pPr>
        <w:rPr>
          <w:bCs/>
        </w:rPr>
      </w:pPr>
    </w:p>
    <w:p w14:paraId="5D723188" w14:textId="77777777" w:rsidR="0099672C" w:rsidRPr="00D3354F" w:rsidRDefault="00874E0E" w:rsidP="00D3354F">
      <w:pPr>
        <w:rPr>
          <w:b/>
          <w:bCs/>
        </w:rPr>
      </w:pPr>
      <w:r>
        <w:rPr>
          <w:b/>
          <w:bCs/>
        </w:rPr>
        <w:t>Consumer L</w:t>
      </w:r>
      <w:r w:rsidR="0099672C" w:rsidRPr="00D3354F">
        <w:rPr>
          <w:b/>
          <w:bCs/>
        </w:rPr>
        <w:t xml:space="preserve">oan(s):  </w:t>
      </w:r>
      <w:r w:rsidR="0099672C"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00E32180" w14:textId="77777777" w:rsidR="00624BC7" w:rsidRPr="00093472" w:rsidRDefault="00624BC7" w:rsidP="00624BC7">
      <w:pPr>
        <w:rPr>
          <w:bCs/>
        </w:rPr>
      </w:pPr>
    </w:p>
    <w:p w14:paraId="2488DEFA" w14:textId="77777777" w:rsidR="00624BC7" w:rsidRDefault="00624BC7" w:rsidP="00624BC7">
      <w:r>
        <w:rPr>
          <w:b/>
          <w:bCs/>
        </w:rPr>
        <w:t xml:space="preserve">Core Based Statistical Area (CBSA):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Micropolitan Statistical Areas are the two categories of CBSAs. </w:t>
      </w:r>
    </w:p>
    <w:p w14:paraId="31DEEE7F" w14:textId="77777777" w:rsidR="0099672C" w:rsidRPr="00D3354F" w:rsidRDefault="0099672C" w:rsidP="00D3354F">
      <w:pPr>
        <w:pStyle w:val="HTMLPreformatted"/>
        <w:rPr>
          <w:rFonts w:ascii="Times New Roman" w:hAnsi="Times New Roman"/>
          <w:sz w:val="24"/>
          <w:szCs w:val="24"/>
        </w:rPr>
      </w:pPr>
    </w:p>
    <w:p w14:paraId="50703CAA" w14:textId="77777777" w:rsidR="0099672C" w:rsidRDefault="00874E0E" w:rsidP="00D3354F">
      <w:pPr>
        <w:pStyle w:val="HTMLPreformatted"/>
        <w:rPr>
          <w:rFonts w:ascii="Times New Roman" w:hAnsi="Times New Roman"/>
          <w:sz w:val="24"/>
          <w:szCs w:val="24"/>
        </w:rPr>
      </w:pPr>
      <w:r>
        <w:rPr>
          <w:rFonts w:ascii="Times New Roman" w:hAnsi="Times New Roman"/>
          <w:b/>
          <w:bCs/>
          <w:sz w:val="24"/>
          <w:szCs w:val="24"/>
        </w:rPr>
        <w:lastRenderedPageBreak/>
        <w:t>Distressed Middle-Income Nonmetropolitan G</w:t>
      </w:r>
      <w:r w:rsidR="0099672C" w:rsidRPr="00D3354F">
        <w:rPr>
          <w:rFonts w:ascii="Times New Roman" w:hAnsi="Times New Roman"/>
          <w:b/>
          <w:bCs/>
          <w:sz w:val="24"/>
          <w:szCs w:val="24"/>
        </w:rPr>
        <w:t>eographies</w:t>
      </w:r>
      <w:r w:rsidR="0099672C"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7CD422A1"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(1) </w:t>
      </w:r>
      <w:r w:rsidR="004039F2">
        <w:rPr>
          <w:rFonts w:ascii="Times New Roman" w:hAnsi="Times New Roman"/>
          <w:sz w:val="24"/>
          <w:szCs w:val="24"/>
        </w:rPr>
        <w:t>A</w:t>
      </w:r>
      <w:r w:rsidRPr="00D3354F">
        <w:rPr>
          <w:rFonts w:ascii="Times New Roman" w:hAnsi="Times New Roman"/>
          <w:sz w:val="24"/>
          <w:szCs w:val="24"/>
        </w:rPr>
        <w:t xml:space="preserve">n unemployment rate of at least 1.5 times the national average; </w:t>
      </w:r>
    </w:p>
    <w:p w14:paraId="71416CFA" w14:textId="77777777" w:rsidR="0099672C" w:rsidRDefault="0099672C" w:rsidP="007A7810">
      <w:pPr>
        <w:pStyle w:val="HTMLPreformatted"/>
        <w:ind w:left="720" w:hanging="360"/>
        <w:rPr>
          <w:rFonts w:ascii="Times New Roman" w:hAnsi="Times New Roman"/>
          <w:sz w:val="24"/>
          <w:szCs w:val="24"/>
        </w:rPr>
      </w:pPr>
      <w:r w:rsidRPr="00D3354F">
        <w:rPr>
          <w:rFonts w:ascii="Times New Roman" w:hAnsi="Times New Roman"/>
          <w:sz w:val="24"/>
          <w:szCs w:val="24"/>
        </w:rPr>
        <w:t xml:space="preserve">(2) </w:t>
      </w:r>
      <w:r w:rsidR="004039F2">
        <w:rPr>
          <w:rFonts w:ascii="Times New Roman" w:hAnsi="Times New Roman"/>
          <w:sz w:val="24"/>
          <w:szCs w:val="24"/>
        </w:rPr>
        <w:t>A</w:t>
      </w:r>
      <w:r w:rsidRPr="00D3354F">
        <w:rPr>
          <w:rFonts w:ascii="Times New Roman" w:hAnsi="Times New Roman"/>
          <w:sz w:val="24"/>
          <w:szCs w:val="24"/>
        </w:rPr>
        <w:t xml:space="preserve"> poverty rate of 20 percent or m</w:t>
      </w:r>
      <w:r w:rsidR="00A371EA">
        <w:rPr>
          <w:rFonts w:ascii="Times New Roman" w:hAnsi="Times New Roman"/>
          <w:sz w:val="24"/>
          <w:szCs w:val="24"/>
        </w:rPr>
        <w:t>ore; or</w:t>
      </w:r>
    </w:p>
    <w:p w14:paraId="75FEA1A3" w14:textId="77777777" w:rsidR="0099672C" w:rsidRPr="00D3354F" w:rsidRDefault="0099672C" w:rsidP="007A7810">
      <w:pPr>
        <w:pStyle w:val="HTMLPreformatted"/>
        <w:ind w:left="720" w:hanging="360"/>
        <w:rPr>
          <w:rFonts w:ascii="Times New Roman" w:hAnsi="Times New Roman"/>
          <w:b/>
          <w:bCs/>
          <w:sz w:val="24"/>
          <w:szCs w:val="24"/>
        </w:rPr>
      </w:pPr>
      <w:r w:rsidRPr="00D3354F">
        <w:rPr>
          <w:rFonts w:ascii="Times New Roman" w:hAnsi="Times New Roman"/>
          <w:sz w:val="24"/>
          <w:szCs w:val="24"/>
        </w:rPr>
        <w:t xml:space="preserve">(3) </w:t>
      </w:r>
      <w:r w:rsidR="004039F2">
        <w:rPr>
          <w:rFonts w:ascii="Times New Roman" w:hAnsi="Times New Roman"/>
          <w:sz w:val="24"/>
          <w:szCs w:val="24"/>
        </w:rPr>
        <w:t>A</w:t>
      </w:r>
      <w:r w:rsidRPr="00D3354F">
        <w:rPr>
          <w:rFonts w:ascii="Times New Roman" w:hAnsi="Times New Roman"/>
          <w:sz w:val="24"/>
          <w:szCs w:val="24"/>
        </w:rPr>
        <w:t xml:space="preserve">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448BDCEE" w14:textId="77777777" w:rsidR="0099672C" w:rsidRPr="00D3354F" w:rsidRDefault="0099672C" w:rsidP="00D3354F"/>
    <w:p w14:paraId="44A773E6" w14:textId="77777777" w:rsidR="0099672C" w:rsidRPr="00D3354F" w:rsidRDefault="0099672C" w:rsidP="00D3354F">
      <w:r w:rsidRPr="00D3354F">
        <w:rPr>
          <w:b/>
          <w:bCs/>
        </w:rPr>
        <w:t>Family:</w:t>
      </w:r>
      <w:r w:rsidRPr="00D3354F">
        <w:t xml:space="preserve">  Includes a householder and one or more other persons living in the same household who are related to the householder by birth, marriage, or adoption.  The number of family households always equals the number of families; however, a family household may also include non-relatives living with the family.  Families are classified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6716056F" w14:textId="77777777" w:rsidR="0099672C" w:rsidRPr="00D3354F" w:rsidRDefault="0099672C" w:rsidP="00D3354F"/>
    <w:p w14:paraId="52DB6D15" w14:textId="77777777" w:rsidR="0099672C" w:rsidRPr="00D3354F" w:rsidRDefault="0099672C" w:rsidP="00D3354F">
      <w:r w:rsidRPr="00D3354F">
        <w:rPr>
          <w:b/>
          <w:bCs/>
        </w:rPr>
        <w:t>FFIEC-</w:t>
      </w:r>
      <w:r w:rsidR="00674560">
        <w:rPr>
          <w:b/>
          <w:bCs/>
        </w:rPr>
        <w:t>Estimated</w:t>
      </w:r>
      <w:r w:rsidR="00674560" w:rsidRPr="00D3354F">
        <w:rPr>
          <w:b/>
          <w:bCs/>
        </w:rPr>
        <w:t xml:space="preserve"> </w:t>
      </w:r>
      <w:r w:rsidRPr="00D3354F">
        <w:rPr>
          <w:b/>
          <w:bCs/>
        </w:rPr>
        <w:t xml:space="preserve">Income Data:  </w:t>
      </w:r>
      <w:r w:rsidRPr="00D3354F">
        <w:t>The Federal Financial Institutions Examination Council (FFIEC) issues annual estimates which update median family incom</w:t>
      </w:r>
      <w:r w:rsidR="00624BC7">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46F49ED6" w14:textId="77777777" w:rsidR="0099672C" w:rsidRPr="00D3354F" w:rsidRDefault="0099672C" w:rsidP="00D3354F"/>
    <w:p w14:paraId="317E5A46" w14:textId="77777777" w:rsidR="00476927" w:rsidRPr="00C74E19" w:rsidRDefault="00476927" w:rsidP="00476927">
      <w:r w:rsidRPr="00C74E19">
        <w:rPr>
          <w:b/>
          <w:bCs/>
        </w:rPr>
        <w:t xml:space="preserve">Full-Scope Review:  </w:t>
      </w:r>
      <w:r w:rsidRPr="00C74E19">
        <w:t xml:space="preserve">A full-scope review is accomplished when examiners complete all applicable interagency examination procedures for an assessment area.  Performance </w:t>
      </w:r>
      <w:r>
        <w:t>under</w:t>
      </w:r>
      <w:r w:rsidRPr="00C74E19">
        <w:t xml:space="preserve"> applicable tests is analyzed considering performance context, quantitative factors (</w:t>
      </w:r>
      <w:r w:rsidR="00C67064">
        <w:t>e.g</w:t>
      </w:r>
      <w:r w:rsidR="00455246">
        <w:t>.</w:t>
      </w:r>
      <w:r w:rsidRPr="00C74E19">
        <w:t>, geographic distribution, borrower profile</w:t>
      </w:r>
      <w:r>
        <w:t xml:space="preserve">, and </w:t>
      </w:r>
      <w:r w:rsidRPr="00C74E19">
        <w:t>total number and dollar amount of investments), and qualitative factors (</w:t>
      </w:r>
      <w:r w:rsidR="00C67064">
        <w:t>e.g</w:t>
      </w:r>
      <w:r w:rsidR="00455246">
        <w:t>.</w:t>
      </w:r>
      <w:r>
        <w:t xml:space="preserve">, </w:t>
      </w:r>
      <w:r w:rsidRPr="00C74E19">
        <w:t>innovativeness, complexity, and responsiveness).</w:t>
      </w:r>
    </w:p>
    <w:p w14:paraId="575A03CC" w14:textId="77777777" w:rsidR="0099672C" w:rsidRPr="00D3354F" w:rsidRDefault="0099672C" w:rsidP="00D3354F"/>
    <w:p w14:paraId="3350972E" w14:textId="77777777" w:rsidR="0099672C" w:rsidRPr="00093472" w:rsidRDefault="0099672C" w:rsidP="00D3354F">
      <w:pPr>
        <w:rPr>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35C49308" w14:textId="77777777" w:rsidR="0099672C" w:rsidRPr="00695ADE" w:rsidRDefault="0099672C" w:rsidP="00D3354F">
      <w:r w:rsidRPr="00695ADE">
        <w:rPr>
          <w:b/>
          <w:bCs/>
        </w:rPr>
        <w:t xml:space="preserve">Home Mortgage Disclosure Act (HMDA):  </w:t>
      </w:r>
      <w:r w:rsidRPr="00695ADE">
        <w:t>The statute that requires certain mortgage lenders that do business or have banking offices in a metropolitan statistical area to file annual summary reports of their mortgage lending activity.  The reports include such data as the race, gender</w:t>
      </w:r>
      <w:r w:rsidR="00874E0E" w:rsidRPr="00695ADE">
        <w:t>, and the income of applicants</w:t>
      </w:r>
      <w:r w:rsidR="00751988" w:rsidRPr="00695ADE">
        <w:t>;</w:t>
      </w:r>
      <w:r w:rsidRPr="00695ADE">
        <w:t xml:space="preserve"> the amount of loan requested</w:t>
      </w:r>
      <w:r w:rsidR="00751988" w:rsidRPr="00695ADE">
        <w:t>;</w:t>
      </w:r>
      <w:r w:rsidRPr="00695ADE">
        <w:t xml:space="preserve"> </w:t>
      </w:r>
      <w:r w:rsidR="00874E0E" w:rsidRPr="00695ADE">
        <w:t xml:space="preserve">and </w:t>
      </w:r>
      <w:r w:rsidRPr="00695ADE">
        <w:t>the disposition of the application (approved, denied, and withdrawn).</w:t>
      </w:r>
    </w:p>
    <w:p w14:paraId="51497325" w14:textId="77777777" w:rsidR="0099672C" w:rsidRPr="00093472" w:rsidRDefault="0099672C" w:rsidP="00D3354F">
      <w:pPr>
        <w:rPr>
          <w:bCs/>
          <w:highlight w:val="yellow"/>
        </w:rPr>
      </w:pPr>
    </w:p>
    <w:p w14:paraId="09D33919" w14:textId="77777777" w:rsidR="006F3EF1" w:rsidRPr="00A90584" w:rsidRDefault="006F3EF1" w:rsidP="006F3EF1">
      <w:pPr>
        <w:spacing w:line="276" w:lineRule="auto"/>
        <w:rPr>
          <w:rFonts w:eastAsiaTheme="minorHAnsi"/>
        </w:rPr>
      </w:pPr>
      <w:r w:rsidRPr="00A90584">
        <w:rPr>
          <w:b/>
        </w:rPr>
        <w:t>Home Mortgage Loans:</w:t>
      </w:r>
      <w:r w:rsidRPr="00A90584">
        <w:t xml:space="preserve">  </w:t>
      </w:r>
      <w:r w:rsidRPr="00A90584">
        <w:rPr>
          <w:rFonts w:eastAsiaTheme="minorHAnsi"/>
        </w:rPr>
        <w:t>Includes closed-end mortgage loans or open-end line of credits as defined in the HMDA regulation that are not an excluded transaction per the HMDA regulation.</w:t>
      </w:r>
    </w:p>
    <w:p w14:paraId="074221B8" w14:textId="77777777" w:rsidR="0099672C" w:rsidRPr="00D3354F" w:rsidRDefault="0099672C" w:rsidP="00D3354F">
      <w:pPr>
        <w:pStyle w:val="BodyText"/>
        <w:spacing w:after="0"/>
        <w:rPr>
          <w:rFonts w:ascii="Times New Roman" w:hAnsi="Times New Roman"/>
        </w:rPr>
      </w:pPr>
    </w:p>
    <w:p w14:paraId="0F1434B6" w14:textId="77777777" w:rsidR="0099672C" w:rsidRPr="00D3354F" w:rsidRDefault="0099672C" w:rsidP="00D3354F">
      <w:r w:rsidRPr="00D3354F">
        <w:rPr>
          <w:b/>
          <w:bCs/>
        </w:rPr>
        <w:t xml:space="preserve">Housing Unit:  </w:t>
      </w:r>
      <w:r w:rsidRPr="00D3354F">
        <w:t>Includes a house, an apartment, a mobile home, a group of rooms, or a single room that is occupied as separate living quarters.</w:t>
      </w:r>
    </w:p>
    <w:p w14:paraId="1536EBAF" w14:textId="77777777" w:rsidR="0099672C" w:rsidRPr="00093472" w:rsidRDefault="0099672C" w:rsidP="00D3354F">
      <w:pPr>
        <w:rPr>
          <w:bCs/>
        </w:rPr>
      </w:pPr>
    </w:p>
    <w:p w14:paraId="76FC4993" w14:textId="77777777" w:rsidR="00A15D09" w:rsidRPr="00C74E19" w:rsidRDefault="00A15D09" w:rsidP="00A15D09">
      <w:r w:rsidRPr="00C74E19">
        <w:rPr>
          <w:b/>
          <w:bCs/>
        </w:rPr>
        <w:t xml:space="preserve">Limited-Scope Review:  </w:t>
      </w:r>
      <w:r w:rsidRPr="00C74E19">
        <w:t xml:space="preserve">A limited scope review is accomplished when examiners do not complete all applicable interagency examination procedures for an assessment area.  </w:t>
      </w:r>
    </w:p>
    <w:p w14:paraId="479F84AA" w14:textId="77777777" w:rsidR="00A15D09" w:rsidRDefault="00A15D09" w:rsidP="00A15D09">
      <w:r w:rsidRPr="00C74E19">
        <w:lastRenderedPageBreak/>
        <w:t>Performance under applicable tests is often analyzed using only quantitative factors (</w:t>
      </w:r>
      <w:r w:rsidR="00C67064">
        <w:t>e.g</w:t>
      </w:r>
      <w:r w:rsidR="00455246">
        <w:t>.</w:t>
      </w:r>
      <w:r w:rsidRPr="00C74E19">
        <w:t>, geographic distribution, borrower profile, total number and dollar amount of investments, and branch distribution).</w:t>
      </w:r>
    </w:p>
    <w:p w14:paraId="4DB135C3" w14:textId="77777777" w:rsidR="006F3EF1" w:rsidRPr="00C74E19" w:rsidRDefault="006F3EF1" w:rsidP="00A15D09"/>
    <w:p w14:paraId="22686909" w14:textId="77777777" w:rsidR="0099672C" w:rsidRPr="00D3354F" w:rsidRDefault="0099672C" w:rsidP="00D3354F">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14:paraId="1A924707" w14:textId="77777777" w:rsidR="0099672C" w:rsidRPr="00093472" w:rsidRDefault="0099672C" w:rsidP="00D3354F">
      <w:pPr>
        <w:rPr>
          <w:bCs/>
        </w:rPr>
      </w:pPr>
    </w:p>
    <w:p w14:paraId="78BB9954" w14:textId="77777777" w:rsidR="0099672C" w:rsidRPr="00D3354F" w:rsidRDefault="0099672C" w:rsidP="00D3354F">
      <w:r w:rsidRPr="00D3354F">
        <w:rPr>
          <w:b/>
          <w:bCs/>
        </w:rPr>
        <w:t>Low Income Housing Tax Credit:</w:t>
      </w:r>
      <w:r w:rsidRPr="00D3354F">
        <w:t xml:space="preserve">  The Low-Income Housing Tax Credit Program is a housing program contained within the Internal Revenue Code of 1986, as amended</w:t>
      </w:r>
      <w:r>
        <w:t>.  It</w:t>
      </w:r>
      <w:r w:rsidRPr="00D3354F">
        <w:t xml:space="preserve"> is administered by the U.S. Department of the Treasury and the Internal Revenue Service.  The U.S. Treasury Department distributes low-income housing tax credits to housing credit agencies</w:t>
      </w:r>
      <w:r>
        <w:t xml:space="preserve"> </w:t>
      </w:r>
      <w:r w:rsidRPr="00D3354F">
        <w:t xml:space="preserve">through the Internal </w:t>
      </w:r>
      <w:r w:rsidR="00874E0E">
        <w:t xml:space="preserve">Revenue Service.  </w:t>
      </w:r>
      <w:r w:rsidRPr="00D3354F">
        <w:t>The housing agencies allocate tax credits on a competitive basis.</w:t>
      </w:r>
    </w:p>
    <w:p w14:paraId="4FF617C9" w14:textId="77777777" w:rsidR="0099672C" w:rsidRPr="00D3354F" w:rsidRDefault="0099672C" w:rsidP="00D3354F"/>
    <w:p w14:paraId="2EFB65FE" w14:textId="77777777" w:rsidR="0099672C" w:rsidRPr="00D3354F" w:rsidRDefault="0099672C" w:rsidP="00D3354F">
      <w:pPr>
        <w:rPr>
          <w:b/>
          <w:bCs/>
        </w:rPr>
      </w:pPr>
      <w:r w:rsidRPr="00D3354F">
        <w:t>Developers who acquire, rehabilitate, or construct low-income rental housing may keep their tax credits</w:t>
      </w:r>
      <w:r>
        <w:t xml:space="preserve">.  Or, they may </w:t>
      </w:r>
      <w:r w:rsidRPr="00D3354F">
        <w:t xml:space="preserve">sell them to corporations or investor groups, who, as owners of these properties, will be able to reduce their own federal tax payments.  The credit can be claimed annually for ten consecutive years.  For a project to be eligible, the developer must set aside a specific percentage of units for occupancy by low-income residents.  The set-aside requirement remains throughout the compliance period, usually 30 years. </w:t>
      </w:r>
    </w:p>
    <w:p w14:paraId="7D84914B" w14:textId="77777777" w:rsidR="0099672C" w:rsidRPr="00093472" w:rsidRDefault="0099672C" w:rsidP="00D3354F">
      <w:pPr>
        <w:rPr>
          <w:bCs/>
        </w:rPr>
      </w:pPr>
    </w:p>
    <w:p w14:paraId="61C6EA26" w14:textId="77777777" w:rsidR="0099672C" w:rsidRPr="00D3354F" w:rsidRDefault="0099672C" w:rsidP="00D3354F">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2711900B" w14:textId="77777777" w:rsidR="0099672C" w:rsidRPr="00093472" w:rsidRDefault="0099672C" w:rsidP="00D3354F">
      <w:pPr>
        <w:rPr>
          <w:bCs/>
        </w:rPr>
      </w:pPr>
    </w:p>
    <w:p w14:paraId="67CFC079" w14:textId="77777777" w:rsidR="0099672C" w:rsidRPr="00D3354F" w:rsidRDefault="0099672C" w:rsidP="00D3354F">
      <w:r w:rsidRPr="00D3354F">
        <w:rPr>
          <w:b/>
          <w:bCs/>
        </w:rPr>
        <w:t xml:space="preserve">Median Income:  </w:t>
      </w:r>
      <w:r w:rsidRPr="00D3354F">
        <w:t>The median income divides the income distribution into two equal parts, one having incomes above the median and other having incomes below the median.</w:t>
      </w:r>
    </w:p>
    <w:p w14:paraId="2817D0ED" w14:textId="77777777" w:rsidR="0099672C" w:rsidRPr="00D3354F" w:rsidRDefault="0099672C" w:rsidP="00D3354F"/>
    <w:p w14:paraId="34B6EE50" w14:textId="77777777" w:rsidR="00624BC7" w:rsidRPr="00D3354F" w:rsidRDefault="00624BC7" w:rsidP="00624BC7">
      <w:r w:rsidRPr="00D3354F">
        <w:rPr>
          <w:b/>
          <w:bCs/>
        </w:rPr>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68E14136" w14:textId="77777777" w:rsidR="00624BC7" w:rsidRPr="00093472" w:rsidRDefault="00624BC7" w:rsidP="00624BC7">
      <w:pPr>
        <w:rPr>
          <w:bCs/>
        </w:rPr>
      </w:pPr>
    </w:p>
    <w:p w14:paraId="248F9FC4" w14:textId="77777777" w:rsidR="00624BC7" w:rsidRDefault="00624BC7" w:rsidP="00624BC7">
      <w:r w:rsidRPr="00D3354F">
        <w:rPr>
          <w:b/>
          <w:bCs/>
        </w:rPr>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34F0F24D" w14:textId="77777777" w:rsidR="00624BC7" w:rsidRDefault="00624BC7" w:rsidP="00624BC7"/>
    <w:p w14:paraId="1A8C547C" w14:textId="77777777" w:rsidR="0099672C" w:rsidRPr="00D3354F" w:rsidRDefault="0099672C" w:rsidP="00D3354F">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1491CABA" w14:textId="77777777" w:rsidR="0099672C" w:rsidRPr="00D3354F" w:rsidRDefault="0099672C" w:rsidP="00D3354F"/>
    <w:p w14:paraId="381B0575" w14:textId="77777777" w:rsidR="0099672C" w:rsidRPr="00D3354F" w:rsidRDefault="0099672C" w:rsidP="00D3354F">
      <w:pPr>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7FAD22B5" w14:textId="77777777" w:rsidR="0099672C" w:rsidRPr="00093472" w:rsidRDefault="0099672C" w:rsidP="00D3354F">
      <w:pPr>
        <w:rPr>
          <w:bCs/>
        </w:rPr>
      </w:pPr>
    </w:p>
    <w:p w14:paraId="3019655A" w14:textId="77777777" w:rsidR="0099672C" w:rsidRPr="00D3354F" w:rsidRDefault="0099672C" w:rsidP="00D3354F">
      <w:r w:rsidRPr="00D3354F">
        <w:rPr>
          <w:b/>
          <w:bCs/>
        </w:rPr>
        <w:t xml:space="preserve">Multi-family:  </w:t>
      </w:r>
      <w:r w:rsidRPr="00D3354F">
        <w:t>Refers to</w:t>
      </w:r>
      <w:r w:rsidRPr="00D3354F">
        <w:rPr>
          <w:b/>
          <w:bCs/>
        </w:rPr>
        <w:t xml:space="preserve"> </w:t>
      </w:r>
      <w:r w:rsidRPr="00D3354F">
        <w:t>a residential structure that contains five or more units.</w:t>
      </w:r>
    </w:p>
    <w:p w14:paraId="5952013D" w14:textId="77777777" w:rsidR="0099672C" w:rsidRPr="00093472" w:rsidRDefault="0099672C" w:rsidP="00D3354F">
      <w:pPr>
        <w:rPr>
          <w:bCs/>
        </w:rPr>
      </w:pPr>
    </w:p>
    <w:p w14:paraId="3A066F4E" w14:textId="77777777" w:rsidR="0099672C" w:rsidRPr="00D3354F" w:rsidRDefault="00624BC7" w:rsidP="00D3354F">
      <w:r>
        <w:rPr>
          <w:b/>
          <w:bCs/>
        </w:rPr>
        <w:t>Non</w:t>
      </w:r>
      <w:r w:rsidR="0099672C" w:rsidRPr="00D3354F">
        <w:rPr>
          <w:b/>
          <w:bCs/>
        </w:rPr>
        <w:t>metropolitan Area</w:t>
      </w:r>
      <w:r w:rsidR="001A2E0C">
        <w:rPr>
          <w:b/>
          <w:bCs/>
        </w:rPr>
        <w:t xml:space="preserve"> (</w:t>
      </w:r>
      <w:r w:rsidR="001A2E0C" w:rsidRPr="00637BDC">
        <w:rPr>
          <w:bCs/>
        </w:rPr>
        <w:t>also known as</w:t>
      </w:r>
      <w:r w:rsidR="001A2E0C">
        <w:rPr>
          <w:b/>
          <w:bCs/>
        </w:rPr>
        <w:t xml:space="preserve"> non-MSA)</w:t>
      </w:r>
      <w:r w:rsidR="0099672C" w:rsidRPr="00D3354F">
        <w:rPr>
          <w:b/>
          <w:bCs/>
        </w:rPr>
        <w:t>:</w:t>
      </w:r>
      <w:r w:rsidR="0099672C" w:rsidRPr="00D3354F">
        <w:t xml:space="preserve">  All areas outside of metropolita</w:t>
      </w:r>
      <w:r>
        <w:t>n areas.  The definition of non</w:t>
      </w:r>
      <w:r w:rsidR="0099672C" w:rsidRPr="00D3354F">
        <w:t>metropolitan area is not consistent with the definition of rural areas.  Urban and rural classifications cut across the other hierarchies</w:t>
      </w:r>
      <w:r w:rsidR="0099672C">
        <w:t xml:space="preserve">. </w:t>
      </w:r>
      <w:r w:rsidR="0099672C" w:rsidRPr="00D3354F">
        <w:t xml:space="preserve"> </w:t>
      </w:r>
      <w:r w:rsidR="0099672C">
        <w:t>F</w:t>
      </w:r>
      <w:r w:rsidR="0099672C" w:rsidRPr="00D3354F">
        <w:t>or example, there is generally urban and rural territ</w:t>
      </w:r>
      <w:r>
        <w:t>ory within metropolitan and non</w:t>
      </w:r>
      <w:r w:rsidR="0099672C" w:rsidRPr="00D3354F">
        <w:t>metropolitan areas.</w:t>
      </w:r>
    </w:p>
    <w:p w14:paraId="23E8DDA0" w14:textId="77777777" w:rsidR="0099672C" w:rsidRPr="00093472" w:rsidRDefault="0099672C" w:rsidP="00D3354F">
      <w:pPr>
        <w:rPr>
          <w:bCs/>
        </w:rPr>
      </w:pPr>
    </w:p>
    <w:p w14:paraId="378B183F" w14:textId="77777777" w:rsidR="0099672C" w:rsidRPr="00D3354F" w:rsidRDefault="0099672C" w:rsidP="00D3354F">
      <w:r w:rsidRPr="00D3354F">
        <w:rPr>
          <w:b/>
          <w:bCs/>
        </w:rPr>
        <w:t>Owner-Occupied Units:</w:t>
      </w:r>
      <w:r w:rsidRPr="00D3354F">
        <w:t xml:space="preserve">  Includes units occupied by the owner or co-owner, even if the unit has not been fully paid for or is mortgaged.</w:t>
      </w:r>
    </w:p>
    <w:p w14:paraId="6E2DE98C" w14:textId="77777777" w:rsidR="0099672C" w:rsidRPr="00093472" w:rsidRDefault="0099672C" w:rsidP="00D3354F">
      <w:pPr>
        <w:rPr>
          <w:bCs/>
        </w:rPr>
      </w:pPr>
    </w:p>
    <w:p w14:paraId="726596B1" w14:textId="77777777" w:rsidR="0099672C" w:rsidRPr="00145CB9" w:rsidRDefault="0099672C" w:rsidP="00D3354F">
      <w:pPr>
        <w:rPr>
          <w:bCs/>
        </w:rPr>
      </w:pPr>
      <w:r>
        <w:rPr>
          <w:b/>
          <w:bCs/>
        </w:rPr>
        <w:t xml:space="preserve">Qualified Investment:  </w:t>
      </w:r>
      <w:r>
        <w:rPr>
          <w:bCs/>
        </w:rPr>
        <w:t>A lawful investment, deposit, membership share, or grant that has as its primary purpose community development.</w:t>
      </w:r>
    </w:p>
    <w:p w14:paraId="3E5307CD" w14:textId="77777777" w:rsidR="0099672C" w:rsidRPr="00093472" w:rsidRDefault="0099672C" w:rsidP="00D3354F">
      <w:pPr>
        <w:rPr>
          <w:bCs/>
        </w:rPr>
      </w:pPr>
    </w:p>
    <w:p w14:paraId="125F14EC" w14:textId="77777777" w:rsidR="0099672C" w:rsidRDefault="0099672C" w:rsidP="00D3354F">
      <w:pPr>
        <w:rPr>
          <w:snapToGrid w:val="0"/>
        </w:rPr>
      </w:pPr>
      <w:r w:rsidRPr="00D3354F">
        <w:rPr>
          <w:b/>
          <w:bCs/>
        </w:rPr>
        <w:t xml:space="preserve">Rated </w:t>
      </w:r>
      <w:r w:rsidR="007A7810">
        <w:rPr>
          <w:b/>
          <w:bCs/>
        </w:rPr>
        <w:t>A</w:t>
      </w:r>
      <w:r w:rsidRPr="00D3354F">
        <w:rPr>
          <w:b/>
          <w:bCs/>
        </w:rPr>
        <w:t>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64B26638" w14:textId="77777777" w:rsidR="0099672C" w:rsidRPr="006D6766" w:rsidRDefault="0099672C" w:rsidP="00D3354F">
      <w:pPr>
        <w:rPr>
          <w:color w:val="000000"/>
        </w:rPr>
      </w:pPr>
    </w:p>
    <w:p w14:paraId="2B084CEF" w14:textId="77777777" w:rsidR="0099672C" w:rsidRPr="00D3354F" w:rsidRDefault="0099672C" w:rsidP="00D3354F">
      <w:r w:rsidRPr="00D3354F">
        <w:rPr>
          <w:b/>
          <w:bCs/>
        </w:rPr>
        <w:t>Rural Area:</w:t>
      </w:r>
      <w:r w:rsidRPr="00D3354F">
        <w:t xml:space="preserve">  Territories, populations</w:t>
      </w:r>
      <w:r>
        <w:t>,</w:t>
      </w:r>
      <w:r w:rsidRPr="00D3354F">
        <w:t xml:space="preserve"> and housing units that are not classified as urban.</w:t>
      </w:r>
    </w:p>
    <w:p w14:paraId="787C3773" w14:textId="77777777" w:rsidR="0099672C" w:rsidRPr="00093472" w:rsidRDefault="0099672C" w:rsidP="00D3354F">
      <w:pPr>
        <w:rPr>
          <w:bCs/>
        </w:rPr>
      </w:pPr>
    </w:p>
    <w:p w14:paraId="506833AF" w14:textId="77777777" w:rsidR="0099672C" w:rsidRDefault="0099672C" w:rsidP="00D3354F">
      <w:pPr>
        <w:pStyle w:val="NormalWeb"/>
        <w:spacing w:before="0" w:beforeAutospacing="0" w:after="0" w:afterAutospacing="0"/>
        <w:rPr>
          <w:color w:val="000000"/>
        </w:rPr>
      </w:pPr>
      <w:r w:rsidRPr="00D3354F">
        <w:rPr>
          <w:b/>
          <w:bCs/>
          <w:color w:val="000000"/>
        </w:rPr>
        <w:t xml:space="preserve">Small Business Investment Company (SBIC):  </w:t>
      </w:r>
      <w:r w:rsidRPr="00D3354F">
        <w:rPr>
          <w:color w:val="000000"/>
        </w:rPr>
        <w:t>SBICs are privately-owned investment companies which are licensed and regulated by the Small Business Administration (SBA).  SBICs provide long-term loans and/or venture capital to small firms.  Because money for venture or risk investments is difficult for small firms to obtain, SBA provides assistance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These SBIC debentures are then</w:t>
      </w:r>
      <w:r w:rsidRPr="00D3354F">
        <w:rPr>
          <w:color w:val="000000"/>
        </w:rPr>
        <w:t xml:space="preserve"> sold to private investors.  An SBIC’s success is linked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4893929F" w14:textId="77777777" w:rsidR="00624BC7" w:rsidRPr="00D3354F" w:rsidRDefault="00624BC7" w:rsidP="00D3354F">
      <w:pPr>
        <w:pStyle w:val="NormalWeb"/>
        <w:spacing w:before="0" w:beforeAutospacing="0" w:after="0" w:afterAutospacing="0"/>
      </w:pPr>
    </w:p>
    <w:p w14:paraId="606CB3A1" w14:textId="77777777" w:rsidR="0099672C" w:rsidRPr="00D3354F" w:rsidRDefault="0099672C" w:rsidP="00D3354F">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either secured by nonfarm nonresidential properties or are classified as commercial and industrial loans.</w:t>
      </w:r>
    </w:p>
    <w:p w14:paraId="45340779" w14:textId="77777777" w:rsidR="0099672C" w:rsidRPr="00093472" w:rsidRDefault="0099672C" w:rsidP="00D3354F">
      <w:pPr>
        <w:rPr>
          <w:bCs/>
        </w:rPr>
      </w:pPr>
    </w:p>
    <w:p w14:paraId="780F7A94" w14:textId="77777777" w:rsidR="0099672C" w:rsidRPr="00D3354F" w:rsidRDefault="0099672C" w:rsidP="00D3354F">
      <w:r w:rsidRPr="00D3354F">
        <w:rPr>
          <w:b/>
          <w:bCs/>
        </w:rPr>
        <w:t xml:space="preserve">Small Farm Loan:  </w:t>
      </w:r>
      <w:r w:rsidRPr="00D3354F">
        <w:t>A loan included in “loans to small farms” as defined in the instructions for preparation of the Consolidated Report of Condition and Income (Call Report).  These loans have original amounts of $500,000 or less and are either secured by farmland, including farm residential and other improvements, or are classified as loans to finance agricultural production and other loans to farmers.</w:t>
      </w:r>
    </w:p>
    <w:p w14:paraId="04DE86DE" w14:textId="77777777" w:rsidR="0099672C" w:rsidRPr="00093472" w:rsidRDefault="0099672C" w:rsidP="00D3354F">
      <w:pPr>
        <w:rPr>
          <w:bCs/>
        </w:rPr>
      </w:pPr>
    </w:p>
    <w:p w14:paraId="67E892F1" w14:textId="77777777" w:rsidR="0099672C" w:rsidRPr="004111C6" w:rsidRDefault="00624BC7" w:rsidP="00A371EA">
      <w:r>
        <w:rPr>
          <w:b/>
          <w:bCs/>
        </w:rPr>
        <w:lastRenderedPageBreak/>
        <w:t>Underserved Middle-Income N</w:t>
      </w:r>
      <w:r w:rsidR="0099672C" w:rsidRPr="00D3354F">
        <w:rPr>
          <w:b/>
          <w:bCs/>
        </w:rPr>
        <w:t>on</w:t>
      </w:r>
      <w:r>
        <w:rPr>
          <w:b/>
          <w:bCs/>
        </w:rPr>
        <w:t>metropolitan Ge</w:t>
      </w:r>
      <w:r w:rsidR="0099672C" w:rsidRPr="00D3354F">
        <w:rPr>
          <w:b/>
          <w:bCs/>
        </w:rPr>
        <w:t>ographies:</w:t>
      </w:r>
      <w:r w:rsidR="0099672C" w:rsidRPr="00D3354F">
        <w:t xml:space="preserve">  A nonmetropolitan middle-income geography will be designated as underserved if it meets criteria for</w:t>
      </w:r>
      <w:r w:rsidR="00A371EA">
        <w:t xml:space="preserve"> p</w:t>
      </w:r>
      <w:r w:rsidR="0099672C" w:rsidRPr="00D3354F">
        <w:t>opulation size, density, and dispersion indicat</w:t>
      </w:r>
      <w:r w:rsidR="0099672C">
        <w:t>ing</w:t>
      </w:r>
      <w:r w:rsidR="0099672C" w:rsidRPr="00D3354F">
        <w:t xml:space="preserve"> the area’s population is sufficiently small, thin, and </w:t>
      </w:r>
      <w:r w:rsidR="00A371EA">
        <w:t>d</w:t>
      </w:r>
      <w:r w:rsidR="0099672C" w:rsidRPr="00D3354F">
        <w:t xml:space="preserve">istant from a population center that the tract is likely to have difficulty financing the fixed costs of meeting essential community needs. </w:t>
      </w:r>
    </w:p>
    <w:p w14:paraId="605A0C67" w14:textId="77777777" w:rsidR="0099672C" w:rsidRPr="00093472" w:rsidRDefault="0099672C" w:rsidP="00D3354F">
      <w:pPr>
        <w:rPr>
          <w:bCs/>
        </w:rPr>
      </w:pPr>
    </w:p>
    <w:p w14:paraId="799AB7FC" w14:textId="77777777" w:rsidR="00A371EA" w:rsidRPr="00D3354F" w:rsidRDefault="00A371EA" w:rsidP="00A371EA">
      <w:r w:rsidRPr="00D3354F">
        <w:rPr>
          <w:b/>
          <w:bCs/>
        </w:rPr>
        <w:t>Upper-Income:</w:t>
      </w:r>
      <w:r w:rsidRPr="00D3354F">
        <w:t xml:space="preserve">  Individual income that is 120 percent</w:t>
      </w:r>
      <w:r>
        <w:t xml:space="preserve"> or more</w:t>
      </w:r>
      <w:r w:rsidRPr="00D3354F">
        <w:t xml:space="preserve"> of the area median income, or a median family income that is 120 percent</w:t>
      </w:r>
      <w:r>
        <w:t xml:space="preserve"> or more</w:t>
      </w:r>
      <w:r w:rsidRPr="00D3354F">
        <w:t xml:space="preserve"> in the case of a geography. </w:t>
      </w:r>
    </w:p>
    <w:p w14:paraId="3F914651" w14:textId="77777777" w:rsidR="0099672C" w:rsidRPr="00093472" w:rsidRDefault="0099672C" w:rsidP="00D3354F">
      <w:pPr>
        <w:rPr>
          <w:bCs/>
        </w:rPr>
      </w:pPr>
    </w:p>
    <w:p w14:paraId="4343705C" w14:textId="77777777" w:rsidR="00DA2F86" w:rsidRDefault="0099672C" w:rsidP="00D3354F">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0D3A5896" w14:textId="77777777" w:rsidR="00DA2F86" w:rsidRDefault="00DA2F86" w:rsidP="00D3354F"/>
    <w:p w14:paraId="126519D5" w14:textId="77777777" w:rsidR="0099672C" w:rsidRDefault="0099672C" w:rsidP="00D3354F">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4B9CC1B7" w14:textId="77777777" w:rsidR="0099672C" w:rsidRPr="0041509F" w:rsidRDefault="0099672C">
      <w:pPr>
        <w:rPr>
          <w:color w:val="000000"/>
        </w:rPr>
      </w:pPr>
    </w:p>
    <w:sectPr w:rsidR="0099672C" w:rsidRPr="0041509F" w:rsidSect="00897C2E">
      <w:headerReference w:type="default" r:id="rId17"/>
      <w:footerReference w:type="default" r:id="rId18"/>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6B66" w14:textId="77777777" w:rsidR="00852A43" w:rsidRDefault="00852A43" w:rsidP="00A03CC1">
      <w:r>
        <w:separator/>
      </w:r>
    </w:p>
  </w:endnote>
  <w:endnote w:type="continuationSeparator" w:id="0">
    <w:p w14:paraId="26D1D3C8" w14:textId="77777777" w:rsidR="00852A43" w:rsidRDefault="00852A43" w:rsidP="00A03CC1">
      <w:r>
        <w:continuationSeparator/>
      </w:r>
    </w:p>
  </w:endnote>
  <w:endnote w:type="continuationNotice" w:id="1">
    <w:p w14:paraId="22ADEDD9" w14:textId="77777777" w:rsidR="00852A43" w:rsidRDefault="0085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3847" w14:textId="77777777" w:rsidR="00852A43" w:rsidRDefault="008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5D97" w14:textId="77777777" w:rsidR="00852A43" w:rsidRDefault="00852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27C5" w14:textId="77777777" w:rsidR="00852A43" w:rsidRDefault="00852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37C6" w14:textId="1CBA42F3" w:rsidR="00852A43" w:rsidRPr="00624BC7" w:rsidRDefault="00852A43">
    <w:pPr>
      <w:pStyle w:val="Footer"/>
      <w:jc w:val="center"/>
      <w:rPr>
        <w:sz w:val="24"/>
        <w:szCs w:val="24"/>
      </w:rPr>
    </w:pPr>
    <w:r w:rsidRPr="00624BC7">
      <w:rPr>
        <w:sz w:val="24"/>
        <w:szCs w:val="24"/>
      </w:rPr>
      <w:fldChar w:fldCharType="begin"/>
    </w:r>
    <w:r w:rsidRPr="00624BC7">
      <w:rPr>
        <w:sz w:val="24"/>
        <w:szCs w:val="24"/>
      </w:rPr>
      <w:instrText xml:space="preserve"> PAGE   \* MERGEFORMAT </w:instrText>
    </w:r>
    <w:r w:rsidRPr="00624BC7">
      <w:rPr>
        <w:sz w:val="24"/>
        <w:szCs w:val="24"/>
      </w:rPr>
      <w:fldChar w:fldCharType="separate"/>
    </w:r>
    <w:r w:rsidR="00A16AAF">
      <w:rPr>
        <w:noProof/>
        <w:sz w:val="24"/>
        <w:szCs w:val="24"/>
      </w:rPr>
      <w:t>1</w:t>
    </w:r>
    <w:r w:rsidRPr="00624BC7">
      <w:rPr>
        <w:sz w:val="24"/>
        <w:szCs w:val="24"/>
      </w:rPr>
      <w:fldChar w:fldCharType="end"/>
    </w:r>
  </w:p>
  <w:p w14:paraId="100861C0" w14:textId="77777777" w:rsidR="00852A43" w:rsidRDefault="0085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6535" w14:textId="77777777" w:rsidR="00852A43" w:rsidRDefault="00852A43" w:rsidP="00A03CC1">
      <w:r>
        <w:separator/>
      </w:r>
    </w:p>
  </w:footnote>
  <w:footnote w:type="continuationSeparator" w:id="0">
    <w:p w14:paraId="5A9DB9C0" w14:textId="77777777" w:rsidR="00852A43" w:rsidRDefault="00852A43" w:rsidP="00A03CC1">
      <w:r>
        <w:continuationSeparator/>
      </w:r>
    </w:p>
  </w:footnote>
  <w:footnote w:type="continuationNotice" w:id="1">
    <w:p w14:paraId="49C542CC" w14:textId="77777777" w:rsidR="00852A43" w:rsidRDefault="00852A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A26B" w14:textId="77777777" w:rsidR="00852A43" w:rsidRDefault="0085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FA08" w14:textId="77777777" w:rsidR="00852A43" w:rsidRDefault="00852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A390" w14:textId="77777777" w:rsidR="00852A43" w:rsidRDefault="00852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B017" w14:textId="77777777" w:rsidR="00852A43" w:rsidRDefault="00852A43"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416"/>
    <w:multiLevelType w:val="hybridMultilevel"/>
    <w:tmpl w:val="4684CB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E1EEB"/>
    <w:multiLevelType w:val="hybridMultilevel"/>
    <w:tmpl w:val="B74A0B56"/>
    <w:lvl w:ilvl="0" w:tplc="AE020B76">
      <w:start w:val="1"/>
      <w:numFmt w:val="bullet"/>
      <w:pStyle w:val="BulletOrder"/>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4DCC"/>
    <w:multiLevelType w:val="hybridMultilevel"/>
    <w:tmpl w:val="866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0042"/>
    <w:multiLevelType w:val="hybridMultilevel"/>
    <w:tmpl w:val="B202AB5E"/>
    <w:lvl w:ilvl="0" w:tplc="AE020B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538E0"/>
    <w:multiLevelType w:val="hybridMultilevel"/>
    <w:tmpl w:val="543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8732E"/>
    <w:multiLevelType w:val="hybridMultilevel"/>
    <w:tmpl w:val="1B4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2365D"/>
    <w:multiLevelType w:val="hybridMultilevel"/>
    <w:tmpl w:val="4260F1D8"/>
    <w:lvl w:ilvl="0" w:tplc="AE020B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E1478"/>
    <w:multiLevelType w:val="hybridMultilevel"/>
    <w:tmpl w:val="6C86E876"/>
    <w:lvl w:ilvl="0" w:tplc="AE020B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3910D8"/>
    <w:multiLevelType w:val="hybridMultilevel"/>
    <w:tmpl w:val="D80E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B7423"/>
    <w:multiLevelType w:val="hybridMultilevel"/>
    <w:tmpl w:val="5566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9"/>
  </w:num>
  <w:num w:numId="6">
    <w:abstractNumId w:val="10"/>
  </w:num>
  <w:num w:numId="7">
    <w:abstractNumId w:val="6"/>
  </w:num>
  <w:num w:numId="8">
    <w:abstractNumId w:val="2"/>
  </w:num>
  <w:num w:numId="9">
    <w:abstractNumId w:val="8"/>
    <w:lvlOverride w:ilvl="0">
      <w:startOverride w:val="1"/>
    </w:lvlOverride>
  </w:num>
  <w:num w:numId="10">
    <w:abstractNumId w:val="3"/>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3A84"/>
    <w:rsid w:val="00005840"/>
    <w:rsid w:val="00010113"/>
    <w:rsid w:val="0001149D"/>
    <w:rsid w:val="0001388A"/>
    <w:rsid w:val="00014F79"/>
    <w:rsid w:val="0001657D"/>
    <w:rsid w:val="00021DEE"/>
    <w:rsid w:val="000245E9"/>
    <w:rsid w:val="00024828"/>
    <w:rsid w:val="000258D5"/>
    <w:rsid w:val="00027AD6"/>
    <w:rsid w:val="000306C6"/>
    <w:rsid w:val="000315AA"/>
    <w:rsid w:val="00032B52"/>
    <w:rsid w:val="00034221"/>
    <w:rsid w:val="000442AE"/>
    <w:rsid w:val="00045B39"/>
    <w:rsid w:val="00046820"/>
    <w:rsid w:val="000510CD"/>
    <w:rsid w:val="0005122E"/>
    <w:rsid w:val="0005130E"/>
    <w:rsid w:val="00052F76"/>
    <w:rsid w:val="000567FE"/>
    <w:rsid w:val="00057F21"/>
    <w:rsid w:val="0006183E"/>
    <w:rsid w:val="00061B1B"/>
    <w:rsid w:val="00064F13"/>
    <w:rsid w:val="00067441"/>
    <w:rsid w:val="000722D8"/>
    <w:rsid w:val="0007543D"/>
    <w:rsid w:val="000758A6"/>
    <w:rsid w:val="000766C2"/>
    <w:rsid w:val="000812A1"/>
    <w:rsid w:val="000835EE"/>
    <w:rsid w:val="000927D4"/>
    <w:rsid w:val="00093472"/>
    <w:rsid w:val="000A355F"/>
    <w:rsid w:val="000A5348"/>
    <w:rsid w:val="000A550E"/>
    <w:rsid w:val="000A6146"/>
    <w:rsid w:val="000A7AF0"/>
    <w:rsid w:val="000B0A22"/>
    <w:rsid w:val="000B12DB"/>
    <w:rsid w:val="000B3B1A"/>
    <w:rsid w:val="000B4F36"/>
    <w:rsid w:val="000B5E7B"/>
    <w:rsid w:val="000B666D"/>
    <w:rsid w:val="000C32CA"/>
    <w:rsid w:val="000D1684"/>
    <w:rsid w:val="000D1DE9"/>
    <w:rsid w:val="000D24AF"/>
    <w:rsid w:val="000D2885"/>
    <w:rsid w:val="000D3447"/>
    <w:rsid w:val="000D3647"/>
    <w:rsid w:val="000D5EC6"/>
    <w:rsid w:val="000E187C"/>
    <w:rsid w:val="000E4C2A"/>
    <w:rsid w:val="000E6F14"/>
    <w:rsid w:val="000E7333"/>
    <w:rsid w:val="000F0568"/>
    <w:rsid w:val="000F2F25"/>
    <w:rsid w:val="000F655D"/>
    <w:rsid w:val="00102015"/>
    <w:rsid w:val="001046C3"/>
    <w:rsid w:val="0010490B"/>
    <w:rsid w:val="0010690F"/>
    <w:rsid w:val="00110736"/>
    <w:rsid w:val="00112ABF"/>
    <w:rsid w:val="00116387"/>
    <w:rsid w:val="0011797A"/>
    <w:rsid w:val="001200C5"/>
    <w:rsid w:val="00123744"/>
    <w:rsid w:val="00123B9D"/>
    <w:rsid w:val="001257FE"/>
    <w:rsid w:val="00132A3A"/>
    <w:rsid w:val="00133B12"/>
    <w:rsid w:val="00133F1E"/>
    <w:rsid w:val="00136BDF"/>
    <w:rsid w:val="00144D01"/>
    <w:rsid w:val="00145CB9"/>
    <w:rsid w:val="001500E8"/>
    <w:rsid w:val="00150144"/>
    <w:rsid w:val="00157687"/>
    <w:rsid w:val="00160204"/>
    <w:rsid w:val="00160973"/>
    <w:rsid w:val="00160E27"/>
    <w:rsid w:val="0016168A"/>
    <w:rsid w:val="00161EC6"/>
    <w:rsid w:val="0016326C"/>
    <w:rsid w:val="00164869"/>
    <w:rsid w:val="00165B20"/>
    <w:rsid w:val="00166FE2"/>
    <w:rsid w:val="0017012C"/>
    <w:rsid w:val="001723B4"/>
    <w:rsid w:val="00172C12"/>
    <w:rsid w:val="001732B9"/>
    <w:rsid w:val="00177443"/>
    <w:rsid w:val="001870B1"/>
    <w:rsid w:val="00190AAD"/>
    <w:rsid w:val="0019238F"/>
    <w:rsid w:val="00195B02"/>
    <w:rsid w:val="001969A4"/>
    <w:rsid w:val="001A2E0C"/>
    <w:rsid w:val="001A2E78"/>
    <w:rsid w:val="001A3421"/>
    <w:rsid w:val="001A726F"/>
    <w:rsid w:val="001B3603"/>
    <w:rsid w:val="001B6AEB"/>
    <w:rsid w:val="001B7374"/>
    <w:rsid w:val="001B7703"/>
    <w:rsid w:val="001C142D"/>
    <w:rsid w:val="001C1631"/>
    <w:rsid w:val="001C2B70"/>
    <w:rsid w:val="001C3FED"/>
    <w:rsid w:val="001C5348"/>
    <w:rsid w:val="001C636C"/>
    <w:rsid w:val="001C7E22"/>
    <w:rsid w:val="001D03A3"/>
    <w:rsid w:val="001D65B6"/>
    <w:rsid w:val="001D6C71"/>
    <w:rsid w:val="001E0E04"/>
    <w:rsid w:val="001E2432"/>
    <w:rsid w:val="001E78EA"/>
    <w:rsid w:val="001F4C9E"/>
    <w:rsid w:val="001F4CF1"/>
    <w:rsid w:val="00200994"/>
    <w:rsid w:val="00200D49"/>
    <w:rsid w:val="00201439"/>
    <w:rsid w:val="002016BF"/>
    <w:rsid w:val="00201D37"/>
    <w:rsid w:val="00201DCE"/>
    <w:rsid w:val="00202332"/>
    <w:rsid w:val="00205805"/>
    <w:rsid w:val="00206E23"/>
    <w:rsid w:val="002130C4"/>
    <w:rsid w:val="002139C2"/>
    <w:rsid w:val="002140F4"/>
    <w:rsid w:val="00215586"/>
    <w:rsid w:val="00216D26"/>
    <w:rsid w:val="00222768"/>
    <w:rsid w:val="00224528"/>
    <w:rsid w:val="00232193"/>
    <w:rsid w:val="00232624"/>
    <w:rsid w:val="002343F3"/>
    <w:rsid w:val="00234C3A"/>
    <w:rsid w:val="00234F46"/>
    <w:rsid w:val="00237517"/>
    <w:rsid w:val="00237631"/>
    <w:rsid w:val="00240865"/>
    <w:rsid w:val="00240B18"/>
    <w:rsid w:val="002452C5"/>
    <w:rsid w:val="0024615F"/>
    <w:rsid w:val="0024656E"/>
    <w:rsid w:val="00247054"/>
    <w:rsid w:val="002528B8"/>
    <w:rsid w:val="002546E7"/>
    <w:rsid w:val="00254A6C"/>
    <w:rsid w:val="00266C0F"/>
    <w:rsid w:val="00282619"/>
    <w:rsid w:val="0028272D"/>
    <w:rsid w:val="00287D57"/>
    <w:rsid w:val="00287E94"/>
    <w:rsid w:val="00290278"/>
    <w:rsid w:val="002A0C6D"/>
    <w:rsid w:val="002A0E97"/>
    <w:rsid w:val="002A142F"/>
    <w:rsid w:val="002A4ABE"/>
    <w:rsid w:val="002B221C"/>
    <w:rsid w:val="002C4B6E"/>
    <w:rsid w:val="002C79E9"/>
    <w:rsid w:val="002C7EEB"/>
    <w:rsid w:val="002D0E31"/>
    <w:rsid w:val="002D5AB0"/>
    <w:rsid w:val="002D62A4"/>
    <w:rsid w:val="002D62EC"/>
    <w:rsid w:val="002D75ED"/>
    <w:rsid w:val="002E0448"/>
    <w:rsid w:val="002E0B17"/>
    <w:rsid w:val="002E325D"/>
    <w:rsid w:val="002E415C"/>
    <w:rsid w:val="002E57A6"/>
    <w:rsid w:val="002E6445"/>
    <w:rsid w:val="002E7EEB"/>
    <w:rsid w:val="002F1018"/>
    <w:rsid w:val="002F2A33"/>
    <w:rsid w:val="002F64D6"/>
    <w:rsid w:val="00301183"/>
    <w:rsid w:val="00301A2E"/>
    <w:rsid w:val="00305954"/>
    <w:rsid w:val="003061F9"/>
    <w:rsid w:val="003100E4"/>
    <w:rsid w:val="00310415"/>
    <w:rsid w:val="0031096B"/>
    <w:rsid w:val="0031161E"/>
    <w:rsid w:val="00321CE4"/>
    <w:rsid w:val="003237EE"/>
    <w:rsid w:val="0033395D"/>
    <w:rsid w:val="003368EA"/>
    <w:rsid w:val="00337D08"/>
    <w:rsid w:val="003430D4"/>
    <w:rsid w:val="003515CF"/>
    <w:rsid w:val="0035375F"/>
    <w:rsid w:val="00353D11"/>
    <w:rsid w:val="00354552"/>
    <w:rsid w:val="00355034"/>
    <w:rsid w:val="003550CB"/>
    <w:rsid w:val="003608D0"/>
    <w:rsid w:val="003613AC"/>
    <w:rsid w:val="00361422"/>
    <w:rsid w:val="00367B0B"/>
    <w:rsid w:val="003750FB"/>
    <w:rsid w:val="003809A5"/>
    <w:rsid w:val="00380D5D"/>
    <w:rsid w:val="00390ECB"/>
    <w:rsid w:val="00394EF3"/>
    <w:rsid w:val="00395FDF"/>
    <w:rsid w:val="003A0DDA"/>
    <w:rsid w:val="003A1A4B"/>
    <w:rsid w:val="003A5866"/>
    <w:rsid w:val="003B015F"/>
    <w:rsid w:val="003B1241"/>
    <w:rsid w:val="003B41D7"/>
    <w:rsid w:val="003B4D21"/>
    <w:rsid w:val="003C054E"/>
    <w:rsid w:val="003C0E7B"/>
    <w:rsid w:val="003C18DA"/>
    <w:rsid w:val="003C5B80"/>
    <w:rsid w:val="003C6365"/>
    <w:rsid w:val="003C640E"/>
    <w:rsid w:val="003C6EA7"/>
    <w:rsid w:val="003C7323"/>
    <w:rsid w:val="003C74EB"/>
    <w:rsid w:val="003C7D36"/>
    <w:rsid w:val="003D241C"/>
    <w:rsid w:val="003D3013"/>
    <w:rsid w:val="003D66E3"/>
    <w:rsid w:val="003E28DC"/>
    <w:rsid w:val="003E6D17"/>
    <w:rsid w:val="003F05DE"/>
    <w:rsid w:val="003F0B95"/>
    <w:rsid w:val="003F10C0"/>
    <w:rsid w:val="003F2798"/>
    <w:rsid w:val="003F63E6"/>
    <w:rsid w:val="004009EA"/>
    <w:rsid w:val="004039F2"/>
    <w:rsid w:val="00404CFB"/>
    <w:rsid w:val="00405A7A"/>
    <w:rsid w:val="00405A86"/>
    <w:rsid w:val="004111C6"/>
    <w:rsid w:val="00412048"/>
    <w:rsid w:val="0041509F"/>
    <w:rsid w:val="004276FD"/>
    <w:rsid w:val="00444877"/>
    <w:rsid w:val="004451FF"/>
    <w:rsid w:val="00455246"/>
    <w:rsid w:val="00455CAA"/>
    <w:rsid w:val="00455F98"/>
    <w:rsid w:val="00456074"/>
    <w:rsid w:val="00457C2B"/>
    <w:rsid w:val="0046074D"/>
    <w:rsid w:val="00463E27"/>
    <w:rsid w:val="00465B41"/>
    <w:rsid w:val="004742F6"/>
    <w:rsid w:val="00475D77"/>
    <w:rsid w:val="00476927"/>
    <w:rsid w:val="00476D0A"/>
    <w:rsid w:val="00476E0E"/>
    <w:rsid w:val="00480215"/>
    <w:rsid w:val="00484BDA"/>
    <w:rsid w:val="004900DF"/>
    <w:rsid w:val="004907DB"/>
    <w:rsid w:val="00494A35"/>
    <w:rsid w:val="00496054"/>
    <w:rsid w:val="004A10C1"/>
    <w:rsid w:val="004A14E6"/>
    <w:rsid w:val="004A3D54"/>
    <w:rsid w:val="004A494A"/>
    <w:rsid w:val="004B06D0"/>
    <w:rsid w:val="004B1BC7"/>
    <w:rsid w:val="004B34E4"/>
    <w:rsid w:val="004B7C0A"/>
    <w:rsid w:val="004C31A6"/>
    <w:rsid w:val="004C35AB"/>
    <w:rsid w:val="004C54EC"/>
    <w:rsid w:val="004D1A94"/>
    <w:rsid w:val="004D23BD"/>
    <w:rsid w:val="004D7CD8"/>
    <w:rsid w:val="004E7FE9"/>
    <w:rsid w:val="004F0587"/>
    <w:rsid w:val="004F2665"/>
    <w:rsid w:val="004F7B48"/>
    <w:rsid w:val="00502664"/>
    <w:rsid w:val="00504A96"/>
    <w:rsid w:val="005053FF"/>
    <w:rsid w:val="00511054"/>
    <w:rsid w:val="0051280A"/>
    <w:rsid w:val="005147B4"/>
    <w:rsid w:val="005162D2"/>
    <w:rsid w:val="00523EF2"/>
    <w:rsid w:val="005249B0"/>
    <w:rsid w:val="00530CE6"/>
    <w:rsid w:val="00544212"/>
    <w:rsid w:val="00544DC4"/>
    <w:rsid w:val="0054512B"/>
    <w:rsid w:val="005539B5"/>
    <w:rsid w:val="00553EE7"/>
    <w:rsid w:val="005549C5"/>
    <w:rsid w:val="005562C7"/>
    <w:rsid w:val="005566F4"/>
    <w:rsid w:val="00556B01"/>
    <w:rsid w:val="00556C36"/>
    <w:rsid w:val="0056125F"/>
    <w:rsid w:val="00563537"/>
    <w:rsid w:val="0056585E"/>
    <w:rsid w:val="00565EF2"/>
    <w:rsid w:val="00566893"/>
    <w:rsid w:val="00567D59"/>
    <w:rsid w:val="00573F62"/>
    <w:rsid w:val="00585302"/>
    <w:rsid w:val="00593FD5"/>
    <w:rsid w:val="005953E6"/>
    <w:rsid w:val="00596CA7"/>
    <w:rsid w:val="005A1AD5"/>
    <w:rsid w:val="005A287A"/>
    <w:rsid w:val="005A41C7"/>
    <w:rsid w:val="005A741D"/>
    <w:rsid w:val="005B3CCA"/>
    <w:rsid w:val="005B3FDA"/>
    <w:rsid w:val="005B4D1B"/>
    <w:rsid w:val="005B61FB"/>
    <w:rsid w:val="005B796B"/>
    <w:rsid w:val="005C2B5F"/>
    <w:rsid w:val="005C737D"/>
    <w:rsid w:val="005D3062"/>
    <w:rsid w:val="005D44E1"/>
    <w:rsid w:val="005D5D9B"/>
    <w:rsid w:val="005E0057"/>
    <w:rsid w:val="005E0184"/>
    <w:rsid w:val="005E672C"/>
    <w:rsid w:val="005F4080"/>
    <w:rsid w:val="005F6989"/>
    <w:rsid w:val="005F72D6"/>
    <w:rsid w:val="005F756E"/>
    <w:rsid w:val="006023DC"/>
    <w:rsid w:val="0061232D"/>
    <w:rsid w:val="006130F7"/>
    <w:rsid w:val="00613E06"/>
    <w:rsid w:val="00614E28"/>
    <w:rsid w:val="00614E50"/>
    <w:rsid w:val="006208CE"/>
    <w:rsid w:val="00624BC7"/>
    <w:rsid w:val="00627F4A"/>
    <w:rsid w:val="006326D1"/>
    <w:rsid w:val="006342A6"/>
    <w:rsid w:val="006344A3"/>
    <w:rsid w:val="00636A2B"/>
    <w:rsid w:val="006377E4"/>
    <w:rsid w:val="00637BDC"/>
    <w:rsid w:val="006400E4"/>
    <w:rsid w:val="00642869"/>
    <w:rsid w:val="006444DD"/>
    <w:rsid w:val="00646204"/>
    <w:rsid w:val="00647968"/>
    <w:rsid w:val="00652D05"/>
    <w:rsid w:val="0065307E"/>
    <w:rsid w:val="00653B10"/>
    <w:rsid w:val="006540CE"/>
    <w:rsid w:val="00660B31"/>
    <w:rsid w:val="0066172D"/>
    <w:rsid w:val="0066294E"/>
    <w:rsid w:val="006678F8"/>
    <w:rsid w:val="00672EB9"/>
    <w:rsid w:val="00674560"/>
    <w:rsid w:val="006770CB"/>
    <w:rsid w:val="00677593"/>
    <w:rsid w:val="006834CB"/>
    <w:rsid w:val="006835C3"/>
    <w:rsid w:val="00687336"/>
    <w:rsid w:val="00690000"/>
    <w:rsid w:val="00692296"/>
    <w:rsid w:val="00695ADE"/>
    <w:rsid w:val="006976B4"/>
    <w:rsid w:val="006A2C54"/>
    <w:rsid w:val="006A4DA7"/>
    <w:rsid w:val="006B37BB"/>
    <w:rsid w:val="006B5C3A"/>
    <w:rsid w:val="006B5EFE"/>
    <w:rsid w:val="006C02E8"/>
    <w:rsid w:val="006C231C"/>
    <w:rsid w:val="006C4438"/>
    <w:rsid w:val="006C561B"/>
    <w:rsid w:val="006C5E79"/>
    <w:rsid w:val="006C6A2A"/>
    <w:rsid w:val="006D43F6"/>
    <w:rsid w:val="006D5C2B"/>
    <w:rsid w:val="006D6766"/>
    <w:rsid w:val="006E03D3"/>
    <w:rsid w:val="006E0769"/>
    <w:rsid w:val="006E1E82"/>
    <w:rsid w:val="006E6BB6"/>
    <w:rsid w:val="006F1A20"/>
    <w:rsid w:val="006F3EF1"/>
    <w:rsid w:val="006F42AD"/>
    <w:rsid w:val="006F607B"/>
    <w:rsid w:val="006F788F"/>
    <w:rsid w:val="006F7FEC"/>
    <w:rsid w:val="007009FE"/>
    <w:rsid w:val="00700D65"/>
    <w:rsid w:val="00701A97"/>
    <w:rsid w:val="00702003"/>
    <w:rsid w:val="00704C8B"/>
    <w:rsid w:val="007058CB"/>
    <w:rsid w:val="007124F0"/>
    <w:rsid w:val="00712A7C"/>
    <w:rsid w:val="0071373E"/>
    <w:rsid w:val="00713EE9"/>
    <w:rsid w:val="00713EF5"/>
    <w:rsid w:val="0072113F"/>
    <w:rsid w:val="00722147"/>
    <w:rsid w:val="00723BA0"/>
    <w:rsid w:val="007241AC"/>
    <w:rsid w:val="00724F8A"/>
    <w:rsid w:val="00727C44"/>
    <w:rsid w:val="007306FF"/>
    <w:rsid w:val="00734253"/>
    <w:rsid w:val="00736F9A"/>
    <w:rsid w:val="007379CA"/>
    <w:rsid w:val="00737E50"/>
    <w:rsid w:val="00742C9D"/>
    <w:rsid w:val="0074460D"/>
    <w:rsid w:val="00745181"/>
    <w:rsid w:val="00751988"/>
    <w:rsid w:val="007525F3"/>
    <w:rsid w:val="007561E6"/>
    <w:rsid w:val="007601A4"/>
    <w:rsid w:val="00760303"/>
    <w:rsid w:val="00762567"/>
    <w:rsid w:val="007629B6"/>
    <w:rsid w:val="00767A6F"/>
    <w:rsid w:val="00770456"/>
    <w:rsid w:val="00775D41"/>
    <w:rsid w:val="00777AE3"/>
    <w:rsid w:val="007844B9"/>
    <w:rsid w:val="00794C2C"/>
    <w:rsid w:val="007978AF"/>
    <w:rsid w:val="007A00DA"/>
    <w:rsid w:val="007A0E02"/>
    <w:rsid w:val="007A6C1F"/>
    <w:rsid w:val="007A6E51"/>
    <w:rsid w:val="007A7810"/>
    <w:rsid w:val="007B0909"/>
    <w:rsid w:val="007B7CD4"/>
    <w:rsid w:val="007C13A4"/>
    <w:rsid w:val="007C72ED"/>
    <w:rsid w:val="007D0A52"/>
    <w:rsid w:val="007D45CE"/>
    <w:rsid w:val="007E134A"/>
    <w:rsid w:val="007E1962"/>
    <w:rsid w:val="007E29BC"/>
    <w:rsid w:val="007E3108"/>
    <w:rsid w:val="007E41C9"/>
    <w:rsid w:val="007F3E00"/>
    <w:rsid w:val="007F601F"/>
    <w:rsid w:val="00820FE2"/>
    <w:rsid w:val="00827934"/>
    <w:rsid w:val="00834AD0"/>
    <w:rsid w:val="00836DC9"/>
    <w:rsid w:val="0084255A"/>
    <w:rsid w:val="0084416B"/>
    <w:rsid w:val="008468C4"/>
    <w:rsid w:val="00850010"/>
    <w:rsid w:val="008519C5"/>
    <w:rsid w:val="00852A43"/>
    <w:rsid w:val="0085479B"/>
    <w:rsid w:val="00862A6F"/>
    <w:rsid w:val="008670E7"/>
    <w:rsid w:val="00870F35"/>
    <w:rsid w:val="00874E0E"/>
    <w:rsid w:val="00886C8E"/>
    <w:rsid w:val="00886CC8"/>
    <w:rsid w:val="00886DC4"/>
    <w:rsid w:val="008923A3"/>
    <w:rsid w:val="00897C2E"/>
    <w:rsid w:val="008A183B"/>
    <w:rsid w:val="008A19A4"/>
    <w:rsid w:val="008A1DB0"/>
    <w:rsid w:val="008B12FD"/>
    <w:rsid w:val="008B1CE8"/>
    <w:rsid w:val="008B51D2"/>
    <w:rsid w:val="008B64C0"/>
    <w:rsid w:val="008C02B6"/>
    <w:rsid w:val="008C0539"/>
    <w:rsid w:val="008D1E7F"/>
    <w:rsid w:val="008D2FCF"/>
    <w:rsid w:val="008D5150"/>
    <w:rsid w:val="008D69D5"/>
    <w:rsid w:val="008E14CA"/>
    <w:rsid w:val="008F2C80"/>
    <w:rsid w:val="008F31BD"/>
    <w:rsid w:val="009019B1"/>
    <w:rsid w:val="00902AE1"/>
    <w:rsid w:val="00903934"/>
    <w:rsid w:val="009049B5"/>
    <w:rsid w:val="00905150"/>
    <w:rsid w:val="00905BE7"/>
    <w:rsid w:val="0090736B"/>
    <w:rsid w:val="009074BB"/>
    <w:rsid w:val="0091000D"/>
    <w:rsid w:val="00915DFB"/>
    <w:rsid w:val="009223B2"/>
    <w:rsid w:val="00922A6B"/>
    <w:rsid w:val="00923824"/>
    <w:rsid w:val="0092436F"/>
    <w:rsid w:val="0092736A"/>
    <w:rsid w:val="0093697F"/>
    <w:rsid w:val="00950497"/>
    <w:rsid w:val="00950DDD"/>
    <w:rsid w:val="0095163F"/>
    <w:rsid w:val="009575CE"/>
    <w:rsid w:val="009606A2"/>
    <w:rsid w:val="009700B7"/>
    <w:rsid w:val="00972351"/>
    <w:rsid w:val="0097257D"/>
    <w:rsid w:val="00973AB5"/>
    <w:rsid w:val="009839D0"/>
    <w:rsid w:val="00983E65"/>
    <w:rsid w:val="00986A1B"/>
    <w:rsid w:val="00994FD2"/>
    <w:rsid w:val="0099672C"/>
    <w:rsid w:val="009A16EB"/>
    <w:rsid w:val="009A3680"/>
    <w:rsid w:val="009A3CE3"/>
    <w:rsid w:val="009A3FAF"/>
    <w:rsid w:val="009A5439"/>
    <w:rsid w:val="009B1EDD"/>
    <w:rsid w:val="009B6E8A"/>
    <w:rsid w:val="009B7812"/>
    <w:rsid w:val="009C1821"/>
    <w:rsid w:val="009C3FAB"/>
    <w:rsid w:val="009C6989"/>
    <w:rsid w:val="009D2953"/>
    <w:rsid w:val="009D29C4"/>
    <w:rsid w:val="009D5F34"/>
    <w:rsid w:val="009D660E"/>
    <w:rsid w:val="009D6FB4"/>
    <w:rsid w:val="009E2E14"/>
    <w:rsid w:val="009E785F"/>
    <w:rsid w:val="009F094D"/>
    <w:rsid w:val="009F1C71"/>
    <w:rsid w:val="009F29EF"/>
    <w:rsid w:val="009F3033"/>
    <w:rsid w:val="009F42A7"/>
    <w:rsid w:val="009F4E35"/>
    <w:rsid w:val="009F6534"/>
    <w:rsid w:val="00A01D70"/>
    <w:rsid w:val="00A02BFE"/>
    <w:rsid w:val="00A03524"/>
    <w:rsid w:val="00A03CC1"/>
    <w:rsid w:val="00A0538B"/>
    <w:rsid w:val="00A0694B"/>
    <w:rsid w:val="00A103F8"/>
    <w:rsid w:val="00A15D09"/>
    <w:rsid w:val="00A16AAF"/>
    <w:rsid w:val="00A21182"/>
    <w:rsid w:val="00A25414"/>
    <w:rsid w:val="00A30712"/>
    <w:rsid w:val="00A309CF"/>
    <w:rsid w:val="00A3184A"/>
    <w:rsid w:val="00A32163"/>
    <w:rsid w:val="00A3369C"/>
    <w:rsid w:val="00A33F61"/>
    <w:rsid w:val="00A3404A"/>
    <w:rsid w:val="00A371EA"/>
    <w:rsid w:val="00A40144"/>
    <w:rsid w:val="00A40519"/>
    <w:rsid w:val="00A44201"/>
    <w:rsid w:val="00A44436"/>
    <w:rsid w:val="00A546EA"/>
    <w:rsid w:val="00A55B87"/>
    <w:rsid w:val="00A568D6"/>
    <w:rsid w:val="00A620B4"/>
    <w:rsid w:val="00A629CE"/>
    <w:rsid w:val="00A66AD8"/>
    <w:rsid w:val="00A70E37"/>
    <w:rsid w:val="00A7211C"/>
    <w:rsid w:val="00A73EC5"/>
    <w:rsid w:val="00A8242A"/>
    <w:rsid w:val="00AA0BC0"/>
    <w:rsid w:val="00AA3688"/>
    <w:rsid w:val="00AA4546"/>
    <w:rsid w:val="00AA64CE"/>
    <w:rsid w:val="00AA72DD"/>
    <w:rsid w:val="00AA749A"/>
    <w:rsid w:val="00AB001F"/>
    <w:rsid w:val="00AB21E4"/>
    <w:rsid w:val="00AB52F7"/>
    <w:rsid w:val="00AB6915"/>
    <w:rsid w:val="00AB798A"/>
    <w:rsid w:val="00AC3D87"/>
    <w:rsid w:val="00AC4CD8"/>
    <w:rsid w:val="00AC70FF"/>
    <w:rsid w:val="00AD5267"/>
    <w:rsid w:val="00AD68BD"/>
    <w:rsid w:val="00AE137F"/>
    <w:rsid w:val="00AE1F9E"/>
    <w:rsid w:val="00AE4ABC"/>
    <w:rsid w:val="00AE6A37"/>
    <w:rsid w:val="00AE7062"/>
    <w:rsid w:val="00AF08DB"/>
    <w:rsid w:val="00AF1E37"/>
    <w:rsid w:val="00B00F88"/>
    <w:rsid w:val="00B01C9A"/>
    <w:rsid w:val="00B057C8"/>
    <w:rsid w:val="00B0623E"/>
    <w:rsid w:val="00B07ABA"/>
    <w:rsid w:val="00B15592"/>
    <w:rsid w:val="00B161CC"/>
    <w:rsid w:val="00B175AD"/>
    <w:rsid w:val="00B22365"/>
    <w:rsid w:val="00B30536"/>
    <w:rsid w:val="00B30BC1"/>
    <w:rsid w:val="00B30BEB"/>
    <w:rsid w:val="00B33F13"/>
    <w:rsid w:val="00B3503E"/>
    <w:rsid w:val="00B36E83"/>
    <w:rsid w:val="00B40E38"/>
    <w:rsid w:val="00B41706"/>
    <w:rsid w:val="00B42FF8"/>
    <w:rsid w:val="00B43CD9"/>
    <w:rsid w:val="00B44116"/>
    <w:rsid w:val="00B44FD7"/>
    <w:rsid w:val="00B522C2"/>
    <w:rsid w:val="00B543C8"/>
    <w:rsid w:val="00B60800"/>
    <w:rsid w:val="00B6340F"/>
    <w:rsid w:val="00B74A65"/>
    <w:rsid w:val="00B81162"/>
    <w:rsid w:val="00B83ACF"/>
    <w:rsid w:val="00B86059"/>
    <w:rsid w:val="00B96F57"/>
    <w:rsid w:val="00BA58FB"/>
    <w:rsid w:val="00BB0592"/>
    <w:rsid w:val="00BB119B"/>
    <w:rsid w:val="00BB271C"/>
    <w:rsid w:val="00BB38B9"/>
    <w:rsid w:val="00BB53CE"/>
    <w:rsid w:val="00BB6B55"/>
    <w:rsid w:val="00BC49FF"/>
    <w:rsid w:val="00BC6D5E"/>
    <w:rsid w:val="00BD2B16"/>
    <w:rsid w:val="00BE0A29"/>
    <w:rsid w:val="00BE544B"/>
    <w:rsid w:val="00BF00C5"/>
    <w:rsid w:val="00BF291B"/>
    <w:rsid w:val="00BF3F1B"/>
    <w:rsid w:val="00BF61ED"/>
    <w:rsid w:val="00C006C6"/>
    <w:rsid w:val="00C019F7"/>
    <w:rsid w:val="00C034FA"/>
    <w:rsid w:val="00C0547F"/>
    <w:rsid w:val="00C10C8D"/>
    <w:rsid w:val="00C13A7E"/>
    <w:rsid w:val="00C150DD"/>
    <w:rsid w:val="00C17383"/>
    <w:rsid w:val="00C174A3"/>
    <w:rsid w:val="00C209D5"/>
    <w:rsid w:val="00C24649"/>
    <w:rsid w:val="00C24E8B"/>
    <w:rsid w:val="00C26EB2"/>
    <w:rsid w:val="00C319B3"/>
    <w:rsid w:val="00C31EC3"/>
    <w:rsid w:val="00C33003"/>
    <w:rsid w:val="00C345E3"/>
    <w:rsid w:val="00C36307"/>
    <w:rsid w:val="00C423D9"/>
    <w:rsid w:val="00C45697"/>
    <w:rsid w:val="00C46D03"/>
    <w:rsid w:val="00C52B9E"/>
    <w:rsid w:val="00C53107"/>
    <w:rsid w:val="00C6103C"/>
    <w:rsid w:val="00C668BB"/>
    <w:rsid w:val="00C67064"/>
    <w:rsid w:val="00C705A5"/>
    <w:rsid w:val="00C74F92"/>
    <w:rsid w:val="00C76F4A"/>
    <w:rsid w:val="00C833BF"/>
    <w:rsid w:val="00C836E8"/>
    <w:rsid w:val="00C84AC2"/>
    <w:rsid w:val="00C867ED"/>
    <w:rsid w:val="00C86FCF"/>
    <w:rsid w:val="00C95F56"/>
    <w:rsid w:val="00CA10D3"/>
    <w:rsid w:val="00CA4E8D"/>
    <w:rsid w:val="00CA5108"/>
    <w:rsid w:val="00CA6D4C"/>
    <w:rsid w:val="00CB05C3"/>
    <w:rsid w:val="00CB198D"/>
    <w:rsid w:val="00CB4F29"/>
    <w:rsid w:val="00CB77FB"/>
    <w:rsid w:val="00CB7EB4"/>
    <w:rsid w:val="00CC2696"/>
    <w:rsid w:val="00CC339E"/>
    <w:rsid w:val="00CC3E28"/>
    <w:rsid w:val="00CC4788"/>
    <w:rsid w:val="00CD0920"/>
    <w:rsid w:val="00CD3216"/>
    <w:rsid w:val="00CD461D"/>
    <w:rsid w:val="00CD7003"/>
    <w:rsid w:val="00CE1920"/>
    <w:rsid w:val="00CE4040"/>
    <w:rsid w:val="00CE48CD"/>
    <w:rsid w:val="00CE5FA7"/>
    <w:rsid w:val="00CF3924"/>
    <w:rsid w:val="00CF4C69"/>
    <w:rsid w:val="00D0161F"/>
    <w:rsid w:val="00D02BEE"/>
    <w:rsid w:val="00D03F30"/>
    <w:rsid w:val="00D05480"/>
    <w:rsid w:val="00D05638"/>
    <w:rsid w:val="00D05934"/>
    <w:rsid w:val="00D10DE7"/>
    <w:rsid w:val="00D117B5"/>
    <w:rsid w:val="00D12B41"/>
    <w:rsid w:val="00D13B95"/>
    <w:rsid w:val="00D13BF2"/>
    <w:rsid w:val="00D17D0E"/>
    <w:rsid w:val="00D22D41"/>
    <w:rsid w:val="00D245C3"/>
    <w:rsid w:val="00D24D99"/>
    <w:rsid w:val="00D27855"/>
    <w:rsid w:val="00D3354F"/>
    <w:rsid w:val="00D34A01"/>
    <w:rsid w:val="00D35653"/>
    <w:rsid w:val="00D36515"/>
    <w:rsid w:val="00D427B5"/>
    <w:rsid w:val="00D444C9"/>
    <w:rsid w:val="00D4454B"/>
    <w:rsid w:val="00D44642"/>
    <w:rsid w:val="00D44E23"/>
    <w:rsid w:val="00D46EC9"/>
    <w:rsid w:val="00D4770D"/>
    <w:rsid w:val="00D47F7A"/>
    <w:rsid w:val="00D50933"/>
    <w:rsid w:val="00D50F8D"/>
    <w:rsid w:val="00D52365"/>
    <w:rsid w:val="00D52E29"/>
    <w:rsid w:val="00D5668C"/>
    <w:rsid w:val="00D614D4"/>
    <w:rsid w:val="00D617B5"/>
    <w:rsid w:val="00D642BB"/>
    <w:rsid w:val="00D645D2"/>
    <w:rsid w:val="00D66E43"/>
    <w:rsid w:val="00D72B81"/>
    <w:rsid w:val="00D74C05"/>
    <w:rsid w:val="00D7559B"/>
    <w:rsid w:val="00D75C34"/>
    <w:rsid w:val="00D80646"/>
    <w:rsid w:val="00D820EA"/>
    <w:rsid w:val="00D82A2C"/>
    <w:rsid w:val="00D83C77"/>
    <w:rsid w:val="00D90C29"/>
    <w:rsid w:val="00D94695"/>
    <w:rsid w:val="00D96535"/>
    <w:rsid w:val="00D96732"/>
    <w:rsid w:val="00DA1D70"/>
    <w:rsid w:val="00DA2F86"/>
    <w:rsid w:val="00DA4420"/>
    <w:rsid w:val="00DA7189"/>
    <w:rsid w:val="00DB4047"/>
    <w:rsid w:val="00DB42CD"/>
    <w:rsid w:val="00DB4DCE"/>
    <w:rsid w:val="00DB5AE6"/>
    <w:rsid w:val="00DB6876"/>
    <w:rsid w:val="00DB6EFF"/>
    <w:rsid w:val="00DB7C7C"/>
    <w:rsid w:val="00DC08A6"/>
    <w:rsid w:val="00DC2DAF"/>
    <w:rsid w:val="00DC5178"/>
    <w:rsid w:val="00DC7F25"/>
    <w:rsid w:val="00DD18E9"/>
    <w:rsid w:val="00DD4F2B"/>
    <w:rsid w:val="00DD6BB5"/>
    <w:rsid w:val="00DE0B7B"/>
    <w:rsid w:val="00DE44DE"/>
    <w:rsid w:val="00DE4C32"/>
    <w:rsid w:val="00DE4F14"/>
    <w:rsid w:val="00DE7B57"/>
    <w:rsid w:val="00DF0DAE"/>
    <w:rsid w:val="00DF1DFB"/>
    <w:rsid w:val="00DF42B5"/>
    <w:rsid w:val="00DF5D87"/>
    <w:rsid w:val="00DF6C63"/>
    <w:rsid w:val="00DF7276"/>
    <w:rsid w:val="00E02903"/>
    <w:rsid w:val="00E03670"/>
    <w:rsid w:val="00E0500E"/>
    <w:rsid w:val="00E05A91"/>
    <w:rsid w:val="00E10390"/>
    <w:rsid w:val="00E10916"/>
    <w:rsid w:val="00E10C8D"/>
    <w:rsid w:val="00E12395"/>
    <w:rsid w:val="00E123C9"/>
    <w:rsid w:val="00E1342A"/>
    <w:rsid w:val="00E13677"/>
    <w:rsid w:val="00E13746"/>
    <w:rsid w:val="00E155BB"/>
    <w:rsid w:val="00E15DD6"/>
    <w:rsid w:val="00E16ADE"/>
    <w:rsid w:val="00E174A4"/>
    <w:rsid w:val="00E214EC"/>
    <w:rsid w:val="00E26DAF"/>
    <w:rsid w:val="00E27C93"/>
    <w:rsid w:val="00E27D40"/>
    <w:rsid w:val="00E31056"/>
    <w:rsid w:val="00E41020"/>
    <w:rsid w:val="00E413C5"/>
    <w:rsid w:val="00E41B06"/>
    <w:rsid w:val="00E43D14"/>
    <w:rsid w:val="00E50505"/>
    <w:rsid w:val="00E5655E"/>
    <w:rsid w:val="00E57438"/>
    <w:rsid w:val="00E57C37"/>
    <w:rsid w:val="00E63040"/>
    <w:rsid w:val="00E63442"/>
    <w:rsid w:val="00E63FA0"/>
    <w:rsid w:val="00E65E1D"/>
    <w:rsid w:val="00E67CDD"/>
    <w:rsid w:val="00E71090"/>
    <w:rsid w:val="00E71DB9"/>
    <w:rsid w:val="00E74D38"/>
    <w:rsid w:val="00E804A1"/>
    <w:rsid w:val="00E838D9"/>
    <w:rsid w:val="00E84BE8"/>
    <w:rsid w:val="00E853BF"/>
    <w:rsid w:val="00E866F4"/>
    <w:rsid w:val="00EA47E1"/>
    <w:rsid w:val="00EA6A76"/>
    <w:rsid w:val="00EA77F9"/>
    <w:rsid w:val="00EB27E7"/>
    <w:rsid w:val="00EB60A5"/>
    <w:rsid w:val="00EB7962"/>
    <w:rsid w:val="00EC08DA"/>
    <w:rsid w:val="00EC0EFF"/>
    <w:rsid w:val="00EC206B"/>
    <w:rsid w:val="00EC76E2"/>
    <w:rsid w:val="00ED00B5"/>
    <w:rsid w:val="00ED06AE"/>
    <w:rsid w:val="00ED48AF"/>
    <w:rsid w:val="00ED5046"/>
    <w:rsid w:val="00ED6864"/>
    <w:rsid w:val="00EE1181"/>
    <w:rsid w:val="00EE501E"/>
    <w:rsid w:val="00EE690A"/>
    <w:rsid w:val="00EF0BBE"/>
    <w:rsid w:val="00EF0DBA"/>
    <w:rsid w:val="00EF32E6"/>
    <w:rsid w:val="00F006D0"/>
    <w:rsid w:val="00F01F90"/>
    <w:rsid w:val="00F06B69"/>
    <w:rsid w:val="00F0736F"/>
    <w:rsid w:val="00F1173C"/>
    <w:rsid w:val="00F16AE3"/>
    <w:rsid w:val="00F172A9"/>
    <w:rsid w:val="00F244D3"/>
    <w:rsid w:val="00F25BFF"/>
    <w:rsid w:val="00F25DA7"/>
    <w:rsid w:val="00F275B5"/>
    <w:rsid w:val="00F30DB0"/>
    <w:rsid w:val="00F31BF3"/>
    <w:rsid w:val="00F31CB7"/>
    <w:rsid w:val="00F33742"/>
    <w:rsid w:val="00F3394D"/>
    <w:rsid w:val="00F40115"/>
    <w:rsid w:val="00F40738"/>
    <w:rsid w:val="00F41D01"/>
    <w:rsid w:val="00F46285"/>
    <w:rsid w:val="00F55A4D"/>
    <w:rsid w:val="00F60EA1"/>
    <w:rsid w:val="00F63830"/>
    <w:rsid w:val="00F63C3D"/>
    <w:rsid w:val="00F63F27"/>
    <w:rsid w:val="00F64EC4"/>
    <w:rsid w:val="00F673D6"/>
    <w:rsid w:val="00F71EDB"/>
    <w:rsid w:val="00F72663"/>
    <w:rsid w:val="00F72678"/>
    <w:rsid w:val="00F74D3D"/>
    <w:rsid w:val="00F75805"/>
    <w:rsid w:val="00F759CA"/>
    <w:rsid w:val="00F760BE"/>
    <w:rsid w:val="00F8145B"/>
    <w:rsid w:val="00F82DA4"/>
    <w:rsid w:val="00F90CF6"/>
    <w:rsid w:val="00F90F20"/>
    <w:rsid w:val="00F9356D"/>
    <w:rsid w:val="00F9456B"/>
    <w:rsid w:val="00F94671"/>
    <w:rsid w:val="00F94A72"/>
    <w:rsid w:val="00F978A1"/>
    <w:rsid w:val="00FA5E63"/>
    <w:rsid w:val="00FA61AA"/>
    <w:rsid w:val="00FA754A"/>
    <w:rsid w:val="00FB0E73"/>
    <w:rsid w:val="00FB6206"/>
    <w:rsid w:val="00FB7E5F"/>
    <w:rsid w:val="00FC2351"/>
    <w:rsid w:val="00FC2EE2"/>
    <w:rsid w:val="00FC2F2A"/>
    <w:rsid w:val="00FD0993"/>
    <w:rsid w:val="00FD5ABC"/>
    <w:rsid w:val="00FD7368"/>
    <w:rsid w:val="00FE141B"/>
    <w:rsid w:val="00FE2009"/>
    <w:rsid w:val="00FE48D6"/>
    <w:rsid w:val="00FE6BD3"/>
    <w:rsid w:val="00FF36DD"/>
    <w:rsid w:val="00FF4374"/>
    <w:rsid w:val="00FF49D7"/>
    <w:rsid w:val="00FF4E30"/>
    <w:rsid w:val="00FF5CC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E1867C4"/>
  <w15:docId w15:val="{F66EE739-B9CB-4472-BCD5-192975D7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1B"/>
    <w:rPr>
      <w:rFonts w:ascii="Times New Roman" w:hAnsi="Times New Roman"/>
      <w:sz w:val="24"/>
      <w:szCs w:val="24"/>
    </w:rPr>
  </w:style>
  <w:style w:type="paragraph" w:styleId="Heading1">
    <w:name w:val="heading 1"/>
    <w:basedOn w:val="Normal"/>
    <w:next w:val="Normal"/>
    <w:link w:val="Heading1Char"/>
    <w:uiPriority w:val="99"/>
    <w:qFormat/>
    <w:rsid w:val="000927D4"/>
    <w:pPr>
      <w:keepNext/>
      <w:tabs>
        <w:tab w:val="left" w:pos="480"/>
        <w:tab w:val="left" w:pos="960"/>
        <w:tab w:val="left" w:pos="6840"/>
      </w:tabs>
      <w:jc w:val="center"/>
      <w:outlineLvl w:val="0"/>
    </w:pPr>
    <w:rPr>
      <w:b/>
      <w:bCs/>
      <w:spacing w:val="-3"/>
      <w:sz w:val="28"/>
      <w:szCs w:val="20"/>
    </w:rPr>
  </w:style>
  <w:style w:type="paragraph" w:styleId="Heading2">
    <w:name w:val="heading 2"/>
    <w:basedOn w:val="Normal"/>
    <w:next w:val="Normal"/>
    <w:link w:val="Heading2Char"/>
    <w:uiPriority w:val="99"/>
    <w:qFormat/>
    <w:rsid w:val="000927D4"/>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27D4"/>
    <w:rPr>
      <w:rFonts w:ascii="Times New Roman" w:hAnsi="Times New Roman"/>
      <w:b/>
      <w:bCs/>
      <w:spacing w:val="-3"/>
      <w:sz w:val="28"/>
    </w:rPr>
  </w:style>
  <w:style w:type="character" w:customStyle="1" w:styleId="Heading2Char">
    <w:name w:val="Heading 2 Char"/>
    <w:link w:val="Heading2"/>
    <w:uiPriority w:val="99"/>
    <w:locked/>
    <w:rsid w:val="000927D4"/>
    <w:rPr>
      <w:rFonts w:ascii="Times New Roman" w:hAnsi="Times New Roman"/>
      <w:b/>
      <w:bCs/>
      <w:sz w:val="28"/>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uiPriority w:val="99"/>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rsid w:val="00BE0A29"/>
    <w:rPr>
      <w:color w:val="0000FF"/>
      <w:u w:val="single"/>
    </w:rPr>
  </w:style>
  <w:style w:type="paragraph" w:customStyle="1" w:styleId="BodyTXT">
    <w:name w:val="BodyTXT"/>
    <w:basedOn w:val="Normal"/>
    <w:qFormat/>
    <w:rsid w:val="00F33742"/>
    <w:rPr>
      <w:rFonts w:asciiTheme="minorHAnsi" w:hAnsiTheme="minorHAnsi" w:cs="Arial"/>
      <w:sz w:val="22"/>
      <w:szCs w:val="22"/>
    </w:rPr>
  </w:style>
  <w:style w:type="paragraph" w:styleId="TOCHeading">
    <w:name w:val="TOC Heading"/>
    <w:basedOn w:val="Heading1"/>
    <w:next w:val="Normal"/>
    <w:uiPriority w:val="39"/>
    <w:unhideWhenUsed/>
    <w:qFormat/>
    <w:rsid w:val="000927D4"/>
    <w:pPr>
      <w:keepLines/>
      <w:tabs>
        <w:tab w:val="clear" w:pos="480"/>
        <w:tab w:val="clear" w:pos="960"/>
        <w:tab w:val="clear" w:pos="6840"/>
      </w:tabs>
      <w:spacing w:before="480" w:line="276" w:lineRule="auto"/>
      <w:jc w:val="left"/>
      <w:outlineLvl w:val="9"/>
    </w:pPr>
    <w:rPr>
      <w:rFonts w:asciiTheme="majorHAnsi" w:eastAsiaTheme="majorEastAsia" w:hAnsiTheme="majorHAnsi" w:cstheme="majorBidi"/>
      <w:color w:val="365F91" w:themeColor="accent1" w:themeShade="BF"/>
      <w:spacing w:val="0"/>
      <w:szCs w:val="28"/>
      <w:lang w:eastAsia="ja-JP"/>
    </w:rPr>
  </w:style>
  <w:style w:type="paragraph" w:styleId="TOC2">
    <w:name w:val="toc 2"/>
    <w:basedOn w:val="Normal"/>
    <w:next w:val="Normal"/>
    <w:autoRedefine/>
    <w:uiPriority w:val="39"/>
    <w:locked/>
    <w:rsid w:val="000927D4"/>
    <w:pPr>
      <w:spacing w:after="100"/>
      <w:ind w:left="240"/>
    </w:pPr>
  </w:style>
  <w:style w:type="paragraph" w:styleId="TOC3">
    <w:name w:val="toc 3"/>
    <w:basedOn w:val="Normal"/>
    <w:next w:val="Normal"/>
    <w:autoRedefine/>
    <w:uiPriority w:val="39"/>
    <w:locked/>
    <w:rsid w:val="000927D4"/>
    <w:pPr>
      <w:spacing w:after="100"/>
      <w:ind w:left="480"/>
    </w:pPr>
  </w:style>
  <w:style w:type="paragraph" w:styleId="TOC1">
    <w:name w:val="toc 1"/>
    <w:basedOn w:val="Normal"/>
    <w:next w:val="Normal"/>
    <w:autoRedefine/>
    <w:uiPriority w:val="39"/>
    <w:locked/>
    <w:rsid w:val="0007543D"/>
    <w:pPr>
      <w:spacing w:after="100"/>
    </w:pPr>
  </w:style>
  <w:style w:type="character" w:customStyle="1" w:styleId="Style1">
    <w:name w:val="Style1"/>
    <w:basedOn w:val="DefaultParagraphFont"/>
    <w:uiPriority w:val="1"/>
    <w:rsid w:val="00C67064"/>
    <w:rPr>
      <w:rFonts w:ascii="Times New Roman" w:hAnsi="Times New Roman"/>
      <w:b/>
      <w:sz w:val="24"/>
      <w:u w:val="single"/>
    </w:rPr>
  </w:style>
  <w:style w:type="character" w:customStyle="1" w:styleId="Style3">
    <w:name w:val="Style3"/>
    <w:basedOn w:val="DefaultParagraphFont"/>
    <w:uiPriority w:val="1"/>
    <w:rsid w:val="00D13BF2"/>
    <w:rPr>
      <w:rFonts w:ascii="Times New Roman" w:hAnsi="Times New Roman"/>
      <w:sz w:val="24"/>
    </w:rPr>
  </w:style>
  <w:style w:type="paragraph" w:customStyle="1" w:styleId="Default">
    <w:name w:val="Default"/>
    <w:rsid w:val="00EE690A"/>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qFormat/>
    <w:locked/>
    <w:rsid w:val="00EE690A"/>
    <w:pPr>
      <w:spacing w:after="60"/>
      <w:jc w:val="center"/>
      <w:outlineLvl w:val="1"/>
    </w:pPr>
    <w:rPr>
      <w:rFonts w:ascii="Calibri Light" w:hAnsi="Calibri Light"/>
    </w:rPr>
  </w:style>
  <w:style w:type="character" w:customStyle="1" w:styleId="SubtitleChar">
    <w:name w:val="Subtitle Char"/>
    <w:basedOn w:val="DefaultParagraphFont"/>
    <w:link w:val="Subtitle"/>
    <w:rsid w:val="00EE690A"/>
    <w:rPr>
      <w:rFonts w:ascii="Calibri Light" w:hAnsi="Calibri Light"/>
      <w:sz w:val="24"/>
      <w:szCs w:val="24"/>
    </w:rPr>
  </w:style>
  <w:style w:type="table" w:customStyle="1" w:styleId="TableGrid2">
    <w:name w:val="Table Grid2"/>
    <w:basedOn w:val="TableNormal"/>
    <w:next w:val="TableGrid"/>
    <w:rsid w:val="00A0538B"/>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1">
    <w:name w:val="Table Grid1"/>
    <w:basedOn w:val="TableNormal"/>
    <w:next w:val="TableGrid"/>
    <w:rsid w:val="006444DD"/>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EmptyLayoutCell">
    <w:name w:val="EmptyLayoutCell"/>
    <w:basedOn w:val="Normal"/>
    <w:rsid w:val="00367B0B"/>
    <w:rPr>
      <w:sz w:val="2"/>
      <w:szCs w:val="20"/>
    </w:rPr>
  </w:style>
  <w:style w:type="paragraph" w:customStyle="1" w:styleId="BulletOrder">
    <w:name w:val="BulletOrder"/>
    <w:basedOn w:val="Normal"/>
    <w:rsid w:val="001C3FE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1096">
      <w:bodyDiv w:val="1"/>
      <w:marLeft w:val="0"/>
      <w:marRight w:val="0"/>
      <w:marTop w:val="0"/>
      <w:marBottom w:val="0"/>
      <w:divBdr>
        <w:top w:val="none" w:sz="0" w:space="0" w:color="auto"/>
        <w:left w:val="none" w:sz="0" w:space="0" w:color="auto"/>
        <w:bottom w:val="none" w:sz="0" w:space="0" w:color="auto"/>
        <w:right w:val="none" w:sz="0" w:space="0" w:color="auto"/>
      </w:divBdr>
    </w:div>
    <w:div w:id="826745894">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989288304">
      <w:bodyDiv w:val="1"/>
      <w:marLeft w:val="0"/>
      <w:marRight w:val="0"/>
      <w:marTop w:val="0"/>
      <w:marBottom w:val="0"/>
      <w:divBdr>
        <w:top w:val="none" w:sz="0" w:space="0" w:color="auto"/>
        <w:left w:val="none" w:sz="0" w:space="0" w:color="auto"/>
        <w:bottom w:val="none" w:sz="0" w:space="0" w:color="auto"/>
        <w:right w:val="none" w:sz="0" w:space="0" w:color="auto"/>
      </w:divBdr>
    </w:div>
    <w:div w:id="18747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sitivity xmlns="8e64d7ec-d05c-4af7-a45f-a77b5edfde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25520D38458B42A467308E16F6A6F7" ma:contentTypeVersion="2" ma:contentTypeDescription="Create a new document." ma:contentTypeScope="" ma:versionID="7454f93986beb44f174bf494dfe9702f">
  <xsd:schema xmlns:xsd="http://www.w3.org/2001/XMLSchema" xmlns:p="http://schemas.microsoft.com/office/2006/metadata/properties" xmlns:ns2="8e64d7ec-d05c-4af7-a45f-a77b5edfdef6" targetNamespace="http://schemas.microsoft.com/office/2006/metadata/properties" ma:root="true" ma:fieldsID="12aaf5719d564b8d6ce1e7d721aef6e4" ns2:_="">
    <xsd:import namespace="8e64d7ec-d05c-4af7-a45f-a77b5edfdef6"/>
    <xsd:element name="properties">
      <xsd:complexType>
        <xsd:sequence>
          <xsd:element name="documentManagement">
            <xsd:complexType>
              <xsd:all>
                <xsd:element ref="ns2:Sensitivity" minOccurs="0"/>
              </xsd:all>
            </xsd:complexType>
          </xsd:element>
        </xsd:sequence>
      </xsd:complexType>
    </xsd:element>
  </xsd:schema>
  <xsd:schema xmlns:xsd="http://www.w3.org/2001/XMLSchema" xmlns:dms="http://schemas.microsoft.com/office/2006/documentManagement/types" targetNamespace="8e64d7ec-d05c-4af7-a45f-a77b5edfdef6" elementFormDefault="qualified">
    <xsd:import namespace="http://schemas.microsoft.com/office/2006/documentManagement/types"/>
    <xsd:element name="Sensitivity" ma:index="8" nillable="true" ma:displayName="Sensitivity" ma:description="Sensitive Data = Any data that, if lost, stolen or misused, could adversely impact FDIC, insured institutions or individuals.&#10;http://fdic01/division/doa/adminservices/records/directives/1000/1360-9.doc&#10;&#10;Sensitive PII = SSN alone and/or an individual’s full name plus 1 or more additional items of personal data.&#10;http://fdic01/division/dit/ITGovernance/PrivacyProgram/PersonallyIdentifiableInformation/index.html&#10;Non-Sensitive Data = Data that can be shared or viewed with no restrictions internal or external to FDIC.&#10;http://www.fdic.gov/regulations/laws/rules/2000-3800.html" ma:format="Dropdown" ma:internalName="Sensitivity">
      <xsd:simpleType>
        <xsd:restriction base="dms:Choice">
          <xsd:enumeration value="Sensitive Data"/>
          <xsd:enumeration value="Sensitive PII"/>
          <xsd:enumeration value="Non-Sensitive Da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CC6B-69E2-4E1C-8FCD-439DBD2E977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e64d7ec-d05c-4af7-a45f-a77b5edfdef6"/>
    <ds:schemaRef ds:uri="http://www.w3.org/XML/1998/namespace"/>
    <ds:schemaRef ds:uri="http://purl.org/dc/dcmitype/"/>
  </ds:schemaRefs>
</ds:datastoreItem>
</file>

<file path=customXml/itemProps2.xml><?xml version="1.0" encoding="utf-8"?>
<ds:datastoreItem xmlns:ds="http://schemas.openxmlformats.org/officeDocument/2006/customXml" ds:itemID="{1B53C679-7125-43C6-8EDF-C9E6C1E15BBD}">
  <ds:schemaRefs>
    <ds:schemaRef ds:uri="http://schemas.microsoft.com/sharepoint/v3/contenttype/forms"/>
  </ds:schemaRefs>
</ds:datastoreItem>
</file>

<file path=customXml/itemProps3.xml><?xml version="1.0" encoding="utf-8"?>
<ds:datastoreItem xmlns:ds="http://schemas.openxmlformats.org/officeDocument/2006/customXml" ds:itemID="{808273F7-0774-4110-8BB6-2E5E2A705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4d7ec-d05c-4af7-a45f-a77b5edfde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267E86-C2AD-4ED1-9918-173520E8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7706</Words>
  <Characters>44631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ISB Single Rated Area</vt:lpstr>
    </vt:vector>
  </TitlesOfParts>
  <Company>FDIC</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Single Rated Area</dc:title>
  <dc:creator>tbressette@fdic.gov</dc:creator>
  <cp:lastModifiedBy>Weydt, Irene (DOB)</cp:lastModifiedBy>
  <cp:revision>3</cp:revision>
  <cp:lastPrinted>2021-03-02T18:27:00Z</cp:lastPrinted>
  <dcterms:created xsi:type="dcterms:W3CDTF">2021-03-02T18:27:00Z</dcterms:created>
  <dcterms:modified xsi:type="dcterms:W3CDTF">2021-03-02T18:28:00Z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ies>
</file>