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28C6" w14:textId="77777777" w:rsidR="007D2878" w:rsidRDefault="007F36E2" w:rsidP="007D2878">
      <w:pPr>
        <w:pStyle w:val="Title"/>
        <w:rPr>
          <w:rFonts w:ascii="Courier New" w:hAnsi="Courier New" w:cs="Courier New"/>
          <w:sz w:val="24"/>
        </w:rPr>
      </w:pPr>
      <w:bookmarkStart w:id="0" w:name="_GoBack"/>
      <w:bookmarkEnd w:id="0"/>
      <w:r>
        <w:rPr>
          <w:rFonts w:ascii="Courier New" w:hAnsi="Courier New" w:cs="Courier New"/>
          <w:sz w:val="24"/>
        </w:rPr>
        <w:t xml:space="preserve">  </w:t>
      </w:r>
      <w:r w:rsidR="007D2878">
        <w:rPr>
          <w:rFonts w:ascii="Courier New" w:hAnsi="Courier New" w:cs="Courier New"/>
          <w:sz w:val="24"/>
        </w:rPr>
        <w:t>COMMONWEALTH OF MASSACHUSETTS</w:t>
      </w:r>
    </w:p>
    <w:p w14:paraId="6337F8DD" w14:textId="77777777" w:rsidR="007D2878" w:rsidRDefault="007D2878" w:rsidP="007D2878">
      <w:pPr>
        <w:jc w:val="center"/>
        <w:rPr>
          <w:b/>
          <w:bCs w:val="0"/>
        </w:rPr>
      </w:pPr>
    </w:p>
    <w:p w14:paraId="75531451" w14:textId="77777777" w:rsidR="007D2878" w:rsidRDefault="007D2878" w:rsidP="007D2878">
      <w:pPr>
        <w:jc w:val="center"/>
        <w:rPr>
          <w:b/>
          <w:bCs w:val="0"/>
        </w:rPr>
      </w:pPr>
      <w:r>
        <w:rPr>
          <w:b/>
          <w:bCs w:val="0"/>
        </w:rPr>
        <w:t>APPELLATE TAX BOARD</w:t>
      </w:r>
    </w:p>
    <w:p w14:paraId="0F3F660F" w14:textId="77777777" w:rsidR="007D2878" w:rsidRDefault="007D2878" w:rsidP="007D2878">
      <w:pPr>
        <w:rPr>
          <w:b/>
          <w:bCs w:val="0"/>
        </w:rPr>
      </w:pPr>
    </w:p>
    <w:p w14:paraId="0E3B0007" w14:textId="77777777" w:rsidR="007D2878" w:rsidRDefault="007D2878" w:rsidP="007D2878">
      <w:pPr>
        <w:rPr>
          <w:b/>
          <w:bCs w:val="0"/>
        </w:rPr>
      </w:pPr>
    </w:p>
    <w:p w14:paraId="087CD753" w14:textId="77777777" w:rsidR="007D2878" w:rsidRPr="00047707" w:rsidRDefault="0089580D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lang w:val="de-DE"/>
        </w:rPr>
        <w:t xml:space="preserve">DONALD </w:t>
      </w:r>
      <w:r w:rsidR="0092473C">
        <w:rPr>
          <w:rFonts w:ascii="Courier New" w:hAnsi="Courier New" w:cs="Courier New"/>
          <w:b/>
          <w:lang w:val="de-DE"/>
        </w:rPr>
        <w:t xml:space="preserve">A. </w:t>
      </w:r>
      <w:r>
        <w:rPr>
          <w:rFonts w:ascii="Courier New" w:hAnsi="Courier New" w:cs="Courier New"/>
          <w:b/>
          <w:lang w:val="de-DE"/>
        </w:rPr>
        <w:t>SCAGEL</w:t>
      </w:r>
      <w:r w:rsidR="007D2878" w:rsidRPr="00047707">
        <w:rPr>
          <w:rFonts w:ascii="Courier New" w:hAnsi="Courier New" w:cs="Courier New"/>
          <w:b/>
          <w:lang w:val="de-DE"/>
        </w:rPr>
        <w:tab/>
        <w:t xml:space="preserve">  v.      </w:t>
      </w:r>
      <w:r w:rsidR="007D2878">
        <w:rPr>
          <w:rFonts w:ascii="Courier New" w:hAnsi="Courier New" w:cs="Courier New"/>
          <w:b/>
          <w:lang w:val="de-DE"/>
        </w:rPr>
        <w:t>  </w:t>
      </w:r>
      <w:r w:rsidR="007D2878" w:rsidRPr="00047707">
        <w:rPr>
          <w:rFonts w:ascii="Courier New" w:hAnsi="Courier New" w:cs="Courier New"/>
          <w:b/>
        </w:rPr>
        <w:t>BOARD OF ASSESSORS OF</w:t>
      </w:r>
    </w:p>
    <w:p w14:paraId="385D4945" w14:textId="77777777" w:rsidR="007D2878" w:rsidRPr="00047707" w:rsidRDefault="007D2878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  <w:b/>
        </w:rPr>
      </w:pPr>
      <w:r w:rsidRPr="00047707">
        <w:rPr>
          <w:rFonts w:ascii="Courier New" w:hAnsi="Courier New" w:cs="Courier New"/>
          <w:b/>
        </w:rPr>
        <w:tab/>
      </w:r>
      <w:r w:rsidRPr="00047707">
        <w:rPr>
          <w:rFonts w:ascii="Courier New" w:hAnsi="Courier New" w:cs="Courier New"/>
          <w:b/>
        </w:rPr>
        <w:tab/>
      </w:r>
      <w:r w:rsidRPr="0004770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  THE TOWN OF </w:t>
      </w:r>
      <w:r w:rsidR="0089580D">
        <w:rPr>
          <w:rFonts w:ascii="Courier New" w:hAnsi="Courier New" w:cs="Courier New"/>
          <w:b/>
        </w:rPr>
        <w:t>HEATH</w:t>
      </w:r>
    </w:p>
    <w:p w14:paraId="6DD0A5CB" w14:textId="77777777" w:rsidR="007D2878" w:rsidRDefault="007D2878" w:rsidP="007D2878">
      <w:pPr>
        <w:pStyle w:val="BodyText"/>
        <w:spacing w:line="240" w:lineRule="auto"/>
        <w:ind w:left="3600" w:hanging="36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7552C1" w14:textId="77777777" w:rsidR="007D2878" w:rsidRDefault="007D2878" w:rsidP="007D2878">
      <w:pPr>
        <w:pStyle w:val="BodyText"/>
        <w:spacing w:line="240" w:lineRule="auto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Docket No. F</w:t>
      </w:r>
      <w:r w:rsidR="0089580D">
        <w:rPr>
          <w:rFonts w:ascii="Courier New" w:hAnsi="Courier New" w:cs="Courier New"/>
          <w:bCs/>
        </w:rPr>
        <w:t>329049</w:t>
      </w:r>
      <w:r w:rsidRPr="00047707">
        <w:rPr>
          <w:rFonts w:ascii="Courier New" w:hAnsi="Courier New" w:cs="Courier New"/>
          <w:bCs/>
        </w:rPr>
        <w:t xml:space="preserve"> </w:t>
      </w:r>
      <w:r w:rsidRPr="00047707">
        <w:rPr>
          <w:rFonts w:ascii="Courier New" w:hAnsi="Courier New" w:cs="Courier New"/>
          <w:bCs/>
        </w:rPr>
        <w:tab/>
        <w:t xml:space="preserve">    </w:t>
      </w:r>
      <w:r w:rsidRPr="00047707">
        <w:rPr>
          <w:rFonts w:ascii="Courier New" w:hAnsi="Courier New" w:cs="Courier New"/>
          <w:bCs/>
        </w:rPr>
        <w:tab/>
        <w:t xml:space="preserve">      </w:t>
      </w:r>
      <w:r w:rsidRPr="00047707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>  </w:t>
      </w:r>
      <w:r w:rsidRPr="00047707">
        <w:rPr>
          <w:rFonts w:ascii="Courier New" w:hAnsi="Courier New" w:cs="Courier New"/>
          <w:bCs/>
        </w:rPr>
        <w:t>Promulgated:</w:t>
      </w:r>
    </w:p>
    <w:p w14:paraId="47F4B99D" w14:textId="1F19FB0B" w:rsidR="007D2878" w:rsidRDefault="007D2878" w:rsidP="007D2878">
      <w:pPr>
        <w:pStyle w:val="BodyText"/>
        <w:spacing w:line="240" w:lineRule="auto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  </w:t>
      </w:r>
      <w:r w:rsidR="009D09E7">
        <w:rPr>
          <w:rFonts w:ascii="Courier New" w:hAnsi="Courier New" w:cs="Courier New"/>
          <w:bCs/>
        </w:rPr>
        <w:t>December 18, 2018</w:t>
      </w:r>
    </w:p>
    <w:p w14:paraId="7352C4B8" w14:textId="77777777" w:rsidR="008178AD" w:rsidRDefault="008178AD" w:rsidP="007D2878">
      <w:pPr>
        <w:pStyle w:val="BodyText"/>
        <w:spacing w:line="240" w:lineRule="auto"/>
        <w:rPr>
          <w:rFonts w:ascii="Courier New" w:hAnsi="Courier New" w:cs="Courier New"/>
          <w:bCs/>
        </w:rPr>
      </w:pPr>
    </w:p>
    <w:p w14:paraId="0F1D9289" w14:textId="77777777" w:rsidR="007D2878" w:rsidRDefault="007D2878" w:rsidP="007D2878">
      <w:pPr>
        <w:pStyle w:val="BodyText"/>
        <w:spacing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  <w:t xml:space="preserve"> </w:t>
      </w:r>
    </w:p>
    <w:p w14:paraId="7C8B45FE" w14:textId="237B4719" w:rsidR="007D2878" w:rsidRDefault="007D2878" w:rsidP="007D2878">
      <w:pPr>
        <w:pStyle w:val="BodyText"/>
        <w:rPr>
          <w:rFonts w:ascii="Courier New" w:hAnsi="Courier New" w:cs="Courier New"/>
          <w:bCs/>
        </w:rPr>
      </w:pPr>
      <w:r w:rsidRPr="00047707">
        <w:rPr>
          <w:rFonts w:ascii="Courier New" w:hAnsi="Courier New" w:cs="Courier New"/>
          <w:bCs/>
        </w:rPr>
        <w:tab/>
        <w:t>This is an appeal filed under the formal procedure</w:t>
      </w:r>
      <w:r w:rsidR="008178AD">
        <w:rPr>
          <w:rFonts w:ascii="Courier New" w:hAnsi="Courier New" w:cs="Courier New"/>
          <w:bCs/>
        </w:rPr>
        <w:t> </w:t>
      </w:r>
      <w:r w:rsidRPr="00047707">
        <w:rPr>
          <w:rFonts w:ascii="Courier New" w:hAnsi="Courier New" w:cs="Courier New"/>
          <w:bCs/>
        </w:rPr>
        <w:t xml:space="preserve"> p</w:t>
      </w:r>
      <w:r>
        <w:rPr>
          <w:rFonts w:ascii="Courier New" w:hAnsi="Courier New" w:cs="Courier New"/>
          <w:bCs/>
        </w:rPr>
        <w:t xml:space="preserve">ursuant to G.L. c. 58A, § 7, </w:t>
      </w:r>
      <w:r w:rsidRPr="00047707">
        <w:rPr>
          <w:rFonts w:ascii="Courier New" w:hAnsi="Courier New" w:cs="Courier New"/>
          <w:bCs/>
        </w:rPr>
        <w:t>G.L. c. 59, §§ 64 and 65,</w:t>
      </w:r>
      <w:r>
        <w:rPr>
          <w:rFonts w:ascii="Courier New" w:hAnsi="Courier New" w:cs="Courier New"/>
          <w:bCs/>
        </w:rPr>
        <w:t xml:space="preserve"> and</w:t>
      </w:r>
      <w:r w:rsidR="00076FBF">
        <w:rPr>
          <w:rFonts w:ascii="Courier New" w:hAnsi="Courier New" w:cs="Courier New"/>
          <w:bCs/>
        </w:rPr>
        <w:t> </w:t>
      </w:r>
      <w:r>
        <w:rPr>
          <w:rFonts w:ascii="Courier New" w:hAnsi="Courier New" w:cs="Courier New"/>
          <w:bCs/>
        </w:rPr>
        <w:t>831 CMR 1.03 and 1.04,</w:t>
      </w:r>
      <w:r w:rsidRPr="00047707">
        <w:rPr>
          <w:rFonts w:ascii="Courier New" w:hAnsi="Courier New" w:cs="Courier New"/>
          <w:bCs/>
        </w:rPr>
        <w:t xml:space="preserve"> from the refusal of the</w:t>
      </w:r>
      <w:r w:rsidR="00076FBF">
        <w:rPr>
          <w:rFonts w:ascii="Courier New" w:hAnsi="Courier New" w:cs="Courier New"/>
          <w:bCs/>
        </w:rPr>
        <w:t> </w:t>
      </w:r>
      <w:r w:rsidRPr="00047707">
        <w:rPr>
          <w:rFonts w:ascii="Courier New" w:hAnsi="Courier New" w:cs="Courier New"/>
          <w:bCs/>
        </w:rPr>
        <w:t>Boa</w:t>
      </w:r>
      <w:r w:rsidR="0089580D">
        <w:rPr>
          <w:rFonts w:ascii="Courier New" w:hAnsi="Courier New" w:cs="Courier New"/>
          <w:bCs/>
        </w:rPr>
        <w:t>rd</w:t>
      </w:r>
      <w:r w:rsidR="00076FBF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of Assessors</w:t>
      </w:r>
      <w:r w:rsidR="008178AD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of</w:t>
      </w:r>
      <w:r w:rsidR="008178AD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the</w:t>
      </w:r>
      <w:r w:rsidR="008178AD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Town</w:t>
      </w:r>
      <w:r w:rsidR="008178AD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of</w:t>
      </w:r>
      <w:r w:rsidR="008178AD">
        <w:rPr>
          <w:rFonts w:ascii="Courier New" w:hAnsi="Courier New" w:cs="Courier New"/>
          <w:bCs/>
        </w:rPr>
        <w:t> </w:t>
      </w:r>
      <w:r w:rsidR="0089580D">
        <w:rPr>
          <w:rFonts w:ascii="Courier New" w:hAnsi="Courier New" w:cs="Courier New"/>
          <w:bCs/>
        </w:rPr>
        <w:t>Heath</w:t>
      </w:r>
      <w:r w:rsidR="008178AD">
        <w:rPr>
          <w:rFonts w:ascii="Courier New" w:hAnsi="Courier New" w:cs="Courier New"/>
          <w:bCs/>
        </w:rPr>
        <w:t> </w:t>
      </w:r>
      <w:r w:rsidR="008178AD" w:rsidRPr="00047707">
        <w:rPr>
          <w:rFonts w:ascii="Courier New" w:hAnsi="Courier New" w:cs="Courier New"/>
          <w:bCs/>
        </w:rPr>
        <w:t>(“assessors”</w:t>
      </w:r>
      <w:r w:rsidR="008178AD">
        <w:rPr>
          <w:rFonts w:ascii="Courier New" w:hAnsi="Courier New" w:cs="Courier New"/>
          <w:bCs/>
        </w:rPr>
        <w:t> </w:t>
      </w:r>
      <w:r w:rsidR="008178AD" w:rsidRPr="00047707">
        <w:rPr>
          <w:rFonts w:ascii="Courier New" w:hAnsi="Courier New" w:cs="Courier New"/>
          <w:bCs/>
        </w:rPr>
        <w:t>or</w:t>
      </w:r>
      <w:r w:rsidR="008178AD">
        <w:rPr>
          <w:rFonts w:ascii="Courier New" w:hAnsi="Courier New" w:cs="Courier New"/>
          <w:bCs/>
        </w:rPr>
        <w:t> </w:t>
      </w:r>
      <w:r w:rsidR="008178AD" w:rsidRPr="00047707">
        <w:rPr>
          <w:rFonts w:ascii="Courier New" w:hAnsi="Courier New" w:cs="Courier New"/>
          <w:bCs/>
        </w:rPr>
        <w:t>“appellee”)</w:t>
      </w:r>
      <w:r w:rsidRPr="00047707">
        <w:rPr>
          <w:rFonts w:ascii="Courier New" w:hAnsi="Courier New" w:cs="Courier New"/>
          <w:bCs/>
        </w:rPr>
        <w:t xml:space="preserve"> </w:t>
      </w:r>
      <w:r w:rsidR="008178AD" w:rsidRPr="00047707">
        <w:rPr>
          <w:rFonts w:ascii="Courier New" w:hAnsi="Courier New" w:cs="Courier New"/>
          <w:bCs/>
        </w:rPr>
        <w:t xml:space="preserve"> </w:t>
      </w:r>
      <w:r w:rsidRPr="00047707">
        <w:rPr>
          <w:rFonts w:ascii="Courier New" w:hAnsi="Courier New" w:cs="Courier New"/>
          <w:bCs/>
        </w:rPr>
        <w:t xml:space="preserve">to abate a tax on certain real estate </w:t>
      </w:r>
      <w:r>
        <w:rPr>
          <w:rFonts w:ascii="Courier New" w:hAnsi="Courier New" w:cs="Courier New"/>
          <w:bCs/>
        </w:rPr>
        <w:t xml:space="preserve">in the Town of </w:t>
      </w:r>
      <w:r w:rsidR="0089580D">
        <w:rPr>
          <w:rFonts w:ascii="Courier New" w:hAnsi="Courier New" w:cs="Courier New"/>
          <w:bCs/>
        </w:rPr>
        <w:t>Heath</w:t>
      </w:r>
      <w:r>
        <w:rPr>
          <w:rFonts w:ascii="Courier New" w:hAnsi="Courier New" w:cs="Courier New"/>
          <w:bCs/>
        </w:rPr>
        <w:t xml:space="preserve"> </w:t>
      </w:r>
      <w:r w:rsidRPr="00047707">
        <w:rPr>
          <w:rFonts w:ascii="Courier New" w:hAnsi="Courier New" w:cs="Courier New"/>
          <w:bCs/>
        </w:rPr>
        <w:t xml:space="preserve">owned by and assessed to </w:t>
      </w:r>
      <w:r w:rsidR="0092473C">
        <w:rPr>
          <w:rFonts w:ascii="Courier New" w:hAnsi="Courier New" w:cs="Courier New"/>
          <w:bCs/>
        </w:rPr>
        <w:t>Donald A. Scagel (</w:t>
      </w:r>
      <w:r w:rsidRPr="00047707">
        <w:rPr>
          <w:rFonts w:ascii="Courier New" w:hAnsi="Courier New" w:cs="Courier New"/>
          <w:bCs/>
        </w:rPr>
        <w:t>“appellant”) under G.L.</w:t>
      </w:r>
      <w:r>
        <w:rPr>
          <w:rFonts w:ascii="Courier New" w:hAnsi="Courier New" w:cs="Courier New"/>
          <w:bCs/>
        </w:rPr>
        <w:t> </w:t>
      </w:r>
      <w:r w:rsidRPr="00047707">
        <w:rPr>
          <w:rFonts w:ascii="Courier New" w:hAnsi="Courier New" w:cs="Courier New"/>
          <w:bCs/>
        </w:rPr>
        <w:t>c. 59, §</w:t>
      </w:r>
      <w:r w:rsidR="00CD72E0">
        <w:rPr>
          <w:rFonts w:ascii="Courier New" w:hAnsi="Courier New" w:cs="Courier New"/>
          <w:bCs/>
        </w:rPr>
        <w:t>§</w:t>
      </w:r>
      <w:r w:rsidRPr="00047707">
        <w:rPr>
          <w:rFonts w:ascii="Courier New" w:hAnsi="Courier New" w:cs="Courier New"/>
          <w:bCs/>
        </w:rPr>
        <w:t xml:space="preserve"> 11 and 38, for fiscal year 201</w:t>
      </w:r>
      <w:r w:rsidR="0092473C">
        <w:rPr>
          <w:rFonts w:ascii="Courier New" w:hAnsi="Courier New" w:cs="Courier New"/>
          <w:bCs/>
        </w:rPr>
        <w:t>6</w:t>
      </w:r>
      <w:r w:rsidRPr="00047707">
        <w:rPr>
          <w:rFonts w:ascii="Courier New" w:hAnsi="Courier New" w:cs="Courier New"/>
          <w:bCs/>
        </w:rPr>
        <w:t>.</w:t>
      </w:r>
      <w:r w:rsidR="00076FBF">
        <w:rPr>
          <w:rFonts w:ascii="Courier New" w:hAnsi="Courier New" w:cs="Courier New"/>
          <w:bCs/>
        </w:rPr>
        <w:t xml:space="preserve"> </w:t>
      </w:r>
    </w:p>
    <w:p w14:paraId="0BBE6F0F" w14:textId="1823AAC0" w:rsidR="00DF63DF" w:rsidRDefault="00076FBF" w:rsidP="007D2878">
      <w:pPr>
        <w:pStyle w:val="BodyText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    Commissioner Chmielinski (“the Presiding Commissioner</w:t>
      </w:r>
      <w:r w:rsidR="00DF63DF">
        <w:rPr>
          <w:rFonts w:ascii="Courier New" w:hAnsi="Courier New" w:cs="Courier New"/>
          <w:bCs/>
        </w:rPr>
        <w:t>”</w:t>
      </w:r>
      <w:r w:rsidR="008178AD">
        <w:rPr>
          <w:rFonts w:ascii="Courier New" w:hAnsi="Courier New" w:cs="Courier New"/>
          <w:bCs/>
        </w:rPr>
        <w:t>) heard</w:t>
      </w:r>
      <w:r w:rsidR="00DF63DF">
        <w:rPr>
          <w:rFonts w:ascii="Courier New" w:hAnsi="Courier New" w:cs="Courier New"/>
          <w:bCs/>
        </w:rPr>
        <w:t xml:space="preserve"> this appeal under G.L. c. 58A, § 1A and 830 CMR 1.20, and issued a single-member decision for the appellant.</w:t>
      </w:r>
    </w:p>
    <w:p w14:paraId="250E913F" w14:textId="102C0505" w:rsidR="007D2878" w:rsidRDefault="007D2878" w:rsidP="007D2878">
      <w:pPr>
        <w:spacing w:line="480" w:lineRule="auto"/>
        <w:ind w:firstLine="720"/>
        <w:jc w:val="both"/>
      </w:pPr>
      <w:r w:rsidRPr="003B4F9F">
        <w:t>These findings of fact and report are made pursuant to a request by the appell</w:t>
      </w:r>
      <w:r w:rsidR="0092473C">
        <w:t>ant</w:t>
      </w:r>
      <w:r w:rsidRPr="003B4F9F">
        <w:t xml:space="preserve"> under G.L. c. 58A, § 13 and 831</w:t>
      </w:r>
      <w:r w:rsidR="00076FBF">
        <w:t> </w:t>
      </w:r>
      <w:r w:rsidRPr="003B4F9F">
        <w:t>CMR 1.32.</w:t>
      </w:r>
    </w:p>
    <w:p w14:paraId="3AE6EFDC" w14:textId="77777777" w:rsidR="007D2878" w:rsidRDefault="007D2878" w:rsidP="007D2878">
      <w:pPr>
        <w:ind w:firstLine="720"/>
        <w:jc w:val="both"/>
      </w:pPr>
    </w:p>
    <w:p w14:paraId="488C99D2" w14:textId="77777777" w:rsidR="007D2878" w:rsidRDefault="0092473C" w:rsidP="007D2878">
      <w:pPr>
        <w:ind w:firstLine="720"/>
        <w:jc w:val="both"/>
      </w:pPr>
      <w:r>
        <w:rPr>
          <w:i/>
          <w:iCs/>
        </w:rPr>
        <w:t>Donald A. Scagel</w:t>
      </w:r>
      <w:r w:rsidR="007D2878">
        <w:rPr>
          <w:i/>
          <w:iCs/>
        </w:rPr>
        <w:t>, pro se</w:t>
      </w:r>
      <w:r w:rsidR="007D2878">
        <w:rPr>
          <w:iCs/>
        </w:rPr>
        <w:t>,</w:t>
      </w:r>
      <w:r w:rsidR="007D2878">
        <w:rPr>
          <w:i/>
          <w:iCs/>
        </w:rPr>
        <w:t xml:space="preserve"> </w:t>
      </w:r>
      <w:r w:rsidR="007D2878">
        <w:t>for the appellant.</w:t>
      </w:r>
    </w:p>
    <w:p w14:paraId="54F5F164" w14:textId="77777777" w:rsidR="007D2878" w:rsidRDefault="007D2878" w:rsidP="007D2878">
      <w:pPr>
        <w:jc w:val="both"/>
      </w:pPr>
    </w:p>
    <w:p w14:paraId="7A3A7CF0" w14:textId="77777777" w:rsidR="007D2878" w:rsidRDefault="007D2878" w:rsidP="002944FB">
      <w:pPr>
        <w:ind w:firstLine="720"/>
        <w:jc w:val="both"/>
      </w:pPr>
      <w:r>
        <w:rPr>
          <w:i/>
        </w:rPr>
        <w:t>Rob</w:t>
      </w:r>
      <w:r w:rsidR="0092473C">
        <w:rPr>
          <w:i/>
        </w:rPr>
        <w:t>y</w:t>
      </w:r>
      <w:r>
        <w:rPr>
          <w:i/>
        </w:rPr>
        <w:t xml:space="preserve">n </w:t>
      </w:r>
      <w:r w:rsidR="0092473C">
        <w:rPr>
          <w:i/>
        </w:rPr>
        <w:t xml:space="preserve">Provost-Carlson, assessor, </w:t>
      </w:r>
      <w:r w:rsidR="00330121" w:rsidRPr="00330121">
        <w:t>and</w:t>
      </w:r>
      <w:r w:rsidR="00330121">
        <w:rPr>
          <w:i/>
        </w:rPr>
        <w:t xml:space="preserve"> </w:t>
      </w:r>
      <w:r w:rsidR="0092473C">
        <w:rPr>
          <w:i/>
        </w:rPr>
        <w:t>Alice Wozniak</w:t>
      </w:r>
      <w:r>
        <w:rPr>
          <w:i/>
        </w:rPr>
        <w:t xml:space="preserve">, </w:t>
      </w:r>
      <w:r w:rsidRPr="0003033E">
        <w:rPr>
          <w:i/>
        </w:rPr>
        <w:t>assistant</w:t>
      </w:r>
      <w:r>
        <w:rPr>
          <w:i/>
        </w:rPr>
        <w:t xml:space="preserve"> </w:t>
      </w:r>
      <w:r>
        <w:t>assessor,</w:t>
      </w:r>
      <w:r>
        <w:rPr>
          <w:iCs/>
        </w:rPr>
        <w:t xml:space="preserve"> </w:t>
      </w:r>
      <w:r>
        <w:t>for the appellee.</w:t>
      </w:r>
    </w:p>
    <w:p w14:paraId="61245354" w14:textId="77777777" w:rsidR="0000443C" w:rsidRDefault="0000443C" w:rsidP="007D2878">
      <w:pPr>
        <w:spacing w:line="480" w:lineRule="auto"/>
        <w:jc w:val="center"/>
        <w:rPr>
          <w:b/>
        </w:rPr>
      </w:pPr>
    </w:p>
    <w:p w14:paraId="6B96732C" w14:textId="720C68FB" w:rsidR="007D2878" w:rsidRPr="00DA0180" w:rsidRDefault="007D2878" w:rsidP="007D2878">
      <w:pPr>
        <w:spacing w:line="480" w:lineRule="auto"/>
        <w:jc w:val="center"/>
        <w:rPr>
          <w:b/>
        </w:rPr>
      </w:pPr>
      <w:r>
        <w:rPr>
          <w:b/>
        </w:rPr>
        <w:lastRenderedPageBreak/>
        <w:t>FINDINGS OF FACT AND REPORT</w:t>
      </w:r>
    </w:p>
    <w:p w14:paraId="05CD48F0" w14:textId="49AFB49F" w:rsidR="00330121" w:rsidRPr="00730DA5" w:rsidRDefault="007D2878" w:rsidP="007D2878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>On January 1, 201</w:t>
      </w:r>
      <w:r w:rsidR="0092473C" w:rsidRPr="00730DA5">
        <w:rPr>
          <w:color w:val="000000" w:themeColor="text1"/>
        </w:rPr>
        <w:t>5</w:t>
      </w:r>
      <w:r w:rsidRPr="00730DA5">
        <w:rPr>
          <w:color w:val="000000" w:themeColor="text1"/>
        </w:rPr>
        <w:t xml:space="preserve">, </w:t>
      </w:r>
      <w:r w:rsidR="008874F9" w:rsidRPr="00730DA5">
        <w:rPr>
          <w:color w:val="000000" w:themeColor="text1"/>
        </w:rPr>
        <w:t xml:space="preserve">the relevant valuation and assessment date for fiscal year 2016, </w:t>
      </w:r>
      <w:r w:rsidRPr="00730DA5">
        <w:rPr>
          <w:color w:val="000000" w:themeColor="text1"/>
        </w:rPr>
        <w:t>the appellant was the assessed owner of an approximately .</w:t>
      </w:r>
      <w:r w:rsidR="008B0350" w:rsidRPr="00730DA5">
        <w:rPr>
          <w:color w:val="000000" w:themeColor="text1"/>
        </w:rPr>
        <w:t>25</w:t>
      </w:r>
      <w:r w:rsidRPr="00730DA5">
        <w:rPr>
          <w:color w:val="000000" w:themeColor="text1"/>
        </w:rPr>
        <w:t xml:space="preserve">-acre parcel of land improved with </w:t>
      </w:r>
      <w:r w:rsidR="008B0350" w:rsidRPr="00730DA5">
        <w:rPr>
          <w:color w:val="000000" w:themeColor="text1"/>
        </w:rPr>
        <w:t>a 486</w:t>
      </w:r>
      <w:r w:rsidR="00CD72E0" w:rsidRPr="00730DA5">
        <w:rPr>
          <w:color w:val="000000" w:themeColor="text1"/>
        </w:rPr>
        <w:t>-</w:t>
      </w:r>
      <w:r w:rsidR="008B0350" w:rsidRPr="00730DA5">
        <w:rPr>
          <w:color w:val="000000" w:themeColor="text1"/>
        </w:rPr>
        <w:t xml:space="preserve">square-foot building </w:t>
      </w:r>
      <w:r w:rsidRPr="00730DA5">
        <w:rPr>
          <w:color w:val="000000" w:themeColor="text1"/>
        </w:rPr>
        <w:t xml:space="preserve">located at </w:t>
      </w:r>
      <w:r w:rsidR="008B0350" w:rsidRPr="00730DA5">
        <w:rPr>
          <w:color w:val="000000" w:themeColor="text1"/>
        </w:rPr>
        <w:t>30 Papoose Lake Drive in Heath</w:t>
      </w:r>
      <w:r w:rsidRPr="00730DA5">
        <w:rPr>
          <w:color w:val="000000" w:themeColor="text1"/>
        </w:rPr>
        <w:t xml:space="preserve"> (“subject property”). The dwelling </w:t>
      </w:r>
      <w:r w:rsidR="008B0350" w:rsidRPr="00730DA5">
        <w:rPr>
          <w:color w:val="000000" w:themeColor="text1"/>
        </w:rPr>
        <w:t>ha</w:t>
      </w:r>
      <w:r w:rsidR="00330121" w:rsidRPr="00730DA5">
        <w:rPr>
          <w:color w:val="000000" w:themeColor="text1"/>
        </w:rPr>
        <w:t>d</w:t>
      </w:r>
      <w:r w:rsidR="008B0350" w:rsidRPr="00730DA5">
        <w:rPr>
          <w:color w:val="000000" w:themeColor="text1"/>
        </w:rPr>
        <w:t xml:space="preserve"> no drywall or insulation, but </w:t>
      </w:r>
      <w:r w:rsidR="00330121" w:rsidRPr="00730DA5">
        <w:rPr>
          <w:color w:val="000000" w:themeColor="text1"/>
        </w:rPr>
        <w:t xml:space="preserve">was equipped with </w:t>
      </w:r>
      <w:r w:rsidR="008B0350" w:rsidRPr="00730DA5">
        <w:rPr>
          <w:color w:val="000000" w:themeColor="text1"/>
        </w:rPr>
        <w:t>electricity</w:t>
      </w:r>
      <w:r w:rsidR="00330121" w:rsidRPr="00730DA5">
        <w:rPr>
          <w:color w:val="000000" w:themeColor="text1"/>
        </w:rPr>
        <w:t xml:space="preserve">, a refrigerator, </w:t>
      </w:r>
      <w:r w:rsidR="008B0350" w:rsidRPr="00730DA5">
        <w:rPr>
          <w:color w:val="000000" w:themeColor="text1"/>
        </w:rPr>
        <w:t>and a</w:t>
      </w:r>
      <w:r w:rsidR="00330121" w:rsidRPr="00730DA5">
        <w:rPr>
          <w:color w:val="000000" w:themeColor="text1"/>
        </w:rPr>
        <w:t xml:space="preserve"> toilet. </w:t>
      </w:r>
      <w:r w:rsidRPr="00730DA5">
        <w:rPr>
          <w:color w:val="000000" w:themeColor="text1"/>
        </w:rPr>
        <w:t>The subject property</w:t>
      </w:r>
      <w:r w:rsidR="00330121" w:rsidRPr="00730DA5">
        <w:rPr>
          <w:color w:val="000000" w:themeColor="text1"/>
        </w:rPr>
        <w:t xml:space="preserve"> also </w:t>
      </w:r>
      <w:r w:rsidR="00346E41" w:rsidRPr="00730DA5">
        <w:rPr>
          <w:color w:val="000000" w:themeColor="text1"/>
        </w:rPr>
        <w:t xml:space="preserve">contained </w:t>
      </w:r>
      <w:r w:rsidR="00330121" w:rsidRPr="00730DA5">
        <w:rPr>
          <w:color w:val="000000" w:themeColor="text1"/>
        </w:rPr>
        <w:t>a well and septic access</w:t>
      </w:r>
      <w:r w:rsidR="008874F9" w:rsidRPr="00730DA5">
        <w:rPr>
          <w:color w:val="000000" w:themeColor="text1"/>
        </w:rPr>
        <w:t xml:space="preserve"> (“septic”)</w:t>
      </w:r>
      <w:r w:rsidR="00330121" w:rsidRPr="00730DA5">
        <w:rPr>
          <w:color w:val="000000" w:themeColor="text1"/>
        </w:rPr>
        <w:t xml:space="preserve">. </w:t>
      </w:r>
    </w:p>
    <w:p w14:paraId="2F73CCAC" w14:textId="2087F4B7" w:rsidR="007D2878" w:rsidRPr="00730DA5" w:rsidRDefault="007D2878" w:rsidP="007D2878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>For fiscal year 201</w:t>
      </w:r>
      <w:r w:rsidR="00A741D1" w:rsidRPr="00730DA5">
        <w:rPr>
          <w:color w:val="000000" w:themeColor="text1"/>
        </w:rPr>
        <w:t>6</w:t>
      </w:r>
      <w:r w:rsidRPr="00730DA5">
        <w:rPr>
          <w:color w:val="000000" w:themeColor="text1"/>
        </w:rPr>
        <w:t>, the assessors valued the subject property at $</w:t>
      </w:r>
      <w:r w:rsidR="00A741D1" w:rsidRPr="00730DA5">
        <w:rPr>
          <w:color w:val="000000" w:themeColor="text1"/>
        </w:rPr>
        <w:t>34</w:t>
      </w:r>
      <w:r w:rsidRPr="00730DA5">
        <w:rPr>
          <w:color w:val="000000" w:themeColor="text1"/>
        </w:rPr>
        <w:t>,</w:t>
      </w:r>
      <w:r w:rsidR="00A741D1" w:rsidRPr="00730DA5">
        <w:rPr>
          <w:color w:val="000000" w:themeColor="text1"/>
        </w:rPr>
        <w:t>1</w:t>
      </w:r>
      <w:r w:rsidRPr="00730DA5">
        <w:rPr>
          <w:color w:val="000000" w:themeColor="text1"/>
        </w:rPr>
        <w:t>00, and assessed a tax thereon, at the rate of $</w:t>
      </w:r>
      <w:r w:rsidR="003960A7" w:rsidRPr="00730DA5">
        <w:rPr>
          <w:color w:val="000000" w:themeColor="text1"/>
        </w:rPr>
        <w:t>20</w:t>
      </w:r>
      <w:r w:rsidRPr="00730DA5">
        <w:rPr>
          <w:color w:val="000000" w:themeColor="text1"/>
        </w:rPr>
        <w:t>.</w:t>
      </w:r>
      <w:r w:rsidR="003960A7" w:rsidRPr="00730DA5">
        <w:rPr>
          <w:color w:val="000000" w:themeColor="text1"/>
        </w:rPr>
        <w:t>51</w:t>
      </w:r>
      <w:r w:rsidRPr="00730DA5">
        <w:rPr>
          <w:color w:val="000000" w:themeColor="text1"/>
        </w:rPr>
        <w:t xml:space="preserve"> per thousand, in the amount of $</w:t>
      </w:r>
      <w:r w:rsidR="003960A7" w:rsidRPr="00730DA5">
        <w:rPr>
          <w:color w:val="000000" w:themeColor="text1"/>
        </w:rPr>
        <w:t>699</w:t>
      </w:r>
      <w:r w:rsidRPr="00730DA5">
        <w:rPr>
          <w:color w:val="000000" w:themeColor="text1"/>
        </w:rPr>
        <w:t>.</w:t>
      </w:r>
      <w:r w:rsidR="003960A7" w:rsidRPr="00730DA5">
        <w:rPr>
          <w:color w:val="000000" w:themeColor="text1"/>
        </w:rPr>
        <w:t>39</w:t>
      </w:r>
      <w:r w:rsidRPr="00730DA5">
        <w:rPr>
          <w:color w:val="000000" w:themeColor="text1"/>
        </w:rPr>
        <w:t>. </w:t>
      </w:r>
      <w:r w:rsidR="003960A7" w:rsidRPr="00730DA5">
        <w:rPr>
          <w:color w:val="000000" w:themeColor="text1"/>
        </w:rPr>
        <w:t>The</w:t>
      </w:r>
      <w:r w:rsidRPr="00730DA5">
        <w:rPr>
          <w:color w:val="000000" w:themeColor="text1"/>
        </w:rPr>
        <w:t xml:space="preserve"> appellant timely paid the tax due without incurring interest. On J</w:t>
      </w:r>
      <w:r w:rsidR="003960A7" w:rsidRPr="00730DA5">
        <w:rPr>
          <w:color w:val="000000" w:themeColor="text1"/>
        </w:rPr>
        <w:t>anuary 7</w:t>
      </w:r>
      <w:r w:rsidRPr="00730DA5">
        <w:rPr>
          <w:color w:val="000000" w:themeColor="text1"/>
        </w:rPr>
        <w:t>, 201</w:t>
      </w:r>
      <w:r w:rsidR="003960A7" w:rsidRPr="00730DA5">
        <w:rPr>
          <w:color w:val="000000" w:themeColor="text1"/>
        </w:rPr>
        <w:t>6</w:t>
      </w:r>
      <w:r w:rsidRPr="00730DA5">
        <w:rPr>
          <w:color w:val="000000" w:themeColor="text1"/>
        </w:rPr>
        <w:t xml:space="preserve">, the appellant timely filed </w:t>
      </w:r>
      <w:r w:rsidR="003960A7" w:rsidRPr="00730DA5">
        <w:rPr>
          <w:color w:val="000000" w:themeColor="text1"/>
        </w:rPr>
        <w:t xml:space="preserve">an application for abatement </w:t>
      </w:r>
      <w:r w:rsidRPr="00730DA5">
        <w:rPr>
          <w:color w:val="000000" w:themeColor="text1"/>
        </w:rPr>
        <w:t xml:space="preserve">with the assessors, which the assessors </w:t>
      </w:r>
      <w:r w:rsidR="00A741D1" w:rsidRPr="00730DA5">
        <w:rPr>
          <w:color w:val="000000" w:themeColor="text1"/>
        </w:rPr>
        <w:t>denied</w:t>
      </w:r>
      <w:r w:rsidRPr="00730DA5">
        <w:rPr>
          <w:color w:val="000000" w:themeColor="text1"/>
        </w:rPr>
        <w:t xml:space="preserve"> on </w:t>
      </w:r>
      <w:r w:rsidR="003960A7" w:rsidRPr="00730DA5">
        <w:rPr>
          <w:color w:val="000000" w:themeColor="text1"/>
        </w:rPr>
        <w:t>February 15</w:t>
      </w:r>
      <w:r w:rsidRPr="00730DA5">
        <w:rPr>
          <w:color w:val="000000" w:themeColor="text1"/>
        </w:rPr>
        <w:t>, 201</w:t>
      </w:r>
      <w:r w:rsidR="003960A7" w:rsidRPr="00730DA5">
        <w:rPr>
          <w:color w:val="000000" w:themeColor="text1"/>
        </w:rPr>
        <w:t>6</w:t>
      </w:r>
      <w:r w:rsidRPr="00730DA5">
        <w:rPr>
          <w:color w:val="000000" w:themeColor="text1"/>
        </w:rPr>
        <w:t xml:space="preserve">. </w:t>
      </w:r>
      <w:r w:rsidR="00A741D1" w:rsidRPr="00730DA5">
        <w:rPr>
          <w:color w:val="000000" w:themeColor="text1"/>
        </w:rPr>
        <w:t xml:space="preserve">The appellant </w:t>
      </w:r>
      <w:r w:rsidRPr="00730DA5">
        <w:rPr>
          <w:color w:val="000000" w:themeColor="text1"/>
        </w:rPr>
        <w:t>seasonably filed h</w:t>
      </w:r>
      <w:r w:rsidR="00A741D1" w:rsidRPr="00730DA5">
        <w:rPr>
          <w:color w:val="000000" w:themeColor="text1"/>
        </w:rPr>
        <w:t>is</w:t>
      </w:r>
      <w:r w:rsidRPr="00730DA5">
        <w:rPr>
          <w:color w:val="000000" w:themeColor="text1"/>
        </w:rPr>
        <w:t xml:space="preserve"> appeal with the Appellate Tax Board (“Board”) on </w:t>
      </w:r>
      <w:r w:rsidR="003960A7" w:rsidRPr="00730DA5">
        <w:rPr>
          <w:color w:val="000000" w:themeColor="text1"/>
        </w:rPr>
        <w:t>March 30</w:t>
      </w:r>
      <w:r w:rsidRPr="00730DA5">
        <w:rPr>
          <w:color w:val="000000" w:themeColor="text1"/>
        </w:rPr>
        <w:t>, 201</w:t>
      </w:r>
      <w:r w:rsidR="003960A7" w:rsidRPr="00730DA5">
        <w:rPr>
          <w:color w:val="000000" w:themeColor="text1"/>
        </w:rPr>
        <w:t>6</w:t>
      </w:r>
      <w:r w:rsidRPr="00730DA5">
        <w:rPr>
          <w:color w:val="000000" w:themeColor="text1"/>
        </w:rPr>
        <w:t xml:space="preserve">. On the basis of these facts, the Presiding Commissioner found and ruled that the Board had jurisdiction </w:t>
      </w:r>
      <w:r w:rsidR="003960A7" w:rsidRPr="00730DA5">
        <w:rPr>
          <w:color w:val="000000" w:themeColor="text1"/>
        </w:rPr>
        <w:t xml:space="preserve">to hear and decide </w:t>
      </w:r>
      <w:r w:rsidRPr="00730DA5">
        <w:rPr>
          <w:color w:val="000000" w:themeColor="text1"/>
        </w:rPr>
        <w:t>this appeal.</w:t>
      </w:r>
    </w:p>
    <w:p w14:paraId="087F9FC8" w14:textId="6F533E9D" w:rsidR="004A2642" w:rsidRPr="00730DA5" w:rsidRDefault="007D2878" w:rsidP="007D2878">
      <w:pPr>
        <w:spacing w:line="480" w:lineRule="auto"/>
        <w:jc w:val="both"/>
        <w:rPr>
          <w:color w:val="000000" w:themeColor="text1"/>
        </w:rPr>
      </w:pPr>
      <w:r w:rsidRPr="00730DA5">
        <w:rPr>
          <w:color w:val="000000" w:themeColor="text1"/>
        </w:rPr>
        <w:tab/>
      </w:r>
      <w:r w:rsidR="004A2642" w:rsidRPr="00730DA5">
        <w:rPr>
          <w:color w:val="000000" w:themeColor="text1"/>
        </w:rPr>
        <w:t xml:space="preserve">In support of his assertion that the subject property was overvalued for fiscal year 2016, the appellant submitted into evidence a copy of the </w:t>
      </w:r>
      <w:r w:rsidRPr="00730DA5">
        <w:rPr>
          <w:color w:val="000000" w:themeColor="text1"/>
        </w:rPr>
        <w:t>Board</w:t>
      </w:r>
      <w:r w:rsidR="004A2642" w:rsidRPr="00730DA5">
        <w:rPr>
          <w:color w:val="000000" w:themeColor="text1"/>
        </w:rPr>
        <w:t>’s decision</w:t>
      </w:r>
      <w:r w:rsidR="0029481B" w:rsidRPr="00730DA5">
        <w:rPr>
          <w:color w:val="000000" w:themeColor="text1"/>
        </w:rPr>
        <w:t xml:space="preserve"> for </w:t>
      </w:r>
      <w:r w:rsidR="0029481B" w:rsidRPr="00730DA5">
        <w:rPr>
          <w:color w:val="000000" w:themeColor="text1"/>
        </w:rPr>
        <w:lastRenderedPageBreak/>
        <w:t xml:space="preserve">fiscal year 2011 </w:t>
      </w:r>
      <w:r w:rsidRPr="00730DA5">
        <w:rPr>
          <w:color w:val="000000" w:themeColor="text1"/>
        </w:rPr>
        <w:t xml:space="preserve">reducing the subject property’s assessed value </w:t>
      </w:r>
      <w:r w:rsidR="0029481B" w:rsidRPr="00730DA5">
        <w:rPr>
          <w:color w:val="000000" w:themeColor="text1"/>
        </w:rPr>
        <w:t xml:space="preserve">of </w:t>
      </w:r>
      <w:r w:rsidRPr="00730DA5">
        <w:rPr>
          <w:color w:val="000000" w:themeColor="text1"/>
        </w:rPr>
        <w:t>$</w:t>
      </w:r>
      <w:r w:rsidR="003960A7" w:rsidRPr="00730DA5">
        <w:rPr>
          <w:color w:val="000000" w:themeColor="text1"/>
        </w:rPr>
        <w:t>34</w:t>
      </w:r>
      <w:r w:rsidRPr="00730DA5">
        <w:rPr>
          <w:color w:val="000000" w:themeColor="text1"/>
        </w:rPr>
        <w:t>,</w:t>
      </w:r>
      <w:r w:rsidR="003960A7" w:rsidRPr="00730DA5">
        <w:rPr>
          <w:color w:val="000000" w:themeColor="text1"/>
        </w:rPr>
        <w:t>4</w:t>
      </w:r>
      <w:r w:rsidRPr="00730DA5">
        <w:rPr>
          <w:color w:val="000000" w:themeColor="text1"/>
        </w:rPr>
        <w:t xml:space="preserve">00 to </w:t>
      </w:r>
      <w:r w:rsidR="003960A7" w:rsidRPr="00730DA5">
        <w:rPr>
          <w:color w:val="000000" w:themeColor="text1"/>
        </w:rPr>
        <w:t>$25,500</w:t>
      </w:r>
      <w:r w:rsidRPr="00730DA5">
        <w:rPr>
          <w:color w:val="000000" w:themeColor="text1"/>
        </w:rPr>
        <w:t>.</w:t>
      </w:r>
      <w:r w:rsidR="0029481B" w:rsidRPr="00730DA5">
        <w:rPr>
          <w:color w:val="000000" w:themeColor="text1"/>
        </w:rPr>
        <w:t xml:space="preserve"> The appellant also submitted into evidence </w:t>
      </w:r>
      <w:r w:rsidR="00B15374" w:rsidRPr="00730DA5">
        <w:rPr>
          <w:color w:val="000000" w:themeColor="text1"/>
        </w:rPr>
        <w:t xml:space="preserve">property record </w:t>
      </w:r>
      <w:r w:rsidR="0013606F" w:rsidRPr="00730DA5">
        <w:rPr>
          <w:color w:val="000000" w:themeColor="text1"/>
        </w:rPr>
        <w:t xml:space="preserve">cards </w:t>
      </w:r>
      <w:r w:rsidR="00B15374" w:rsidRPr="00730DA5">
        <w:rPr>
          <w:color w:val="000000" w:themeColor="text1"/>
        </w:rPr>
        <w:t xml:space="preserve">for </w:t>
      </w:r>
      <w:r w:rsidR="0029481B" w:rsidRPr="00730DA5">
        <w:rPr>
          <w:color w:val="000000" w:themeColor="text1"/>
        </w:rPr>
        <w:t xml:space="preserve">purportedly comparable “sheds” </w:t>
      </w:r>
      <w:r w:rsidR="00730DA5">
        <w:rPr>
          <w:color w:val="000000" w:themeColor="text1"/>
        </w:rPr>
        <w:t>that</w:t>
      </w:r>
      <w:r w:rsidR="0029481B" w:rsidRPr="00730DA5">
        <w:rPr>
          <w:color w:val="000000" w:themeColor="text1"/>
        </w:rPr>
        <w:t xml:space="preserve"> had been assessed for less than the subjec</w:t>
      </w:r>
      <w:r w:rsidR="005A462D" w:rsidRPr="00730DA5">
        <w:rPr>
          <w:color w:val="000000" w:themeColor="text1"/>
        </w:rPr>
        <w:t xml:space="preserve">t property’s building. Finally, the appellant argued, and the assessors did not contest, that the $6,000 value attributed to the well and septic should not have been included </w:t>
      </w:r>
      <w:r w:rsidR="00CD72E0" w:rsidRPr="00730DA5">
        <w:rPr>
          <w:color w:val="000000" w:themeColor="text1"/>
        </w:rPr>
        <w:t xml:space="preserve">in </w:t>
      </w:r>
      <w:r w:rsidR="005A462D" w:rsidRPr="00730DA5">
        <w:rPr>
          <w:color w:val="000000" w:themeColor="text1"/>
        </w:rPr>
        <w:t xml:space="preserve">the subject property’s valuation for fiscal year 2016.    </w:t>
      </w:r>
    </w:p>
    <w:p w14:paraId="23215F19" w14:textId="4B396B6B" w:rsidR="0080715D" w:rsidRPr="00730DA5" w:rsidRDefault="005814F9" w:rsidP="005814F9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 xml:space="preserve">For their part, </w:t>
      </w:r>
      <w:r w:rsidR="007D2878" w:rsidRPr="00730DA5">
        <w:rPr>
          <w:color w:val="000000" w:themeColor="text1"/>
        </w:rPr>
        <w:t xml:space="preserve">the assessors submitted into evidence the requisite jurisdictional documents, the property record card for the subject property, and </w:t>
      </w:r>
      <w:r w:rsidRPr="00730DA5">
        <w:rPr>
          <w:color w:val="000000" w:themeColor="text1"/>
        </w:rPr>
        <w:t>property record cards for other nearby properties.</w:t>
      </w:r>
      <w:r w:rsidR="0013606F" w:rsidRPr="00730DA5">
        <w:rPr>
          <w:color w:val="000000" w:themeColor="text1"/>
        </w:rPr>
        <w:t xml:space="preserve"> The Presiding Commissioner found that the nearby properties’ property record cards neither supported nor undermined the subject property’s assessed value.</w:t>
      </w:r>
      <w:r w:rsidRPr="00730DA5">
        <w:rPr>
          <w:color w:val="000000" w:themeColor="text1"/>
        </w:rPr>
        <w:t xml:space="preserve"> </w:t>
      </w:r>
    </w:p>
    <w:p w14:paraId="6C4E63C8" w14:textId="77777777" w:rsidR="00076FBF" w:rsidRDefault="007D2878" w:rsidP="00076FBF">
      <w:pPr>
        <w:widowControl/>
        <w:autoSpaceDE/>
        <w:autoSpaceDN/>
        <w:adjustRightInd/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 xml:space="preserve">Based on the evidence presented, the Presiding Commissioner found that the subject property had a fair cash value less than </w:t>
      </w:r>
      <w:r w:rsidR="0080715D" w:rsidRPr="00730DA5">
        <w:rPr>
          <w:color w:val="000000" w:themeColor="text1"/>
        </w:rPr>
        <w:t xml:space="preserve">its assessed value for fiscal year 2016. </w:t>
      </w:r>
      <w:r w:rsidR="00E019D0" w:rsidRPr="00730DA5">
        <w:rPr>
          <w:color w:val="000000" w:themeColor="text1"/>
        </w:rPr>
        <w:t xml:space="preserve">The Presiding Commissioner afforded little weight to the appellant’s arguments, except </w:t>
      </w:r>
      <w:r w:rsidR="00AD2F96" w:rsidRPr="00730DA5">
        <w:rPr>
          <w:color w:val="000000" w:themeColor="text1"/>
        </w:rPr>
        <w:t>with respect to the value attributed to the well and septic.</w:t>
      </w:r>
      <w:r w:rsidR="00E019D0" w:rsidRPr="00730DA5">
        <w:rPr>
          <w:color w:val="000000" w:themeColor="text1"/>
        </w:rPr>
        <w:t xml:space="preserve"> B</w:t>
      </w:r>
      <w:r w:rsidRPr="00730DA5">
        <w:rPr>
          <w:color w:val="000000" w:themeColor="text1"/>
        </w:rPr>
        <w:t>ased on the entire record, the Presiding Commissioner found that the</w:t>
      </w:r>
      <w:r w:rsidR="00E019D0" w:rsidRPr="00730DA5">
        <w:rPr>
          <w:color w:val="000000" w:themeColor="text1"/>
        </w:rPr>
        <w:t xml:space="preserve"> subject property’s fair cash value was $28,100 </w:t>
      </w:r>
      <w:r w:rsidRPr="00730DA5">
        <w:rPr>
          <w:color w:val="000000" w:themeColor="text1"/>
        </w:rPr>
        <w:t xml:space="preserve">for fiscal year </w:t>
      </w:r>
      <w:r w:rsidRPr="00730DA5">
        <w:rPr>
          <w:color w:val="000000" w:themeColor="text1"/>
        </w:rPr>
        <w:lastRenderedPageBreak/>
        <w:t>201</w:t>
      </w:r>
      <w:r w:rsidR="00E019D0" w:rsidRPr="00730DA5">
        <w:rPr>
          <w:color w:val="000000" w:themeColor="text1"/>
        </w:rPr>
        <w:t>6</w:t>
      </w:r>
      <w:r w:rsidR="005A462D" w:rsidRPr="00730DA5">
        <w:rPr>
          <w:color w:val="000000" w:themeColor="text1"/>
        </w:rPr>
        <w:t>.</w:t>
      </w:r>
      <w:r w:rsidRPr="00730DA5">
        <w:rPr>
          <w:color w:val="000000" w:themeColor="text1"/>
        </w:rPr>
        <w:t xml:space="preserve"> Accordingly, the Presiding Commissioner decided this appeal for the appellant </w:t>
      </w:r>
      <w:r w:rsidR="00E019D0" w:rsidRPr="00730DA5">
        <w:rPr>
          <w:color w:val="000000" w:themeColor="text1"/>
        </w:rPr>
        <w:t xml:space="preserve">and </w:t>
      </w:r>
      <w:r w:rsidRPr="00730DA5">
        <w:rPr>
          <w:color w:val="000000" w:themeColor="text1"/>
        </w:rPr>
        <w:t xml:space="preserve">granted </w:t>
      </w:r>
      <w:r w:rsidR="00E019D0" w:rsidRPr="00730DA5">
        <w:rPr>
          <w:color w:val="000000" w:themeColor="text1"/>
        </w:rPr>
        <w:t xml:space="preserve">an </w:t>
      </w:r>
      <w:r w:rsidRPr="00730DA5">
        <w:rPr>
          <w:color w:val="000000" w:themeColor="text1"/>
        </w:rPr>
        <w:t>abatement in the amount of $</w:t>
      </w:r>
      <w:r w:rsidR="00E019D0" w:rsidRPr="00730DA5">
        <w:rPr>
          <w:color w:val="000000" w:themeColor="text1"/>
        </w:rPr>
        <w:t>123.06</w:t>
      </w:r>
      <w:r w:rsidRPr="00730DA5">
        <w:rPr>
          <w:color w:val="000000" w:themeColor="text1"/>
        </w:rPr>
        <w:t>.</w:t>
      </w:r>
    </w:p>
    <w:p w14:paraId="13E1EBE0" w14:textId="1656F2A2" w:rsidR="007D2878" w:rsidRPr="00041998" w:rsidRDefault="007D2878" w:rsidP="00076FBF">
      <w:pPr>
        <w:widowControl/>
        <w:autoSpaceDE/>
        <w:autoSpaceDN/>
        <w:adjustRightInd/>
        <w:spacing w:line="48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OPINION</w:t>
      </w:r>
    </w:p>
    <w:p w14:paraId="5D22AEA4" w14:textId="1A0594D1" w:rsidR="007D2878" w:rsidRDefault="007D2878" w:rsidP="007D2878">
      <w:pPr>
        <w:spacing w:line="480" w:lineRule="auto"/>
        <w:ind w:firstLine="720"/>
        <w:jc w:val="both"/>
      </w:pPr>
      <w:r>
        <w:t>The a</w:t>
      </w:r>
      <w:r w:rsidRPr="005A4DB9">
        <w:t xml:space="preserve">ssessors are required to assess real estate at its </w:t>
      </w:r>
      <w:r w:rsidR="00730DA5">
        <w:t>“</w:t>
      </w:r>
      <w:r w:rsidRPr="005A4DB9">
        <w:t>fair cash value.</w:t>
      </w:r>
      <w:r w:rsidR="00730DA5">
        <w:t>”</w:t>
      </w:r>
      <w:r w:rsidRPr="005A4DB9">
        <w:t xml:space="preserve"> G.L. c. 59, § 38.  Fair cash value is defined as the price on which a willing seller and a willing buyer will agree if both of them are fully informed and under no compulsion. </w:t>
      </w:r>
      <w:r w:rsidRPr="005A4DB9">
        <w:rPr>
          <w:b/>
          <w:bCs w:val="0"/>
          <w:i/>
          <w:iCs/>
        </w:rPr>
        <w:t xml:space="preserve">Boston Gas Co. v. Assessors of Boston, </w:t>
      </w:r>
      <w:r w:rsidRPr="005A4DB9">
        <w:t xml:space="preserve">334 Mass. 549, 566 (1956).  </w:t>
      </w:r>
    </w:p>
    <w:p w14:paraId="76A1D9F5" w14:textId="75127E7A" w:rsidR="00730DA5" w:rsidRDefault="007D2878" w:rsidP="005A462D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 xml:space="preserve">Generally, the burden of proof is upon the </w:t>
      </w:r>
      <w:r w:rsidR="00E019D0" w:rsidRPr="00730DA5">
        <w:rPr>
          <w:color w:val="000000" w:themeColor="text1"/>
        </w:rPr>
        <w:t>appellant</w:t>
      </w:r>
      <w:r w:rsidRPr="00730DA5">
        <w:rPr>
          <w:color w:val="000000" w:themeColor="text1"/>
        </w:rPr>
        <w:t xml:space="preserve"> to prove that the subject </w:t>
      </w:r>
      <w:r w:rsidR="00730DA5" w:rsidRPr="00730DA5">
        <w:rPr>
          <w:color w:val="000000" w:themeColor="text1"/>
        </w:rPr>
        <w:t xml:space="preserve">property has a lower value than </w:t>
      </w:r>
      <w:r w:rsidRPr="00730DA5">
        <w:rPr>
          <w:color w:val="000000" w:themeColor="text1"/>
        </w:rPr>
        <w:t>that assessed.</w:t>
      </w:r>
      <w:r w:rsidR="00E019D0" w:rsidRPr="00730DA5">
        <w:rPr>
          <w:color w:val="000000" w:themeColor="text1"/>
        </w:rPr>
        <w:t xml:space="preserve"> </w:t>
      </w:r>
      <w:r w:rsidRPr="00730DA5">
        <w:rPr>
          <w:b/>
          <w:i/>
          <w:color w:val="000000" w:themeColor="text1"/>
        </w:rPr>
        <w:t>Schlaiker v. Assessors of Great Barrington,</w:t>
      </w:r>
      <w:r w:rsidRPr="00730DA5">
        <w:rPr>
          <w:b/>
          <w:color w:val="000000" w:themeColor="text1"/>
        </w:rPr>
        <w:t xml:space="preserve"> </w:t>
      </w:r>
      <w:r w:rsidRPr="00730DA5">
        <w:rPr>
          <w:color w:val="000000" w:themeColor="text1"/>
        </w:rPr>
        <w:t>36</w:t>
      </w:r>
      <w:r w:rsidR="00CD72E0" w:rsidRPr="00730DA5">
        <w:rPr>
          <w:color w:val="000000" w:themeColor="text1"/>
        </w:rPr>
        <w:t>5</w:t>
      </w:r>
      <w:r w:rsidRPr="00730DA5">
        <w:rPr>
          <w:color w:val="000000" w:themeColor="text1"/>
        </w:rPr>
        <w:t>  Mass. 243, 245 (1974)</w:t>
      </w:r>
      <w:r w:rsidR="00730DA5" w:rsidRPr="00730DA5">
        <w:rPr>
          <w:color w:val="000000" w:themeColor="text1"/>
        </w:rPr>
        <w:t xml:space="preserve"> </w:t>
      </w:r>
      <w:r w:rsidRPr="00730DA5">
        <w:rPr>
          <w:color w:val="000000" w:themeColor="text1"/>
        </w:rPr>
        <w:t xml:space="preserve">(citing </w:t>
      </w:r>
      <w:r w:rsidRPr="00730DA5">
        <w:rPr>
          <w:b/>
          <w:i/>
          <w:color w:val="000000" w:themeColor="text1"/>
        </w:rPr>
        <w:t>Judson Freight Forwarding Co. v. Commonwealth</w:t>
      </w:r>
      <w:r w:rsidRPr="00730DA5">
        <w:rPr>
          <w:color w:val="000000" w:themeColor="text1"/>
        </w:rPr>
        <w:t xml:space="preserve">, 242 Mass. 47, 55 (1922)). </w:t>
      </w:r>
      <w:r w:rsidR="00E019D0" w:rsidRPr="00730DA5">
        <w:rPr>
          <w:color w:val="000000" w:themeColor="text1"/>
        </w:rPr>
        <w:t>An</w:t>
      </w:r>
      <w:r w:rsidRPr="00730DA5">
        <w:rPr>
          <w:color w:val="000000" w:themeColor="text1"/>
        </w:rPr>
        <w:t xml:space="preserve"> assessment is presumed valid until </w:t>
      </w:r>
      <w:r w:rsidR="00E019D0" w:rsidRPr="00730DA5">
        <w:rPr>
          <w:color w:val="000000" w:themeColor="text1"/>
        </w:rPr>
        <w:t>a</w:t>
      </w:r>
      <w:r w:rsidRPr="00730DA5">
        <w:rPr>
          <w:color w:val="000000" w:themeColor="text1"/>
        </w:rPr>
        <w:t xml:space="preserve"> taxpayer sustains his burden of proving otherwise. </w:t>
      </w:r>
      <w:r w:rsidRPr="00730DA5">
        <w:rPr>
          <w:b/>
          <w:i/>
          <w:color w:val="000000" w:themeColor="text1"/>
        </w:rPr>
        <w:t>General Electric Co. v. Assessors of Lynn</w:t>
      </w:r>
      <w:r w:rsidRPr="00730DA5">
        <w:rPr>
          <w:color w:val="000000" w:themeColor="text1"/>
        </w:rPr>
        <w:t>, 393 Mass. 591, 598 (1984) (</w:t>
      </w:r>
      <w:r w:rsidR="00E019D0" w:rsidRPr="00730DA5">
        <w:rPr>
          <w:color w:val="000000" w:themeColor="text1"/>
        </w:rPr>
        <w:t>citing</w:t>
      </w:r>
      <w:r w:rsidRPr="00730DA5">
        <w:rPr>
          <w:i/>
          <w:color w:val="000000" w:themeColor="text1"/>
        </w:rPr>
        <w:t xml:space="preserve"> </w:t>
      </w:r>
      <w:r w:rsidRPr="00730DA5">
        <w:rPr>
          <w:b/>
          <w:i/>
          <w:color w:val="000000" w:themeColor="text1"/>
        </w:rPr>
        <w:t>Schlaiker</w:t>
      </w:r>
      <w:r w:rsidRPr="00730DA5">
        <w:rPr>
          <w:color w:val="000000" w:themeColor="text1"/>
        </w:rPr>
        <w:t>, 36</w:t>
      </w:r>
      <w:r w:rsidR="00CD72E0" w:rsidRPr="00730DA5">
        <w:rPr>
          <w:color w:val="000000" w:themeColor="text1"/>
        </w:rPr>
        <w:t>5</w:t>
      </w:r>
      <w:r w:rsidRPr="00730DA5">
        <w:rPr>
          <w:color w:val="000000" w:themeColor="text1"/>
        </w:rPr>
        <w:t xml:space="preserve"> Mass. at 245). If, however, the assessment at issue exceeds the Board's prior determination of the subject property’s fair cash value for either of the two immediately preceding fiscal years, pursuant to G.L.</w:t>
      </w:r>
      <w:r w:rsidR="00076FBF">
        <w:rPr>
          <w:color w:val="000000" w:themeColor="text1"/>
        </w:rPr>
        <w:t> </w:t>
      </w:r>
      <w:r w:rsidRPr="00730DA5">
        <w:rPr>
          <w:color w:val="000000" w:themeColor="text1"/>
        </w:rPr>
        <w:t>c</w:t>
      </w:r>
      <w:r w:rsidRPr="00076FBF">
        <w:rPr>
          <w:i/>
          <w:color w:val="000000" w:themeColor="text1"/>
        </w:rPr>
        <w:t>.</w:t>
      </w:r>
      <w:r w:rsidR="00076FBF">
        <w:rPr>
          <w:i/>
          <w:color w:val="000000" w:themeColor="text1"/>
        </w:rPr>
        <w:t> </w:t>
      </w:r>
      <w:r w:rsidRPr="00730DA5">
        <w:rPr>
          <w:color w:val="000000" w:themeColor="text1"/>
        </w:rPr>
        <w:t xml:space="preserve">58A, § </w:t>
      </w:r>
      <w:r w:rsidRPr="00730DA5">
        <w:rPr>
          <w:bCs w:val="0"/>
          <w:color w:val="000000" w:themeColor="text1"/>
        </w:rPr>
        <w:t>12A</w:t>
      </w:r>
      <w:r w:rsidRPr="00730DA5">
        <w:rPr>
          <w:b/>
          <w:bCs w:val="0"/>
          <w:color w:val="000000" w:themeColor="text1"/>
        </w:rPr>
        <w:t>,</w:t>
      </w:r>
      <w:r w:rsidR="00730DA5" w:rsidRPr="00730DA5">
        <w:rPr>
          <w:color w:val="000000" w:themeColor="text1"/>
        </w:rPr>
        <w:t xml:space="preserve"> “</w:t>
      </w:r>
      <w:r w:rsidRPr="00730DA5">
        <w:rPr>
          <w:color w:val="000000" w:themeColor="text1"/>
        </w:rPr>
        <w:t>the burden shall be upon the [assessors] to prove that the </w:t>
      </w:r>
      <w:r w:rsidR="00730DA5" w:rsidRPr="00730DA5">
        <w:rPr>
          <w:color w:val="000000" w:themeColor="text1"/>
        </w:rPr>
        <w:t xml:space="preserve">assessed value was </w:t>
      </w:r>
      <w:r w:rsidR="00730DA5" w:rsidRPr="00730DA5">
        <w:rPr>
          <w:color w:val="000000" w:themeColor="text1"/>
        </w:rPr>
        <w:lastRenderedPageBreak/>
        <w:t>warranted.”</w:t>
      </w:r>
      <w:r w:rsidRPr="00730DA5">
        <w:rPr>
          <w:color w:val="000000" w:themeColor="text1"/>
        </w:rPr>
        <w:t xml:space="preserve"> </w:t>
      </w:r>
      <w:r w:rsidRPr="00730DA5">
        <w:rPr>
          <w:b/>
          <w:i/>
          <w:color w:val="000000" w:themeColor="text1"/>
        </w:rPr>
        <w:t xml:space="preserve">Finlayson v. Assessors of Billerica, </w:t>
      </w:r>
      <w:r w:rsidRPr="00730DA5">
        <w:rPr>
          <w:color w:val="000000" w:themeColor="text1"/>
        </w:rPr>
        <w:t xml:space="preserve">Mass. ATB Findings of Fact and Reports 2007-531, 538. </w:t>
      </w:r>
    </w:p>
    <w:p w14:paraId="1240B54C" w14:textId="3A3394E6" w:rsidR="00505E6D" w:rsidRPr="00730DA5" w:rsidRDefault="007D2878" w:rsidP="005A462D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 xml:space="preserve">In the present appeal, the appellant submitted into evidence the Board’s </w:t>
      </w:r>
      <w:r w:rsidR="006B178D" w:rsidRPr="00730DA5">
        <w:rPr>
          <w:color w:val="000000" w:themeColor="text1"/>
        </w:rPr>
        <w:t xml:space="preserve">decision relating to </w:t>
      </w:r>
      <w:r w:rsidRPr="00730DA5">
        <w:rPr>
          <w:color w:val="000000" w:themeColor="text1"/>
        </w:rPr>
        <w:t>fiscal year 201</w:t>
      </w:r>
      <w:r w:rsidR="00E019D0" w:rsidRPr="00730DA5">
        <w:rPr>
          <w:color w:val="000000" w:themeColor="text1"/>
        </w:rPr>
        <w:t>1, which the appellant argued was dispositive for fiscal year 2016.</w:t>
      </w:r>
      <w:r w:rsidR="006B178D" w:rsidRPr="00730DA5">
        <w:rPr>
          <w:color w:val="000000" w:themeColor="text1"/>
        </w:rPr>
        <w:t xml:space="preserve"> </w:t>
      </w:r>
      <w:r w:rsidR="005A462D" w:rsidRPr="00730DA5">
        <w:rPr>
          <w:color w:val="000000" w:themeColor="text1"/>
        </w:rPr>
        <w:t xml:space="preserve">The fiscal year at issue in this appeal is five fiscal years remote from the Board’s earlier decision. Consequently, G.L. c. 58A, § </w:t>
      </w:r>
      <w:r w:rsidR="005A462D" w:rsidRPr="00730DA5">
        <w:rPr>
          <w:bCs w:val="0"/>
          <w:color w:val="000000" w:themeColor="text1"/>
        </w:rPr>
        <w:t>12A</w:t>
      </w:r>
      <w:r w:rsidR="005A462D" w:rsidRPr="00730DA5">
        <w:rPr>
          <w:color w:val="000000" w:themeColor="text1"/>
        </w:rPr>
        <w:t xml:space="preserve"> does not apply to this appeal</w:t>
      </w:r>
      <w:r w:rsidR="0063503D" w:rsidRPr="00730DA5">
        <w:rPr>
          <w:color w:val="000000" w:themeColor="text1"/>
        </w:rPr>
        <w:t xml:space="preserve"> and there is no shift in burden</w:t>
      </w:r>
      <w:r w:rsidR="005A462D" w:rsidRPr="00730DA5">
        <w:rPr>
          <w:color w:val="000000" w:themeColor="text1"/>
        </w:rPr>
        <w:t>. Further, th</w:t>
      </w:r>
      <w:r w:rsidR="0063503D" w:rsidRPr="00730DA5">
        <w:rPr>
          <w:color w:val="000000" w:themeColor="text1"/>
        </w:rPr>
        <w:t>e</w:t>
      </w:r>
      <w:r w:rsidR="005A462D" w:rsidRPr="00730DA5">
        <w:rPr>
          <w:color w:val="000000" w:themeColor="text1"/>
        </w:rPr>
        <w:t xml:space="preserve"> five</w:t>
      </w:r>
      <w:r w:rsidR="00505E6D" w:rsidRPr="00730DA5">
        <w:rPr>
          <w:color w:val="000000" w:themeColor="text1"/>
        </w:rPr>
        <w:t>-</w:t>
      </w:r>
      <w:r w:rsidR="005A462D" w:rsidRPr="00730DA5">
        <w:rPr>
          <w:color w:val="000000" w:themeColor="text1"/>
        </w:rPr>
        <w:t xml:space="preserve">year </w:t>
      </w:r>
      <w:r w:rsidR="0063503D" w:rsidRPr="00730DA5">
        <w:rPr>
          <w:color w:val="000000" w:themeColor="text1"/>
        </w:rPr>
        <w:t xml:space="preserve">time </w:t>
      </w:r>
      <w:r w:rsidR="005A462D" w:rsidRPr="00730DA5">
        <w:rPr>
          <w:color w:val="000000" w:themeColor="text1"/>
        </w:rPr>
        <w:t xml:space="preserve">lapse renders the Board’s earlier determination of </w:t>
      </w:r>
      <w:r w:rsidR="00505E6D" w:rsidRPr="00730DA5">
        <w:rPr>
          <w:color w:val="000000" w:themeColor="text1"/>
        </w:rPr>
        <w:t>little or no probative value for fiscal year 2016.</w:t>
      </w:r>
    </w:p>
    <w:p w14:paraId="5777DC0E" w14:textId="618B109E" w:rsidR="005A462D" w:rsidRPr="00730DA5" w:rsidRDefault="005A462D" w:rsidP="005A462D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 xml:space="preserve">General Laws </w:t>
      </w:r>
      <w:r w:rsidR="00CD72E0" w:rsidRPr="00730DA5">
        <w:rPr>
          <w:color w:val="000000" w:themeColor="text1"/>
        </w:rPr>
        <w:t>c</w:t>
      </w:r>
      <w:r w:rsidRPr="00730DA5">
        <w:rPr>
          <w:color w:val="000000" w:themeColor="text1"/>
        </w:rPr>
        <w:t>hapter 58A, § 12B provides</w:t>
      </w:r>
      <w:r w:rsidR="0063503D" w:rsidRPr="00730DA5">
        <w:rPr>
          <w:color w:val="000000" w:themeColor="text1"/>
        </w:rPr>
        <w:t>,</w:t>
      </w:r>
      <w:r w:rsidRPr="00730DA5">
        <w:rPr>
          <w:color w:val="000000" w:themeColor="text1"/>
        </w:rPr>
        <w:t xml:space="preserve"> in pertinent part</w:t>
      </w:r>
      <w:r w:rsidR="0063503D" w:rsidRPr="00730DA5">
        <w:rPr>
          <w:color w:val="000000" w:themeColor="text1"/>
        </w:rPr>
        <w:t>,</w:t>
      </w:r>
      <w:r w:rsidRPr="00730DA5">
        <w:rPr>
          <w:color w:val="000000" w:themeColor="text1"/>
        </w:rPr>
        <w:t xml:space="preserve"> that at “any hearing relative to the assessed fair cash valuation . . . of property, evidence as to the fair cash valuation . . . at which assessors have assessed other property of a comparable nature . . . shall be admissible.”  “The introduction of ample and substantial evidence in this regard may provide adequate support for abatement.” </w:t>
      </w:r>
      <w:r w:rsidRPr="00730DA5">
        <w:rPr>
          <w:b/>
          <w:bCs w:val="0"/>
          <w:i/>
          <w:iCs/>
          <w:color w:val="000000" w:themeColor="text1"/>
        </w:rPr>
        <w:t>Chouinard v. Assessors of Natick</w:t>
      </w:r>
      <w:r w:rsidRPr="00730DA5">
        <w:rPr>
          <w:color w:val="000000" w:themeColor="text1"/>
        </w:rPr>
        <w:t xml:space="preserve">, Mass. ATB Findings of Fact and Reports 1998-299, 307-08 (citing </w:t>
      </w:r>
      <w:r w:rsidRPr="00730DA5">
        <w:rPr>
          <w:b/>
          <w:bCs w:val="0"/>
          <w:i/>
          <w:iCs/>
          <w:color w:val="000000" w:themeColor="text1"/>
        </w:rPr>
        <w:t>Garvey v. Assessors of West Newbury</w:t>
      </w:r>
      <w:r w:rsidRPr="00730DA5">
        <w:rPr>
          <w:color w:val="000000" w:themeColor="text1"/>
        </w:rPr>
        <w:t xml:space="preserve">, Mass. ATB Findings of Fact and Reports 1995-129, 135-36; </w:t>
      </w:r>
      <w:r w:rsidRPr="00730DA5">
        <w:rPr>
          <w:b/>
          <w:bCs w:val="0"/>
          <w:i/>
          <w:iCs/>
          <w:color w:val="000000" w:themeColor="text1"/>
        </w:rPr>
        <w:t>Swartz v. Assessors of Tisbury</w:t>
      </w:r>
      <w:r w:rsidRPr="00730DA5">
        <w:rPr>
          <w:color w:val="000000" w:themeColor="text1"/>
        </w:rPr>
        <w:t xml:space="preserve">, Mass. ATB Findings of Fact and Reports 1993-271, 279-80); </w:t>
      </w:r>
      <w:r w:rsidRPr="00730DA5">
        <w:rPr>
          <w:i/>
          <w:iCs/>
          <w:color w:val="000000" w:themeColor="text1"/>
        </w:rPr>
        <w:t>see</w:t>
      </w:r>
      <w:r w:rsidRPr="00730DA5">
        <w:rPr>
          <w:color w:val="000000" w:themeColor="text1"/>
        </w:rPr>
        <w:t xml:space="preserve"> </w:t>
      </w:r>
      <w:r w:rsidRPr="00730DA5">
        <w:rPr>
          <w:b/>
          <w:bCs w:val="0"/>
          <w:i/>
          <w:iCs/>
          <w:color w:val="000000" w:themeColor="text1"/>
        </w:rPr>
        <w:t>Turner v. Assessors of Natick</w:t>
      </w:r>
      <w:r w:rsidRPr="00730DA5">
        <w:rPr>
          <w:color w:val="000000" w:themeColor="text1"/>
        </w:rPr>
        <w:t xml:space="preserve">, Mass. ATB </w:t>
      </w:r>
      <w:r w:rsidRPr="00730DA5">
        <w:rPr>
          <w:color w:val="000000" w:themeColor="text1"/>
        </w:rPr>
        <w:lastRenderedPageBreak/>
        <w:t xml:space="preserve">Findings of Fact and Reports 1998-309, 317-18. The assessments in a comparable-assessment analysis, like the sale prices in a comparable-sales analysis, must also be adjusted to account for differences with the subject property. </w:t>
      </w:r>
      <w:r w:rsidRPr="00730DA5">
        <w:rPr>
          <w:i/>
          <w:iCs/>
          <w:color w:val="000000" w:themeColor="text1"/>
        </w:rPr>
        <w:t>See </w:t>
      </w:r>
      <w:r w:rsidRPr="00730DA5">
        <w:rPr>
          <w:b/>
          <w:bCs w:val="0"/>
          <w:i/>
          <w:iCs/>
          <w:color w:val="000000" w:themeColor="text1"/>
        </w:rPr>
        <w:t>Heitin v. Assessors of Sharon</w:t>
      </w:r>
      <w:r w:rsidRPr="00730DA5">
        <w:rPr>
          <w:color w:val="000000" w:themeColor="text1"/>
        </w:rPr>
        <w:t xml:space="preserve">, Mass. ATB Findings of Fact and Reports 2002-323, 334.  </w:t>
      </w:r>
    </w:p>
    <w:p w14:paraId="1FE492A5" w14:textId="244AD536" w:rsidR="008178AD" w:rsidRDefault="00505E6D" w:rsidP="008178AD">
      <w:pPr>
        <w:spacing w:line="480" w:lineRule="auto"/>
        <w:jc w:val="both"/>
        <w:rPr>
          <w:color w:val="000000" w:themeColor="text1"/>
        </w:rPr>
      </w:pPr>
      <w:r w:rsidRPr="00730DA5">
        <w:rPr>
          <w:color w:val="000000" w:themeColor="text1"/>
        </w:rPr>
        <w:tab/>
        <w:t xml:space="preserve">In the present appeal, not only did the appellant fail to establish the basic comparability of the “sheds” he presented for consideration, </w:t>
      </w:r>
      <w:r w:rsidR="00B15374" w:rsidRPr="00730DA5">
        <w:rPr>
          <w:color w:val="000000" w:themeColor="text1"/>
        </w:rPr>
        <w:t>but he also</w:t>
      </w:r>
      <w:r w:rsidRPr="00730DA5">
        <w:rPr>
          <w:color w:val="000000" w:themeColor="text1"/>
        </w:rPr>
        <w:t xml:space="preserve"> failed to make adjustments for differences with the subject property.</w:t>
      </w:r>
      <w:r w:rsidRPr="00730DA5">
        <w:rPr>
          <w:color w:val="000000" w:themeColor="text1"/>
        </w:rPr>
        <w:tab/>
      </w:r>
    </w:p>
    <w:p w14:paraId="78736059" w14:textId="3A782284" w:rsidR="007D2878" w:rsidRDefault="00CD72E0" w:rsidP="004049C0">
      <w:pPr>
        <w:spacing w:line="480" w:lineRule="auto"/>
        <w:ind w:firstLine="720"/>
        <w:jc w:val="both"/>
        <w:rPr>
          <w:color w:val="000000" w:themeColor="text1"/>
        </w:rPr>
      </w:pPr>
      <w:r w:rsidRPr="00730DA5">
        <w:rPr>
          <w:color w:val="000000" w:themeColor="text1"/>
        </w:rPr>
        <w:t>However,</w:t>
      </w:r>
      <w:r w:rsidR="00B15374" w:rsidRPr="00730DA5">
        <w:rPr>
          <w:color w:val="000000" w:themeColor="text1"/>
        </w:rPr>
        <w:t xml:space="preserve"> the Presiding Commissioner gave substantial weight to the appellant’s argument that the $6,000 value attributed to the well and septic should not have been included </w:t>
      </w:r>
      <w:r w:rsidRPr="00730DA5">
        <w:rPr>
          <w:color w:val="000000" w:themeColor="text1"/>
        </w:rPr>
        <w:t xml:space="preserve">in </w:t>
      </w:r>
      <w:r w:rsidR="00B15374" w:rsidRPr="00730DA5">
        <w:rPr>
          <w:color w:val="000000" w:themeColor="text1"/>
        </w:rPr>
        <w:t>the subject property’s valuation for fiscal year 2016, particularly in light of the assessors’ having not contested the argument.</w:t>
      </w:r>
      <w:r w:rsidR="008178AD">
        <w:rPr>
          <w:color w:val="000000" w:themeColor="text1"/>
        </w:rPr>
        <w:t xml:space="preserve"> </w:t>
      </w:r>
      <w:r w:rsidR="007D2878" w:rsidRPr="00730DA5">
        <w:rPr>
          <w:color w:val="000000" w:themeColor="text1"/>
        </w:rPr>
        <w:t>The Presiding Commissioner, therefore, decided this appeal for the appellant</w:t>
      </w:r>
      <w:r w:rsidR="008874F9" w:rsidRPr="00730DA5">
        <w:rPr>
          <w:color w:val="000000" w:themeColor="text1"/>
        </w:rPr>
        <w:t>,</w:t>
      </w:r>
      <w:r w:rsidR="007D2878" w:rsidRPr="00730DA5">
        <w:rPr>
          <w:color w:val="000000" w:themeColor="text1"/>
        </w:rPr>
        <w:t xml:space="preserve"> reduced the subject property's assessed value from $</w:t>
      </w:r>
      <w:r w:rsidR="006B178D" w:rsidRPr="00730DA5">
        <w:rPr>
          <w:color w:val="000000" w:themeColor="text1"/>
        </w:rPr>
        <w:t>3</w:t>
      </w:r>
      <w:r w:rsidR="007D2878" w:rsidRPr="00730DA5">
        <w:rPr>
          <w:color w:val="000000" w:themeColor="text1"/>
        </w:rPr>
        <w:t>4</w:t>
      </w:r>
      <w:r w:rsidR="006B178D" w:rsidRPr="00730DA5">
        <w:rPr>
          <w:color w:val="000000" w:themeColor="text1"/>
        </w:rPr>
        <w:t>,</w:t>
      </w:r>
      <w:r w:rsidR="007D2878" w:rsidRPr="00730DA5">
        <w:rPr>
          <w:color w:val="000000" w:themeColor="text1"/>
        </w:rPr>
        <w:t>100 to $</w:t>
      </w:r>
      <w:r w:rsidR="006B178D" w:rsidRPr="00730DA5">
        <w:rPr>
          <w:color w:val="000000" w:themeColor="text1"/>
        </w:rPr>
        <w:t>28,100</w:t>
      </w:r>
      <w:r w:rsidR="008874F9" w:rsidRPr="00730DA5">
        <w:rPr>
          <w:color w:val="000000" w:themeColor="text1"/>
        </w:rPr>
        <w:t>,</w:t>
      </w:r>
      <w:r w:rsidR="007D2878" w:rsidRPr="00730DA5">
        <w:rPr>
          <w:color w:val="000000" w:themeColor="text1"/>
        </w:rPr>
        <w:t xml:space="preserve"> and granted </w:t>
      </w:r>
      <w:r w:rsidR="0013606F" w:rsidRPr="00730DA5">
        <w:rPr>
          <w:color w:val="000000" w:themeColor="text1"/>
        </w:rPr>
        <w:t xml:space="preserve">an </w:t>
      </w:r>
      <w:r w:rsidR="007D2878" w:rsidRPr="00730DA5">
        <w:rPr>
          <w:color w:val="000000" w:themeColor="text1"/>
        </w:rPr>
        <w:t>abatement in the amount of $</w:t>
      </w:r>
      <w:r w:rsidR="006B178D" w:rsidRPr="00730DA5">
        <w:rPr>
          <w:color w:val="000000" w:themeColor="text1"/>
        </w:rPr>
        <w:t>123.06</w:t>
      </w:r>
      <w:r w:rsidR="007D2878" w:rsidRPr="00730DA5">
        <w:rPr>
          <w:color w:val="000000" w:themeColor="text1"/>
        </w:rPr>
        <w:t>.</w:t>
      </w:r>
    </w:p>
    <w:p w14:paraId="37584822" w14:textId="77777777" w:rsidR="004049C0" w:rsidRPr="00730DA5" w:rsidRDefault="004049C0" w:rsidP="004049C0">
      <w:pPr>
        <w:ind w:firstLine="720"/>
        <w:jc w:val="both"/>
        <w:rPr>
          <w:color w:val="000000" w:themeColor="text1"/>
        </w:rPr>
      </w:pPr>
    </w:p>
    <w:p w14:paraId="03945776" w14:textId="6D11E144" w:rsidR="008178AD" w:rsidRDefault="007D2878" w:rsidP="004049C0">
      <w:pPr>
        <w:jc w:val="both"/>
        <w:rPr>
          <w:b/>
          <w:bCs w:val="0"/>
        </w:rPr>
      </w:pPr>
      <w:r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</w:r>
      <w:r w:rsidRPr="00A150AF">
        <w:rPr>
          <w:b/>
        </w:rPr>
        <w:tab/>
      </w:r>
      <w:r w:rsidR="004049C0">
        <w:rPr>
          <w:b/>
        </w:rPr>
        <w:t>    </w:t>
      </w:r>
      <w:r w:rsidRPr="00A150AF">
        <w:rPr>
          <w:b/>
        </w:rPr>
        <w:t xml:space="preserve">THE </w:t>
      </w:r>
      <w:r w:rsidRPr="00A150AF">
        <w:rPr>
          <w:b/>
          <w:bCs w:val="0"/>
        </w:rPr>
        <w:t>APPELLATE TAX BOARD</w:t>
      </w:r>
    </w:p>
    <w:p w14:paraId="5F05677A" w14:textId="77777777" w:rsidR="008178AD" w:rsidRDefault="008178AD" w:rsidP="008178AD">
      <w:pPr>
        <w:ind w:left="2880" w:firstLine="720"/>
        <w:jc w:val="both"/>
        <w:rPr>
          <w:b/>
          <w:bCs w:val="0"/>
        </w:rPr>
      </w:pPr>
    </w:p>
    <w:p w14:paraId="739FBB78" w14:textId="77777777" w:rsidR="00730DA5" w:rsidRDefault="00730DA5" w:rsidP="007D2878">
      <w:pPr>
        <w:jc w:val="both"/>
        <w:rPr>
          <w:b/>
          <w:bCs w:val="0"/>
        </w:rPr>
      </w:pPr>
    </w:p>
    <w:p w14:paraId="6D8AF51D" w14:textId="2769DE03" w:rsidR="007D2878" w:rsidRPr="00A150AF" w:rsidRDefault="007D2878" w:rsidP="007D2878">
      <w:pPr>
        <w:ind w:right="-180"/>
        <w:jc w:val="both"/>
        <w:rPr>
          <w:b/>
          <w:bCs w:val="0"/>
        </w:rPr>
      </w:pP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>
        <w:rPr>
          <w:b/>
          <w:bCs w:val="0"/>
        </w:rPr>
        <w:t> </w:t>
      </w:r>
      <w:r w:rsidR="004049C0">
        <w:rPr>
          <w:b/>
          <w:bCs w:val="0"/>
        </w:rPr>
        <w:t>   </w:t>
      </w:r>
      <w:r w:rsidRPr="00A150AF">
        <w:rPr>
          <w:b/>
          <w:bCs w:val="0"/>
        </w:rPr>
        <w:t>By</w:t>
      </w:r>
      <w:r>
        <w:rPr>
          <w:b/>
          <w:bCs w:val="0"/>
        </w:rPr>
        <w:t>:</w:t>
      </w:r>
      <w:r w:rsidRPr="00A150AF">
        <w:rPr>
          <w:b/>
          <w:bCs w:val="0"/>
        </w:rPr>
        <w:t xml:space="preserve"> __</w:t>
      </w:r>
      <w:r w:rsidR="00076FBF">
        <w:rPr>
          <w:b/>
          <w:bCs w:val="0"/>
        </w:rPr>
        <w:t>______________________________</w:t>
      </w:r>
      <w:r w:rsidR="00635B3C">
        <w:rPr>
          <w:b/>
          <w:bCs w:val="0"/>
        </w:rPr>
        <w:t>_</w:t>
      </w:r>
    </w:p>
    <w:p w14:paraId="435F068C" w14:textId="61FBDE2B" w:rsidR="008178AD" w:rsidRDefault="007D2878" w:rsidP="00076FBF">
      <w:pPr>
        <w:ind w:right="-180"/>
        <w:jc w:val="both"/>
        <w:rPr>
          <w:b/>
          <w:bCs w:val="0"/>
        </w:rPr>
      </w:pP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Pr="00A150AF">
        <w:rPr>
          <w:b/>
          <w:bCs w:val="0"/>
        </w:rPr>
        <w:tab/>
      </w:r>
      <w:r w:rsidR="008874F9">
        <w:rPr>
          <w:b/>
          <w:bCs w:val="0"/>
        </w:rPr>
        <w:tab/>
      </w:r>
      <w:r w:rsidR="004049C0">
        <w:rPr>
          <w:b/>
          <w:bCs w:val="0"/>
        </w:rPr>
        <w:t>   </w:t>
      </w:r>
      <w:r w:rsidR="008874F9">
        <w:rPr>
          <w:b/>
          <w:bCs w:val="0"/>
        </w:rPr>
        <w:t>Thomas W. Hammond, Jr., Chairman</w:t>
      </w:r>
    </w:p>
    <w:p w14:paraId="258CC6AC" w14:textId="0969D1EA" w:rsidR="008178AD" w:rsidRDefault="0042357F" w:rsidP="008178AD">
      <w:pPr>
        <w:ind w:right="-180"/>
        <w:jc w:val="both"/>
        <w:rPr>
          <w:b/>
          <w:bCs w:val="0"/>
        </w:rPr>
      </w:pPr>
      <w:r w:rsidRPr="00A150AF">
        <w:rPr>
          <w:b/>
          <w:bCs w:val="0"/>
        </w:rPr>
        <w:t>A true copy,</w:t>
      </w:r>
      <w:r w:rsidR="004049C0">
        <w:rPr>
          <w:b/>
          <w:bCs w:val="0"/>
        </w:rPr>
        <w:t xml:space="preserve"> </w:t>
      </w:r>
    </w:p>
    <w:p w14:paraId="42655313" w14:textId="438C811C" w:rsidR="00076FBF" w:rsidRDefault="0042357F" w:rsidP="008178AD">
      <w:pPr>
        <w:ind w:right="-187"/>
        <w:jc w:val="both"/>
      </w:pPr>
      <w:r w:rsidRPr="00A150AF">
        <w:rPr>
          <w:b/>
          <w:bCs w:val="0"/>
        </w:rPr>
        <w:t>Attest: ________</w:t>
      </w:r>
      <w:r>
        <w:rPr>
          <w:b/>
          <w:bCs w:val="0"/>
        </w:rPr>
        <w:t>___</w:t>
      </w:r>
      <w:r w:rsidRPr="00A150AF">
        <w:rPr>
          <w:b/>
          <w:bCs w:val="0"/>
        </w:rPr>
        <w:t>__</w:t>
      </w:r>
      <w:r>
        <w:rPr>
          <w:b/>
          <w:bCs w:val="0"/>
        </w:rPr>
        <w:t>_____</w:t>
      </w:r>
      <w:r w:rsidR="008178AD">
        <w:rPr>
          <w:b/>
          <w:bCs w:val="0"/>
        </w:rPr>
        <w:t>_____</w:t>
      </w:r>
      <w:r w:rsidRPr="00252E95">
        <w:t xml:space="preserve"> </w:t>
      </w:r>
    </w:p>
    <w:p w14:paraId="3A20C460" w14:textId="0041EFC2" w:rsidR="008178AD" w:rsidRDefault="0042357F" w:rsidP="008178AD">
      <w:pPr>
        <w:ind w:right="-187"/>
        <w:jc w:val="both"/>
        <w:rPr>
          <w:b/>
          <w:bCs w:val="0"/>
        </w:rPr>
      </w:pPr>
      <w:r w:rsidRPr="00252E95">
        <w:t xml:space="preserve">  </w:t>
      </w:r>
      <w:r>
        <w:t xml:space="preserve">      </w:t>
      </w:r>
      <w:r w:rsidR="008178AD">
        <w:t>   </w:t>
      </w:r>
      <w:r w:rsidRPr="00AE0542">
        <w:rPr>
          <w:b/>
        </w:rPr>
        <w:t>Clerk of the Board</w:t>
      </w:r>
    </w:p>
    <w:sectPr w:rsidR="008178AD" w:rsidSect="00004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720" w:footer="432" w:gutter="0"/>
      <w:pgNumType w:start="7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CFB64" w14:textId="77777777" w:rsidR="0063503D" w:rsidRDefault="0063503D" w:rsidP="007D2878">
      <w:r>
        <w:separator/>
      </w:r>
    </w:p>
  </w:endnote>
  <w:endnote w:type="continuationSeparator" w:id="0">
    <w:p w14:paraId="00C32A32" w14:textId="77777777" w:rsidR="0063503D" w:rsidRDefault="0063503D" w:rsidP="007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DCA1C" w14:textId="77777777" w:rsidR="0000443C" w:rsidRDefault="000044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071A0" w14:textId="2FB48B2E" w:rsidR="0063503D" w:rsidRPr="004049C0" w:rsidRDefault="004049C0">
    <w:pPr>
      <w:pStyle w:val="Footer"/>
      <w:jc w:val="center"/>
      <w:rPr>
        <w:b/>
      </w:rPr>
    </w:pPr>
    <w:r w:rsidRPr="004049C0">
      <w:rPr>
        <w:b/>
      </w:rPr>
      <w:t>ATB 2018</w:t>
    </w:r>
    <w:r>
      <w:rPr>
        <w:b/>
      </w:rPr>
      <w:t>-</w:t>
    </w:r>
    <w:r w:rsidR="0063503D" w:rsidRPr="004049C0">
      <w:rPr>
        <w:b/>
      </w:rPr>
      <w:fldChar w:fldCharType="begin"/>
    </w:r>
    <w:r w:rsidR="0063503D" w:rsidRPr="004049C0">
      <w:rPr>
        <w:b/>
      </w:rPr>
      <w:instrText xml:space="preserve"> PAGE   \* MERGEFORMAT </w:instrText>
    </w:r>
    <w:r w:rsidR="0063503D" w:rsidRPr="004049C0">
      <w:rPr>
        <w:b/>
      </w:rPr>
      <w:fldChar w:fldCharType="separate"/>
    </w:r>
    <w:r w:rsidR="00073512">
      <w:rPr>
        <w:b/>
        <w:noProof/>
      </w:rPr>
      <w:t>703</w:t>
    </w:r>
    <w:r w:rsidR="0063503D" w:rsidRPr="004049C0">
      <w:rPr>
        <w:b/>
        <w:noProof/>
      </w:rPr>
      <w:fldChar w:fldCharType="end"/>
    </w:r>
  </w:p>
  <w:p w14:paraId="5BD3EDB3" w14:textId="77777777" w:rsidR="0063503D" w:rsidRDefault="006350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0E657" w14:textId="77777777" w:rsidR="0000443C" w:rsidRDefault="00004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FF815" w14:textId="77777777" w:rsidR="0063503D" w:rsidRDefault="0063503D" w:rsidP="007D2878">
      <w:r>
        <w:separator/>
      </w:r>
    </w:p>
  </w:footnote>
  <w:footnote w:type="continuationSeparator" w:id="0">
    <w:p w14:paraId="04F034A1" w14:textId="77777777" w:rsidR="0063503D" w:rsidRDefault="0063503D" w:rsidP="007D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12DD" w14:textId="77777777" w:rsidR="0000443C" w:rsidRDefault="000044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7F263" w14:textId="77777777" w:rsidR="0000443C" w:rsidRDefault="000044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8833F" w14:textId="77777777" w:rsidR="0000443C" w:rsidRDefault="000044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304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78"/>
    <w:rsid w:val="0000443C"/>
    <w:rsid w:val="00054A02"/>
    <w:rsid w:val="00073512"/>
    <w:rsid w:val="00076FBF"/>
    <w:rsid w:val="000E62E9"/>
    <w:rsid w:val="001345F5"/>
    <w:rsid w:val="0013606F"/>
    <w:rsid w:val="00177AE6"/>
    <w:rsid w:val="001D72CC"/>
    <w:rsid w:val="00217F41"/>
    <w:rsid w:val="002944FB"/>
    <w:rsid w:val="0029481B"/>
    <w:rsid w:val="002B05D3"/>
    <w:rsid w:val="00317552"/>
    <w:rsid w:val="00330121"/>
    <w:rsid w:val="00346E41"/>
    <w:rsid w:val="003960A7"/>
    <w:rsid w:val="003D4167"/>
    <w:rsid w:val="004049C0"/>
    <w:rsid w:val="0042357F"/>
    <w:rsid w:val="00482225"/>
    <w:rsid w:val="004A2642"/>
    <w:rsid w:val="00505E6D"/>
    <w:rsid w:val="005814F9"/>
    <w:rsid w:val="005931B0"/>
    <w:rsid w:val="005A462D"/>
    <w:rsid w:val="0063503D"/>
    <w:rsid w:val="00635B3C"/>
    <w:rsid w:val="00663C54"/>
    <w:rsid w:val="006B178D"/>
    <w:rsid w:val="00730DA5"/>
    <w:rsid w:val="007D2878"/>
    <w:rsid w:val="007F36E2"/>
    <w:rsid w:val="0080715D"/>
    <w:rsid w:val="008178AD"/>
    <w:rsid w:val="0082722D"/>
    <w:rsid w:val="008874F9"/>
    <w:rsid w:val="0089580D"/>
    <w:rsid w:val="008B0350"/>
    <w:rsid w:val="00906FAD"/>
    <w:rsid w:val="0092473C"/>
    <w:rsid w:val="0098087E"/>
    <w:rsid w:val="009D09E7"/>
    <w:rsid w:val="00A06307"/>
    <w:rsid w:val="00A741D1"/>
    <w:rsid w:val="00AD2F96"/>
    <w:rsid w:val="00B15374"/>
    <w:rsid w:val="00BC080A"/>
    <w:rsid w:val="00CC0EF4"/>
    <w:rsid w:val="00CD72E0"/>
    <w:rsid w:val="00D5179D"/>
    <w:rsid w:val="00DF63DF"/>
    <w:rsid w:val="00E019D0"/>
    <w:rsid w:val="00E16AA4"/>
    <w:rsid w:val="00E34C31"/>
    <w:rsid w:val="00EC3BAD"/>
    <w:rsid w:val="00EC3E53"/>
    <w:rsid w:val="00F02485"/>
    <w:rsid w:val="00F84BCF"/>
    <w:rsid w:val="00F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44DA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D2878"/>
    <w:pPr>
      <w:widowControl/>
      <w:adjustRightInd/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28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D287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D2878"/>
    <w:pPr>
      <w:widowControl/>
      <w:autoSpaceDE/>
      <w:autoSpaceDN/>
      <w:adjustRightInd/>
      <w:spacing w:line="480" w:lineRule="auto"/>
      <w:jc w:val="both"/>
    </w:pPr>
    <w:rPr>
      <w:rFonts w:ascii="Times New Roman" w:hAnsi="Times New Roman" w:cs="Times New Roman"/>
      <w:bCs w:val="0"/>
      <w:szCs w:val="20"/>
    </w:rPr>
  </w:style>
  <w:style w:type="character" w:customStyle="1" w:styleId="BodyTextChar">
    <w:name w:val="Body Text Char"/>
    <w:link w:val="BodyText"/>
    <w:uiPriority w:val="99"/>
    <w:rsid w:val="007D2878"/>
    <w:rPr>
      <w:rFonts w:ascii="Times New Roman" w:eastAsia="Times New Roman" w:hAnsi="Times New Roman" w:cs="Times New Roman"/>
      <w:sz w:val="24"/>
      <w:szCs w:val="20"/>
    </w:rPr>
  </w:style>
  <w:style w:type="character" w:customStyle="1" w:styleId="term1">
    <w:name w:val="term1"/>
    <w:rsid w:val="007D2878"/>
    <w:rPr>
      <w:b/>
    </w:rPr>
  </w:style>
  <w:style w:type="paragraph" w:styleId="Title">
    <w:name w:val="Title"/>
    <w:basedOn w:val="Normal"/>
    <w:link w:val="TitleChar"/>
    <w:uiPriority w:val="99"/>
    <w:qFormat/>
    <w:rsid w:val="007D287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rsid w:val="007D28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878"/>
    <w:rPr>
      <w:rFonts w:ascii="Courier New" w:eastAsia="Times New Roman" w:hAnsi="Courier New" w:cs="Courier New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2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2225"/>
    <w:rPr>
      <w:rFonts w:ascii="Courier New" w:eastAsia="Times New Roman" w:hAnsi="Courier New" w:cs="Courier New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25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D2878"/>
    <w:pPr>
      <w:widowControl/>
      <w:adjustRightInd/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28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D287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D2878"/>
    <w:pPr>
      <w:widowControl/>
      <w:autoSpaceDE/>
      <w:autoSpaceDN/>
      <w:adjustRightInd/>
      <w:spacing w:line="480" w:lineRule="auto"/>
      <w:jc w:val="both"/>
    </w:pPr>
    <w:rPr>
      <w:rFonts w:ascii="Times New Roman" w:hAnsi="Times New Roman" w:cs="Times New Roman"/>
      <w:bCs w:val="0"/>
      <w:szCs w:val="20"/>
    </w:rPr>
  </w:style>
  <w:style w:type="character" w:customStyle="1" w:styleId="BodyTextChar">
    <w:name w:val="Body Text Char"/>
    <w:link w:val="BodyText"/>
    <w:uiPriority w:val="99"/>
    <w:rsid w:val="007D2878"/>
    <w:rPr>
      <w:rFonts w:ascii="Times New Roman" w:eastAsia="Times New Roman" w:hAnsi="Times New Roman" w:cs="Times New Roman"/>
      <w:sz w:val="24"/>
      <w:szCs w:val="20"/>
    </w:rPr>
  </w:style>
  <w:style w:type="character" w:customStyle="1" w:styleId="term1">
    <w:name w:val="term1"/>
    <w:rsid w:val="007D2878"/>
    <w:rPr>
      <w:b/>
    </w:rPr>
  </w:style>
  <w:style w:type="paragraph" w:styleId="Title">
    <w:name w:val="Title"/>
    <w:basedOn w:val="Normal"/>
    <w:link w:val="TitleChar"/>
    <w:uiPriority w:val="99"/>
    <w:qFormat/>
    <w:rsid w:val="007D287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rsid w:val="007D28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878"/>
    <w:rPr>
      <w:rFonts w:ascii="Courier New" w:eastAsia="Times New Roman" w:hAnsi="Courier New" w:cs="Courier New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2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2225"/>
    <w:rPr>
      <w:rFonts w:ascii="Courier New" w:eastAsia="Times New Roman" w:hAnsi="Courier New" w:cs="Courier New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25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24B0-37E6-41D8-ACA8-09A1CEFA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Defrancisco, Mark (ATB)</dc:creator>
  <cp:lastModifiedBy>ANF</cp:lastModifiedBy>
  <cp:revision>2</cp:revision>
  <cp:lastPrinted>2018-12-17T17:45:00Z</cp:lastPrinted>
  <dcterms:created xsi:type="dcterms:W3CDTF">2018-12-17T17:48:00Z</dcterms:created>
  <dcterms:modified xsi:type="dcterms:W3CDTF">2018-12-17T17:48:00Z</dcterms:modified>
</cp:coreProperties>
</file>