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9202" w14:textId="463D8F95" w:rsidR="00062E4A" w:rsidRPr="0072256B" w:rsidRDefault="00ED781C" w:rsidP="0072256B">
      <w:pPr>
        <w:jc w:val="center"/>
        <w:rPr>
          <w:b/>
          <w:bCs/>
          <w:sz w:val="32"/>
          <w:szCs w:val="32"/>
        </w:rPr>
      </w:pPr>
      <w:r w:rsidRPr="0072256B">
        <w:rPr>
          <w:b/>
          <w:bCs/>
          <w:sz w:val="32"/>
          <w:szCs w:val="32"/>
        </w:rPr>
        <w:t>Scenarios</w:t>
      </w:r>
      <w:r w:rsidR="000D55D5" w:rsidRPr="0072256B">
        <w:rPr>
          <w:b/>
          <w:bCs/>
          <w:sz w:val="32"/>
          <w:szCs w:val="32"/>
        </w:rPr>
        <w:t xml:space="preserve"> for MD with </w:t>
      </w:r>
      <w:r w:rsidR="00096E6B">
        <w:rPr>
          <w:b/>
          <w:bCs/>
          <w:sz w:val="32"/>
          <w:szCs w:val="32"/>
        </w:rPr>
        <w:t>P</w:t>
      </w:r>
      <w:r w:rsidR="000D55D5" w:rsidRPr="0072256B">
        <w:rPr>
          <w:b/>
          <w:bCs/>
          <w:sz w:val="32"/>
          <w:szCs w:val="32"/>
        </w:rPr>
        <w:t xml:space="preserve">rimary </w:t>
      </w:r>
      <w:r w:rsidR="00096E6B">
        <w:rPr>
          <w:b/>
          <w:bCs/>
          <w:sz w:val="32"/>
          <w:szCs w:val="32"/>
        </w:rPr>
        <w:t>L</w:t>
      </w:r>
      <w:r w:rsidR="000D55D5" w:rsidRPr="0072256B">
        <w:rPr>
          <w:b/>
          <w:bCs/>
          <w:sz w:val="32"/>
          <w:szCs w:val="32"/>
        </w:rPr>
        <w:t>icense in MA</w:t>
      </w:r>
    </w:p>
    <w:p w14:paraId="69D05FB2" w14:textId="77777777" w:rsidR="00560DB2" w:rsidRDefault="00560DB2">
      <w:pPr>
        <w:rPr>
          <w:b/>
          <w:bCs/>
        </w:rPr>
      </w:pPr>
    </w:p>
    <w:p w14:paraId="5F1793D0" w14:textId="74459C7D" w:rsidR="005F0D61" w:rsidRPr="00560DB2" w:rsidRDefault="005F0D61">
      <w:pPr>
        <w:rPr>
          <w:b/>
          <w:bCs/>
        </w:rPr>
      </w:pPr>
      <w:r w:rsidRPr="00560DB2">
        <w:rPr>
          <w:b/>
          <w:bCs/>
        </w:rPr>
        <w:t xml:space="preserve">All scenarios assume that Dr. X has received license in other </w:t>
      </w:r>
      <w:r w:rsidR="009A7133">
        <w:rPr>
          <w:b/>
          <w:bCs/>
        </w:rPr>
        <w:t>S</w:t>
      </w:r>
      <w:r w:rsidRPr="00560DB2">
        <w:rPr>
          <w:b/>
          <w:bCs/>
        </w:rPr>
        <w:t xml:space="preserve">tate (through normal process if MA not in </w:t>
      </w:r>
      <w:r w:rsidR="001F793C">
        <w:rPr>
          <w:b/>
          <w:bCs/>
        </w:rPr>
        <w:t>C</w:t>
      </w:r>
      <w:r w:rsidRPr="00560DB2">
        <w:rPr>
          <w:b/>
          <w:bCs/>
        </w:rPr>
        <w:t xml:space="preserve">ompact and expedited if MA in </w:t>
      </w:r>
      <w:r w:rsidR="001F793C">
        <w:rPr>
          <w:b/>
          <w:bCs/>
        </w:rPr>
        <w:t>C</w:t>
      </w:r>
      <w:r w:rsidRPr="00560DB2">
        <w:rPr>
          <w:b/>
          <w:bCs/>
        </w:rPr>
        <w:t>ompact)</w:t>
      </w:r>
      <w:r w:rsidR="00DB1619" w:rsidRPr="00560DB2">
        <w:rPr>
          <w:b/>
          <w:bCs/>
        </w:rPr>
        <w:t xml:space="preserve"> and provided care to patient in other </w:t>
      </w:r>
      <w:r w:rsidR="00C462B6">
        <w:rPr>
          <w:b/>
          <w:bCs/>
        </w:rPr>
        <w:t>S</w:t>
      </w:r>
      <w:r w:rsidR="00DB1619" w:rsidRPr="00560DB2">
        <w:rPr>
          <w:b/>
          <w:bCs/>
        </w:rPr>
        <w:t>tate</w:t>
      </w:r>
      <w:r w:rsidR="006C7CF6">
        <w:rPr>
          <w:b/>
          <w:bCs/>
        </w:rPr>
        <w:t>.</w:t>
      </w:r>
    </w:p>
    <w:p w14:paraId="116F7CA3" w14:textId="3E8000F0" w:rsidR="00ED781C" w:rsidRPr="00560DB2" w:rsidRDefault="00CE3062">
      <w:pPr>
        <w:rPr>
          <w:b/>
          <w:bCs/>
        </w:rPr>
      </w:pPr>
      <w:r w:rsidRPr="00560DB2">
        <w:rPr>
          <w:b/>
          <w:bCs/>
        </w:rPr>
        <w:t xml:space="preserve">Description of impact should </w:t>
      </w:r>
      <w:proofErr w:type="gramStart"/>
      <w:r w:rsidRPr="00560DB2">
        <w:rPr>
          <w:b/>
          <w:bCs/>
        </w:rPr>
        <w:t>include:</w:t>
      </w:r>
      <w:proofErr w:type="gramEnd"/>
      <w:r w:rsidRPr="00560DB2">
        <w:rPr>
          <w:b/>
          <w:bCs/>
        </w:rPr>
        <w:t xml:space="preserve"> what MA </w:t>
      </w:r>
      <w:r w:rsidR="004A1115" w:rsidRPr="00560DB2">
        <w:rPr>
          <w:b/>
          <w:bCs/>
        </w:rPr>
        <w:t xml:space="preserve">must do </w:t>
      </w:r>
      <w:proofErr w:type="gramStart"/>
      <w:r w:rsidR="006C7CF6">
        <w:rPr>
          <w:b/>
          <w:bCs/>
        </w:rPr>
        <w:t>vis-à-vis</w:t>
      </w:r>
      <w:proofErr w:type="gramEnd"/>
      <w:r w:rsidR="004A1115" w:rsidRPr="00560DB2">
        <w:rPr>
          <w:b/>
          <w:bCs/>
        </w:rPr>
        <w:t xml:space="preserve"> investigation, how other </w:t>
      </w:r>
      <w:r w:rsidR="00C462B6">
        <w:rPr>
          <w:b/>
          <w:bCs/>
        </w:rPr>
        <w:t>S</w:t>
      </w:r>
      <w:r w:rsidR="004A1115" w:rsidRPr="00560DB2">
        <w:rPr>
          <w:b/>
          <w:bCs/>
        </w:rPr>
        <w:t>tate’s action</w:t>
      </w:r>
      <w:r w:rsidR="006C7CF6">
        <w:rPr>
          <w:b/>
          <w:bCs/>
        </w:rPr>
        <w:t>s</w:t>
      </w:r>
      <w:r w:rsidR="004A1115" w:rsidRPr="00560DB2">
        <w:rPr>
          <w:b/>
          <w:bCs/>
        </w:rPr>
        <w:t xml:space="preserve"> would impact MA licensure, what Dr. X would have </w:t>
      </w:r>
      <w:r w:rsidR="000C51C0" w:rsidRPr="00560DB2">
        <w:rPr>
          <w:b/>
          <w:bCs/>
        </w:rPr>
        <w:t>to indicate on future license application</w:t>
      </w:r>
      <w:r w:rsidR="006C7CF6">
        <w:rPr>
          <w:b/>
          <w:bCs/>
        </w:rPr>
        <w:t>.</w:t>
      </w:r>
    </w:p>
    <w:p w14:paraId="273F106F" w14:textId="77777777" w:rsidR="00560DB2" w:rsidRDefault="00560DB2" w:rsidP="0062560E"/>
    <w:p w14:paraId="7675D4D7" w14:textId="77777777" w:rsidR="00374298" w:rsidRPr="00C46184" w:rsidRDefault="00374298" w:rsidP="00374298">
      <w:pPr>
        <w:spacing w:after="0" w:line="240" w:lineRule="auto"/>
        <w:rPr>
          <w:b/>
          <w:bCs/>
          <w:u w:val="single"/>
        </w:rPr>
      </w:pPr>
      <w:r w:rsidRPr="00C46184">
        <w:rPr>
          <w:b/>
          <w:bCs/>
          <w:u w:val="single"/>
        </w:rPr>
        <w:t>NOTE:</w:t>
      </w:r>
    </w:p>
    <w:p w14:paraId="5A6AD0A3" w14:textId="77777777" w:rsidR="00374298" w:rsidRDefault="00374298" w:rsidP="00374298">
      <w:pPr>
        <w:pStyle w:val="ListParagraph"/>
        <w:numPr>
          <w:ilvl w:val="0"/>
          <w:numId w:val="11"/>
        </w:numPr>
        <w:spacing w:after="0" w:line="240" w:lineRule="auto"/>
      </w:pPr>
      <w:r>
        <w:t xml:space="preserve">Responses below in </w:t>
      </w:r>
      <w:r w:rsidRPr="00D22880">
        <w:rPr>
          <w:b/>
          <w:bCs/>
        </w:rPr>
        <w:t>BLACK</w:t>
      </w:r>
      <w:r>
        <w:t xml:space="preserve"> – provided by IMLCC </w:t>
      </w:r>
    </w:p>
    <w:p w14:paraId="0CF23ED6" w14:textId="77777777" w:rsidR="00374298" w:rsidRDefault="00374298" w:rsidP="00374298">
      <w:pPr>
        <w:pStyle w:val="ListParagraph"/>
        <w:numPr>
          <w:ilvl w:val="0"/>
          <w:numId w:val="11"/>
        </w:numPr>
        <w:spacing w:after="0" w:line="240" w:lineRule="auto"/>
      </w:pPr>
      <w:r>
        <w:t xml:space="preserve">Responses below in </w:t>
      </w:r>
      <w:r w:rsidRPr="00D22880">
        <w:rPr>
          <w:b/>
          <w:bCs/>
        </w:rPr>
        <w:t>BLUE</w:t>
      </w:r>
      <w:r>
        <w:t xml:space="preserve"> – provided by BORIM</w:t>
      </w:r>
    </w:p>
    <w:p w14:paraId="6F038E45" w14:textId="77777777" w:rsidR="00374298" w:rsidRDefault="00374298" w:rsidP="0062560E"/>
    <w:p w14:paraId="065262BC" w14:textId="79F42BBE" w:rsidR="00B448A1" w:rsidRPr="0080334E" w:rsidRDefault="00606288" w:rsidP="0062560E">
      <w:pPr>
        <w:rPr>
          <w:b/>
          <w:bCs/>
          <w:u w:val="single"/>
        </w:rPr>
      </w:pPr>
      <w:r w:rsidRPr="0080334E">
        <w:rPr>
          <w:b/>
          <w:bCs/>
          <w:u w:val="single"/>
        </w:rPr>
        <w:t>Overall comments and citations:</w:t>
      </w:r>
    </w:p>
    <w:p w14:paraId="59A298CB" w14:textId="43686E4B" w:rsidR="009F1FD0" w:rsidRDefault="009F1FD0" w:rsidP="00606288">
      <w:pPr>
        <w:pStyle w:val="ListParagraph"/>
        <w:numPr>
          <w:ilvl w:val="0"/>
          <w:numId w:val="2"/>
        </w:numPr>
      </w:pPr>
      <w:r>
        <w:t xml:space="preserve">The reporting of disciplinary actions </w:t>
      </w:r>
      <w:r w:rsidR="00603BF3">
        <w:t>on an</w:t>
      </w:r>
      <w:r>
        <w:t xml:space="preserve"> application to be processed</w:t>
      </w:r>
      <w:r w:rsidR="00C7754B">
        <w:t xml:space="preserve"> as state-based applications</w:t>
      </w:r>
      <w:r>
        <w:t xml:space="preserve"> </w:t>
      </w:r>
      <w:proofErr w:type="gramStart"/>
      <w:r>
        <w:t>are</w:t>
      </w:r>
      <w:proofErr w:type="gramEnd"/>
      <w:r>
        <w:t xml:space="preserve"> established by each individual board</w:t>
      </w:r>
      <w:r w:rsidR="009C16F7">
        <w:t>.  The reporting of disciplinary action to the National Practitioner Data Bank (</w:t>
      </w:r>
      <w:proofErr w:type="spellStart"/>
      <w:r w:rsidR="009C16F7">
        <w:t>NPDB</w:t>
      </w:r>
      <w:proofErr w:type="spellEnd"/>
      <w:r w:rsidR="009C16F7">
        <w:t xml:space="preserve">) </w:t>
      </w:r>
      <w:proofErr w:type="gramStart"/>
      <w:r w:rsidR="009C16F7">
        <w:t>are</w:t>
      </w:r>
      <w:proofErr w:type="gramEnd"/>
      <w:r w:rsidR="009C16F7">
        <w:t xml:space="preserve"> governed by </w:t>
      </w:r>
      <w:r w:rsidR="008475A7">
        <w:t>the</w:t>
      </w:r>
      <w:r w:rsidR="009C16F7">
        <w:t xml:space="preserve"> </w:t>
      </w:r>
      <w:proofErr w:type="spellStart"/>
      <w:r w:rsidR="009C16F7">
        <w:t>NPDB</w:t>
      </w:r>
      <w:proofErr w:type="spellEnd"/>
      <w:r w:rsidR="009C16F7">
        <w:t xml:space="preserve">. </w:t>
      </w:r>
      <w:r w:rsidR="008A0115">
        <w:t xml:space="preserve"> The reporting requirements are the same without regard to the process used to obtain the license.</w:t>
      </w:r>
    </w:p>
    <w:p w14:paraId="2F1E5D15" w14:textId="28BA2774" w:rsidR="009246FA" w:rsidRDefault="009246FA" w:rsidP="00606288">
      <w:pPr>
        <w:pStyle w:val="ListParagraph"/>
        <w:numPr>
          <w:ilvl w:val="0"/>
          <w:numId w:val="2"/>
        </w:numPr>
      </w:pPr>
      <w:r>
        <w:t xml:space="preserve">A physician with </w:t>
      </w:r>
      <w:r w:rsidR="00C7754B">
        <w:t xml:space="preserve">any </w:t>
      </w:r>
      <w:r>
        <w:t xml:space="preserve">disciplinary action reported to the </w:t>
      </w:r>
      <w:proofErr w:type="spellStart"/>
      <w:r>
        <w:t>NPDB</w:t>
      </w:r>
      <w:proofErr w:type="spellEnd"/>
      <w:r>
        <w:t xml:space="preserve"> is not eligible to participate in the IMLCC process.</w:t>
      </w:r>
    </w:p>
    <w:p w14:paraId="6AE7BC77" w14:textId="3BBE74FA" w:rsidR="00E8176F" w:rsidRDefault="00E8176F" w:rsidP="00606288">
      <w:pPr>
        <w:pStyle w:val="ListParagraph"/>
        <w:numPr>
          <w:ilvl w:val="0"/>
          <w:numId w:val="2"/>
        </w:numPr>
      </w:pPr>
      <w:r>
        <w:t xml:space="preserve">The MA medical practice act governs how disciplinary action is </w:t>
      </w:r>
      <w:r w:rsidR="001D3173">
        <w:t>treated for initial and renewal applications</w:t>
      </w:r>
      <w:r w:rsidR="00462609">
        <w:t xml:space="preserve"> for state-based applications.</w:t>
      </w:r>
    </w:p>
    <w:p w14:paraId="41EF6DE3" w14:textId="755F0729" w:rsidR="00606288" w:rsidRDefault="00606288" w:rsidP="00606288">
      <w:pPr>
        <w:pStyle w:val="ListParagraph"/>
        <w:numPr>
          <w:ilvl w:val="0"/>
          <w:numId w:val="2"/>
        </w:numPr>
      </w:pPr>
      <w:r>
        <w:t xml:space="preserve">IMLCC Model Statute, Section 8 – reporting requirements are applicable to a physician “…who has applied or received an expedited license through the Compact.”  </w:t>
      </w:r>
    </w:p>
    <w:p w14:paraId="17F5280D" w14:textId="7FAF2732" w:rsidR="00606288" w:rsidRDefault="00606288" w:rsidP="00606288">
      <w:pPr>
        <w:pStyle w:val="ListParagraph"/>
        <w:numPr>
          <w:ilvl w:val="0"/>
          <w:numId w:val="2"/>
        </w:numPr>
      </w:pPr>
      <w:r>
        <w:t xml:space="preserve">IMLCC Model </w:t>
      </w:r>
      <w:r w:rsidR="00462609">
        <w:t>Statute, Section</w:t>
      </w:r>
      <w:r>
        <w:t xml:space="preserve"> 9 - At the board’s discretion, it may apply the Joint Investigation provisions to any physician licensed by that state.</w:t>
      </w:r>
    </w:p>
    <w:p w14:paraId="0159990A" w14:textId="3F1BE14D" w:rsidR="00606288" w:rsidRDefault="00606288" w:rsidP="00606288">
      <w:pPr>
        <w:pStyle w:val="ListParagraph"/>
        <w:numPr>
          <w:ilvl w:val="0"/>
          <w:numId w:val="2"/>
        </w:numPr>
      </w:pPr>
      <w:r>
        <w:t xml:space="preserve">IMLCC Model Statute, Section 10 </w:t>
      </w:r>
      <w:r w:rsidR="00462609">
        <w:t>- Actions</w:t>
      </w:r>
      <w:r>
        <w:t xml:space="preserve"> taken by another member state are deemed “unprofessional conduct” and </w:t>
      </w:r>
      <w:r w:rsidR="00462609">
        <w:t>these provisions</w:t>
      </w:r>
      <w:r>
        <w:t xml:space="preserve"> apply to a physician who is “…licensed through the Compact…” </w:t>
      </w:r>
    </w:p>
    <w:p w14:paraId="686F4CBF" w14:textId="0B3E6E85" w:rsidR="000E7F04" w:rsidRDefault="000E7F04" w:rsidP="00606288">
      <w:pPr>
        <w:pStyle w:val="ListParagraph"/>
        <w:numPr>
          <w:ilvl w:val="0"/>
          <w:numId w:val="2"/>
        </w:numPr>
      </w:pPr>
      <w:r>
        <w:lastRenderedPageBreak/>
        <w:t>IMLCC Rule, Chapter 6 provides details and clarification to the IMLCC Model Statute, Section 8, 9, &amp; 10 as authorized in IMLCC Model Statute, Section 8, paragraph (g).  Special focus should be placed on the terms defined in the Rule, paragraph 6.2</w:t>
      </w:r>
    </w:p>
    <w:p w14:paraId="468C8E4F" w14:textId="77777777" w:rsidR="00D403C8" w:rsidRDefault="00B448A1" w:rsidP="00E87CB1">
      <w:pPr>
        <w:pStyle w:val="ListParagraph"/>
        <w:numPr>
          <w:ilvl w:val="0"/>
          <w:numId w:val="2"/>
        </w:numPr>
      </w:pPr>
      <w:r>
        <w:t>These provisions are designed to provide the highest level of public protection and to ensure that member boards have the authority to cooperate with each other in their mission of public protection.</w:t>
      </w:r>
    </w:p>
    <w:p w14:paraId="370E7894" w14:textId="77777777" w:rsidR="00D403C8" w:rsidRDefault="00E87CB1" w:rsidP="00D403C8">
      <w:pPr>
        <w:pStyle w:val="ListParagraph"/>
        <w:numPr>
          <w:ilvl w:val="0"/>
          <w:numId w:val="2"/>
        </w:numPr>
      </w:pPr>
      <w:r>
        <w:t>As of 1/31/2026 - 132 physicians have received 284 disciplinary actions since 2017 out of the 54,596 physicians using the IMLCC.</w:t>
      </w:r>
    </w:p>
    <w:p w14:paraId="5C75BC79" w14:textId="2A8B24C6" w:rsidR="00E87CB1" w:rsidRDefault="00E87CB1" w:rsidP="0062560E">
      <w:pPr>
        <w:pStyle w:val="ListParagraph"/>
        <w:numPr>
          <w:ilvl w:val="1"/>
          <w:numId w:val="2"/>
        </w:numPr>
      </w:pPr>
      <w:r>
        <w:t>Those 284 actions break down as follows:</w:t>
      </w:r>
    </w:p>
    <w:p w14:paraId="2BCC428D" w14:textId="77777777" w:rsidR="00E87CB1" w:rsidRDefault="00E87CB1" w:rsidP="0062560E">
      <w:pPr>
        <w:pStyle w:val="ListParagraph"/>
        <w:numPr>
          <w:ilvl w:val="2"/>
          <w:numId w:val="2"/>
        </w:numPr>
      </w:pPr>
      <w:r>
        <w:t>162 Disciplinary actions</w:t>
      </w:r>
    </w:p>
    <w:p w14:paraId="5621F7D5" w14:textId="77777777" w:rsidR="00E87CB1" w:rsidRDefault="00E87CB1" w:rsidP="0062560E">
      <w:pPr>
        <w:pStyle w:val="ListParagraph"/>
        <w:numPr>
          <w:ilvl w:val="2"/>
          <w:numId w:val="2"/>
        </w:numPr>
      </w:pPr>
      <w:r>
        <w:t>112 Suspension, Termination or Surrender actions</w:t>
      </w:r>
    </w:p>
    <w:p w14:paraId="702D93B2" w14:textId="77777777" w:rsidR="00E87CB1" w:rsidRDefault="00E87CB1" w:rsidP="0062560E">
      <w:pPr>
        <w:pStyle w:val="ListParagraph"/>
        <w:numPr>
          <w:ilvl w:val="2"/>
          <w:numId w:val="2"/>
        </w:numPr>
      </w:pPr>
      <w:r>
        <w:t>4 Consent Orders</w:t>
      </w:r>
    </w:p>
    <w:p w14:paraId="1F881465" w14:textId="77777777" w:rsidR="00E87CB1" w:rsidRDefault="00E87CB1" w:rsidP="0062560E">
      <w:pPr>
        <w:pStyle w:val="ListParagraph"/>
        <w:numPr>
          <w:ilvl w:val="2"/>
          <w:numId w:val="2"/>
        </w:numPr>
      </w:pPr>
      <w:r>
        <w:t>2 DEA actions</w:t>
      </w:r>
    </w:p>
    <w:p w14:paraId="42831C91" w14:textId="77777777" w:rsidR="00E87CB1" w:rsidRDefault="00E87CB1" w:rsidP="0062560E">
      <w:pPr>
        <w:pStyle w:val="ListParagraph"/>
        <w:numPr>
          <w:ilvl w:val="2"/>
          <w:numId w:val="2"/>
        </w:numPr>
      </w:pPr>
      <w:r>
        <w:t>2 Interim Actions</w:t>
      </w:r>
    </w:p>
    <w:p w14:paraId="3AEBB128" w14:textId="77777777" w:rsidR="00E87CB1" w:rsidRDefault="00E87CB1" w:rsidP="0062560E">
      <w:pPr>
        <w:pStyle w:val="ListParagraph"/>
        <w:numPr>
          <w:ilvl w:val="2"/>
          <w:numId w:val="2"/>
        </w:numPr>
      </w:pPr>
      <w:r>
        <w:t>1 Emergency Suspension</w:t>
      </w:r>
    </w:p>
    <w:p w14:paraId="4D9A15AC" w14:textId="2519C29F" w:rsidR="00D22880" w:rsidRDefault="00E87CB1" w:rsidP="00374298">
      <w:pPr>
        <w:pStyle w:val="ListParagraph"/>
        <w:numPr>
          <w:ilvl w:val="2"/>
          <w:numId w:val="2"/>
        </w:numPr>
      </w:pPr>
      <w:r>
        <w:t>1 Waiver Order</w:t>
      </w:r>
    </w:p>
    <w:p w14:paraId="0D266CCB" w14:textId="77777777" w:rsidR="00D22880" w:rsidRDefault="00D22880" w:rsidP="00D22880">
      <w:pPr>
        <w:spacing w:after="0" w:line="240" w:lineRule="auto"/>
      </w:pPr>
    </w:p>
    <w:tbl>
      <w:tblPr>
        <w:tblStyle w:val="TableGrid"/>
        <w:tblW w:w="14256" w:type="dxa"/>
        <w:tblInd w:w="-635" w:type="dxa"/>
        <w:tblLook w:val="04A0" w:firstRow="1" w:lastRow="0" w:firstColumn="1" w:lastColumn="0" w:noHBand="0" w:noVBand="1"/>
      </w:tblPr>
      <w:tblGrid>
        <w:gridCol w:w="1109"/>
        <w:gridCol w:w="2897"/>
        <w:gridCol w:w="3327"/>
        <w:gridCol w:w="3690"/>
        <w:gridCol w:w="3233"/>
      </w:tblGrid>
      <w:tr w:rsidR="00B04EC7" w:rsidRPr="005E3ABA" w14:paraId="277E23BD" w14:textId="77777777" w:rsidTr="00E4607E">
        <w:trPr>
          <w:tblHeader/>
        </w:trPr>
        <w:tc>
          <w:tcPr>
            <w:tcW w:w="1095" w:type="dxa"/>
            <w:shd w:val="clear" w:color="auto" w:fill="DAE9F7" w:themeFill="text2" w:themeFillTint="1A"/>
          </w:tcPr>
          <w:p w14:paraId="474B2941" w14:textId="77BC22F6" w:rsidR="00B04EC7" w:rsidRPr="005E3ABA" w:rsidRDefault="003200AB">
            <w:pPr>
              <w:rPr>
                <w:b/>
                <w:bCs/>
                <w:sz w:val="22"/>
                <w:szCs w:val="22"/>
              </w:rPr>
            </w:pPr>
            <w:r w:rsidRPr="005E3ABA">
              <w:rPr>
                <w:b/>
                <w:bCs/>
                <w:sz w:val="22"/>
                <w:szCs w:val="22"/>
              </w:rPr>
              <w:t>Scenario</w:t>
            </w:r>
          </w:p>
        </w:tc>
        <w:tc>
          <w:tcPr>
            <w:tcW w:w="2901" w:type="dxa"/>
            <w:shd w:val="clear" w:color="auto" w:fill="DAE9F7" w:themeFill="text2" w:themeFillTint="1A"/>
          </w:tcPr>
          <w:p w14:paraId="297A7E8D" w14:textId="23EF3FA8" w:rsidR="00B04EC7" w:rsidRPr="005E3ABA" w:rsidRDefault="003200AB">
            <w:pPr>
              <w:rPr>
                <w:b/>
                <w:bCs/>
                <w:sz w:val="22"/>
                <w:szCs w:val="22"/>
              </w:rPr>
            </w:pPr>
            <w:r w:rsidRPr="005E3ABA">
              <w:rPr>
                <w:b/>
                <w:bCs/>
                <w:sz w:val="22"/>
                <w:szCs w:val="22"/>
              </w:rPr>
              <w:t xml:space="preserve">Brief </w:t>
            </w:r>
            <w:r w:rsidR="00560DB2" w:rsidRPr="005E3ABA">
              <w:rPr>
                <w:b/>
                <w:bCs/>
                <w:sz w:val="22"/>
                <w:szCs w:val="22"/>
              </w:rPr>
              <w:t>d</w:t>
            </w:r>
            <w:r w:rsidRPr="005E3ABA">
              <w:rPr>
                <w:b/>
                <w:bCs/>
                <w:sz w:val="22"/>
                <w:szCs w:val="22"/>
              </w:rPr>
              <w:t>escription</w:t>
            </w:r>
          </w:p>
        </w:tc>
        <w:tc>
          <w:tcPr>
            <w:tcW w:w="3330" w:type="dxa"/>
            <w:shd w:val="clear" w:color="auto" w:fill="DAE9F7" w:themeFill="text2" w:themeFillTint="1A"/>
          </w:tcPr>
          <w:p w14:paraId="5B55BC31" w14:textId="67F7519C" w:rsidR="00B04EC7" w:rsidRPr="005E3ABA" w:rsidRDefault="003200AB">
            <w:pPr>
              <w:rPr>
                <w:b/>
                <w:bCs/>
                <w:sz w:val="22"/>
                <w:szCs w:val="22"/>
              </w:rPr>
            </w:pPr>
            <w:r w:rsidRPr="005E3ABA">
              <w:rPr>
                <w:b/>
                <w:bCs/>
                <w:sz w:val="22"/>
                <w:szCs w:val="22"/>
              </w:rPr>
              <w:t xml:space="preserve">What would happen if MA </w:t>
            </w:r>
            <w:r w:rsidRPr="005E3ABA">
              <w:rPr>
                <w:b/>
                <w:bCs/>
                <w:sz w:val="22"/>
                <w:szCs w:val="22"/>
                <w:u w:val="single"/>
              </w:rPr>
              <w:t>not</w:t>
            </w:r>
            <w:r w:rsidRPr="005E3ABA">
              <w:rPr>
                <w:b/>
                <w:bCs/>
                <w:sz w:val="22"/>
                <w:szCs w:val="22"/>
              </w:rPr>
              <w:t xml:space="preserve"> in Compact</w:t>
            </w:r>
          </w:p>
        </w:tc>
        <w:tc>
          <w:tcPr>
            <w:tcW w:w="3694" w:type="dxa"/>
            <w:shd w:val="clear" w:color="auto" w:fill="DAE9F7" w:themeFill="text2" w:themeFillTint="1A"/>
          </w:tcPr>
          <w:p w14:paraId="03217CE5" w14:textId="556F6D27" w:rsidR="00B04EC7" w:rsidRPr="005E3ABA" w:rsidRDefault="003200AB">
            <w:pPr>
              <w:rPr>
                <w:b/>
                <w:bCs/>
                <w:sz w:val="22"/>
                <w:szCs w:val="22"/>
              </w:rPr>
            </w:pPr>
            <w:r w:rsidRPr="005E3ABA">
              <w:rPr>
                <w:b/>
                <w:bCs/>
                <w:sz w:val="22"/>
                <w:szCs w:val="22"/>
              </w:rPr>
              <w:t xml:space="preserve">What would happen if MA </w:t>
            </w:r>
            <w:r w:rsidR="00535B66" w:rsidRPr="005E3ABA">
              <w:rPr>
                <w:b/>
                <w:bCs/>
                <w:sz w:val="22"/>
                <w:szCs w:val="22"/>
                <w:u w:val="single"/>
              </w:rPr>
              <w:t xml:space="preserve">were </w:t>
            </w:r>
            <w:r w:rsidRPr="005E3ABA">
              <w:rPr>
                <w:b/>
                <w:bCs/>
                <w:sz w:val="22"/>
                <w:szCs w:val="22"/>
                <w:u w:val="single"/>
              </w:rPr>
              <w:t>in</w:t>
            </w:r>
            <w:r w:rsidRPr="005E3ABA">
              <w:rPr>
                <w:b/>
                <w:bCs/>
                <w:sz w:val="22"/>
                <w:szCs w:val="22"/>
              </w:rPr>
              <w:t xml:space="preserve"> </w:t>
            </w:r>
            <w:r w:rsidR="00D96752" w:rsidRPr="005E3ABA">
              <w:rPr>
                <w:b/>
                <w:bCs/>
                <w:sz w:val="22"/>
                <w:szCs w:val="22"/>
              </w:rPr>
              <w:t>C</w:t>
            </w:r>
            <w:r w:rsidRPr="005E3ABA">
              <w:rPr>
                <w:b/>
                <w:bCs/>
                <w:sz w:val="22"/>
                <w:szCs w:val="22"/>
              </w:rPr>
              <w:t>ompact</w:t>
            </w:r>
          </w:p>
        </w:tc>
        <w:tc>
          <w:tcPr>
            <w:tcW w:w="3236" w:type="dxa"/>
            <w:shd w:val="clear" w:color="auto" w:fill="DAE9F7" w:themeFill="text2" w:themeFillTint="1A"/>
          </w:tcPr>
          <w:p w14:paraId="36C10F8B" w14:textId="7D83664E" w:rsidR="00B04EC7" w:rsidRPr="005E3ABA" w:rsidRDefault="003200AB">
            <w:pPr>
              <w:rPr>
                <w:b/>
                <w:bCs/>
                <w:sz w:val="22"/>
                <w:szCs w:val="22"/>
              </w:rPr>
            </w:pPr>
            <w:r w:rsidRPr="005E3ABA">
              <w:rPr>
                <w:b/>
                <w:bCs/>
                <w:sz w:val="22"/>
                <w:szCs w:val="22"/>
              </w:rPr>
              <w:t>Comments</w:t>
            </w:r>
          </w:p>
        </w:tc>
      </w:tr>
      <w:tr w:rsidR="00B04EC7" w:rsidRPr="005E3ABA" w14:paraId="11226ADE" w14:textId="77777777" w:rsidTr="00E4607E">
        <w:tc>
          <w:tcPr>
            <w:tcW w:w="1095" w:type="dxa"/>
          </w:tcPr>
          <w:p w14:paraId="2D2DC4C8" w14:textId="71B0A0E5" w:rsidR="00B04EC7" w:rsidRPr="005E3ABA" w:rsidRDefault="003200AB">
            <w:pPr>
              <w:rPr>
                <w:sz w:val="22"/>
                <w:szCs w:val="22"/>
              </w:rPr>
            </w:pPr>
            <w:r w:rsidRPr="005E3ABA">
              <w:rPr>
                <w:sz w:val="22"/>
                <w:szCs w:val="22"/>
              </w:rPr>
              <w:t>A</w:t>
            </w:r>
          </w:p>
        </w:tc>
        <w:tc>
          <w:tcPr>
            <w:tcW w:w="2901" w:type="dxa"/>
          </w:tcPr>
          <w:p w14:paraId="4FE2EC32" w14:textId="27EACA63" w:rsidR="00B04EC7" w:rsidRPr="005E3ABA" w:rsidRDefault="00DB1619">
            <w:pPr>
              <w:rPr>
                <w:sz w:val="22"/>
                <w:szCs w:val="22"/>
              </w:rPr>
            </w:pPr>
            <w:r w:rsidRPr="005E3ABA">
              <w:rPr>
                <w:sz w:val="22"/>
                <w:szCs w:val="22"/>
              </w:rPr>
              <w:t>Other State decides to investigate Dr. X for care provided in their State</w:t>
            </w:r>
          </w:p>
        </w:tc>
        <w:tc>
          <w:tcPr>
            <w:tcW w:w="3330" w:type="dxa"/>
          </w:tcPr>
          <w:p w14:paraId="29E38A43" w14:textId="77777777" w:rsidR="00535B66" w:rsidRPr="005E3ABA" w:rsidRDefault="00535B66" w:rsidP="00535B66">
            <w:pPr>
              <w:rPr>
                <w:color w:val="0F4761" w:themeColor="accent1" w:themeShade="BF"/>
                <w:sz w:val="22"/>
                <w:szCs w:val="22"/>
              </w:rPr>
            </w:pPr>
            <w:r w:rsidRPr="005E3ABA">
              <w:rPr>
                <w:color w:val="0F4761" w:themeColor="accent1" w:themeShade="BF"/>
                <w:sz w:val="22"/>
                <w:szCs w:val="22"/>
              </w:rPr>
              <w:t xml:space="preserve">BORIM would not know about another state’s investigation unless one of two things </w:t>
            </w:r>
            <w:proofErr w:type="gramStart"/>
            <w:r w:rsidRPr="005E3ABA">
              <w:rPr>
                <w:color w:val="0F4761" w:themeColor="accent1" w:themeShade="BF"/>
                <w:sz w:val="22"/>
                <w:szCs w:val="22"/>
              </w:rPr>
              <w:t>occur</w:t>
            </w:r>
            <w:proofErr w:type="gramEnd"/>
            <w:r w:rsidRPr="005E3ABA">
              <w:rPr>
                <w:color w:val="0F4761" w:themeColor="accent1" w:themeShade="BF"/>
                <w:sz w:val="22"/>
                <w:szCs w:val="22"/>
              </w:rPr>
              <w:t>:</w:t>
            </w:r>
          </w:p>
          <w:p w14:paraId="193C01FC" w14:textId="77777777" w:rsidR="00535B66" w:rsidRPr="005E3ABA" w:rsidRDefault="00535B66" w:rsidP="00535B66">
            <w:pPr>
              <w:rPr>
                <w:color w:val="0F4761" w:themeColor="accent1" w:themeShade="BF"/>
                <w:sz w:val="22"/>
                <w:szCs w:val="22"/>
              </w:rPr>
            </w:pPr>
            <w:r w:rsidRPr="005E3ABA">
              <w:rPr>
                <w:color w:val="0F4761" w:themeColor="accent1" w:themeShade="BF"/>
                <w:sz w:val="22"/>
                <w:szCs w:val="22"/>
              </w:rPr>
              <w:t xml:space="preserve">(a) the physician is aware of the investigation in the other state and self-reports to BORIM, either on a license application, or as a </w:t>
            </w:r>
            <w:proofErr w:type="spellStart"/>
            <w:proofErr w:type="gramStart"/>
            <w:r w:rsidRPr="005E3ABA">
              <w:rPr>
                <w:color w:val="0F4761" w:themeColor="accent1" w:themeShade="BF"/>
                <w:sz w:val="22"/>
                <w:szCs w:val="22"/>
              </w:rPr>
              <w:t>stand alone</w:t>
            </w:r>
            <w:proofErr w:type="spellEnd"/>
            <w:proofErr w:type="gramEnd"/>
            <w:r w:rsidRPr="005E3ABA">
              <w:rPr>
                <w:color w:val="0F4761" w:themeColor="accent1" w:themeShade="BF"/>
                <w:sz w:val="22"/>
                <w:szCs w:val="22"/>
              </w:rPr>
              <w:t xml:space="preserve"> self-report, or</w:t>
            </w:r>
          </w:p>
          <w:p w14:paraId="2E24EBA0" w14:textId="77777777" w:rsidR="00535B66" w:rsidRPr="005E3ABA" w:rsidRDefault="00535B66" w:rsidP="00535B66">
            <w:pPr>
              <w:rPr>
                <w:color w:val="0F4761" w:themeColor="accent1" w:themeShade="BF"/>
                <w:sz w:val="22"/>
                <w:szCs w:val="22"/>
              </w:rPr>
            </w:pPr>
            <w:r w:rsidRPr="005E3ABA">
              <w:rPr>
                <w:color w:val="0F4761" w:themeColor="accent1" w:themeShade="BF"/>
                <w:sz w:val="22"/>
                <w:szCs w:val="22"/>
              </w:rPr>
              <w:t>(b) the other state reaches out to MA to inform MA about the investigation</w:t>
            </w:r>
          </w:p>
          <w:p w14:paraId="5970331D" w14:textId="77777777" w:rsidR="00535B66" w:rsidRPr="005E3ABA" w:rsidRDefault="00535B66" w:rsidP="00535B66">
            <w:pPr>
              <w:rPr>
                <w:color w:val="0F4761" w:themeColor="accent1" w:themeShade="BF"/>
                <w:sz w:val="22"/>
                <w:szCs w:val="22"/>
              </w:rPr>
            </w:pPr>
          </w:p>
          <w:p w14:paraId="4065BF25" w14:textId="77777777" w:rsidR="00535B66" w:rsidRPr="005E3ABA" w:rsidRDefault="00535B66" w:rsidP="00535B66">
            <w:pPr>
              <w:rPr>
                <w:color w:val="0F4761" w:themeColor="accent1" w:themeShade="BF"/>
                <w:sz w:val="22"/>
                <w:szCs w:val="22"/>
                <w:u w:val="single"/>
              </w:rPr>
            </w:pPr>
            <w:proofErr w:type="gramStart"/>
            <w:r w:rsidRPr="005E3ABA">
              <w:rPr>
                <w:color w:val="0F4761" w:themeColor="accent1" w:themeShade="BF"/>
                <w:sz w:val="22"/>
                <w:szCs w:val="22"/>
                <w:u w:val="single"/>
              </w:rPr>
              <w:t>Assuming that</w:t>
            </w:r>
            <w:proofErr w:type="gramEnd"/>
            <w:r w:rsidRPr="005E3ABA">
              <w:rPr>
                <w:color w:val="0F4761" w:themeColor="accent1" w:themeShade="BF"/>
                <w:sz w:val="22"/>
                <w:szCs w:val="22"/>
                <w:u w:val="single"/>
              </w:rPr>
              <w:t xml:space="preserve"> Shield Law protections do not apply:</w:t>
            </w:r>
          </w:p>
          <w:p w14:paraId="1A62BF97" w14:textId="77777777" w:rsidR="00535B66" w:rsidRPr="005E3ABA" w:rsidRDefault="00535B66" w:rsidP="00535B66">
            <w:pPr>
              <w:pStyle w:val="ListParagraph"/>
              <w:numPr>
                <w:ilvl w:val="0"/>
                <w:numId w:val="8"/>
              </w:numPr>
              <w:ind w:left="166" w:hanging="180"/>
              <w:rPr>
                <w:color w:val="0F4761" w:themeColor="accent1" w:themeShade="BF"/>
                <w:sz w:val="22"/>
                <w:szCs w:val="22"/>
              </w:rPr>
            </w:pPr>
            <w:r w:rsidRPr="005E3ABA">
              <w:rPr>
                <w:color w:val="0F4761" w:themeColor="accent1" w:themeShade="BF"/>
                <w:sz w:val="22"/>
                <w:szCs w:val="22"/>
              </w:rPr>
              <w:t>On learning of the other state’s investigation, BORIM could:</w:t>
            </w:r>
          </w:p>
          <w:p w14:paraId="595CD2D4" w14:textId="77777777" w:rsidR="00535B66" w:rsidRPr="005E3ABA" w:rsidRDefault="00535B66" w:rsidP="00535B66">
            <w:pPr>
              <w:pStyle w:val="ListParagraph"/>
              <w:numPr>
                <w:ilvl w:val="1"/>
                <w:numId w:val="8"/>
              </w:numPr>
              <w:ind w:left="526" w:hanging="180"/>
              <w:rPr>
                <w:color w:val="0F4761" w:themeColor="accent1" w:themeShade="BF"/>
                <w:sz w:val="22"/>
                <w:szCs w:val="22"/>
              </w:rPr>
            </w:pPr>
            <w:r w:rsidRPr="005E3ABA">
              <w:rPr>
                <w:color w:val="0F4761" w:themeColor="accent1" w:themeShade="BF"/>
                <w:sz w:val="22"/>
                <w:szCs w:val="22"/>
              </w:rPr>
              <w:t>Open its own investigation if the underlying allegations involve conduct that would be a violation of BORIM regulations or applicable law, or</w:t>
            </w:r>
          </w:p>
          <w:p w14:paraId="5910FA16" w14:textId="77777777" w:rsidR="00535B66" w:rsidRPr="005E3ABA" w:rsidRDefault="00535B66" w:rsidP="00535B66">
            <w:pPr>
              <w:pStyle w:val="ListParagraph"/>
              <w:numPr>
                <w:ilvl w:val="1"/>
                <w:numId w:val="8"/>
              </w:numPr>
              <w:ind w:left="526" w:hanging="180"/>
              <w:rPr>
                <w:color w:val="0F4761" w:themeColor="accent1" w:themeShade="BF"/>
                <w:sz w:val="22"/>
                <w:szCs w:val="22"/>
              </w:rPr>
            </w:pPr>
            <w:r w:rsidRPr="005E3ABA">
              <w:rPr>
                <w:color w:val="0F4761" w:themeColor="accent1" w:themeShade="BF"/>
                <w:sz w:val="22"/>
                <w:szCs w:val="22"/>
              </w:rPr>
              <w:t>Defer action pending resolution of the other state’s investigation, or</w:t>
            </w:r>
          </w:p>
          <w:p w14:paraId="7B570D7B" w14:textId="77777777" w:rsidR="00535B66" w:rsidRPr="005E3ABA" w:rsidRDefault="00535B66" w:rsidP="00535B66">
            <w:pPr>
              <w:pStyle w:val="ListParagraph"/>
              <w:numPr>
                <w:ilvl w:val="1"/>
                <w:numId w:val="8"/>
              </w:numPr>
              <w:ind w:left="526" w:hanging="180"/>
              <w:rPr>
                <w:color w:val="0F4761" w:themeColor="accent1" w:themeShade="BF"/>
                <w:sz w:val="22"/>
                <w:szCs w:val="22"/>
              </w:rPr>
            </w:pPr>
            <w:r w:rsidRPr="005E3ABA">
              <w:rPr>
                <w:color w:val="0F4761" w:themeColor="accent1" w:themeShade="BF"/>
                <w:sz w:val="22"/>
                <w:szCs w:val="22"/>
              </w:rPr>
              <w:t>Determine that the underlying allegations would not be a violation of BORIM regulations or applicable law and thus decide that no investigation or action is warranted</w:t>
            </w:r>
          </w:p>
          <w:p w14:paraId="55AD32AD" w14:textId="77777777" w:rsidR="00535B66" w:rsidRPr="005E3ABA" w:rsidRDefault="00535B66" w:rsidP="00535B66">
            <w:pPr>
              <w:pStyle w:val="ListParagraph"/>
              <w:numPr>
                <w:ilvl w:val="0"/>
                <w:numId w:val="8"/>
              </w:numPr>
              <w:ind w:left="166" w:hanging="166"/>
              <w:rPr>
                <w:color w:val="0F4761" w:themeColor="accent1" w:themeShade="BF"/>
                <w:sz w:val="22"/>
                <w:szCs w:val="22"/>
              </w:rPr>
            </w:pPr>
            <w:r w:rsidRPr="005E3ABA">
              <w:rPr>
                <w:color w:val="0F4761" w:themeColor="accent1" w:themeShade="BF"/>
                <w:sz w:val="22"/>
                <w:szCs w:val="22"/>
              </w:rPr>
              <w:t>If BORIM opened its own investigation, it may request investigation materials from the other state and the other state’s response would be based on the other state’s laws.</w:t>
            </w:r>
          </w:p>
          <w:p w14:paraId="707DEE96" w14:textId="77777777" w:rsidR="00535B66" w:rsidRPr="005E3ABA" w:rsidRDefault="00535B66" w:rsidP="00535B66">
            <w:pPr>
              <w:pStyle w:val="ListParagraph"/>
              <w:numPr>
                <w:ilvl w:val="0"/>
                <w:numId w:val="8"/>
              </w:numPr>
              <w:ind w:left="166" w:hanging="166"/>
              <w:rPr>
                <w:color w:val="0F4761" w:themeColor="accent1" w:themeShade="BF"/>
                <w:sz w:val="22"/>
                <w:szCs w:val="22"/>
              </w:rPr>
            </w:pPr>
            <w:r w:rsidRPr="005E3ABA">
              <w:rPr>
                <w:color w:val="0F4761" w:themeColor="accent1" w:themeShade="BF"/>
                <w:sz w:val="22"/>
                <w:szCs w:val="22"/>
              </w:rPr>
              <w:t>On receiving a request for information about the physician from the other state, BORIM would provide public records but not provide any records that are confidential by law or regulation.</w:t>
            </w:r>
          </w:p>
          <w:p w14:paraId="2A36E53B" w14:textId="77777777" w:rsidR="00535B66" w:rsidRPr="005E3ABA" w:rsidRDefault="00535B66" w:rsidP="00535B66">
            <w:pPr>
              <w:rPr>
                <w:color w:val="0F4761" w:themeColor="accent1" w:themeShade="BF"/>
                <w:sz w:val="22"/>
                <w:szCs w:val="22"/>
              </w:rPr>
            </w:pPr>
          </w:p>
          <w:p w14:paraId="1704E247" w14:textId="77777777" w:rsidR="00535B66" w:rsidRPr="005E3ABA" w:rsidRDefault="00535B66" w:rsidP="00535B66">
            <w:pPr>
              <w:rPr>
                <w:color w:val="0F4761" w:themeColor="accent1" w:themeShade="BF"/>
                <w:sz w:val="22"/>
                <w:szCs w:val="22"/>
                <w:u w:val="single"/>
              </w:rPr>
            </w:pPr>
            <w:r w:rsidRPr="005E3ABA">
              <w:rPr>
                <w:color w:val="0F4761" w:themeColor="accent1" w:themeShade="BF"/>
                <w:sz w:val="22"/>
                <w:szCs w:val="22"/>
                <w:u w:val="single"/>
              </w:rPr>
              <w:t>If Shield Law protections do apply:</w:t>
            </w:r>
          </w:p>
          <w:p w14:paraId="3169691A" w14:textId="77777777" w:rsidR="00535B66" w:rsidRPr="005E3ABA" w:rsidRDefault="00535B66" w:rsidP="00535B66">
            <w:pPr>
              <w:pStyle w:val="ListParagraph"/>
              <w:numPr>
                <w:ilvl w:val="0"/>
                <w:numId w:val="9"/>
              </w:numPr>
              <w:ind w:left="166" w:hanging="166"/>
              <w:rPr>
                <w:color w:val="0F4761" w:themeColor="accent1" w:themeShade="BF"/>
                <w:sz w:val="22"/>
                <w:szCs w:val="22"/>
              </w:rPr>
            </w:pPr>
            <w:r w:rsidRPr="005E3ABA">
              <w:rPr>
                <w:color w:val="0F4761" w:themeColor="accent1" w:themeShade="BF"/>
                <w:sz w:val="22"/>
                <w:szCs w:val="22"/>
              </w:rPr>
              <w:t xml:space="preserve">On learning of the other state’s investigation, BORIM would </w:t>
            </w:r>
            <w:proofErr w:type="gramStart"/>
            <w:r w:rsidRPr="005E3ABA">
              <w:rPr>
                <w:color w:val="0F4761" w:themeColor="accent1" w:themeShade="BF"/>
                <w:sz w:val="22"/>
                <w:szCs w:val="22"/>
              </w:rPr>
              <w:t>determine</w:t>
            </w:r>
            <w:proofErr w:type="gramEnd"/>
            <w:r w:rsidRPr="005E3ABA">
              <w:rPr>
                <w:color w:val="0F4761" w:themeColor="accent1" w:themeShade="BF"/>
                <w:sz w:val="22"/>
                <w:szCs w:val="22"/>
              </w:rPr>
              <w:t xml:space="preserve"> no investigation or action is warranted.</w:t>
            </w:r>
          </w:p>
          <w:p w14:paraId="33F1E3D6" w14:textId="77777777" w:rsidR="00535B66" w:rsidRPr="005E3ABA" w:rsidRDefault="00535B66" w:rsidP="00535B66">
            <w:pPr>
              <w:pStyle w:val="ListParagraph"/>
              <w:numPr>
                <w:ilvl w:val="0"/>
                <w:numId w:val="9"/>
              </w:numPr>
              <w:ind w:left="166" w:hanging="166"/>
              <w:rPr>
                <w:color w:val="0F4761" w:themeColor="accent1" w:themeShade="BF"/>
                <w:sz w:val="22"/>
                <w:szCs w:val="22"/>
              </w:rPr>
            </w:pPr>
            <w:r w:rsidRPr="005E3ABA">
              <w:rPr>
                <w:color w:val="0F4761" w:themeColor="accent1" w:themeShade="BF"/>
                <w:sz w:val="22"/>
                <w:szCs w:val="22"/>
              </w:rPr>
              <w:t>On receiving a request for information about the physician from the other state, BORIM would provide no records or assistance.</w:t>
            </w:r>
          </w:p>
          <w:p w14:paraId="4F8C1534" w14:textId="77777777" w:rsidR="00B04EC7" w:rsidRPr="005E3ABA" w:rsidRDefault="00B04EC7">
            <w:pPr>
              <w:rPr>
                <w:sz w:val="22"/>
                <w:szCs w:val="22"/>
              </w:rPr>
            </w:pPr>
          </w:p>
        </w:tc>
        <w:tc>
          <w:tcPr>
            <w:tcW w:w="3694" w:type="dxa"/>
          </w:tcPr>
          <w:p w14:paraId="154C4640" w14:textId="4A8C1912" w:rsidR="00B04EC7" w:rsidRPr="005E3ABA" w:rsidRDefault="00606288">
            <w:pPr>
              <w:rPr>
                <w:sz w:val="22"/>
                <w:szCs w:val="22"/>
              </w:rPr>
            </w:pPr>
            <w:r w:rsidRPr="005E3ABA">
              <w:rPr>
                <w:sz w:val="22"/>
                <w:szCs w:val="22"/>
              </w:rPr>
              <w:t>Paths:</w:t>
            </w:r>
          </w:p>
          <w:p w14:paraId="0BA340EB" w14:textId="482FA1F6" w:rsidR="00606288" w:rsidRPr="005E3ABA" w:rsidRDefault="00606288" w:rsidP="00606288">
            <w:pPr>
              <w:pStyle w:val="ListParagraph"/>
              <w:numPr>
                <w:ilvl w:val="0"/>
                <w:numId w:val="1"/>
              </w:numPr>
              <w:rPr>
                <w:sz w:val="22"/>
                <w:szCs w:val="22"/>
              </w:rPr>
            </w:pPr>
            <w:r w:rsidRPr="005E3ABA">
              <w:rPr>
                <w:sz w:val="22"/>
                <w:szCs w:val="22"/>
              </w:rPr>
              <w:t xml:space="preserve">If </w:t>
            </w:r>
            <w:proofErr w:type="gramStart"/>
            <w:r w:rsidRPr="005E3ABA">
              <w:rPr>
                <w:sz w:val="22"/>
                <w:szCs w:val="22"/>
              </w:rPr>
              <w:t>no</w:t>
            </w:r>
            <w:proofErr w:type="gramEnd"/>
            <w:r w:rsidRPr="005E3ABA">
              <w:rPr>
                <w:sz w:val="22"/>
                <w:szCs w:val="22"/>
              </w:rPr>
              <w:t xml:space="preserve"> active investigation in MA, </w:t>
            </w:r>
            <w:proofErr w:type="gramStart"/>
            <w:r w:rsidRPr="005E3ABA">
              <w:rPr>
                <w:sz w:val="22"/>
                <w:szCs w:val="22"/>
              </w:rPr>
              <w:t>then</w:t>
            </w:r>
            <w:proofErr w:type="gramEnd"/>
            <w:r w:rsidRPr="005E3ABA">
              <w:rPr>
                <w:sz w:val="22"/>
                <w:szCs w:val="22"/>
              </w:rPr>
              <w:t xml:space="preserve"> can request the information from the other state and open its own investigation</w:t>
            </w:r>
            <w:r w:rsidR="002C0B60" w:rsidRPr="005E3ABA">
              <w:rPr>
                <w:sz w:val="22"/>
                <w:szCs w:val="22"/>
              </w:rPr>
              <w:t>. [IMLCC Section 8(d</w:t>
            </w:r>
            <w:r w:rsidR="000E7F04" w:rsidRPr="005E3ABA">
              <w:rPr>
                <w:sz w:val="22"/>
                <w:szCs w:val="22"/>
              </w:rPr>
              <w:t>)</w:t>
            </w:r>
            <w:r w:rsidR="002C0B60" w:rsidRPr="005E3ABA">
              <w:rPr>
                <w:sz w:val="22"/>
                <w:szCs w:val="22"/>
              </w:rPr>
              <w:t xml:space="preserve"> and IMLCC Rule, Chapter 6, 6.3(e) &amp; (f)]</w:t>
            </w:r>
            <w:r w:rsidRPr="005E3ABA">
              <w:rPr>
                <w:sz w:val="22"/>
                <w:szCs w:val="22"/>
              </w:rPr>
              <w:t>.</w:t>
            </w:r>
          </w:p>
          <w:p w14:paraId="2E402FC3" w14:textId="220ED648" w:rsidR="00606288" w:rsidRPr="005E3ABA" w:rsidRDefault="00606288" w:rsidP="00606288">
            <w:pPr>
              <w:pStyle w:val="ListParagraph"/>
              <w:numPr>
                <w:ilvl w:val="0"/>
                <w:numId w:val="1"/>
              </w:numPr>
              <w:rPr>
                <w:sz w:val="22"/>
                <w:szCs w:val="22"/>
              </w:rPr>
            </w:pPr>
            <w:r w:rsidRPr="005E3ABA">
              <w:rPr>
                <w:sz w:val="22"/>
                <w:szCs w:val="22"/>
              </w:rPr>
              <w:t xml:space="preserve">If </w:t>
            </w:r>
            <w:proofErr w:type="gramStart"/>
            <w:r w:rsidRPr="005E3ABA">
              <w:rPr>
                <w:sz w:val="22"/>
                <w:szCs w:val="22"/>
              </w:rPr>
              <w:t>an</w:t>
            </w:r>
            <w:proofErr w:type="gramEnd"/>
            <w:r w:rsidRPr="005E3ABA">
              <w:rPr>
                <w:sz w:val="22"/>
                <w:szCs w:val="22"/>
              </w:rPr>
              <w:t xml:space="preserve"> active investigation</w:t>
            </w:r>
            <w:r w:rsidR="000E7F04" w:rsidRPr="005E3ABA">
              <w:rPr>
                <w:sz w:val="22"/>
                <w:szCs w:val="22"/>
              </w:rPr>
              <w:t xml:space="preserve"> in MA, </w:t>
            </w:r>
            <w:proofErr w:type="gramStart"/>
            <w:r w:rsidR="000E7F04" w:rsidRPr="005E3ABA">
              <w:rPr>
                <w:sz w:val="22"/>
                <w:szCs w:val="22"/>
              </w:rPr>
              <w:t>then</w:t>
            </w:r>
            <w:proofErr w:type="gramEnd"/>
            <w:r w:rsidRPr="005E3ABA">
              <w:rPr>
                <w:sz w:val="22"/>
                <w:szCs w:val="22"/>
              </w:rPr>
              <w:t xml:space="preserve"> can ask the other state to share information</w:t>
            </w:r>
            <w:r w:rsidR="002C0B60" w:rsidRPr="005E3ABA">
              <w:rPr>
                <w:sz w:val="22"/>
                <w:szCs w:val="22"/>
              </w:rPr>
              <w:t xml:space="preserve"> and if requested share </w:t>
            </w:r>
            <w:r w:rsidR="000E7F04" w:rsidRPr="005E3ABA">
              <w:rPr>
                <w:sz w:val="22"/>
                <w:szCs w:val="22"/>
              </w:rPr>
              <w:t xml:space="preserve">MA information </w:t>
            </w:r>
            <w:r w:rsidR="002C0B60" w:rsidRPr="005E3ABA">
              <w:rPr>
                <w:sz w:val="22"/>
                <w:szCs w:val="22"/>
              </w:rPr>
              <w:t>with the other member board [Same as above, plus IMLCC Section 8(</w:t>
            </w:r>
            <w:r w:rsidR="000E7F04" w:rsidRPr="005E3ABA">
              <w:rPr>
                <w:sz w:val="22"/>
                <w:szCs w:val="22"/>
              </w:rPr>
              <w:t>e) &amp;</w:t>
            </w:r>
            <w:r w:rsidR="002C0B60" w:rsidRPr="005E3ABA">
              <w:rPr>
                <w:sz w:val="22"/>
                <w:szCs w:val="22"/>
              </w:rPr>
              <w:t xml:space="preserve"> IMLCC Rule Chapter 6, 6.3(f)</w:t>
            </w:r>
            <w:r w:rsidRPr="005E3ABA">
              <w:rPr>
                <w:sz w:val="22"/>
                <w:szCs w:val="22"/>
              </w:rPr>
              <w:t>.</w:t>
            </w:r>
            <w:r w:rsidR="002C0B60" w:rsidRPr="005E3ABA">
              <w:rPr>
                <w:sz w:val="22"/>
                <w:szCs w:val="22"/>
              </w:rPr>
              <w:t xml:space="preserve"> </w:t>
            </w:r>
          </w:p>
          <w:p w14:paraId="4C1639F7" w14:textId="621CAE09" w:rsidR="00606288" w:rsidRPr="005E3ABA" w:rsidRDefault="00606288" w:rsidP="0062560E">
            <w:pPr>
              <w:pStyle w:val="ListParagraph"/>
              <w:numPr>
                <w:ilvl w:val="0"/>
                <w:numId w:val="1"/>
              </w:numPr>
              <w:rPr>
                <w:sz w:val="22"/>
                <w:szCs w:val="22"/>
              </w:rPr>
            </w:pPr>
            <w:r w:rsidRPr="005E3ABA">
              <w:rPr>
                <w:sz w:val="22"/>
                <w:szCs w:val="22"/>
              </w:rPr>
              <w:t>Request that a Joint Investigation be formed</w:t>
            </w:r>
            <w:r w:rsidR="000E7F04" w:rsidRPr="005E3ABA">
              <w:rPr>
                <w:sz w:val="22"/>
                <w:szCs w:val="22"/>
              </w:rPr>
              <w:t xml:space="preserve"> or join and existing Joint Investigation</w:t>
            </w:r>
            <w:r w:rsidRPr="005E3ABA">
              <w:rPr>
                <w:sz w:val="22"/>
                <w:szCs w:val="22"/>
              </w:rPr>
              <w:t>.</w:t>
            </w:r>
            <w:r w:rsidR="000E7F04" w:rsidRPr="005E3ABA">
              <w:rPr>
                <w:sz w:val="22"/>
                <w:szCs w:val="22"/>
              </w:rPr>
              <w:t xml:space="preserve"> [IMLCC Section 9 &amp; IMLCC Rule, Chapter 6, 6.4</w:t>
            </w:r>
          </w:p>
        </w:tc>
        <w:tc>
          <w:tcPr>
            <w:tcW w:w="3236" w:type="dxa"/>
          </w:tcPr>
          <w:p w14:paraId="3ED44FC3" w14:textId="77777777" w:rsidR="00B04EC7" w:rsidRPr="005E3ABA" w:rsidRDefault="002C0B60" w:rsidP="002C0B60">
            <w:pPr>
              <w:pStyle w:val="ListParagraph"/>
              <w:numPr>
                <w:ilvl w:val="0"/>
                <w:numId w:val="3"/>
              </w:numPr>
              <w:ind w:left="391"/>
              <w:rPr>
                <w:sz w:val="22"/>
                <w:szCs w:val="22"/>
              </w:rPr>
            </w:pPr>
            <w:r w:rsidRPr="005E3ABA">
              <w:rPr>
                <w:sz w:val="22"/>
                <w:szCs w:val="22"/>
              </w:rPr>
              <w:t>Unless public disciplinary action is taken, then there are no obligations on MA.</w:t>
            </w:r>
          </w:p>
          <w:p w14:paraId="0BBA9CEA" w14:textId="28CED718" w:rsidR="002C0B60" w:rsidRPr="005E3ABA" w:rsidRDefault="002C0B60" w:rsidP="0062560E">
            <w:pPr>
              <w:pStyle w:val="ListParagraph"/>
              <w:numPr>
                <w:ilvl w:val="0"/>
                <w:numId w:val="3"/>
              </w:numPr>
              <w:ind w:left="391"/>
              <w:rPr>
                <w:sz w:val="22"/>
                <w:szCs w:val="22"/>
              </w:rPr>
            </w:pPr>
            <w:r w:rsidRPr="005E3ABA">
              <w:rPr>
                <w:sz w:val="22"/>
                <w:szCs w:val="22"/>
              </w:rPr>
              <w:t xml:space="preserve">Investigations are not a disqualifying event unless the physician is applying for a Letter of Qualification. </w:t>
            </w:r>
          </w:p>
        </w:tc>
      </w:tr>
      <w:tr w:rsidR="00B04EC7" w:rsidRPr="005E3ABA" w14:paraId="0B851941" w14:textId="77777777" w:rsidTr="00E4607E">
        <w:tc>
          <w:tcPr>
            <w:tcW w:w="1095" w:type="dxa"/>
          </w:tcPr>
          <w:p w14:paraId="706A806A" w14:textId="201974B1" w:rsidR="00B04EC7" w:rsidRPr="005E3ABA" w:rsidRDefault="003200AB">
            <w:pPr>
              <w:rPr>
                <w:sz w:val="22"/>
                <w:szCs w:val="22"/>
              </w:rPr>
            </w:pPr>
            <w:r w:rsidRPr="005E3ABA">
              <w:rPr>
                <w:sz w:val="22"/>
                <w:szCs w:val="22"/>
              </w:rPr>
              <w:t>B</w:t>
            </w:r>
          </w:p>
        </w:tc>
        <w:tc>
          <w:tcPr>
            <w:tcW w:w="2901" w:type="dxa"/>
          </w:tcPr>
          <w:p w14:paraId="40CD646F" w14:textId="7BB7461F" w:rsidR="00B04EC7" w:rsidRPr="005E3ABA" w:rsidRDefault="00DB1619">
            <w:pPr>
              <w:rPr>
                <w:sz w:val="22"/>
                <w:szCs w:val="22"/>
              </w:rPr>
            </w:pPr>
            <w:r w:rsidRPr="005E3ABA">
              <w:rPr>
                <w:sz w:val="22"/>
                <w:szCs w:val="22"/>
              </w:rPr>
              <w:t>Other State initiates disciplinary action against Dr. X for care provided in their State</w:t>
            </w:r>
          </w:p>
        </w:tc>
        <w:tc>
          <w:tcPr>
            <w:tcW w:w="3330" w:type="dxa"/>
          </w:tcPr>
          <w:p w14:paraId="434B7C40" w14:textId="77777777" w:rsidR="00535B66" w:rsidRPr="005E3ABA" w:rsidRDefault="00535B66" w:rsidP="00535B66">
            <w:pPr>
              <w:rPr>
                <w:color w:val="0F4761" w:themeColor="accent1" w:themeShade="BF"/>
                <w:sz w:val="22"/>
                <w:szCs w:val="22"/>
              </w:rPr>
            </w:pPr>
            <w:r w:rsidRPr="005E3ABA">
              <w:rPr>
                <w:color w:val="0F4761" w:themeColor="accent1" w:themeShade="BF"/>
                <w:sz w:val="22"/>
                <w:szCs w:val="22"/>
              </w:rPr>
              <w:t>If “initiates” means commences a disciplinary proceeding that still needs to go through a hearing process, the response would be the same as for Scenario A.  If it means the other state imposes a discipline that does not remove the physician from practice, then:</w:t>
            </w:r>
          </w:p>
          <w:p w14:paraId="41EA7AEB" w14:textId="77777777" w:rsidR="00535B66" w:rsidRPr="005E3ABA" w:rsidRDefault="00535B66" w:rsidP="00535B66">
            <w:pPr>
              <w:rPr>
                <w:color w:val="0F4761" w:themeColor="accent1" w:themeShade="BF"/>
                <w:sz w:val="22"/>
                <w:szCs w:val="22"/>
              </w:rPr>
            </w:pPr>
          </w:p>
          <w:p w14:paraId="5B7A50C7" w14:textId="77777777" w:rsidR="00535B66" w:rsidRPr="005E3ABA" w:rsidRDefault="00535B66" w:rsidP="00535B66">
            <w:pPr>
              <w:rPr>
                <w:color w:val="0F4761" w:themeColor="accent1" w:themeShade="BF"/>
                <w:sz w:val="22"/>
                <w:szCs w:val="22"/>
              </w:rPr>
            </w:pPr>
            <w:r w:rsidRPr="005E3ABA">
              <w:rPr>
                <w:color w:val="0F4761" w:themeColor="accent1" w:themeShade="BF"/>
                <w:sz w:val="22"/>
                <w:szCs w:val="22"/>
              </w:rPr>
              <w:t>BORIM would learn of the other state’s imposition of discipline from multiple sources</w:t>
            </w:r>
            <w:proofErr w:type="gramStart"/>
            <w:r w:rsidRPr="005E3ABA">
              <w:rPr>
                <w:color w:val="0F4761" w:themeColor="accent1" w:themeShade="BF"/>
                <w:sz w:val="22"/>
                <w:szCs w:val="22"/>
              </w:rPr>
              <w:t>:  FSMB</w:t>
            </w:r>
            <w:proofErr w:type="gramEnd"/>
            <w:r w:rsidRPr="005E3ABA">
              <w:rPr>
                <w:color w:val="0F4761" w:themeColor="accent1" w:themeShade="BF"/>
                <w:sz w:val="22"/>
                <w:szCs w:val="22"/>
              </w:rPr>
              <w:t xml:space="preserve"> notifications, </w:t>
            </w:r>
            <w:proofErr w:type="spellStart"/>
            <w:r w:rsidRPr="005E3ABA">
              <w:rPr>
                <w:color w:val="0F4761" w:themeColor="accent1" w:themeShade="BF"/>
                <w:sz w:val="22"/>
                <w:szCs w:val="22"/>
              </w:rPr>
              <w:t>NPDB</w:t>
            </w:r>
            <w:proofErr w:type="spellEnd"/>
            <w:r w:rsidRPr="005E3ABA">
              <w:rPr>
                <w:color w:val="0F4761" w:themeColor="accent1" w:themeShade="BF"/>
                <w:sz w:val="22"/>
                <w:szCs w:val="22"/>
              </w:rPr>
              <w:t xml:space="preserve"> constant query notifications, physician </w:t>
            </w:r>
            <w:proofErr w:type="spellStart"/>
            <w:r w:rsidRPr="005E3ABA">
              <w:rPr>
                <w:color w:val="0F4761" w:themeColor="accent1" w:themeShade="BF"/>
                <w:sz w:val="22"/>
                <w:szCs w:val="22"/>
              </w:rPr>
              <w:t>self report</w:t>
            </w:r>
            <w:proofErr w:type="spellEnd"/>
            <w:r w:rsidRPr="005E3ABA">
              <w:rPr>
                <w:color w:val="0F4761" w:themeColor="accent1" w:themeShade="BF"/>
                <w:sz w:val="22"/>
                <w:szCs w:val="22"/>
              </w:rPr>
              <w:t>.</w:t>
            </w:r>
          </w:p>
          <w:p w14:paraId="7E79C01A" w14:textId="77777777" w:rsidR="00535B66" w:rsidRPr="005E3ABA" w:rsidRDefault="00535B66" w:rsidP="00535B66">
            <w:pPr>
              <w:rPr>
                <w:color w:val="0F4761" w:themeColor="accent1" w:themeShade="BF"/>
                <w:sz w:val="22"/>
                <w:szCs w:val="22"/>
              </w:rPr>
            </w:pPr>
          </w:p>
          <w:p w14:paraId="1FCB8F2C" w14:textId="77777777" w:rsidR="00535B66" w:rsidRPr="005E3ABA" w:rsidRDefault="00535B66" w:rsidP="00535B66">
            <w:pPr>
              <w:rPr>
                <w:color w:val="0F4761" w:themeColor="accent1" w:themeShade="BF"/>
                <w:sz w:val="22"/>
                <w:szCs w:val="22"/>
              </w:rPr>
            </w:pPr>
            <w:r w:rsidRPr="005E3ABA">
              <w:rPr>
                <w:color w:val="0F4761" w:themeColor="accent1" w:themeShade="BF"/>
                <w:sz w:val="22"/>
                <w:szCs w:val="22"/>
                <w:u w:val="single"/>
              </w:rPr>
              <w:t>If Shield Law protections do not apply</w:t>
            </w:r>
            <w:r w:rsidRPr="005E3ABA">
              <w:rPr>
                <w:color w:val="0F4761" w:themeColor="accent1" w:themeShade="BF"/>
                <w:sz w:val="22"/>
                <w:szCs w:val="22"/>
              </w:rPr>
              <w:t>, BORIM could:</w:t>
            </w:r>
          </w:p>
          <w:p w14:paraId="5F4049D9" w14:textId="77777777" w:rsidR="00535B66" w:rsidRPr="005E3ABA" w:rsidRDefault="00535B66" w:rsidP="00535B66">
            <w:pPr>
              <w:pStyle w:val="ListParagraph"/>
              <w:numPr>
                <w:ilvl w:val="0"/>
                <w:numId w:val="10"/>
              </w:numPr>
              <w:ind w:left="256" w:hanging="270"/>
              <w:rPr>
                <w:color w:val="0F4761" w:themeColor="accent1" w:themeShade="BF"/>
                <w:sz w:val="22"/>
                <w:szCs w:val="22"/>
              </w:rPr>
            </w:pPr>
            <w:r w:rsidRPr="005E3ABA">
              <w:rPr>
                <w:color w:val="0F4761" w:themeColor="accent1" w:themeShade="BF"/>
                <w:sz w:val="22"/>
                <w:szCs w:val="22"/>
              </w:rPr>
              <w:t xml:space="preserve">Determine preliminarily that the conduct that is the basis of the other state’s discipline that would be a violation of BORIM regulations or applicable law and open a complaint.  BORIM would need to initiate a disciplinary proceeding and succeed on a motion for summary decision.  BORIM could then impose a discipline that is the same, greater or lesser than the discipline imposed in the other state.  The discipline does not need to match the other state’s discipline but does need to match the discipline imposed in MA for that type of conduct.  </w:t>
            </w:r>
            <w:proofErr w:type="gramStart"/>
            <w:r w:rsidRPr="005E3ABA">
              <w:rPr>
                <w:color w:val="0F4761" w:themeColor="accent1" w:themeShade="BF"/>
                <w:sz w:val="22"/>
                <w:szCs w:val="22"/>
              </w:rPr>
              <w:t>As a general rule</w:t>
            </w:r>
            <w:proofErr w:type="gramEnd"/>
            <w:r w:rsidRPr="005E3ABA">
              <w:rPr>
                <w:color w:val="0F4761" w:themeColor="accent1" w:themeShade="BF"/>
                <w:sz w:val="22"/>
                <w:szCs w:val="22"/>
              </w:rPr>
              <w:t>, BORIM would not require the other state’s investigation materials as MA law allows BORIM to rely on the discipline imposed in the other state without having to independently prove that the conduct on which the other state’s discipline was based occurred</w:t>
            </w:r>
            <w:r w:rsidRPr="005E3ABA">
              <w:rPr>
                <w:rStyle w:val="FootnoteReference"/>
                <w:color w:val="0F4761" w:themeColor="accent1" w:themeShade="BF"/>
                <w:sz w:val="22"/>
                <w:szCs w:val="22"/>
              </w:rPr>
              <w:footnoteReference w:id="1"/>
            </w:r>
            <w:r w:rsidRPr="005E3ABA">
              <w:rPr>
                <w:color w:val="0F4761" w:themeColor="accent1" w:themeShade="BF"/>
                <w:sz w:val="22"/>
                <w:szCs w:val="22"/>
              </w:rPr>
              <w:t xml:space="preserve">. </w:t>
            </w:r>
          </w:p>
          <w:p w14:paraId="405DF2E2" w14:textId="77777777" w:rsidR="00535B66" w:rsidRPr="005E3ABA" w:rsidRDefault="00535B66" w:rsidP="00535B66">
            <w:pPr>
              <w:pStyle w:val="ListParagraph"/>
              <w:numPr>
                <w:ilvl w:val="0"/>
                <w:numId w:val="8"/>
              </w:numPr>
              <w:ind w:left="256" w:hanging="256"/>
              <w:rPr>
                <w:color w:val="0F4761" w:themeColor="accent1" w:themeShade="BF"/>
                <w:sz w:val="22"/>
                <w:szCs w:val="22"/>
              </w:rPr>
            </w:pPr>
            <w:r w:rsidRPr="005E3ABA">
              <w:rPr>
                <w:color w:val="0F4761" w:themeColor="accent1" w:themeShade="BF"/>
                <w:sz w:val="22"/>
                <w:szCs w:val="22"/>
              </w:rPr>
              <w:t>Determine that the underlying allegations would not be a violation of BORIM regulations or applicable law and thus decide that no investigation or action is warranted.</w:t>
            </w:r>
          </w:p>
          <w:p w14:paraId="6F3B94E7" w14:textId="77777777" w:rsidR="00535B66" w:rsidRPr="005E3ABA" w:rsidRDefault="00535B66" w:rsidP="00535B66">
            <w:pPr>
              <w:rPr>
                <w:color w:val="0F4761" w:themeColor="accent1" w:themeShade="BF"/>
                <w:sz w:val="22"/>
                <w:szCs w:val="22"/>
              </w:rPr>
            </w:pPr>
            <w:r w:rsidRPr="005E3ABA">
              <w:rPr>
                <w:color w:val="0F4761" w:themeColor="accent1" w:themeShade="BF"/>
                <w:sz w:val="22"/>
                <w:szCs w:val="22"/>
                <w:u w:val="single"/>
              </w:rPr>
              <w:t xml:space="preserve">If Shield Law protections do apply </w:t>
            </w:r>
            <w:r w:rsidRPr="005E3ABA">
              <w:rPr>
                <w:color w:val="0F4761" w:themeColor="accent1" w:themeShade="BF"/>
                <w:sz w:val="22"/>
                <w:szCs w:val="22"/>
              </w:rPr>
              <w:t>BORIM would take no action.</w:t>
            </w:r>
          </w:p>
          <w:p w14:paraId="2292CEF7" w14:textId="77777777" w:rsidR="00B04EC7" w:rsidRPr="005E3ABA" w:rsidRDefault="00B04EC7">
            <w:pPr>
              <w:rPr>
                <w:sz w:val="22"/>
                <w:szCs w:val="22"/>
              </w:rPr>
            </w:pPr>
          </w:p>
        </w:tc>
        <w:tc>
          <w:tcPr>
            <w:tcW w:w="3694" w:type="dxa"/>
          </w:tcPr>
          <w:p w14:paraId="73B79B17" w14:textId="52AE99A0" w:rsidR="00B04EC7" w:rsidRPr="005E3ABA" w:rsidRDefault="000E7F04">
            <w:pPr>
              <w:rPr>
                <w:sz w:val="22"/>
                <w:szCs w:val="22"/>
              </w:rPr>
            </w:pPr>
            <w:r w:rsidRPr="005E3ABA">
              <w:rPr>
                <w:sz w:val="22"/>
                <w:szCs w:val="22"/>
              </w:rPr>
              <w:t xml:space="preserve">Provided that the action </w:t>
            </w:r>
            <w:r w:rsidR="006B2CCC" w:rsidRPr="005E3ABA">
              <w:rPr>
                <w:sz w:val="22"/>
                <w:szCs w:val="22"/>
              </w:rPr>
              <w:t>does not</w:t>
            </w:r>
            <w:r w:rsidR="0062604E" w:rsidRPr="005E3ABA">
              <w:rPr>
                <w:sz w:val="22"/>
                <w:szCs w:val="22"/>
              </w:rPr>
              <w:t xml:space="preserve"> </w:t>
            </w:r>
            <w:proofErr w:type="gramStart"/>
            <w:r w:rsidR="000C1FBE" w:rsidRPr="005E3ABA">
              <w:rPr>
                <w:sz w:val="22"/>
                <w:szCs w:val="22"/>
              </w:rPr>
              <w:t>impact</w:t>
            </w:r>
            <w:proofErr w:type="gramEnd"/>
            <w:r w:rsidR="000C1FBE" w:rsidRPr="005E3ABA">
              <w:rPr>
                <w:sz w:val="22"/>
                <w:szCs w:val="22"/>
              </w:rPr>
              <w:t xml:space="preserve"> </w:t>
            </w:r>
            <w:r w:rsidR="0062604E" w:rsidRPr="005E3ABA">
              <w:rPr>
                <w:sz w:val="22"/>
                <w:szCs w:val="22"/>
              </w:rPr>
              <w:t>the physician’s license to practice (</w:t>
            </w:r>
            <w:r w:rsidR="000C1FBE" w:rsidRPr="005E3ABA">
              <w:rPr>
                <w:sz w:val="22"/>
                <w:szCs w:val="22"/>
              </w:rPr>
              <w:t xml:space="preserve">i.e. </w:t>
            </w:r>
            <w:r w:rsidR="0062604E" w:rsidRPr="005E3ABA">
              <w:rPr>
                <w:sz w:val="22"/>
                <w:szCs w:val="22"/>
              </w:rPr>
              <w:t>revocation, suspension, termination, etc.)</w:t>
            </w:r>
          </w:p>
          <w:p w14:paraId="788B71FE" w14:textId="77777777" w:rsidR="0062604E" w:rsidRPr="005E3ABA" w:rsidRDefault="0062604E">
            <w:pPr>
              <w:rPr>
                <w:sz w:val="22"/>
                <w:szCs w:val="22"/>
              </w:rPr>
            </w:pPr>
          </w:p>
          <w:p w14:paraId="156D03FE" w14:textId="77777777" w:rsidR="0062604E" w:rsidRPr="005E3ABA" w:rsidRDefault="0062604E">
            <w:pPr>
              <w:rPr>
                <w:sz w:val="22"/>
                <w:szCs w:val="22"/>
              </w:rPr>
            </w:pPr>
            <w:r w:rsidRPr="005E3ABA">
              <w:rPr>
                <w:sz w:val="22"/>
                <w:szCs w:val="22"/>
              </w:rPr>
              <w:t>Paths:</w:t>
            </w:r>
          </w:p>
          <w:p w14:paraId="75457E9F" w14:textId="34339485" w:rsidR="0062604E" w:rsidRPr="005E3ABA" w:rsidRDefault="0062604E" w:rsidP="0062604E">
            <w:pPr>
              <w:pStyle w:val="ListParagraph"/>
              <w:numPr>
                <w:ilvl w:val="0"/>
                <w:numId w:val="4"/>
              </w:numPr>
              <w:rPr>
                <w:sz w:val="22"/>
                <w:szCs w:val="22"/>
              </w:rPr>
            </w:pPr>
            <w:r w:rsidRPr="005E3ABA">
              <w:rPr>
                <w:sz w:val="22"/>
                <w:szCs w:val="22"/>
              </w:rPr>
              <w:t>MA may open an investigation</w:t>
            </w:r>
            <w:r w:rsidR="00B448A1" w:rsidRPr="005E3ABA">
              <w:rPr>
                <w:sz w:val="22"/>
                <w:szCs w:val="22"/>
              </w:rPr>
              <w:t xml:space="preserve"> to determine the appropriate action.</w:t>
            </w:r>
            <w:r w:rsidRPr="005E3ABA">
              <w:rPr>
                <w:sz w:val="22"/>
                <w:szCs w:val="22"/>
              </w:rPr>
              <w:t xml:space="preserve"> [IMLC Section 10 (a)]</w:t>
            </w:r>
          </w:p>
          <w:p w14:paraId="4D590DCF" w14:textId="18F0B90A" w:rsidR="0062604E" w:rsidRPr="005E3ABA" w:rsidRDefault="0062604E" w:rsidP="0062604E">
            <w:pPr>
              <w:pStyle w:val="ListParagraph"/>
              <w:numPr>
                <w:ilvl w:val="0"/>
                <w:numId w:val="4"/>
              </w:numPr>
              <w:rPr>
                <w:sz w:val="22"/>
                <w:szCs w:val="22"/>
              </w:rPr>
            </w:pPr>
            <w:r w:rsidRPr="005E3ABA">
              <w:rPr>
                <w:sz w:val="22"/>
                <w:szCs w:val="22"/>
              </w:rPr>
              <w:t xml:space="preserve">MA </w:t>
            </w:r>
            <w:proofErr w:type="gramStart"/>
            <w:r w:rsidRPr="005E3ABA">
              <w:rPr>
                <w:sz w:val="22"/>
                <w:szCs w:val="22"/>
              </w:rPr>
              <w:t>issue</w:t>
            </w:r>
            <w:proofErr w:type="gramEnd"/>
            <w:r w:rsidRPr="005E3ABA">
              <w:rPr>
                <w:sz w:val="22"/>
                <w:szCs w:val="22"/>
              </w:rPr>
              <w:t xml:space="preserve"> a similar discipline or reciprocal action</w:t>
            </w:r>
            <w:r w:rsidR="00B448A1" w:rsidRPr="005E3ABA">
              <w:rPr>
                <w:sz w:val="22"/>
                <w:szCs w:val="22"/>
              </w:rPr>
              <w:t xml:space="preserve"> without an investigation</w:t>
            </w:r>
            <w:r w:rsidRPr="005E3ABA">
              <w:rPr>
                <w:sz w:val="22"/>
                <w:szCs w:val="22"/>
              </w:rPr>
              <w:t>. [IMLCC Section 10(c) &amp; IMLCC Rule, Chapter 6, 6.5(b)</w:t>
            </w:r>
          </w:p>
          <w:p w14:paraId="751AAEFF" w14:textId="20886133" w:rsidR="0062604E" w:rsidRPr="005E3ABA" w:rsidRDefault="0062604E" w:rsidP="0062560E">
            <w:pPr>
              <w:pStyle w:val="ListParagraph"/>
              <w:numPr>
                <w:ilvl w:val="0"/>
                <w:numId w:val="4"/>
              </w:numPr>
              <w:rPr>
                <w:sz w:val="22"/>
                <w:szCs w:val="22"/>
              </w:rPr>
            </w:pPr>
            <w:r w:rsidRPr="005E3ABA">
              <w:rPr>
                <w:sz w:val="22"/>
                <w:szCs w:val="22"/>
              </w:rPr>
              <w:t>MA can determine to take no action. [IMLCC Rule, Chapter 6, 6.5(b)(3)]</w:t>
            </w:r>
          </w:p>
        </w:tc>
        <w:tc>
          <w:tcPr>
            <w:tcW w:w="3236" w:type="dxa"/>
          </w:tcPr>
          <w:p w14:paraId="00C09E2B" w14:textId="77777777" w:rsidR="0062604E" w:rsidRPr="005E3ABA" w:rsidRDefault="0062604E">
            <w:pPr>
              <w:rPr>
                <w:sz w:val="22"/>
                <w:szCs w:val="22"/>
              </w:rPr>
            </w:pPr>
            <w:r w:rsidRPr="005E3ABA">
              <w:rPr>
                <w:sz w:val="22"/>
                <w:szCs w:val="22"/>
              </w:rPr>
              <w:t xml:space="preserve">All disciplinary actions taken against a physician, &amp; reported to the </w:t>
            </w:r>
            <w:proofErr w:type="spellStart"/>
            <w:r w:rsidRPr="005E3ABA">
              <w:rPr>
                <w:sz w:val="22"/>
                <w:szCs w:val="22"/>
              </w:rPr>
              <w:t>NPDB</w:t>
            </w:r>
            <w:proofErr w:type="spellEnd"/>
            <w:r w:rsidRPr="005E3ABA">
              <w:rPr>
                <w:sz w:val="22"/>
                <w:szCs w:val="22"/>
              </w:rPr>
              <w:t>, are disqualifying events.  The physician is no longer eligible to use the IMLCC process for obtaining licenses or renewing licenses received.</w:t>
            </w:r>
          </w:p>
          <w:p w14:paraId="6A82FC04" w14:textId="77777777" w:rsidR="0062604E" w:rsidRPr="005E3ABA" w:rsidRDefault="0062604E">
            <w:pPr>
              <w:rPr>
                <w:sz w:val="22"/>
                <w:szCs w:val="22"/>
              </w:rPr>
            </w:pPr>
          </w:p>
          <w:p w14:paraId="5C17D03D" w14:textId="6184D2F1" w:rsidR="00B04EC7" w:rsidRPr="005E3ABA" w:rsidRDefault="0062604E">
            <w:pPr>
              <w:rPr>
                <w:sz w:val="22"/>
                <w:szCs w:val="22"/>
              </w:rPr>
            </w:pPr>
            <w:r w:rsidRPr="005E3ABA">
              <w:rPr>
                <w:sz w:val="22"/>
                <w:szCs w:val="22"/>
              </w:rPr>
              <w:t>Each member state may at its discretion take the licensing action permitted by its medical practice act</w:t>
            </w:r>
            <w:r w:rsidR="00B448A1" w:rsidRPr="005E3ABA">
              <w:rPr>
                <w:sz w:val="22"/>
                <w:szCs w:val="22"/>
              </w:rPr>
              <w:t>.  This includes converting the license to a “traditional state issued license”, take no action until the issued license expires, end the license effective immediately.</w:t>
            </w:r>
            <w:r w:rsidRPr="005E3ABA">
              <w:rPr>
                <w:sz w:val="22"/>
                <w:szCs w:val="22"/>
              </w:rPr>
              <w:t xml:space="preserve"> </w:t>
            </w:r>
          </w:p>
          <w:p w14:paraId="03247938" w14:textId="77777777" w:rsidR="00D0218E" w:rsidRPr="005E3ABA" w:rsidRDefault="00D0218E">
            <w:pPr>
              <w:rPr>
                <w:sz w:val="22"/>
                <w:szCs w:val="22"/>
              </w:rPr>
            </w:pPr>
          </w:p>
          <w:p w14:paraId="18709D5D" w14:textId="77777777" w:rsidR="00D0218E" w:rsidRPr="005E3ABA" w:rsidRDefault="00D0218E">
            <w:pPr>
              <w:rPr>
                <w:sz w:val="22"/>
                <w:szCs w:val="22"/>
              </w:rPr>
            </w:pPr>
          </w:p>
          <w:p w14:paraId="1BB8619A" w14:textId="5F3B9C26" w:rsidR="00D0218E" w:rsidRPr="005E3ABA" w:rsidRDefault="00D0218E">
            <w:pPr>
              <w:rPr>
                <w:sz w:val="22"/>
                <w:szCs w:val="22"/>
              </w:rPr>
            </w:pPr>
          </w:p>
        </w:tc>
      </w:tr>
      <w:tr w:rsidR="00B04EC7" w:rsidRPr="005E3ABA" w14:paraId="640CE1BB" w14:textId="77777777" w:rsidTr="00E4607E">
        <w:tc>
          <w:tcPr>
            <w:tcW w:w="1095" w:type="dxa"/>
          </w:tcPr>
          <w:p w14:paraId="0C2690F5" w14:textId="0B9E7BC0" w:rsidR="00B04EC7" w:rsidRPr="005E3ABA" w:rsidRDefault="003200AB">
            <w:pPr>
              <w:rPr>
                <w:sz w:val="22"/>
                <w:szCs w:val="22"/>
              </w:rPr>
            </w:pPr>
            <w:r w:rsidRPr="005E3ABA">
              <w:rPr>
                <w:sz w:val="22"/>
                <w:szCs w:val="22"/>
              </w:rPr>
              <w:t>C</w:t>
            </w:r>
          </w:p>
        </w:tc>
        <w:tc>
          <w:tcPr>
            <w:tcW w:w="2901" w:type="dxa"/>
          </w:tcPr>
          <w:p w14:paraId="3E93BF47" w14:textId="02DB741C" w:rsidR="00B04EC7" w:rsidRPr="005E3ABA" w:rsidRDefault="00DB1619">
            <w:pPr>
              <w:rPr>
                <w:sz w:val="22"/>
                <w:szCs w:val="22"/>
              </w:rPr>
            </w:pPr>
            <w:r w:rsidRPr="005E3ABA">
              <w:rPr>
                <w:sz w:val="22"/>
                <w:szCs w:val="22"/>
              </w:rPr>
              <w:t>Other State terminates license of Dr. X in their State</w:t>
            </w:r>
          </w:p>
        </w:tc>
        <w:tc>
          <w:tcPr>
            <w:tcW w:w="3330" w:type="dxa"/>
          </w:tcPr>
          <w:p w14:paraId="2DBCEF8A" w14:textId="77777777" w:rsidR="00535B66" w:rsidRPr="005E3ABA" w:rsidRDefault="00535B66" w:rsidP="00535B66">
            <w:pPr>
              <w:rPr>
                <w:color w:val="0F4761" w:themeColor="accent1" w:themeShade="BF"/>
                <w:sz w:val="22"/>
                <w:szCs w:val="22"/>
              </w:rPr>
            </w:pPr>
            <w:r w:rsidRPr="005E3ABA">
              <w:rPr>
                <w:color w:val="0F4761" w:themeColor="accent1" w:themeShade="BF"/>
                <w:sz w:val="22"/>
                <w:szCs w:val="22"/>
              </w:rPr>
              <w:t>If this means the other state imposes a discipline that removes the physician from practice (suspension, revocation, surrender), the response here is identical to the response for Scenario B.</w:t>
            </w:r>
          </w:p>
          <w:p w14:paraId="451DCA14" w14:textId="77777777" w:rsidR="00B04EC7" w:rsidRPr="005E3ABA" w:rsidRDefault="00B04EC7">
            <w:pPr>
              <w:rPr>
                <w:sz w:val="22"/>
                <w:szCs w:val="22"/>
              </w:rPr>
            </w:pPr>
          </w:p>
        </w:tc>
        <w:tc>
          <w:tcPr>
            <w:tcW w:w="3694" w:type="dxa"/>
          </w:tcPr>
          <w:p w14:paraId="7C054044" w14:textId="77777777" w:rsidR="00513890" w:rsidRPr="005E3ABA" w:rsidRDefault="00513890">
            <w:pPr>
              <w:rPr>
                <w:sz w:val="22"/>
                <w:szCs w:val="22"/>
              </w:rPr>
            </w:pPr>
            <w:r w:rsidRPr="005E3ABA">
              <w:rPr>
                <w:sz w:val="22"/>
                <w:szCs w:val="22"/>
              </w:rPr>
              <w:t>Paths:</w:t>
            </w:r>
          </w:p>
          <w:p w14:paraId="3D41341B" w14:textId="6C8EFB28" w:rsidR="00513890" w:rsidRPr="005E3ABA" w:rsidRDefault="001B4B99" w:rsidP="001B4B99">
            <w:pPr>
              <w:pStyle w:val="ListParagraph"/>
              <w:numPr>
                <w:ilvl w:val="0"/>
                <w:numId w:val="6"/>
              </w:numPr>
              <w:rPr>
                <w:sz w:val="22"/>
                <w:szCs w:val="22"/>
              </w:rPr>
            </w:pPr>
            <w:r w:rsidRPr="005E3ABA">
              <w:rPr>
                <w:sz w:val="22"/>
                <w:szCs w:val="22"/>
              </w:rPr>
              <w:t xml:space="preserve">If the other state is the SPL - </w:t>
            </w:r>
            <w:r w:rsidR="00513890" w:rsidRPr="005E3ABA">
              <w:rPr>
                <w:sz w:val="22"/>
                <w:szCs w:val="22"/>
              </w:rPr>
              <w:t>MA must place the license in the same status are reported by the SPL. [IMLCC Section 10(b)]</w:t>
            </w:r>
          </w:p>
          <w:p w14:paraId="21064317" w14:textId="047BBF47" w:rsidR="001B4B99" w:rsidRPr="005E3ABA" w:rsidRDefault="001B4B99" w:rsidP="001B4B99">
            <w:pPr>
              <w:pStyle w:val="ListParagraph"/>
              <w:numPr>
                <w:ilvl w:val="0"/>
                <w:numId w:val="6"/>
              </w:numPr>
              <w:rPr>
                <w:sz w:val="22"/>
                <w:szCs w:val="22"/>
              </w:rPr>
            </w:pPr>
            <w:r w:rsidRPr="005E3ABA">
              <w:rPr>
                <w:sz w:val="22"/>
                <w:szCs w:val="22"/>
              </w:rPr>
              <w:t xml:space="preserve">If the other state is not </w:t>
            </w:r>
            <w:proofErr w:type="gramStart"/>
            <w:r w:rsidRPr="005E3ABA">
              <w:rPr>
                <w:sz w:val="22"/>
                <w:szCs w:val="22"/>
              </w:rPr>
              <w:t>the SPL</w:t>
            </w:r>
            <w:proofErr w:type="gramEnd"/>
            <w:r w:rsidRPr="005E3ABA">
              <w:rPr>
                <w:sz w:val="22"/>
                <w:szCs w:val="22"/>
              </w:rPr>
              <w:t xml:space="preserve"> - MA must place the license </w:t>
            </w:r>
            <w:proofErr w:type="gramStart"/>
            <w:r w:rsidRPr="005E3ABA">
              <w:rPr>
                <w:sz w:val="22"/>
                <w:szCs w:val="22"/>
              </w:rPr>
              <w:t>in</w:t>
            </w:r>
            <w:proofErr w:type="gramEnd"/>
            <w:r w:rsidRPr="005E3ABA">
              <w:rPr>
                <w:sz w:val="22"/>
                <w:szCs w:val="22"/>
              </w:rPr>
              <w:t xml:space="preserve"> a suspension for a 90-day period </w:t>
            </w:r>
            <w:proofErr w:type="gramStart"/>
            <w:r w:rsidRPr="005E3ABA">
              <w:rPr>
                <w:sz w:val="22"/>
                <w:szCs w:val="22"/>
              </w:rPr>
              <w:t>in order to</w:t>
            </w:r>
            <w:proofErr w:type="gramEnd"/>
            <w:r w:rsidRPr="005E3ABA">
              <w:rPr>
                <w:sz w:val="22"/>
                <w:szCs w:val="22"/>
              </w:rPr>
              <w:t xml:space="preserve"> perform an investigation into the matter. [IMLCC Section 10(d)]</w:t>
            </w:r>
          </w:p>
          <w:p w14:paraId="22285029" w14:textId="77777777" w:rsidR="00513890" w:rsidRPr="005E3ABA" w:rsidRDefault="00513890" w:rsidP="001B4B99">
            <w:pPr>
              <w:pStyle w:val="ListParagraph"/>
              <w:numPr>
                <w:ilvl w:val="0"/>
                <w:numId w:val="6"/>
              </w:numPr>
              <w:rPr>
                <w:sz w:val="22"/>
                <w:szCs w:val="22"/>
              </w:rPr>
            </w:pPr>
            <w:r w:rsidRPr="005E3ABA">
              <w:rPr>
                <w:sz w:val="22"/>
                <w:szCs w:val="22"/>
              </w:rPr>
              <w:t>MA may open an investigation to determine appropriate next steps. [IMLCC Section 8(d)]</w:t>
            </w:r>
          </w:p>
          <w:p w14:paraId="74FB757C" w14:textId="4DE2B1CC" w:rsidR="00513890" w:rsidRPr="005E3ABA" w:rsidRDefault="00513890" w:rsidP="001B4B99">
            <w:pPr>
              <w:pStyle w:val="ListParagraph"/>
              <w:numPr>
                <w:ilvl w:val="0"/>
                <w:numId w:val="6"/>
              </w:numPr>
              <w:rPr>
                <w:sz w:val="22"/>
                <w:szCs w:val="22"/>
              </w:rPr>
            </w:pPr>
            <w:r w:rsidRPr="005E3ABA">
              <w:rPr>
                <w:sz w:val="22"/>
                <w:szCs w:val="22"/>
              </w:rPr>
              <w:t xml:space="preserve">MA can request the investigative file from the </w:t>
            </w:r>
            <w:r w:rsidR="001B4B99" w:rsidRPr="005E3ABA">
              <w:rPr>
                <w:sz w:val="22"/>
                <w:szCs w:val="22"/>
              </w:rPr>
              <w:t xml:space="preserve">other member board </w:t>
            </w:r>
            <w:r w:rsidRPr="005E3ABA">
              <w:rPr>
                <w:sz w:val="22"/>
                <w:szCs w:val="22"/>
              </w:rPr>
              <w:t>[IMLCC Section 8(e)]</w:t>
            </w:r>
          </w:p>
          <w:p w14:paraId="22DE3F74" w14:textId="1047909B" w:rsidR="00513890" w:rsidRPr="005E3ABA" w:rsidRDefault="00513890" w:rsidP="00803160">
            <w:pPr>
              <w:pStyle w:val="ListParagraph"/>
              <w:numPr>
                <w:ilvl w:val="0"/>
                <w:numId w:val="6"/>
              </w:numPr>
              <w:rPr>
                <w:sz w:val="22"/>
                <w:szCs w:val="22"/>
              </w:rPr>
            </w:pPr>
            <w:r w:rsidRPr="005E3ABA">
              <w:rPr>
                <w:sz w:val="22"/>
                <w:szCs w:val="22"/>
              </w:rPr>
              <w:t xml:space="preserve">MA can determine to end its action or continue </w:t>
            </w:r>
            <w:r w:rsidR="001B4B99" w:rsidRPr="005E3ABA">
              <w:rPr>
                <w:sz w:val="22"/>
                <w:szCs w:val="22"/>
              </w:rPr>
              <w:t>its</w:t>
            </w:r>
            <w:r w:rsidRPr="005E3ABA">
              <w:rPr>
                <w:sz w:val="22"/>
                <w:szCs w:val="22"/>
              </w:rPr>
              <w:t xml:space="preserve"> action</w:t>
            </w:r>
            <w:r w:rsidR="001B4B99" w:rsidRPr="005E3ABA">
              <w:rPr>
                <w:sz w:val="22"/>
                <w:szCs w:val="22"/>
              </w:rPr>
              <w:t>, as permitted b</w:t>
            </w:r>
            <w:r w:rsidRPr="005E3ABA">
              <w:rPr>
                <w:sz w:val="22"/>
                <w:szCs w:val="22"/>
              </w:rPr>
              <w:t>y its medical practice act. [IMLCC Rule, Chapter 6, paragraph 6.6]</w:t>
            </w:r>
          </w:p>
        </w:tc>
        <w:tc>
          <w:tcPr>
            <w:tcW w:w="3236" w:type="dxa"/>
          </w:tcPr>
          <w:p w14:paraId="3F9C0C6D" w14:textId="3D653B9F" w:rsidR="00B04EC7" w:rsidRPr="005E3ABA" w:rsidRDefault="001B4B99">
            <w:pPr>
              <w:rPr>
                <w:sz w:val="22"/>
                <w:szCs w:val="22"/>
              </w:rPr>
            </w:pPr>
            <w:r w:rsidRPr="005E3ABA">
              <w:rPr>
                <w:sz w:val="22"/>
                <w:szCs w:val="22"/>
              </w:rPr>
              <w:t>How the suspension action is reported</w:t>
            </w:r>
            <w:r w:rsidR="006C3B1B" w:rsidRPr="005E3ABA">
              <w:rPr>
                <w:sz w:val="22"/>
                <w:szCs w:val="22"/>
              </w:rPr>
              <w:t xml:space="preserve"> to the </w:t>
            </w:r>
            <w:proofErr w:type="spellStart"/>
            <w:r w:rsidR="006C3B1B" w:rsidRPr="005E3ABA">
              <w:rPr>
                <w:sz w:val="22"/>
                <w:szCs w:val="22"/>
              </w:rPr>
              <w:t>NPDB</w:t>
            </w:r>
            <w:proofErr w:type="spellEnd"/>
            <w:r w:rsidRPr="005E3ABA">
              <w:rPr>
                <w:sz w:val="22"/>
                <w:szCs w:val="22"/>
              </w:rPr>
              <w:t xml:space="preserve"> is handled by each member board in compliance with their medical practice act</w:t>
            </w:r>
            <w:r w:rsidR="009A064D" w:rsidRPr="005E3ABA">
              <w:rPr>
                <w:sz w:val="22"/>
                <w:szCs w:val="22"/>
              </w:rPr>
              <w:t xml:space="preserve"> and the </w:t>
            </w:r>
            <w:r w:rsidR="003E57C1" w:rsidRPr="005E3ABA">
              <w:rPr>
                <w:sz w:val="22"/>
                <w:szCs w:val="22"/>
              </w:rPr>
              <w:t xml:space="preserve">requirements established by the </w:t>
            </w:r>
            <w:proofErr w:type="spellStart"/>
            <w:r w:rsidR="009A064D" w:rsidRPr="005E3ABA">
              <w:rPr>
                <w:sz w:val="22"/>
                <w:szCs w:val="22"/>
              </w:rPr>
              <w:t>NPDB</w:t>
            </w:r>
            <w:proofErr w:type="spellEnd"/>
            <w:r w:rsidRPr="005E3ABA">
              <w:rPr>
                <w:sz w:val="22"/>
                <w:szCs w:val="22"/>
              </w:rPr>
              <w:t xml:space="preserve">.  </w:t>
            </w:r>
          </w:p>
          <w:p w14:paraId="46B77618" w14:textId="77777777" w:rsidR="009A064D" w:rsidRPr="005E3ABA" w:rsidRDefault="009A064D">
            <w:pPr>
              <w:rPr>
                <w:sz w:val="22"/>
                <w:szCs w:val="22"/>
              </w:rPr>
            </w:pPr>
          </w:p>
          <w:p w14:paraId="433504FB" w14:textId="6120CC2B" w:rsidR="009A064D" w:rsidRPr="005E3ABA" w:rsidRDefault="009A064D">
            <w:pPr>
              <w:rPr>
                <w:sz w:val="22"/>
                <w:szCs w:val="22"/>
              </w:rPr>
            </w:pPr>
            <w:r w:rsidRPr="005E3ABA">
              <w:rPr>
                <w:sz w:val="22"/>
                <w:szCs w:val="22"/>
              </w:rPr>
              <w:t xml:space="preserve">The IMLCC is not permitted to receive or maintain </w:t>
            </w:r>
            <w:proofErr w:type="spellStart"/>
            <w:r w:rsidRPr="005E3ABA">
              <w:rPr>
                <w:sz w:val="22"/>
                <w:szCs w:val="22"/>
              </w:rPr>
              <w:t>NPDB</w:t>
            </w:r>
            <w:proofErr w:type="spellEnd"/>
            <w:r w:rsidRPr="005E3ABA">
              <w:rPr>
                <w:sz w:val="22"/>
                <w:szCs w:val="22"/>
              </w:rPr>
              <w:t xml:space="preserve"> information nor </w:t>
            </w:r>
            <w:r w:rsidR="00E53800" w:rsidRPr="005E3ABA">
              <w:rPr>
                <w:sz w:val="22"/>
                <w:szCs w:val="22"/>
              </w:rPr>
              <w:t xml:space="preserve">is the IMLCC able to </w:t>
            </w:r>
            <w:r w:rsidR="009F1FD0" w:rsidRPr="005E3ABA">
              <w:rPr>
                <w:sz w:val="22"/>
                <w:szCs w:val="22"/>
              </w:rPr>
              <w:t xml:space="preserve">access </w:t>
            </w:r>
            <w:r w:rsidRPr="005E3ABA">
              <w:rPr>
                <w:sz w:val="22"/>
                <w:szCs w:val="22"/>
              </w:rPr>
              <w:t xml:space="preserve">the </w:t>
            </w:r>
            <w:r w:rsidR="00A34166" w:rsidRPr="005E3ABA">
              <w:rPr>
                <w:sz w:val="22"/>
                <w:szCs w:val="22"/>
              </w:rPr>
              <w:t xml:space="preserve">reports.  </w:t>
            </w:r>
          </w:p>
        </w:tc>
      </w:tr>
    </w:tbl>
    <w:p w14:paraId="3B4C2200" w14:textId="77777777" w:rsidR="00B04EC7" w:rsidRDefault="00B04EC7"/>
    <w:sectPr w:rsidR="00B04EC7" w:rsidSect="00ED781C">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EF518" w14:textId="77777777" w:rsidR="00533163" w:rsidRDefault="00533163" w:rsidP="00535B66">
      <w:pPr>
        <w:spacing w:after="0" w:line="240" w:lineRule="auto"/>
      </w:pPr>
      <w:r>
        <w:separator/>
      </w:r>
    </w:p>
  </w:endnote>
  <w:endnote w:type="continuationSeparator" w:id="0">
    <w:p w14:paraId="7D778D66" w14:textId="77777777" w:rsidR="00533163" w:rsidRDefault="00533163" w:rsidP="00535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1178" w14:textId="687ED5FE" w:rsidR="0080334E" w:rsidRDefault="0080334E" w:rsidP="0080334E">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302D2" w14:textId="77777777" w:rsidR="00533163" w:rsidRDefault="00533163" w:rsidP="00535B66">
      <w:pPr>
        <w:spacing w:after="0" w:line="240" w:lineRule="auto"/>
      </w:pPr>
      <w:r>
        <w:separator/>
      </w:r>
    </w:p>
  </w:footnote>
  <w:footnote w:type="continuationSeparator" w:id="0">
    <w:p w14:paraId="73C66840" w14:textId="77777777" w:rsidR="00533163" w:rsidRDefault="00533163" w:rsidP="00535B66">
      <w:pPr>
        <w:spacing w:after="0" w:line="240" w:lineRule="auto"/>
      </w:pPr>
      <w:r>
        <w:continuationSeparator/>
      </w:r>
    </w:p>
  </w:footnote>
  <w:footnote w:id="1">
    <w:p w14:paraId="5BCC42B9" w14:textId="77777777" w:rsidR="00535B66" w:rsidRDefault="00535B66" w:rsidP="00535B66">
      <w:pPr>
        <w:pStyle w:val="FootnoteText"/>
      </w:pPr>
      <w:r>
        <w:rPr>
          <w:rStyle w:val="FootnoteReference"/>
        </w:rPr>
        <w:footnoteRef/>
      </w:r>
      <w:r w:rsidRPr="009905C8">
        <w:rPr>
          <w:rFonts w:ascii="Arial" w:hAnsi="Arial" w:cs="Arial"/>
        </w:rPr>
        <w:t xml:space="preserve"> See </w:t>
      </w:r>
      <w:proofErr w:type="spellStart"/>
      <w:r w:rsidRPr="009905C8">
        <w:rPr>
          <w:rFonts w:ascii="Arial" w:hAnsi="Arial" w:cs="Arial"/>
          <w:i/>
          <w:iCs/>
        </w:rPr>
        <w:t>Anusavice</w:t>
      </w:r>
      <w:proofErr w:type="spellEnd"/>
      <w:r w:rsidRPr="009905C8">
        <w:rPr>
          <w:rFonts w:ascii="Arial" w:hAnsi="Arial" w:cs="Arial"/>
          <w:i/>
          <w:iCs/>
        </w:rPr>
        <w:t xml:space="preserve"> v. Board of Registration in Dentistry</w:t>
      </w:r>
      <w:r w:rsidRPr="009905C8">
        <w:rPr>
          <w:rFonts w:ascii="Arial" w:hAnsi="Arial" w:cs="Arial"/>
        </w:rPr>
        <w:t>, 451 Mass. 786, 796-798, 889 N.E.2d 953 (2008); </w:t>
      </w:r>
      <w:r w:rsidRPr="009905C8">
        <w:rPr>
          <w:rFonts w:ascii="Arial" w:hAnsi="Arial" w:cs="Arial"/>
          <w:i/>
          <w:iCs/>
        </w:rPr>
        <w:t>Ramirez v. Board of Registration in Med</w:t>
      </w:r>
      <w:r>
        <w:rPr>
          <w:rFonts w:ascii="Arial" w:hAnsi="Arial" w:cs="Arial"/>
          <w:i/>
          <w:iCs/>
        </w:rPr>
        <w:t>icine</w:t>
      </w:r>
      <w:r w:rsidRPr="009905C8">
        <w:rPr>
          <w:rFonts w:ascii="Arial" w:hAnsi="Arial" w:cs="Arial"/>
        </w:rPr>
        <w:t>, 441 Mass. 479, 482-484, 806 N.E.2d 410 (2004).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3C83"/>
    <w:multiLevelType w:val="hybridMultilevel"/>
    <w:tmpl w:val="61CE8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5560F"/>
    <w:multiLevelType w:val="hybridMultilevel"/>
    <w:tmpl w:val="84F6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E62E5"/>
    <w:multiLevelType w:val="hybridMultilevel"/>
    <w:tmpl w:val="77E28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44473"/>
    <w:multiLevelType w:val="hybridMultilevel"/>
    <w:tmpl w:val="58B2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5492D"/>
    <w:multiLevelType w:val="hybridMultilevel"/>
    <w:tmpl w:val="35567A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4E2119BB"/>
    <w:multiLevelType w:val="hybridMultilevel"/>
    <w:tmpl w:val="B3E4E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AD3353"/>
    <w:multiLevelType w:val="hybridMultilevel"/>
    <w:tmpl w:val="61CE81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47B5478"/>
    <w:multiLevelType w:val="hybridMultilevel"/>
    <w:tmpl w:val="66ECF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A46AB5"/>
    <w:multiLevelType w:val="hybridMultilevel"/>
    <w:tmpl w:val="DB30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2D5625"/>
    <w:multiLevelType w:val="hybridMultilevel"/>
    <w:tmpl w:val="108C52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D86603A"/>
    <w:multiLevelType w:val="hybridMultilevel"/>
    <w:tmpl w:val="145EB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7216223">
    <w:abstractNumId w:val="10"/>
  </w:num>
  <w:num w:numId="2" w16cid:durableId="938953350">
    <w:abstractNumId w:val="5"/>
  </w:num>
  <w:num w:numId="3" w16cid:durableId="1186945423">
    <w:abstractNumId w:val="8"/>
  </w:num>
  <w:num w:numId="4" w16cid:durableId="822282755">
    <w:abstractNumId w:val="7"/>
  </w:num>
  <w:num w:numId="5" w16cid:durableId="696076733">
    <w:abstractNumId w:val="2"/>
  </w:num>
  <w:num w:numId="6" w16cid:durableId="849296158">
    <w:abstractNumId w:val="0"/>
  </w:num>
  <w:num w:numId="7" w16cid:durableId="646318767">
    <w:abstractNumId w:val="6"/>
  </w:num>
  <w:num w:numId="8" w16cid:durableId="171994368">
    <w:abstractNumId w:val="9"/>
  </w:num>
  <w:num w:numId="9" w16cid:durableId="277375608">
    <w:abstractNumId w:val="3"/>
  </w:num>
  <w:num w:numId="10" w16cid:durableId="267130439">
    <w:abstractNumId w:val="4"/>
  </w:num>
  <w:num w:numId="11" w16cid:durableId="1892957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1C"/>
    <w:rsid w:val="00011860"/>
    <w:rsid w:val="00053FAD"/>
    <w:rsid w:val="00062E4A"/>
    <w:rsid w:val="00096E6B"/>
    <w:rsid w:val="000C1FBE"/>
    <w:rsid w:val="000C51C0"/>
    <w:rsid w:val="000D55D5"/>
    <w:rsid w:val="000D7701"/>
    <w:rsid w:val="000E7F04"/>
    <w:rsid w:val="001329E0"/>
    <w:rsid w:val="00133AC7"/>
    <w:rsid w:val="001B4B99"/>
    <w:rsid w:val="001C4542"/>
    <w:rsid w:val="001D3173"/>
    <w:rsid w:val="001D479B"/>
    <w:rsid w:val="001E46EB"/>
    <w:rsid w:val="001F793C"/>
    <w:rsid w:val="00212F7C"/>
    <w:rsid w:val="002C0666"/>
    <w:rsid w:val="002C0B60"/>
    <w:rsid w:val="002D39A6"/>
    <w:rsid w:val="002F2B53"/>
    <w:rsid w:val="00301A6F"/>
    <w:rsid w:val="00316200"/>
    <w:rsid w:val="003200AB"/>
    <w:rsid w:val="00335F4C"/>
    <w:rsid w:val="00361059"/>
    <w:rsid w:val="00374298"/>
    <w:rsid w:val="003751CD"/>
    <w:rsid w:val="003A672D"/>
    <w:rsid w:val="003E2450"/>
    <w:rsid w:val="003E57C1"/>
    <w:rsid w:val="004063BC"/>
    <w:rsid w:val="0042758B"/>
    <w:rsid w:val="00462609"/>
    <w:rsid w:val="00487A85"/>
    <w:rsid w:val="004A1115"/>
    <w:rsid w:val="00513890"/>
    <w:rsid w:val="00520BCF"/>
    <w:rsid w:val="00533163"/>
    <w:rsid w:val="00535B66"/>
    <w:rsid w:val="00560DB2"/>
    <w:rsid w:val="00595BCD"/>
    <w:rsid w:val="005A6690"/>
    <w:rsid w:val="005E213C"/>
    <w:rsid w:val="005E3ABA"/>
    <w:rsid w:val="005F0D61"/>
    <w:rsid w:val="00603BF3"/>
    <w:rsid w:val="0060513A"/>
    <w:rsid w:val="00606288"/>
    <w:rsid w:val="0062560E"/>
    <w:rsid w:val="0062604E"/>
    <w:rsid w:val="00646D9B"/>
    <w:rsid w:val="00656E29"/>
    <w:rsid w:val="006B2CCC"/>
    <w:rsid w:val="006B748B"/>
    <w:rsid w:val="006C3B1B"/>
    <w:rsid w:val="006C7CF6"/>
    <w:rsid w:val="006E30C2"/>
    <w:rsid w:val="006F6371"/>
    <w:rsid w:val="007018BB"/>
    <w:rsid w:val="0072256B"/>
    <w:rsid w:val="00757051"/>
    <w:rsid w:val="007D3710"/>
    <w:rsid w:val="00803160"/>
    <w:rsid w:val="0080334E"/>
    <w:rsid w:val="0081603C"/>
    <w:rsid w:val="00823434"/>
    <w:rsid w:val="008475A7"/>
    <w:rsid w:val="00847FBC"/>
    <w:rsid w:val="00856A3A"/>
    <w:rsid w:val="00870DEE"/>
    <w:rsid w:val="008A0115"/>
    <w:rsid w:val="008A319D"/>
    <w:rsid w:val="008C226F"/>
    <w:rsid w:val="008D7B27"/>
    <w:rsid w:val="008F11DE"/>
    <w:rsid w:val="00906447"/>
    <w:rsid w:val="009246FA"/>
    <w:rsid w:val="0093222B"/>
    <w:rsid w:val="00944196"/>
    <w:rsid w:val="009A064D"/>
    <w:rsid w:val="009A7133"/>
    <w:rsid w:val="009C16F7"/>
    <w:rsid w:val="009C4EAD"/>
    <w:rsid w:val="009C5043"/>
    <w:rsid w:val="009D0990"/>
    <w:rsid w:val="009E2DA9"/>
    <w:rsid w:val="009F1FD0"/>
    <w:rsid w:val="00A04B18"/>
    <w:rsid w:val="00A34166"/>
    <w:rsid w:val="00A77A60"/>
    <w:rsid w:val="00AA7469"/>
    <w:rsid w:val="00AE4A29"/>
    <w:rsid w:val="00B04A75"/>
    <w:rsid w:val="00B04EC7"/>
    <w:rsid w:val="00B448A1"/>
    <w:rsid w:val="00B9701B"/>
    <w:rsid w:val="00C11724"/>
    <w:rsid w:val="00C2462D"/>
    <w:rsid w:val="00C46184"/>
    <w:rsid w:val="00C462B6"/>
    <w:rsid w:val="00C66124"/>
    <w:rsid w:val="00C72037"/>
    <w:rsid w:val="00C7754B"/>
    <w:rsid w:val="00CE3062"/>
    <w:rsid w:val="00D0218E"/>
    <w:rsid w:val="00D22880"/>
    <w:rsid w:val="00D403C8"/>
    <w:rsid w:val="00D96752"/>
    <w:rsid w:val="00DB1619"/>
    <w:rsid w:val="00E4607E"/>
    <w:rsid w:val="00E53800"/>
    <w:rsid w:val="00E8176F"/>
    <w:rsid w:val="00E87CB1"/>
    <w:rsid w:val="00EA4736"/>
    <w:rsid w:val="00ED781C"/>
    <w:rsid w:val="00F35028"/>
    <w:rsid w:val="00F65D3B"/>
    <w:rsid w:val="00F8027C"/>
    <w:rsid w:val="00F869AF"/>
    <w:rsid w:val="00F91E06"/>
    <w:rsid w:val="00F9247B"/>
    <w:rsid w:val="00FC34D7"/>
    <w:rsid w:val="00FD24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EEA78"/>
  <w15:chartTrackingRefBased/>
  <w15:docId w15:val="{69EA78C9-C581-47FD-AA89-E42AD941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8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8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8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8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8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8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8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8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8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8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8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8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8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8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8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8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8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81C"/>
    <w:rPr>
      <w:rFonts w:eastAsiaTheme="majorEastAsia" w:cstheme="majorBidi"/>
      <w:color w:val="272727" w:themeColor="text1" w:themeTint="D8"/>
    </w:rPr>
  </w:style>
  <w:style w:type="paragraph" w:styleId="Title">
    <w:name w:val="Title"/>
    <w:basedOn w:val="Normal"/>
    <w:next w:val="Normal"/>
    <w:link w:val="TitleChar"/>
    <w:uiPriority w:val="10"/>
    <w:qFormat/>
    <w:rsid w:val="00ED7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8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8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8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81C"/>
    <w:pPr>
      <w:spacing w:before="160"/>
      <w:jc w:val="center"/>
    </w:pPr>
    <w:rPr>
      <w:i/>
      <w:iCs/>
      <w:color w:val="404040" w:themeColor="text1" w:themeTint="BF"/>
    </w:rPr>
  </w:style>
  <w:style w:type="character" w:customStyle="1" w:styleId="QuoteChar">
    <w:name w:val="Quote Char"/>
    <w:basedOn w:val="DefaultParagraphFont"/>
    <w:link w:val="Quote"/>
    <w:uiPriority w:val="29"/>
    <w:rsid w:val="00ED781C"/>
    <w:rPr>
      <w:i/>
      <w:iCs/>
      <w:color w:val="404040" w:themeColor="text1" w:themeTint="BF"/>
    </w:rPr>
  </w:style>
  <w:style w:type="paragraph" w:styleId="ListParagraph">
    <w:name w:val="List Paragraph"/>
    <w:basedOn w:val="Normal"/>
    <w:uiPriority w:val="34"/>
    <w:qFormat/>
    <w:rsid w:val="00ED781C"/>
    <w:pPr>
      <w:ind w:left="720"/>
      <w:contextualSpacing/>
    </w:pPr>
  </w:style>
  <w:style w:type="character" w:styleId="IntenseEmphasis">
    <w:name w:val="Intense Emphasis"/>
    <w:basedOn w:val="DefaultParagraphFont"/>
    <w:uiPriority w:val="21"/>
    <w:qFormat/>
    <w:rsid w:val="00ED781C"/>
    <w:rPr>
      <w:i/>
      <w:iCs/>
      <w:color w:val="0F4761" w:themeColor="accent1" w:themeShade="BF"/>
    </w:rPr>
  </w:style>
  <w:style w:type="paragraph" w:styleId="IntenseQuote">
    <w:name w:val="Intense Quote"/>
    <w:basedOn w:val="Normal"/>
    <w:next w:val="Normal"/>
    <w:link w:val="IntenseQuoteChar"/>
    <w:uiPriority w:val="30"/>
    <w:qFormat/>
    <w:rsid w:val="00ED78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81C"/>
    <w:rPr>
      <w:i/>
      <w:iCs/>
      <w:color w:val="0F4761" w:themeColor="accent1" w:themeShade="BF"/>
    </w:rPr>
  </w:style>
  <w:style w:type="character" w:styleId="IntenseReference">
    <w:name w:val="Intense Reference"/>
    <w:basedOn w:val="DefaultParagraphFont"/>
    <w:uiPriority w:val="32"/>
    <w:qFormat/>
    <w:rsid w:val="00ED781C"/>
    <w:rPr>
      <w:b/>
      <w:bCs/>
      <w:smallCaps/>
      <w:color w:val="0F4761" w:themeColor="accent1" w:themeShade="BF"/>
      <w:spacing w:val="5"/>
    </w:rPr>
  </w:style>
  <w:style w:type="table" w:styleId="TableGrid">
    <w:name w:val="Table Grid"/>
    <w:basedOn w:val="TableNormal"/>
    <w:uiPriority w:val="39"/>
    <w:rsid w:val="00ED7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226F"/>
    <w:pPr>
      <w:spacing w:after="0" w:line="240" w:lineRule="auto"/>
    </w:pPr>
  </w:style>
  <w:style w:type="paragraph" w:styleId="FootnoteText">
    <w:name w:val="footnote text"/>
    <w:basedOn w:val="Normal"/>
    <w:link w:val="FootnoteTextChar"/>
    <w:uiPriority w:val="99"/>
    <w:semiHidden/>
    <w:unhideWhenUsed/>
    <w:rsid w:val="00535B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5B66"/>
    <w:rPr>
      <w:sz w:val="20"/>
      <w:szCs w:val="20"/>
    </w:rPr>
  </w:style>
  <w:style w:type="character" w:styleId="FootnoteReference">
    <w:name w:val="footnote reference"/>
    <w:basedOn w:val="DefaultParagraphFont"/>
    <w:uiPriority w:val="99"/>
    <w:semiHidden/>
    <w:unhideWhenUsed/>
    <w:rsid w:val="00535B66"/>
    <w:rPr>
      <w:vertAlign w:val="superscript"/>
    </w:rPr>
  </w:style>
  <w:style w:type="paragraph" w:styleId="Header">
    <w:name w:val="header"/>
    <w:basedOn w:val="Normal"/>
    <w:link w:val="HeaderChar"/>
    <w:uiPriority w:val="99"/>
    <w:unhideWhenUsed/>
    <w:rsid w:val="00803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34E"/>
  </w:style>
  <w:style w:type="paragraph" w:styleId="Footer">
    <w:name w:val="footer"/>
    <w:basedOn w:val="Normal"/>
    <w:link w:val="FooterChar"/>
    <w:uiPriority w:val="99"/>
    <w:unhideWhenUsed/>
    <w:rsid w:val="00803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F40F3-7465-486E-A2B5-7ADB5E27ECC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13</TotalTime>
  <Pages>7</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Marqusee, Joanne (EHS)</dc:creator>
  <cp:keywords/>
  <dc:description/>
  <cp:lastModifiedBy>Cohen, Gabriel R. (EHS)</cp:lastModifiedBy>
  <cp:revision>15</cp:revision>
  <cp:lastPrinted>2026-02-09T15:42:00Z</cp:lastPrinted>
  <dcterms:created xsi:type="dcterms:W3CDTF">2026-02-09T15:22:00Z</dcterms:created>
  <dcterms:modified xsi:type="dcterms:W3CDTF">2026-02-09T15:44:00Z</dcterms:modified>
</cp:coreProperties>
</file>