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038"/>
      </w:tblGrid>
      <w:tr w:rsidR="008D56EE" w:rsidTr="00FF6801">
        <w:tc>
          <w:tcPr>
            <w:tcW w:w="1325" w:type="pct"/>
          </w:tcPr>
          <w:p w:rsidR="008D56EE" w:rsidRDefault="000F191E" w:rsidP="00714E57">
            <w:pPr>
              <w:spacing w:after="0"/>
            </w:pPr>
            <w:r>
              <w:softHyphen/>
            </w:r>
            <w:r>
              <w:softHyphen/>
            </w:r>
            <w:r w:rsidR="008D56EE">
              <w:rPr>
                <w:noProof/>
                <w:lang w:eastAsia="zh-CN" w:bidi="ar-SA"/>
              </w:rPr>
              <w:drawing>
                <wp:inline distT="0" distB="0" distL="0" distR="0">
                  <wp:extent cx="1309275" cy="504710"/>
                  <wp:effectExtent l="19050" t="0" r="5175" b="0"/>
                  <wp:docPr id="2" name="Picture 1" descr="Massachusetts Department of Elementary and Second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Full%20Logo/205x100/Master-Logo_205x100_color.jpg"/>
                          <pic:cNvPicPr>
                            <a:picLocks noChangeAspect="1" noChangeArrowheads="1"/>
                          </pic:cNvPicPr>
                        </pic:nvPicPr>
                        <pic:blipFill>
                          <a:blip r:embed="rId12" cstate="print"/>
                          <a:srcRect t="9346" b="11215"/>
                          <a:stretch>
                            <a:fillRect/>
                          </a:stretch>
                        </pic:blipFill>
                        <pic:spPr bwMode="auto">
                          <a:xfrm>
                            <a:off x="0" y="0"/>
                            <a:ext cx="1317716" cy="507964"/>
                          </a:xfrm>
                          <a:prstGeom prst="rect">
                            <a:avLst/>
                          </a:prstGeom>
                          <a:noFill/>
                          <a:ln w="9525">
                            <a:noFill/>
                            <a:miter lim="800000"/>
                            <a:headEnd/>
                            <a:tailEnd/>
                          </a:ln>
                        </pic:spPr>
                      </pic:pic>
                    </a:graphicData>
                  </a:graphic>
                </wp:inline>
              </w:drawing>
            </w:r>
          </w:p>
        </w:tc>
        <w:tc>
          <w:tcPr>
            <w:tcW w:w="3675" w:type="pct"/>
            <w:vAlign w:val="bottom"/>
          </w:tcPr>
          <w:p w:rsidR="008D56EE" w:rsidRPr="00D03CF7" w:rsidRDefault="008D56EE" w:rsidP="007B25C3">
            <w:pPr>
              <w:pStyle w:val="Title"/>
            </w:pPr>
            <w:r w:rsidRPr="00D03CF7">
              <w:t xml:space="preserve">School Leader’s Guide to the </w:t>
            </w:r>
            <w:r w:rsidR="007B25C3">
              <w:t>2017</w:t>
            </w:r>
            <w:r w:rsidR="007B25C3" w:rsidRPr="00D03CF7">
              <w:t xml:space="preserve"> </w:t>
            </w:r>
            <w:r w:rsidRPr="00D03CF7">
              <w:t>Accountability Determinations</w:t>
            </w:r>
          </w:p>
        </w:tc>
      </w:tr>
    </w:tbl>
    <w:p w:rsidR="00965A66" w:rsidRDefault="0067153C" w:rsidP="00117F80">
      <w:pPr>
        <w:pStyle w:val="Subtitle"/>
        <w:spacing w:before="200" w:after="120"/>
      </w:pPr>
      <w:r w:rsidRPr="0067153C">
        <w:t xml:space="preserve">This guide </w:t>
      </w:r>
      <w:r>
        <w:t>is intended to help district and school leaders understand Massachusetts’ accountability measures</w:t>
      </w:r>
      <w:r w:rsidR="009C6653">
        <w:t>,</w:t>
      </w:r>
      <w:r>
        <w:t xml:space="preserve"> and provides an explanation of the information contained in </w:t>
      </w:r>
      <w:r w:rsidR="007B25C3">
        <w:t xml:space="preserve">2017 </w:t>
      </w:r>
      <w:r w:rsidR="00ED0078">
        <w:t xml:space="preserve">district and school </w:t>
      </w:r>
      <w:r>
        <w:t>accountability reports.</w:t>
      </w:r>
      <w:r w:rsidR="00BE2AD5">
        <w:t xml:space="preserve"> For questions, please call (781) 338-3550 or email </w:t>
      </w:r>
      <w:hyperlink r:id="rId13" w:history="1">
        <w:r w:rsidR="00BE2AD5" w:rsidRPr="00F306E0">
          <w:rPr>
            <w:rStyle w:val="Hyperlink"/>
          </w:rPr>
          <w:t>esea@doe.mass.edu</w:t>
        </w:r>
      </w:hyperlink>
      <w:r w:rsidR="00BE2AD5">
        <w:t xml:space="preserve">. </w:t>
      </w:r>
    </w:p>
    <w:sdt>
      <w:sdtPr>
        <w:rPr>
          <w:rFonts w:asciiTheme="minorHAnsi" w:eastAsiaTheme="minorHAnsi" w:hAnsiTheme="minorHAnsi" w:cstheme="minorBidi"/>
          <w:b w:val="0"/>
          <w:bCs w:val="0"/>
          <w:color w:val="auto"/>
          <w:sz w:val="22"/>
          <w:szCs w:val="22"/>
        </w:rPr>
        <w:id w:val="11383556"/>
        <w:docPartObj>
          <w:docPartGallery w:val="Table of Contents"/>
          <w:docPartUnique/>
        </w:docPartObj>
      </w:sdtPr>
      <w:sdtEndPr/>
      <w:sdtContent>
        <w:p w:rsidR="00E83E9C" w:rsidRDefault="00E83E9C" w:rsidP="00117F80">
          <w:pPr>
            <w:pStyle w:val="TOCHeading"/>
            <w:spacing w:before="0" w:beforeAutospacing="0" w:after="0"/>
          </w:pPr>
          <w:r>
            <w:t>Contents</w:t>
          </w:r>
        </w:p>
        <w:p w:rsidR="0025009C" w:rsidRDefault="00BE6ACA">
          <w:pPr>
            <w:pStyle w:val="TOC1"/>
            <w:rPr>
              <w:rFonts w:eastAsiaTheme="minorEastAsia"/>
              <w:b w:val="0"/>
              <w:noProof/>
              <w:lang w:bidi="ar-SA"/>
            </w:rPr>
          </w:pPr>
          <w:r>
            <w:fldChar w:fldCharType="begin"/>
          </w:r>
          <w:r w:rsidR="00E83E9C">
            <w:instrText xml:space="preserve"> TOC \o "1-3" \h \z \u </w:instrText>
          </w:r>
          <w:r>
            <w:fldChar w:fldCharType="separate"/>
          </w:r>
          <w:hyperlink w:anchor="_Toc490741842" w:history="1">
            <w:r w:rsidR="0025009C" w:rsidRPr="00B52400">
              <w:rPr>
                <w:rStyle w:val="Hyperlink"/>
                <w:noProof/>
              </w:rPr>
              <w:t>Overview of Massachusetts’ accountability measures</w:t>
            </w:r>
            <w:r w:rsidR="0025009C">
              <w:rPr>
                <w:noProof/>
                <w:webHidden/>
              </w:rPr>
              <w:tab/>
            </w:r>
            <w:r>
              <w:rPr>
                <w:noProof/>
                <w:webHidden/>
              </w:rPr>
              <w:fldChar w:fldCharType="begin"/>
            </w:r>
            <w:r w:rsidR="0025009C">
              <w:rPr>
                <w:noProof/>
                <w:webHidden/>
              </w:rPr>
              <w:instrText xml:space="preserve"> PAGEREF _Toc490741842 \h </w:instrText>
            </w:r>
            <w:r>
              <w:rPr>
                <w:noProof/>
                <w:webHidden/>
              </w:rPr>
            </w:r>
            <w:r>
              <w:rPr>
                <w:noProof/>
                <w:webHidden/>
              </w:rPr>
              <w:fldChar w:fldCharType="separate"/>
            </w:r>
            <w:r w:rsidR="00B3458D">
              <w:rPr>
                <w:noProof/>
                <w:webHidden/>
              </w:rPr>
              <w:t>2</w:t>
            </w:r>
            <w:r>
              <w:rPr>
                <w:noProof/>
                <w:webHidden/>
              </w:rPr>
              <w:fldChar w:fldCharType="end"/>
            </w:r>
          </w:hyperlink>
        </w:p>
        <w:p w:rsidR="0025009C" w:rsidRDefault="007D735C">
          <w:pPr>
            <w:pStyle w:val="TOC1"/>
            <w:rPr>
              <w:rFonts w:eastAsiaTheme="minorEastAsia"/>
              <w:b w:val="0"/>
              <w:noProof/>
              <w:lang w:bidi="ar-SA"/>
            </w:rPr>
          </w:pPr>
          <w:hyperlink w:anchor="_Toc490741843" w:history="1">
            <w:r w:rsidR="0025009C" w:rsidRPr="00B52400">
              <w:rPr>
                <w:rStyle w:val="Hyperlink"/>
                <w:noProof/>
              </w:rPr>
              <w:t>Changes to 2017 accountability reporting</w:t>
            </w:r>
            <w:r w:rsidR="0025009C">
              <w:rPr>
                <w:noProof/>
                <w:webHidden/>
              </w:rPr>
              <w:tab/>
            </w:r>
            <w:r w:rsidR="00BE6ACA">
              <w:rPr>
                <w:noProof/>
                <w:webHidden/>
              </w:rPr>
              <w:fldChar w:fldCharType="begin"/>
            </w:r>
            <w:r w:rsidR="0025009C">
              <w:rPr>
                <w:noProof/>
                <w:webHidden/>
              </w:rPr>
              <w:instrText xml:space="preserve"> PAGEREF _Toc490741843 \h </w:instrText>
            </w:r>
            <w:r w:rsidR="00BE6ACA">
              <w:rPr>
                <w:noProof/>
                <w:webHidden/>
              </w:rPr>
            </w:r>
            <w:r w:rsidR="00BE6ACA">
              <w:rPr>
                <w:noProof/>
                <w:webHidden/>
              </w:rPr>
              <w:fldChar w:fldCharType="separate"/>
            </w:r>
            <w:r w:rsidR="00B3458D">
              <w:rPr>
                <w:noProof/>
                <w:webHidden/>
              </w:rPr>
              <w:t>2</w:t>
            </w:r>
            <w:r w:rsidR="00BE6ACA">
              <w:rPr>
                <w:noProof/>
                <w:webHidden/>
              </w:rPr>
              <w:fldChar w:fldCharType="end"/>
            </w:r>
          </w:hyperlink>
        </w:p>
        <w:p w:rsidR="0025009C" w:rsidRDefault="007D735C">
          <w:pPr>
            <w:pStyle w:val="TOC1"/>
            <w:rPr>
              <w:rFonts w:eastAsiaTheme="minorEastAsia"/>
              <w:b w:val="0"/>
              <w:noProof/>
              <w:lang w:bidi="ar-SA"/>
            </w:rPr>
          </w:pPr>
          <w:hyperlink w:anchor="_Toc490741844" w:history="1">
            <w:r w:rsidR="0025009C" w:rsidRPr="00B52400">
              <w:rPr>
                <w:rStyle w:val="Hyperlink"/>
                <w:noProof/>
              </w:rPr>
              <w:t>Accountability determinations for schools and districts administering Next-Generation MCAS assessments</w:t>
            </w:r>
            <w:r w:rsidR="0025009C">
              <w:rPr>
                <w:noProof/>
                <w:webHidden/>
              </w:rPr>
              <w:tab/>
            </w:r>
            <w:r w:rsidR="00BE6ACA">
              <w:rPr>
                <w:noProof/>
                <w:webHidden/>
              </w:rPr>
              <w:fldChar w:fldCharType="begin"/>
            </w:r>
            <w:r w:rsidR="0025009C">
              <w:rPr>
                <w:noProof/>
                <w:webHidden/>
              </w:rPr>
              <w:instrText xml:space="preserve"> PAGEREF _Toc490741844 \h </w:instrText>
            </w:r>
            <w:r w:rsidR="00BE6ACA">
              <w:rPr>
                <w:noProof/>
                <w:webHidden/>
              </w:rPr>
            </w:r>
            <w:r w:rsidR="00BE6ACA">
              <w:rPr>
                <w:noProof/>
                <w:webHidden/>
              </w:rPr>
              <w:fldChar w:fldCharType="separate"/>
            </w:r>
            <w:r w:rsidR="00B3458D">
              <w:rPr>
                <w:noProof/>
                <w:webHidden/>
              </w:rPr>
              <w:t>2</w:t>
            </w:r>
            <w:r w:rsidR="00BE6ACA">
              <w:rPr>
                <w:noProof/>
                <w:webHidden/>
              </w:rPr>
              <w:fldChar w:fldCharType="end"/>
            </w:r>
          </w:hyperlink>
        </w:p>
        <w:p w:rsidR="0025009C" w:rsidRDefault="007D735C">
          <w:pPr>
            <w:pStyle w:val="TOC2"/>
            <w:rPr>
              <w:rFonts w:eastAsiaTheme="minorEastAsia"/>
              <w:lang w:bidi="ar-SA"/>
            </w:rPr>
          </w:pPr>
          <w:hyperlink w:anchor="_Toc490741845" w:history="1">
            <w:r w:rsidR="0025009C" w:rsidRPr="00B52400">
              <w:rPr>
                <w:rStyle w:val="Hyperlink"/>
              </w:rPr>
              <w:t>Classification of schools</w:t>
            </w:r>
            <w:r w:rsidR="0025009C">
              <w:rPr>
                <w:webHidden/>
              </w:rPr>
              <w:tab/>
            </w:r>
            <w:r w:rsidR="00BE6ACA">
              <w:rPr>
                <w:webHidden/>
              </w:rPr>
              <w:fldChar w:fldCharType="begin"/>
            </w:r>
            <w:r w:rsidR="0025009C">
              <w:rPr>
                <w:webHidden/>
              </w:rPr>
              <w:instrText xml:space="preserve"> PAGEREF _Toc490741845 \h </w:instrText>
            </w:r>
            <w:r w:rsidR="00BE6ACA">
              <w:rPr>
                <w:webHidden/>
              </w:rPr>
            </w:r>
            <w:r w:rsidR="00BE6ACA">
              <w:rPr>
                <w:webHidden/>
              </w:rPr>
              <w:fldChar w:fldCharType="separate"/>
            </w:r>
            <w:r w:rsidR="00B3458D">
              <w:rPr>
                <w:webHidden/>
              </w:rPr>
              <w:t>3</w:t>
            </w:r>
            <w:r w:rsidR="00BE6ACA">
              <w:rPr>
                <w:webHidden/>
              </w:rPr>
              <w:fldChar w:fldCharType="end"/>
            </w:r>
          </w:hyperlink>
        </w:p>
        <w:p w:rsidR="0025009C" w:rsidRDefault="007D735C">
          <w:pPr>
            <w:pStyle w:val="TOC2"/>
            <w:rPr>
              <w:rFonts w:eastAsiaTheme="minorEastAsia"/>
              <w:lang w:bidi="ar-SA"/>
            </w:rPr>
          </w:pPr>
          <w:hyperlink w:anchor="_Toc490741846" w:history="1">
            <w:r w:rsidR="0025009C" w:rsidRPr="00B52400">
              <w:rPr>
                <w:rStyle w:val="Hyperlink"/>
              </w:rPr>
              <w:t>Classification of districts</w:t>
            </w:r>
            <w:r w:rsidR="0025009C">
              <w:rPr>
                <w:webHidden/>
              </w:rPr>
              <w:tab/>
            </w:r>
            <w:r w:rsidR="00BE6ACA">
              <w:rPr>
                <w:webHidden/>
              </w:rPr>
              <w:fldChar w:fldCharType="begin"/>
            </w:r>
            <w:r w:rsidR="0025009C">
              <w:rPr>
                <w:webHidden/>
              </w:rPr>
              <w:instrText xml:space="preserve"> PAGEREF _Toc490741846 \h </w:instrText>
            </w:r>
            <w:r w:rsidR="00BE6ACA">
              <w:rPr>
                <w:webHidden/>
              </w:rPr>
            </w:r>
            <w:r w:rsidR="00BE6ACA">
              <w:rPr>
                <w:webHidden/>
              </w:rPr>
              <w:fldChar w:fldCharType="separate"/>
            </w:r>
            <w:r w:rsidR="00B3458D">
              <w:rPr>
                <w:webHidden/>
              </w:rPr>
              <w:t>4</w:t>
            </w:r>
            <w:r w:rsidR="00BE6ACA">
              <w:rPr>
                <w:webHidden/>
              </w:rPr>
              <w:fldChar w:fldCharType="end"/>
            </w:r>
          </w:hyperlink>
        </w:p>
        <w:p w:rsidR="0025009C" w:rsidRDefault="007D735C">
          <w:pPr>
            <w:pStyle w:val="TOC1"/>
            <w:rPr>
              <w:rFonts w:eastAsiaTheme="minorEastAsia"/>
              <w:b w:val="0"/>
              <w:noProof/>
              <w:lang w:bidi="ar-SA"/>
            </w:rPr>
          </w:pPr>
          <w:hyperlink w:anchor="_Toc490741847" w:history="1">
            <w:r w:rsidR="0025009C" w:rsidRPr="00B52400">
              <w:rPr>
                <w:rStyle w:val="Hyperlink"/>
                <w:noProof/>
              </w:rPr>
              <w:t>Accountability determinations for high schools</w:t>
            </w:r>
            <w:r w:rsidR="0025009C">
              <w:rPr>
                <w:noProof/>
                <w:webHidden/>
              </w:rPr>
              <w:tab/>
            </w:r>
            <w:r w:rsidR="00BE6ACA">
              <w:rPr>
                <w:noProof/>
                <w:webHidden/>
              </w:rPr>
              <w:fldChar w:fldCharType="begin"/>
            </w:r>
            <w:r w:rsidR="0025009C">
              <w:rPr>
                <w:noProof/>
                <w:webHidden/>
              </w:rPr>
              <w:instrText xml:space="preserve"> PAGEREF _Toc490741847 \h </w:instrText>
            </w:r>
            <w:r w:rsidR="00BE6ACA">
              <w:rPr>
                <w:noProof/>
                <w:webHidden/>
              </w:rPr>
            </w:r>
            <w:r w:rsidR="00BE6ACA">
              <w:rPr>
                <w:noProof/>
                <w:webHidden/>
              </w:rPr>
              <w:fldChar w:fldCharType="separate"/>
            </w:r>
            <w:r w:rsidR="00B3458D">
              <w:rPr>
                <w:noProof/>
                <w:webHidden/>
              </w:rPr>
              <w:t>5</w:t>
            </w:r>
            <w:r w:rsidR="00BE6ACA">
              <w:rPr>
                <w:noProof/>
                <w:webHidden/>
              </w:rPr>
              <w:fldChar w:fldCharType="end"/>
            </w:r>
          </w:hyperlink>
        </w:p>
        <w:p w:rsidR="0025009C" w:rsidRDefault="007D735C">
          <w:pPr>
            <w:pStyle w:val="TOC2"/>
            <w:rPr>
              <w:rFonts w:eastAsiaTheme="minorEastAsia"/>
              <w:lang w:bidi="ar-SA"/>
            </w:rPr>
          </w:pPr>
          <w:hyperlink w:anchor="_Toc490741848" w:history="1">
            <w:r w:rsidR="0025009C" w:rsidRPr="00B52400">
              <w:rPr>
                <w:rStyle w:val="Hyperlink"/>
              </w:rPr>
              <w:t>Progress and Performance Index (PPI)</w:t>
            </w:r>
            <w:r w:rsidR="0025009C">
              <w:rPr>
                <w:webHidden/>
              </w:rPr>
              <w:tab/>
            </w:r>
            <w:r w:rsidR="00BE6ACA">
              <w:rPr>
                <w:webHidden/>
              </w:rPr>
              <w:fldChar w:fldCharType="begin"/>
            </w:r>
            <w:r w:rsidR="0025009C">
              <w:rPr>
                <w:webHidden/>
              </w:rPr>
              <w:instrText xml:space="preserve"> PAGEREF _Toc490741848 \h </w:instrText>
            </w:r>
            <w:r w:rsidR="00BE6ACA">
              <w:rPr>
                <w:webHidden/>
              </w:rPr>
            </w:r>
            <w:r w:rsidR="00BE6ACA">
              <w:rPr>
                <w:webHidden/>
              </w:rPr>
              <w:fldChar w:fldCharType="separate"/>
            </w:r>
            <w:r w:rsidR="00B3458D">
              <w:rPr>
                <w:webHidden/>
              </w:rPr>
              <w:t>5</w:t>
            </w:r>
            <w:r w:rsidR="00BE6ACA">
              <w:rPr>
                <w:webHidden/>
              </w:rPr>
              <w:fldChar w:fldCharType="end"/>
            </w:r>
          </w:hyperlink>
        </w:p>
        <w:p w:rsidR="0025009C" w:rsidRDefault="007D735C">
          <w:pPr>
            <w:pStyle w:val="TOC3"/>
            <w:rPr>
              <w:rFonts w:eastAsiaTheme="minorEastAsia"/>
              <w:noProof/>
              <w:lang w:bidi="ar-SA"/>
            </w:rPr>
          </w:pPr>
          <w:hyperlink w:anchor="_Toc490741849" w:history="1">
            <w:r w:rsidR="0025009C" w:rsidRPr="00B52400">
              <w:rPr>
                <w:rStyle w:val="Hyperlink"/>
                <w:noProof/>
              </w:rPr>
              <w:t>Reporting groups</w:t>
            </w:r>
            <w:r w:rsidR="0025009C">
              <w:rPr>
                <w:noProof/>
                <w:webHidden/>
              </w:rPr>
              <w:tab/>
            </w:r>
            <w:r w:rsidR="00BE6ACA">
              <w:rPr>
                <w:noProof/>
                <w:webHidden/>
              </w:rPr>
              <w:fldChar w:fldCharType="begin"/>
            </w:r>
            <w:r w:rsidR="0025009C">
              <w:rPr>
                <w:noProof/>
                <w:webHidden/>
              </w:rPr>
              <w:instrText xml:space="preserve"> PAGEREF _Toc490741849 \h </w:instrText>
            </w:r>
            <w:r w:rsidR="00BE6ACA">
              <w:rPr>
                <w:noProof/>
                <w:webHidden/>
              </w:rPr>
            </w:r>
            <w:r w:rsidR="00BE6ACA">
              <w:rPr>
                <w:noProof/>
                <w:webHidden/>
              </w:rPr>
              <w:fldChar w:fldCharType="separate"/>
            </w:r>
            <w:r w:rsidR="00B3458D">
              <w:rPr>
                <w:noProof/>
                <w:webHidden/>
              </w:rPr>
              <w:t>5</w:t>
            </w:r>
            <w:r w:rsidR="00BE6ACA">
              <w:rPr>
                <w:noProof/>
                <w:webHidden/>
              </w:rPr>
              <w:fldChar w:fldCharType="end"/>
            </w:r>
          </w:hyperlink>
        </w:p>
        <w:p w:rsidR="0025009C" w:rsidRDefault="007D735C">
          <w:pPr>
            <w:pStyle w:val="TOC3"/>
            <w:rPr>
              <w:rFonts w:eastAsiaTheme="minorEastAsia"/>
              <w:noProof/>
              <w:lang w:bidi="ar-SA"/>
            </w:rPr>
          </w:pPr>
          <w:hyperlink w:anchor="_Toc490741850" w:history="1">
            <w:r w:rsidR="0025009C" w:rsidRPr="00B52400">
              <w:rPr>
                <w:rStyle w:val="Hyperlink"/>
                <w:noProof/>
              </w:rPr>
              <w:t>Annual PPI</w:t>
            </w:r>
            <w:r w:rsidR="0025009C">
              <w:rPr>
                <w:noProof/>
                <w:webHidden/>
              </w:rPr>
              <w:tab/>
            </w:r>
            <w:r w:rsidR="00BE6ACA">
              <w:rPr>
                <w:noProof/>
                <w:webHidden/>
              </w:rPr>
              <w:fldChar w:fldCharType="begin"/>
            </w:r>
            <w:r w:rsidR="0025009C">
              <w:rPr>
                <w:noProof/>
                <w:webHidden/>
              </w:rPr>
              <w:instrText xml:space="preserve"> PAGEREF _Toc490741850 \h </w:instrText>
            </w:r>
            <w:r w:rsidR="00BE6ACA">
              <w:rPr>
                <w:noProof/>
                <w:webHidden/>
              </w:rPr>
            </w:r>
            <w:r w:rsidR="00BE6ACA">
              <w:rPr>
                <w:noProof/>
                <w:webHidden/>
              </w:rPr>
              <w:fldChar w:fldCharType="separate"/>
            </w:r>
            <w:r w:rsidR="00B3458D">
              <w:rPr>
                <w:noProof/>
                <w:webHidden/>
              </w:rPr>
              <w:t>5</w:t>
            </w:r>
            <w:r w:rsidR="00BE6ACA">
              <w:rPr>
                <w:noProof/>
                <w:webHidden/>
              </w:rPr>
              <w:fldChar w:fldCharType="end"/>
            </w:r>
          </w:hyperlink>
        </w:p>
        <w:p w:rsidR="0025009C" w:rsidRDefault="007D735C">
          <w:pPr>
            <w:pStyle w:val="TOC3"/>
            <w:rPr>
              <w:rFonts w:eastAsiaTheme="minorEastAsia"/>
              <w:noProof/>
              <w:lang w:bidi="ar-SA"/>
            </w:rPr>
          </w:pPr>
          <w:hyperlink w:anchor="_Toc490741851" w:history="1">
            <w:r w:rsidR="0025009C" w:rsidRPr="00B52400">
              <w:rPr>
                <w:rStyle w:val="Hyperlink"/>
                <w:noProof/>
              </w:rPr>
              <w:t>Cumulative PPI</w:t>
            </w:r>
            <w:r w:rsidR="0025009C">
              <w:rPr>
                <w:noProof/>
                <w:webHidden/>
              </w:rPr>
              <w:tab/>
            </w:r>
            <w:r w:rsidR="00BE6ACA">
              <w:rPr>
                <w:noProof/>
                <w:webHidden/>
              </w:rPr>
              <w:fldChar w:fldCharType="begin"/>
            </w:r>
            <w:r w:rsidR="0025009C">
              <w:rPr>
                <w:noProof/>
                <w:webHidden/>
              </w:rPr>
              <w:instrText xml:space="preserve"> PAGEREF _Toc490741851 \h </w:instrText>
            </w:r>
            <w:r w:rsidR="00BE6ACA">
              <w:rPr>
                <w:noProof/>
                <w:webHidden/>
              </w:rPr>
            </w:r>
            <w:r w:rsidR="00BE6ACA">
              <w:rPr>
                <w:noProof/>
                <w:webHidden/>
              </w:rPr>
              <w:fldChar w:fldCharType="separate"/>
            </w:r>
            <w:r w:rsidR="00B3458D">
              <w:rPr>
                <w:noProof/>
                <w:webHidden/>
              </w:rPr>
              <w:t>11</w:t>
            </w:r>
            <w:r w:rsidR="00BE6ACA">
              <w:rPr>
                <w:noProof/>
                <w:webHidden/>
              </w:rPr>
              <w:fldChar w:fldCharType="end"/>
            </w:r>
          </w:hyperlink>
        </w:p>
        <w:p w:rsidR="0025009C" w:rsidRDefault="007D735C">
          <w:pPr>
            <w:pStyle w:val="TOC3"/>
            <w:rPr>
              <w:rFonts w:eastAsiaTheme="minorEastAsia"/>
              <w:noProof/>
              <w:lang w:bidi="ar-SA"/>
            </w:rPr>
          </w:pPr>
          <w:hyperlink w:anchor="_Toc490741852" w:history="1">
            <w:r w:rsidR="0025009C" w:rsidRPr="00B52400">
              <w:rPr>
                <w:rStyle w:val="Hyperlink"/>
                <w:noProof/>
              </w:rPr>
              <w:t>Accountability reporting and the economically disadvantaged subgroup</w:t>
            </w:r>
            <w:r w:rsidR="0025009C">
              <w:rPr>
                <w:noProof/>
                <w:webHidden/>
              </w:rPr>
              <w:tab/>
            </w:r>
            <w:r w:rsidR="00BE6ACA">
              <w:rPr>
                <w:noProof/>
                <w:webHidden/>
              </w:rPr>
              <w:fldChar w:fldCharType="begin"/>
            </w:r>
            <w:r w:rsidR="0025009C">
              <w:rPr>
                <w:noProof/>
                <w:webHidden/>
              </w:rPr>
              <w:instrText xml:space="preserve"> PAGEREF _Toc490741852 \h </w:instrText>
            </w:r>
            <w:r w:rsidR="00BE6ACA">
              <w:rPr>
                <w:noProof/>
                <w:webHidden/>
              </w:rPr>
            </w:r>
            <w:r w:rsidR="00BE6ACA">
              <w:rPr>
                <w:noProof/>
                <w:webHidden/>
              </w:rPr>
              <w:fldChar w:fldCharType="separate"/>
            </w:r>
            <w:r w:rsidR="00B3458D">
              <w:rPr>
                <w:noProof/>
                <w:webHidden/>
              </w:rPr>
              <w:t>11</w:t>
            </w:r>
            <w:r w:rsidR="00BE6ACA">
              <w:rPr>
                <w:noProof/>
                <w:webHidden/>
              </w:rPr>
              <w:fldChar w:fldCharType="end"/>
            </w:r>
          </w:hyperlink>
        </w:p>
        <w:p w:rsidR="0025009C" w:rsidRDefault="007D735C">
          <w:pPr>
            <w:pStyle w:val="TOC2"/>
            <w:rPr>
              <w:rFonts w:eastAsiaTheme="minorEastAsia"/>
              <w:lang w:bidi="ar-SA"/>
            </w:rPr>
          </w:pPr>
          <w:hyperlink w:anchor="_Toc490741853" w:history="1">
            <w:r w:rsidR="0025009C" w:rsidRPr="00B52400">
              <w:rPr>
                <w:rStyle w:val="Hyperlink"/>
              </w:rPr>
              <w:t>Percentiles</w:t>
            </w:r>
            <w:r w:rsidR="0025009C">
              <w:rPr>
                <w:webHidden/>
              </w:rPr>
              <w:tab/>
            </w:r>
            <w:r w:rsidR="00BE6ACA">
              <w:rPr>
                <w:webHidden/>
              </w:rPr>
              <w:fldChar w:fldCharType="begin"/>
            </w:r>
            <w:r w:rsidR="0025009C">
              <w:rPr>
                <w:webHidden/>
              </w:rPr>
              <w:instrText xml:space="preserve"> PAGEREF _Toc490741853 \h </w:instrText>
            </w:r>
            <w:r w:rsidR="00BE6ACA">
              <w:rPr>
                <w:webHidden/>
              </w:rPr>
            </w:r>
            <w:r w:rsidR="00BE6ACA">
              <w:rPr>
                <w:webHidden/>
              </w:rPr>
              <w:fldChar w:fldCharType="separate"/>
            </w:r>
            <w:r w:rsidR="00B3458D">
              <w:rPr>
                <w:webHidden/>
              </w:rPr>
              <w:t>12</w:t>
            </w:r>
            <w:r w:rsidR="00BE6ACA">
              <w:rPr>
                <w:webHidden/>
              </w:rPr>
              <w:fldChar w:fldCharType="end"/>
            </w:r>
          </w:hyperlink>
        </w:p>
        <w:p w:rsidR="0025009C" w:rsidRDefault="007D735C">
          <w:pPr>
            <w:pStyle w:val="TOC3"/>
            <w:rPr>
              <w:rFonts w:eastAsiaTheme="minorEastAsia"/>
              <w:noProof/>
              <w:lang w:bidi="ar-SA"/>
            </w:rPr>
          </w:pPr>
          <w:hyperlink w:anchor="_Toc490741854" w:history="1">
            <w:r w:rsidR="0025009C" w:rsidRPr="00B52400">
              <w:rPr>
                <w:rStyle w:val="Hyperlink"/>
                <w:noProof/>
              </w:rPr>
              <w:t>School percentiles</w:t>
            </w:r>
            <w:r w:rsidR="0025009C">
              <w:rPr>
                <w:noProof/>
                <w:webHidden/>
              </w:rPr>
              <w:tab/>
            </w:r>
            <w:r w:rsidR="00BE6ACA">
              <w:rPr>
                <w:noProof/>
                <w:webHidden/>
              </w:rPr>
              <w:fldChar w:fldCharType="begin"/>
            </w:r>
            <w:r w:rsidR="0025009C">
              <w:rPr>
                <w:noProof/>
                <w:webHidden/>
              </w:rPr>
              <w:instrText xml:space="preserve"> PAGEREF _Toc490741854 \h </w:instrText>
            </w:r>
            <w:r w:rsidR="00BE6ACA">
              <w:rPr>
                <w:noProof/>
                <w:webHidden/>
              </w:rPr>
            </w:r>
            <w:r w:rsidR="00BE6ACA">
              <w:rPr>
                <w:noProof/>
                <w:webHidden/>
              </w:rPr>
              <w:fldChar w:fldCharType="separate"/>
            </w:r>
            <w:r w:rsidR="00B3458D">
              <w:rPr>
                <w:noProof/>
                <w:webHidden/>
              </w:rPr>
              <w:t>12</w:t>
            </w:r>
            <w:r w:rsidR="00BE6ACA">
              <w:rPr>
                <w:noProof/>
                <w:webHidden/>
              </w:rPr>
              <w:fldChar w:fldCharType="end"/>
            </w:r>
          </w:hyperlink>
        </w:p>
        <w:p w:rsidR="0025009C" w:rsidRDefault="007D735C">
          <w:pPr>
            <w:pStyle w:val="TOC3"/>
            <w:rPr>
              <w:rFonts w:eastAsiaTheme="minorEastAsia"/>
              <w:noProof/>
              <w:lang w:bidi="ar-SA"/>
            </w:rPr>
          </w:pPr>
          <w:hyperlink w:anchor="_Toc490741855" w:history="1">
            <w:r w:rsidR="0025009C" w:rsidRPr="00B52400">
              <w:rPr>
                <w:rStyle w:val="Hyperlink"/>
                <w:noProof/>
              </w:rPr>
              <w:t>Subgroup percentiles</w:t>
            </w:r>
            <w:r w:rsidR="0025009C">
              <w:rPr>
                <w:noProof/>
                <w:webHidden/>
              </w:rPr>
              <w:tab/>
            </w:r>
            <w:r w:rsidR="00BE6ACA">
              <w:rPr>
                <w:noProof/>
                <w:webHidden/>
              </w:rPr>
              <w:fldChar w:fldCharType="begin"/>
            </w:r>
            <w:r w:rsidR="0025009C">
              <w:rPr>
                <w:noProof/>
                <w:webHidden/>
              </w:rPr>
              <w:instrText xml:space="preserve"> PAGEREF _Toc490741855 \h </w:instrText>
            </w:r>
            <w:r w:rsidR="00BE6ACA">
              <w:rPr>
                <w:noProof/>
                <w:webHidden/>
              </w:rPr>
            </w:r>
            <w:r w:rsidR="00BE6ACA">
              <w:rPr>
                <w:noProof/>
                <w:webHidden/>
              </w:rPr>
              <w:fldChar w:fldCharType="separate"/>
            </w:r>
            <w:r w:rsidR="00B3458D">
              <w:rPr>
                <w:noProof/>
                <w:webHidden/>
              </w:rPr>
              <w:t>13</w:t>
            </w:r>
            <w:r w:rsidR="00BE6ACA">
              <w:rPr>
                <w:noProof/>
                <w:webHidden/>
              </w:rPr>
              <w:fldChar w:fldCharType="end"/>
            </w:r>
          </w:hyperlink>
        </w:p>
        <w:p w:rsidR="0025009C" w:rsidRDefault="007D735C">
          <w:pPr>
            <w:pStyle w:val="TOC2"/>
            <w:rPr>
              <w:rFonts w:eastAsiaTheme="minorEastAsia"/>
              <w:lang w:bidi="ar-SA"/>
            </w:rPr>
          </w:pPr>
          <w:hyperlink w:anchor="_Toc490741856" w:history="1">
            <w:r w:rsidR="0025009C" w:rsidRPr="00B52400">
              <w:rPr>
                <w:rStyle w:val="Hyperlink"/>
              </w:rPr>
              <w:t>Framework for accountability and assistance</w:t>
            </w:r>
            <w:r w:rsidR="0025009C">
              <w:rPr>
                <w:webHidden/>
              </w:rPr>
              <w:tab/>
            </w:r>
            <w:r w:rsidR="00BE6ACA">
              <w:rPr>
                <w:webHidden/>
              </w:rPr>
              <w:fldChar w:fldCharType="begin"/>
            </w:r>
            <w:r w:rsidR="0025009C">
              <w:rPr>
                <w:webHidden/>
              </w:rPr>
              <w:instrText xml:space="preserve"> PAGEREF _Toc490741856 \h </w:instrText>
            </w:r>
            <w:r w:rsidR="00BE6ACA">
              <w:rPr>
                <w:webHidden/>
              </w:rPr>
            </w:r>
            <w:r w:rsidR="00BE6ACA">
              <w:rPr>
                <w:webHidden/>
              </w:rPr>
              <w:fldChar w:fldCharType="separate"/>
            </w:r>
            <w:r w:rsidR="00B3458D">
              <w:rPr>
                <w:webHidden/>
              </w:rPr>
              <w:t>13</w:t>
            </w:r>
            <w:r w:rsidR="00BE6ACA">
              <w:rPr>
                <w:webHidden/>
              </w:rPr>
              <w:fldChar w:fldCharType="end"/>
            </w:r>
          </w:hyperlink>
        </w:p>
        <w:p w:rsidR="0025009C" w:rsidRDefault="007D735C">
          <w:pPr>
            <w:pStyle w:val="TOC3"/>
            <w:rPr>
              <w:rFonts w:eastAsiaTheme="minorEastAsia"/>
              <w:noProof/>
              <w:lang w:bidi="ar-SA"/>
            </w:rPr>
          </w:pPr>
          <w:hyperlink w:anchor="_Toc490741857" w:history="1">
            <w:r w:rsidR="0025009C" w:rsidRPr="00B52400">
              <w:rPr>
                <w:rStyle w:val="Hyperlink"/>
                <w:noProof/>
              </w:rPr>
              <w:t>Classification of high schools</w:t>
            </w:r>
            <w:r w:rsidR="0025009C">
              <w:rPr>
                <w:noProof/>
                <w:webHidden/>
              </w:rPr>
              <w:tab/>
            </w:r>
            <w:r w:rsidR="00BE6ACA">
              <w:rPr>
                <w:noProof/>
                <w:webHidden/>
              </w:rPr>
              <w:fldChar w:fldCharType="begin"/>
            </w:r>
            <w:r w:rsidR="0025009C">
              <w:rPr>
                <w:noProof/>
                <w:webHidden/>
              </w:rPr>
              <w:instrText xml:space="preserve"> PAGEREF _Toc490741857 \h </w:instrText>
            </w:r>
            <w:r w:rsidR="00BE6ACA">
              <w:rPr>
                <w:noProof/>
                <w:webHidden/>
              </w:rPr>
            </w:r>
            <w:r w:rsidR="00BE6ACA">
              <w:rPr>
                <w:noProof/>
                <w:webHidden/>
              </w:rPr>
              <w:fldChar w:fldCharType="separate"/>
            </w:r>
            <w:r w:rsidR="00B3458D">
              <w:rPr>
                <w:noProof/>
                <w:webHidden/>
              </w:rPr>
              <w:t>13</w:t>
            </w:r>
            <w:r w:rsidR="00BE6ACA">
              <w:rPr>
                <w:noProof/>
                <w:webHidden/>
              </w:rPr>
              <w:fldChar w:fldCharType="end"/>
            </w:r>
          </w:hyperlink>
        </w:p>
        <w:p w:rsidR="0025009C" w:rsidRDefault="007D735C">
          <w:pPr>
            <w:pStyle w:val="TOC3"/>
            <w:rPr>
              <w:rFonts w:eastAsiaTheme="minorEastAsia"/>
              <w:noProof/>
              <w:lang w:bidi="ar-SA"/>
            </w:rPr>
          </w:pPr>
          <w:hyperlink w:anchor="_Toc490741858" w:history="1">
            <w:r w:rsidR="0025009C" w:rsidRPr="00B52400">
              <w:rPr>
                <w:rStyle w:val="Hyperlink"/>
                <w:noProof/>
              </w:rPr>
              <w:t>Movement between levels</w:t>
            </w:r>
            <w:r w:rsidR="0025009C">
              <w:rPr>
                <w:noProof/>
                <w:webHidden/>
              </w:rPr>
              <w:tab/>
            </w:r>
            <w:r w:rsidR="00BE6ACA">
              <w:rPr>
                <w:noProof/>
                <w:webHidden/>
              </w:rPr>
              <w:fldChar w:fldCharType="begin"/>
            </w:r>
            <w:r w:rsidR="0025009C">
              <w:rPr>
                <w:noProof/>
                <w:webHidden/>
              </w:rPr>
              <w:instrText xml:space="preserve"> PAGEREF _Toc490741858 \h </w:instrText>
            </w:r>
            <w:r w:rsidR="00BE6ACA">
              <w:rPr>
                <w:noProof/>
                <w:webHidden/>
              </w:rPr>
            </w:r>
            <w:r w:rsidR="00BE6ACA">
              <w:rPr>
                <w:noProof/>
                <w:webHidden/>
              </w:rPr>
              <w:fldChar w:fldCharType="separate"/>
            </w:r>
            <w:r w:rsidR="00B3458D">
              <w:rPr>
                <w:noProof/>
                <w:webHidden/>
              </w:rPr>
              <w:t>16</w:t>
            </w:r>
            <w:r w:rsidR="00BE6ACA">
              <w:rPr>
                <w:noProof/>
                <w:webHidden/>
              </w:rPr>
              <w:fldChar w:fldCharType="end"/>
            </w:r>
          </w:hyperlink>
        </w:p>
        <w:p w:rsidR="0025009C" w:rsidRDefault="007D735C">
          <w:pPr>
            <w:pStyle w:val="TOC1"/>
            <w:rPr>
              <w:rFonts w:eastAsiaTheme="minorEastAsia"/>
              <w:b w:val="0"/>
              <w:noProof/>
              <w:lang w:bidi="ar-SA"/>
            </w:rPr>
          </w:pPr>
          <w:hyperlink w:anchor="_Toc490741859" w:history="1">
            <w:r w:rsidR="0025009C" w:rsidRPr="00B52400">
              <w:rPr>
                <w:rStyle w:val="Hyperlink"/>
                <w:noProof/>
              </w:rPr>
              <w:t>Understanding district and school accountability reports</w:t>
            </w:r>
            <w:r w:rsidR="0025009C">
              <w:rPr>
                <w:noProof/>
                <w:webHidden/>
              </w:rPr>
              <w:tab/>
            </w:r>
            <w:r w:rsidR="00BE6ACA">
              <w:rPr>
                <w:noProof/>
                <w:webHidden/>
              </w:rPr>
              <w:fldChar w:fldCharType="begin"/>
            </w:r>
            <w:r w:rsidR="0025009C">
              <w:rPr>
                <w:noProof/>
                <w:webHidden/>
              </w:rPr>
              <w:instrText xml:space="preserve"> PAGEREF _Toc490741859 \h </w:instrText>
            </w:r>
            <w:r w:rsidR="00BE6ACA">
              <w:rPr>
                <w:noProof/>
                <w:webHidden/>
              </w:rPr>
            </w:r>
            <w:r w:rsidR="00BE6ACA">
              <w:rPr>
                <w:noProof/>
                <w:webHidden/>
              </w:rPr>
              <w:fldChar w:fldCharType="separate"/>
            </w:r>
            <w:r w:rsidR="00B3458D">
              <w:rPr>
                <w:noProof/>
                <w:webHidden/>
              </w:rPr>
              <w:t>17</w:t>
            </w:r>
            <w:r w:rsidR="00BE6ACA">
              <w:rPr>
                <w:noProof/>
                <w:webHidden/>
              </w:rPr>
              <w:fldChar w:fldCharType="end"/>
            </w:r>
          </w:hyperlink>
        </w:p>
        <w:p w:rsidR="0025009C" w:rsidRDefault="007D735C">
          <w:pPr>
            <w:pStyle w:val="TOC2"/>
            <w:rPr>
              <w:rFonts w:eastAsiaTheme="minorEastAsia"/>
              <w:lang w:bidi="ar-SA"/>
            </w:rPr>
          </w:pPr>
          <w:hyperlink w:anchor="_Toc490741860" w:history="1">
            <w:r w:rsidR="0025009C" w:rsidRPr="00B52400">
              <w:rPr>
                <w:rStyle w:val="Hyperlink"/>
              </w:rPr>
              <w:t>School accountability reports</w:t>
            </w:r>
            <w:r w:rsidR="0025009C">
              <w:rPr>
                <w:webHidden/>
              </w:rPr>
              <w:tab/>
            </w:r>
            <w:r w:rsidR="00BE6ACA">
              <w:rPr>
                <w:webHidden/>
              </w:rPr>
              <w:fldChar w:fldCharType="begin"/>
            </w:r>
            <w:r w:rsidR="0025009C">
              <w:rPr>
                <w:webHidden/>
              </w:rPr>
              <w:instrText xml:space="preserve"> PAGEREF _Toc490741860 \h </w:instrText>
            </w:r>
            <w:r w:rsidR="00BE6ACA">
              <w:rPr>
                <w:webHidden/>
              </w:rPr>
            </w:r>
            <w:r w:rsidR="00BE6ACA">
              <w:rPr>
                <w:webHidden/>
              </w:rPr>
              <w:fldChar w:fldCharType="separate"/>
            </w:r>
            <w:r w:rsidR="00B3458D">
              <w:rPr>
                <w:webHidden/>
              </w:rPr>
              <w:t>17</w:t>
            </w:r>
            <w:r w:rsidR="00BE6ACA">
              <w:rPr>
                <w:webHidden/>
              </w:rPr>
              <w:fldChar w:fldCharType="end"/>
            </w:r>
          </w:hyperlink>
        </w:p>
        <w:p w:rsidR="0025009C" w:rsidRDefault="007D735C">
          <w:pPr>
            <w:pStyle w:val="TOC2"/>
            <w:rPr>
              <w:rFonts w:eastAsiaTheme="minorEastAsia"/>
              <w:lang w:bidi="ar-SA"/>
            </w:rPr>
          </w:pPr>
          <w:hyperlink w:anchor="_Toc490741861" w:history="1">
            <w:r w:rsidR="0025009C" w:rsidRPr="00B52400">
              <w:rPr>
                <w:rStyle w:val="Hyperlink"/>
              </w:rPr>
              <w:t>District accountability reports</w:t>
            </w:r>
            <w:r w:rsidR="0025009C">
              <w:rPr>
                <w:webHidden/>
              </w:rPr>
              <w:tab/>
            </w:r>
            <w:r w:rsidR="00BE6ACA">
              <w:rPr>
                <w:webHidden/>
              </w:rPr>
              <w:fldChar w:fldCharType="begin"/>
            </w:r>
            <w:r w:rsidR="0025009C">
              <w:rPr>
                <w:webHidden/>
              </w:rPr>
              <w:instrText xml:space="preserve"> PAGEREF _Toc490741861 \h </w:instrText>
            </w:r>
            <w:r w:rsidR="00BE6ACA">
              <w:rPr>
                <w:webHidden/>
              </w:rPr>
            </w:r>
            <w:r w:rsidR="00BE6ACA">
              <w:rPr>
                <w:webHidden/>
              </w:rPr>
              <w:fldChar w:fldCharType="separate"/>
            </w:r>
            <w:r w:rsidR="00B3458D">
              <w:rPr>
                <w:webHidden/>
              </w:rPr>
              <w:t>18</w:t>
            </w:r>
            <w:r w:rsidR="00BE6ACA">
              <w:rPr>
                <w:webHidden/>
              </w:rPr>
              <w:fldChar w:fldCharType="end"/>
            </w:r>
          </w:hyperlink>
        </w:p>
        <w:p w:rsidR="0025009C" w:rsidRDefault="007D735C">
          <w:pPr>
            <w:pStyle w:val="TOC1"/>
            <w:rPr>
              <w:rFonts w:eastAsiaTheme="minorEastAsia"/>
              <w:b w:val="0"/>
              <w:noProof/>
              <w:lang w:bidi="ar-SA"/>
            </w:rPr>
          </w:pPr>
          <w:hyperlink w:anchor="_Toc490741862" w:history="1">
            <w:r w:rsidR="0025009C" w:rsidRPr="00B52400">
              <w:rPr>
                <w:rStyle w:val="Hyperlink"/>
                <w:noProof/>
              </w:rPr>
              <w:t>District and school reconfigurations and accountability determinations</w:t>
            </w:r>
            <w:r w:rsidR="0025009C">
              <w:rPr>
                <w:noProof/>
                <w:webHidden/>
              </w:rPr>
              <w:tab/>
            </w:r>
            <w:r w:rsidR="00BE6ACA">
              <w:rPr>
                <w:noProof/>
                <w:webHidden/>
              </w:rPr>
              <w:fldChar w:fldCharType="begin"/>
            </w:r>
            <w:r w:rsidR="0025009C">
              <w:rPr>
                <w:noProof/>
                <w:webHidden/>
              </w:rPr>
              <w:instrText xml:space="preserve"> PAGEREF _Toc490741862 \h </w:instrText>
            </w:r>
            <w:r w:rsidR="00BE6ACA">
              <w:rPr>
                <w:noProof/>
                <w:webHidden/>
              </w:rPr>
            </w:r>
            <w:r w:rsidR="00BE6ACA">
              <w:rPr>
                <w:noProof/>
                <w:webHidden/>
              </w:rPr>
              <w:fldChar w:fldCharType="separate"/>
            </w:r>
            <w:r w:rsidR="00B3458D">
              <w:rPr>
                <w:noProof/>
                <w:webHidden/>
              </w:rPr>
              <w:t>18</w:t>
            </w:r>
            <w:r w:rsidR="00BE6ACA">
              <w:rPr>
                <w:noProof/>
                <w:webHidden/>
              </w:rPr>
              <w:fldChar w:fldCharType="end"/>
            </w:r>
          </w:hyperlink>
        </w:p>
        <w:p w:rsidR="0025009C" w:rsidRDefault="007D735C">
          <w:pPr>
            <w:pStyle w:val="TOC1"/>
            <w:rPr>
              <w:rFonts w:eastAsiaTheme="minorEastAsia"/>
              <w:b w:val="0"/>
              <w:noProof/>
              <w:lang w:bidi="ar-SA"/>
            </w:rPr>
          </w:pPr>
          <w:hyperlink w:anchor="_Toc490741863" w:history="1">
            <w:r w:rsidR="0025009C" w:rsidRPr="00B52400">
              <w:rPr>
                <w:rStyle w:val="Hyperlink"/>
                <w:noProof/>
              </w:rPr>
              <w:t>Discrepancies and appeals</w:t>
            </w:r>
            <w:r w:rsidR="0025009C">
              <w:rPr>
                <w:noProof/>
                <w:webHidden/>
              </w:rPr>
              <w:tab/>
            </w:r>
            <w:r w:rsidR="00BE6ACA">
              <w:rPr>
                <w:noProof/>
                <w:webHidden/>
              </w:rPr>
              <w:fldChar w:fldCharType="begin"/>
            </w:r>
            <w:r w:rsidR="0025009C">
              <w:rPr>
                <w:noProof/>
                <w:webHidden/>
              </w:rPr>
              <w:instrText xml:space="preserve"> PAGEREF _Toc490741863 \h </w:instrText>
            </w:r>
            <w:r w:rsidR="00BE6ACA">
              <w:rPr>
                <w:noProof/>
                <w:webHidden/>
              </w:rPr>
            </w:r>
            <w:r w:rsidR="00BE6ACA">
              <w:rPr>
                <w:noProof/>
                <w:webHidden/>
              </w:rPr>
              <w:fldChar w:fldCharType="separate"/>
            </w:r>
            <w:r w:rsidR="00B3458D">
              <w:rPr>
                <w:noProof/>
                <w:webHidden/>
              </w:rPr>
              <w:t>19</w:t>
            </w:r>
            <w:r w:rsidR="00BE6ACA">
              <w:rPr>
                <w:noProof/>
                <w:webHidden/>
              </w:rPr>
              <w:fldChar w:fldCharType="end"/>
            </w:r>
          </w:hyperlink>
        </w:p>
        <w:p w:rsidR="0025009C" w:rsidRDefault="007D735C">
          <w:pPr>
            <w:pStyle w:val="TOC2"/>
            <w:rPr>
              <w:rFonts w:eastAsiaTheme="minorEastAsia"/>
              <w:lang w:bidi="ar-SA"/>
            </w:rPr>
          </w:pPr>
          <w:hyperlink w:anchor="_Toc490741864" w:history="1">
            <w:r w:rsidR="0025009C" w:rsidRPr="00B52400">
              <w:rPr>
                <w:rStyle w:val="Hyperlink"/>
              </w:rPr>
              <w:t>Discrepancies</w:t>
            </w:r>
            <w:r w:rsidR="0025009C">
              <w:rPr>
                <w:webHidden/>
              </w:rPr>
              <w:tab/>
            </w:r>
            <w:r w:rsidR="00BE6ACA">
              <w:rPr>
                <w:webHidden/>
              </w:rPr>
              <w:fldChar w:fldCharType="begin"/>
            </w:r>
            <w:r w:rsidR="0025009C">
              <w:rPr>
                <w:webHidden/>
              </w:rPr>
              <w:instrText xml:space="preserve"> PAGEREF _Toc490741864 \h </w:instrText>
            </w:r>
            <w:r w:rsidR="00BE6ACA">
              <w:rPr>
                <w:webHidden/>
              </w:rPr>
            </w:r>
            <w:r w:rsidR="00BE6ACA">
              <w:rPr>
                <w:webHidden/>
              </w:rPr>
              <w:fldChar w:fldCharType="separate"/>
            </w:r>
            <w:r w:rsidR="00B3458D">
              <w:rPr>
                <w:webHidden/>
              </w:rPr>
              <w:t>19</w:t>
            </w:r>
            <w:r w:rsidR="00BE6ACA">
              <w:rPr>
                <w:webHidden/>
              </w:rPr>
              <w:fldChar w:fldCharType="end"/>
            </w:r>
          </w:hyperlink>
        </w:p>
        <w:p w:rsidR="0025009C" w:rsidRDefault="007D735C">
          <w:pPr>
            <w:pStyle w:val="TOC2"/>
            <w:rPr>
              <w:rFonts w:eastAsiaTheme="minorEastAsia"/>
              <w:lang w:bidi="ar-SA"/>
            </w:rPr>
          </w:pPr>
          <w:hyperlink w:anchor="_Toc490741865" w:history="1">
            <w:r w:rsidR="0025009C" w:rsidRPr="00B52400">
              <w:rPr>
                <w:rStyle w:val="Hyperlink"/>
              </w:rPr>
              <w:t>Appeals</w:t>
            </w:r>
            <w:r w:rsidR="0025009C">
              <w:rPr>
                <w:webHidden/>
              </w:rPr>
              <w:tab/>
            </w:r>
            <w:r w:rsidR="00BE6ACA">
              <w:rPr>
                <w:webHidden/>
              </w:rPr>
              <w:fldChar w:fldCharType="begin"/>
            </w:r>
            <w:r w:rsidR="0025009C">
              <w:rPr>
                <w:webHidden/>
              </w:rPr>
              <w:instrText xml:space="preserve"> PAGEREF _Toc490741865 \h </w:instrText>
            </w:r>
            <w:r w:rsidR="00BE6ACA">
              <w:rPr>
                <w:webHidden/>
              </w:rPr>
            </w:r>
            <w:r w:rsidR="00BE6ACA">
              <w:rPr>
                <w:webHidden/>
              </w:rPr>
              <w:fldChar w:fldCharType="separate"/>
            </w:r>
            <w:r w:rsidR="00B3458D">
              <w:rPr>
                <w:webHidden/>
              </w:rPr>
              <w:t>19</w:t>
            </w:r>
            <w:r w:rsidR="00BE6ACA">
              <w:rPr>
                <w:webHidden/>
              </w:rPr>
              <w:fldChar w:fldCharType="end"/>
            </w:r>
          </w:hyperlink>
        </w:p>
        <w:p w:rsidR="0025009C" w:rsidRDefault="007D735C">
          <w:pPr>
            <w:pStyle w:val="TOC1"/>
            <w:rPr>
              <w:rFonts w:eastAsiaTheme="minorEastAsia"/>
              <w:b w:val="0"/>
              <w:noProof/>
              <w:lang w:bidi="ar-SA"/>
            </w:rPr>
          </w:pPr>
          <w:hyperlink w:anchor="_Toc490741866" w:history="1">
            <w:r w:rsidR="0025009C" w:rsidRPr="00B52400">
              <w:rPr>
                <w:rStyle w:val="Hyperlink"/>
                <w:noProof/>
              </w:rPr>
              <w:t>Resources</w:t>
            </w:r>
            <w:r w:rsidR="0025009C">
              <w:rPr>
                <w:noProof/>
                <w:webHidden/>
              </w:rPr>
              <w:tab/>
            </w:r>
            <w:r w:rsidR="00BE6ACA">
              <w:rPr>
                <w:noProof/>
                <w:webHidden/>
              </w:rPr>
              <w:fldChar w:fldCharType="begin"/>
            </w:r>
            <w:r w:rsidR="0025009C">
              <w:rPr>
                <w:noProof/>
                <w:webHidden/>
              </w:rPr>
              <w:instrText xml:space="preserve"> PAGEREF _Toc490741866 \h </w:instrText>
            </w:r>
            <w:r w:rsidR="00BE6ACA">
              <w:rPr>
                <w:noProof/>
                <w:webHidden/>
              </w:rPr>
            </w:r>
            <w:r w:rsidR="00BE6ACA">
              <w:rPr>
                <w:noProof/>
                <w:webHidden/>
              </w:rPr>
              <w:fldChar w:fldCharType="separate"/>
            </w:r>
            <w:r w:rsidR="00B3458D">
              <w:rPr>
                <w:noProof/>
                <w:webHidden/>
              </w:rPr>
              <w:t>20</w:t>
            </w:r>
            <w:r w:rsidR="00BE6ACA">
              <w:rPr>
                <w:noProof/>
                <w:webHidden/>
              </w:rPr>
              <w:fldChar w:fldCharType="end"/>
            </w:r>
          </w:hyperlink>
        </w:p>
        <w:p w:rsidR="0025009C" w:rsidRDefault="007D735C">
          <w:pPr>
            <w:pStyle w:val="TOC1"/>
            <w:rPr>
              <w:rFonts w:eastAsiaTheme="minorEastAsia"/>
              <w:b w:val="0"/>
              <w:noProof/>
              <w:lang w:bidi="ar-SA"/>
            </w:rPr>
          </w:pPr>
          <w:hyperlink w:anchor="_Toc490741867" w:history="1">
            <w:r w:rsidR="0025009C" w:rsidRPr="00B52400">
              <w:rPr>
                <w:rStyle w:val="Hyperlink"/>
                <w:noProof/>
              </w:rPr>
              <w:t>Appendix A: Criteria for awarding Progress and Performance Index (PPI) points (high schools only)</w:t>
            </w:r>
            <w:r w:rsidR="0025009C">
              <w:rPr>
                <w:noProof/>
                <w:webHidden/>
              </w:rPr>
              <w:tab/>
            </w:r>
            <w:r w:rsidR="00BE6ACA">
              <w:rPr>
                <w:noProof/>
                <w:webHidden/>
              </w:rPr>
              <w:fldChar w:fldCharType="begin"/>
            </w:r>
            <w:r w:rsidR="0025009C">
              <w:rPr>
                <w:noProof/>
                <w:webHidden/>
              </w:rPr>
              <w:instrText xml:space="preserve"> PAGEREF _Toc490741867 \h </w:instrText>
            </w:r>
            <w:r w:rsidR="00BE6ACA">
              <w:rPr>
                <w:noProof/>
                <w:webHidden/>
              </w:rPr>
            </w:r>
            <w:r w:rsidR="00BE6ACA">
              <w:rPr>
                <w:noProof/>
                <w:webHidden/>
              </w:rPr>
              <w:fldChar w:fldCharType="separate"/>
            </w:r>
            <w:r w:rsidR="00B3458D">
              <w:rPr>
                <w:noProof/>
                <w:webHidden/>
              </w:rPr>
              <w:t>21</w:t>
            </w:r>
            <w:r w:rsidR="00BE6ACA">
              <w:rPr>
                <w:noProof/>
                <w:webHidden/>
              </w:rPr>
              <w:fldChar w:fldCharType="end"/>
            </w:r>
          </w:hyperlink>
        </w:p>
        <w:p w:rsidR="0025009C" w:rsidRDefault="007D735C">
          <w:pPr>
            <w:pStyle w:val="TOC1"/>
            <w:rPr>
              <w:rFonts w:eastAsiaTheme="minorEastAsia"/>
              <w:b w:val="0"/>
              <w:noProof/>
              <w:lang w:bidi="ar-SA"/>
            </w:rPr>
          </w:pPr>
          <w:hyperlink w:anchor="_Toc490741868" w:history="1">
            <w:r w:rsidR="0025009C" w:rsidRPr="00B52400">
              <w:rPr>
                <w:rStyle w:val="Hyperlink"/>
                <w:noProof/>
              </w:rPr>
              <w:t>Appendix B: Methodology for identifying Level 3, 4, and 5 high schools</w:t>
            </w:r>
            <w:r w:rsidR="0025009C">
              <w:rPr>
                <w:noProof/>
                <w:webHidden/>
              </w:rPr>
              <w:tab/>
            </w:r>
            <w:r w:rsidR="00BE6ACA">
              <w:rPr>
                <w:noProof/>
                <w:webHidden/>
              </w:rPr>
              <w:fldChar w:fldCharType="begin"/>
            </w:r>
            <w:r w:rsidR="0025009C">
              <w:rPr>
                <w:noProof/>
                <w:webHidden/>
              </w:rPr>
              <w:instrText xml:space="preserve"> PAGEREF _Toc490741868 \h </w:instrText>
            </w:r>
            <w:r w:rsidR="00BE6ACA">
              <w:rPr>
                <w:noProof/>
                <w:webHidden/>
              </w:rPr>
            </w:r>
            <w:r w:rsidR="00BE6ACA">
              <w:rPr>
                <w:noProof/>
                <w:webHidden/>
              </w:rPr>
              <w:fldChar w:fldCharType="separate"/>
            </w:r>
            <w:r w:rsidR="00B3458D">
              <w:rPr>
                <w:noProof/>
                <w:webHidden/>
              </w:rPr>
              <w:t>22</w:t>
            </w:r>
            <w:r w:rsidR="00BE6ACA">
              <w:rPr>
                <w:noProof/>
                <w:webHidden/>
              </w:rPr>
              <w:fldChar w:fldCharType="end"/>
            </w:r>
          </w:hyperlink>
        </w:p>
        <w:p w:rsidR="0025009C" w:rsidRDefault="007D735C">
          <w:pPr>
            <w:pStyle w:val="TOC1"/>
            <w:rPr>
              <w:rFonts w:eastAsiaTheme="minorEastAsia"/>
              <w:b w:val="0"/>
              <w:noProof/>
              <w:lang w:bidi="ar-SA"/>
            </w:rPr>
          </w:pPr>
          <w:hyperlink w:anchor="_Toc490741869" w:history="1">
            <w:r w:rsidR="0025009C" w:rsidRPr="00B52400">
              <w:rPr>
                <w:rStyle w:val="Hyperlink"/>
                <w:noProof/>
              </w:rPr>
              <w:t>Appendix C: Accountability and assistance levels and required actions</w:t>
            </w:r>
            <w:r w:rsidR="0025009C">
              <w:rPr>
                <w:noProof/>
                <w:webHidden/>
              </w:rPr>
              <w:tab/>
            </w:r>
            <w:r w:rsidR="00BE6ACA">
              <w:rPr>
                <w:noProof/>
                <w:webHidden/>
              </w:rPr>
              <w:fldChar w:fldCharType="begin"/>
            </w:r>
            <w:r w:rsidR="0025009C">
              <w:rPr>
                <w:noProof/>
                <w:webHidden/>
              </w:rPr>
              <w:instrText xml:space="preserve"> PAGEREF _Toc490741869 \h </w:instrText>
            </w:r>
            <w:r w:rsidR="00BE6ACA">
              <w:rPr>
                <w:noProof/>
                <w:webHidden/>
              </w:rPr>
            </w:r>
            <w:r w:rsidR="00BE6ACA">
              <w:rPr>
                <w:noProof/>
                <w:webHidden/>
              </w:rPr>
              <w:fldChar w:fldCharType="separate"/>
            </w:r>
            <w:r w:rsidR="00B3458D">
              <w:rPr>
                <w:noProof/>
                <w:webHidden/>
              </w:rPr>
              <w:t>25</w:t>
            </w:r>
            <w:r w:rsidR="00BE6ACA">
              <w:rPr>
                <w:noProof/>
                <w:webHidden/>
              </w:rPr>
              <w:fldChar w:fldCharType="end"/>
            </w:r>
          </w:hyperlink>
        </w:p>
        <w:p w:rsidR="00E83E9C" w:rsidRDefault="00BE6ACA">
          <w:r>
            <w:fldChar w:fldCharType="end"/>
          </w:r>
        </w:p>
      </w:sdtContent>
    </w:sdt>
    <w:p w:rsidR="00E83E9C" w:rsidRPr="00A02F1C" w:rsidRDefault="00E83E9C" w:rsidP="00A02F1C">
      <w:pPr>
        <w:sectPr w:rsidR="00E83E9C" w:rsidRPr="00A02F1C" w:rsidSect="004F74FF">
          <w:headerReference w:type="default" r:id="rId14"/>
          <w:footerReference w:type="default" r:id="rId15"/>
          <w:pgSz w:w="12240" w:h="15840" w:code="1"/>
          <w:pgMar w:top="1440" w:right="1440" w:bottom="1440" w:left="1440" w:header="432" w:footer="432" w:gutter="0"/>
          <w:cols w:space="720"/>
          <w:docGrid w:linePitch="360"/>
        </w:sectPr>
      </w:pPr>
    </w:p>
    <w:p w:rsidR="002C2C1A" w:rsidRDefault="00FB178B" w:rsidP="00187D81">
      <w:pPr>
        <w:pStyle w:val="Heading1"/>
      </w:pPr>
      <w:bookmarkStart w:id="0" w:name="_Toc435178300"/>
      <w:bookmarkStart w:id="1" w:name="_Toc435178506"/>
      <w:bookmarkStart w:id="2" w:name="_Toc490741842"/>
      <w:r w:rsidRPr="003902AC">
        <w:lastRenderedPageBreak/>
        <w:t xml:space="preserve">Overview of </w:t>
      </w:r>
      <w:r w:rsidR="00635392" w:rsidRPr="003902AC">
        <w:t>Massachusetts’ accountability measures</w:t>
      </w:r>
      <w:bookmarkEnd w:id="0"/>
      <w:bookmarkEnd w:id="1"/>
      <w:bookmarkEnd w:id="2"/>
    </w:p>
    <w:p w:rsidR="00280E5A" w:rsidRPr="002C54BB" w:rsidRDefault="007353DA" w:rsidP="005E67E6">
      <w:r>
        <w:t>I</w:t>
      </w:r>
      <w:r w:rsidRPr="002C54BB">
        <w:t xml:space="preserve">n </w:t>
      </w:r>
      <w:r w:rsidR="00280E5A" w:rsidRPr="002C54BB">
        <w:t xml:space="preserve">February 2012, Massachusetts was granted flexibility from certain No Child Left Behind (NCLB) requirements. Prior to seeking this flexibility, the Commonwealth’s </w:t>
      </w:r>
      <w:r w:rsidR="00A848EC">
        <w:t>districts and schools</w:t>
      </w:r>
      <w:r w:rsidR="00280E5A" w:rsidRPr="002C54BB">
        <w:t xml:space="preserve"> were assessed based on both the state’s five-level </w:t>
      </w:r>
      <w:r w:rsidR="00423561">
        <w:t>f</w:t>
      </w:r>
      <w:r w:rsidR="00280E5A" w:rsidRPr="002C54BB">
        <w:t xml:space="preserve">ramework for </w:t>
      </w:r>
      <w:r w:rsidR="00423561">
        <w:t>a</w:t>
      </w:r>
      <w:r w:rsidR="00280E5A" w:rsidRPr="002C54BB">
        <w:t xml:space="preserve">ccountability and </w:t>
      </w:r>
      <w:r w:rsidR="00423561">
        <w:t>a</w:t>
      </w:r>
      <w:r w:rsidR="00280E5A" w:rsidRPr="002C54BB">
        <w:t xml:space="preserve">ssistance and the requirements of NCLB. The 2012-13 school year marked the first year of Massachusetts’ implementation of a unified system for classifying districts and schools. </w:t>
      </w:r>
    </w:p>
    <w:p w:rsidR="00280E5A" w:rsidRDefault="00280E5A" w:rsidP="005E67E6">
      <w:r>
        <w:t xml:space="preserve">Massachusetts’ accountability system measures each </w:t>
      </w:r>
      <w:r w:rsidR="00A848EC">
        <w:t>district and school</w:t>
      </w:r>
      <w:r>
        <w:t xml:space="preserve">’s progress toward the goal of reducing proficiency gaps by half between the </w:t>
      </w:r>
      <w:r w:rsidR="00882794">
        <w:t>2010</w:t>
      </w:r>
      <w:r>
        <w:t>-</w:t>
      </w:r>
      <w:r w:rsidR="00882794">
        <w:t xml:space="preserve">11 </w:t>
      </w:r>
      <w:r>
        <w:t xml:space="preserve">and 2016-17 school years. </w:t>
      </w:r>
      <w:r w:rsidR="009B6733">
        <w:t xml:space="preserve">Massachusetts uses the </w:t>
      </w:r>
      <w:r w:rsidR="004D5B57">
        <w:t>Progress and Performance Index (</w:t>
      </w:r>
      <w:r w:rsidR="009B6733">
        <w:t>PPI</w:t>
      </w:r>
      <w:r w:rsidR="004D5B57">
        <w:t>)</w:t>
      </w:r>
      <w:r w:rsidR="009B6733">
        <w:t xml:space="preserve"> and school percentiles to classify schools into one of five accountability and assistance levels</w:t>
      </w:r>
      <w:r w:rsidR="00423561">
        <w:t>. Schools making sufficient progress toward narrowing proficiency gaps are classified into Level 1, while the state’s lowest performing schools are classified into Levels 4 and 5</w:t>
      </w:r>
      <w:r w:rsidR="009B6733">
        <w:t xml:space="preserve">. </w:t>
      </w:r>
    </w:p>
    <w:p w:rsidR="00AD1FFE" w:rsidRDefault="00AD1FFE" w:rsidP="00B0616A">
      <w:pPr>
        <w:pStyle w:val="Heading1"/>
      </w:pPr>
      <w:bookmarkStart w:id="3" w:name="_Toc490741843"/>
      <w:bookmarkStart w:id="4" w:name="_Toc435178301"/>
      <w:bookmarkStart w:id="5" w:name="_Toc435178507"/>
      <w:r>
        <w:t xml:space="preserve">Changes to </w:t>
      </w:r>
      <w:r w:rsidR="00B655E7">
        <w:t xml:space="preserve">2017 </w:t>
      </w:r>
      <w:r>
        <w:t>accountability reporting</w:t>
      </w:r>
      <w:bookmarkEnd w:id="3"/>
    </w:p>
    <w:p w:rsidR="007D34EF" w:rsidRDefault="007D34EF" w:rsidP="007D34EF">
      <w:r>
        <w:t>In November 2015, the Board</w:t>
      </w:r>
      <w:r w:rsidR="00FA61FB">
        <w:t xml:space="preserve"> of Elementary and Secondary Education</w:t>
      </w:r>
      <w:r>
        <w:t xml:space="preserve"> voted to launch development of the next-generation student assessment program for Massachusetts, building upon the best elements of the legacy MCAS (Massachusetts Comprehensive Assessment System) and PARCC (Partnership for Advancement of Readiness for College and Careers) tests</w:t>
      </w:r>
      <w:r w:rsidR="0042213A">
        <w:t xml:space="preserve"> that were previously administered</w:t>
      </w:r>
      <w:r>
        <w:t xml:space="preserve">. In spring 2017, Massachusetts schools administered Next-Generation MCAS assessments in English language arts (ELA) and mathematics </w:t>
      </w:r>
      <w:r w:rsidRPr="00C3287B">
        <w:t>for the first time to all students in grades 3-8.</w:t>
      </w:r>
      <w:r>
        <w:t xml:space="preserve"> </w:t>
      </w:r>
    </w:p>
    <w:p w:rsidR="00FA61FB" w:rsidRPr="00C3287B" w:rsidRDefault="007D34EF" w:rsidP="00FA61FB">
      <w:pPr>
        <w:rPr>
          <w:szCs w:val="24"/>
        </w:rPr>
      </w:pPr>
      <w:r>
        <w:rPr>
          <w:szCs w:val="24"/>
        </w:rPr>
        <w:t xml:space="preserve">Anticipating the shift to the </w:t>
      </w:r>
      <w:r w:rsidR="00D96936">
        <w:rPr>
          <w:szCs w:val="24"/>
        </w:rPr>
        <w:t xml:space="preserve">new assessment, the Board’s vote included the requirement that </w:t>
      </w:r>
      <w:r>
        <w:rPr>
          <w:szCs w:val="24"/>
        </w:rPr>
        <w:t xml:space="preserve">districts and schools administering Next-Generation MCAS assessments in grades 3-8 in spring 2017 would not have their accountability results negatively impacted based on those test scores. That decision is reflected in the amended </w:t>
      </w:r>
      <w:r w:rsidR="00B04DCE">
        <w:rPr>
          <w:szCs w:val="24"/>
        </w:rPr>
        <w:t xml:space="preserve">state accountability </w:t>
      </w:r>
      <w:r>
        <w:rPr>
          <w:szCs w:val="24"/>
        </w:rPr>
        <w:t>regulation</w:t>
      </w:r>
      <w:r w:rsidR="00B04DCE">
        <w:rPr>
          <w:szCs w:val="24"/>
        </w:rPr>
        <w:t>s</w:t>
      </w:r>
      <w:r w:rsidR="0042213A">
        <w:rPr>
          <w:rStyle w:val="FootnoteReference"/>
          <w:szCs w:val="24"/>
        </w:rPr>
        <w:footnoteReference w:id="1"/>
      </w:r>
      <w:r>
        <w:rPr>
          <w:szCs w:val="24"/>
        </w:rPr>
        <w:t xml:space="preserve"> that t</w:t>
      </w:r>
      <w:r w:rsidR="00B04DCE">
        <w:rPr>
          <w:szCs w:val="24"/>
        </w:rPr>
        <w:t xml:space="preserve">he Board adopted at its </w:t>
      </w:r>
      <w:hyperlink r:id="rId16" w:history="1">
        <w:r w:rsidR="00B04DCE" w:rsidRPr="0042213A">
          <w:rPr>
            <w:rStyle w:val="Hyperlink"/>
            <w:szCs w:val="24"/>
          </w:rPr>
          <w:t>April</w:t>
        </w:r>
        <w:r w:rsidRPr="0042213A">
          <w:rPr>
            <w:rStyle w:val="Hyperlink"/>
            <w:szCs w:val="24"/>
          </w:rPr>
          <w:t xml:space="preserve"> 2017 meeting</w:t>
        </w:r>
      </w:hyperlink>
      <w:r>
        <w:rPr>
          <w:szCs w:val="24"/>
        </w:rPr>
        <w:t xml:space="preserve">. The </w:t>
      </w:r>
      <w:r w:rsidR="00F944BE">
        <w:rPr>
          <w:szCs w:val="24"/>
        </w:rPr>
        <w:t>regulations allow</w:t>
      </w:r>
      <w:r>
        <w:rPr>
          <w:szCs w:val="24"/>
        </w:rPr>
        <w:t xml:space="preserve"> ESE to </w:t>
      </w:r>
      <w:r w:rsidR="00FA61FB" w:rsidRPr="00C3287B">
        <w:rPr>
          <w:szCs w:val="24"/>
        </w:rPr>
        <w:t>refrain from placing certain schools into Levels 1-3 at the beginning of the 2017-18 school year</w:t>
      </w:r>
      <w:r w:rsidR="00A8384D">
        <w:rPr>
          <w:szCs w:val="24"/>
        </w:rPr>
        <w:t>,</w:t>
      </w:r>
      <w:r w:rsidR="00FA61FB" w:rsidRPr="00C3287B">
        <w:rPr>
          <w:szCs w:val="24"/>
        </w:rPr>
        <w:t xml:space="preserve"> as </w:t>
      </w:r>
      <w:r w:rsidR="009374F0">
        <w:rPr>
          <w:szCs w:val="24"/>
        </w:rPr>
        <w:t>described</w:t>
      </w:r>
      <w:r w:rsidR="00FA61FB" w:rsidRPr="00C3287B">
        <w:rPr>
          <w:szCs w:val="24"/>
        </w:rPr>
        <w:t xml:space="preserve"> in detail below.</w:t>
      </w:r>
    </w:p>
    <w:p w:rsidR="00B0616A" w:rsidRDefault="00B0616A" w:rsidP="00B0616A">
      <w:pPr>
        <w:pStyle w:val="Heading1"/>
      </w:pPr>
      <w:bookmarkStart w:id="6" w:name="_Toc490741844"/>
      <w:r>
        <w:t xml:space="preserve">Accountability determinations for </w:t>
      </w:r>
      <w:r w:rsidR="00AA0AE6">
        <w:t>schools and districts</w:t>
      </w:r>
      <w:r>
        <w:t xml:space="preserve"> administering Next-Generation MCAS assessments</w:t>
      </w:r>
      <w:bookmarkEnd w:id="6"/>
    </w:p>
    <w:p w:rsidR="006E3BDE" w:rsidRDefault="005D373C" w:rsidP="00701EE8">
      <w:r>
        <w:t xml:space="preserve">The amended regulations change the way accountability determinations are made for </w:t>
      </w:r>
      <w:r w:rsidR="00265A27">
        <w:t xml:space="preserve">districts and </w:t>
      </w:r>
      <w:r>
        <w:t xml:space="preserve">schools that administered </w:t>
      </w:r>
      <w:r w:rsidR="00AA0AE6">
        <w:t xml:space="preserve">2017 </w:t>
      </w:r>
      <w:r>
        <w:t xml:space="preserve">Next-Generation MCAS tests in </w:t>
      </w:r>
      <w:r w:rsidR="00AA0AE6">
        <w:t>grades 3-8</w:t>
      </w:r>
      <w:r>
        <w:t xml:space="preserve">. Also impacted are those </w:t>
      </w:r>
      <w:r w:rsidR="00265A27">
        <w:t xml:space="preserve">districts and </w:t>
      </w:r>
      <w:r>
        <w:t xml:space="preserve">schools that serve a combination of grades 3-8 and 9-12 (e.g., middle/high schools or K-12 schools that administered Next-Generation MCAS tests in grades 3-8 </w:t>
      </w:r>
      <w:r w:rsidRPr="005D373C">
        <w:rPr>
          <w:i/>
        </w:rPr>
        <w:t>and</w:t>
      </w:r>
      <w:r>
        <w:t xml:space="preserve"> legacy MCAS tests in grade 10). </w:t>
      </w:r>
    </w:p>
    <w:p w:rsidR="00265A27" w:rsidRDefault="008C0E8F" w:rsidP="00265A27">
      <w:pPr>
        <w:pStyle w:val="Heading2"/>
      </w:pPr>
      <w:bookmarkStart w:id="7" w:name="_Toc490741845"/>
      <w:r>
        <w:lastRenderedPageBreak/>
        <w:t>Classification of s</w:t>
      </w:r>
      <w:r w:rsidR="00265A27">
        <w:t>chools</w:t>
      </w:r>
      <w:bookmarkEnd w:id="7"/>
    </w:p>
    <w:p w:rsidR="005D373C" w:rsidRDefault="00265A27" w:rsidP="00701EE8">
      <w:r>
        <w:t>S</w:t>
      </w:r>
      <w:r w:rsidR="005D373C">
        <w:t xml:space="preserve">chools administering Next-Generation MCAS tests </w:t>
      </w:r>
      <w:r>
        <w:t>are</w:t>
      </w:r>
      <w:r w:rsidR="005D373C">
        <w:t xml:space="preserve"> assigned </w:t>
      </w:r>
      <w:r w:rsidR="006E3BDE">
        <w:t>a 2017</w:t>
      </w:r>
      <w:r w:rsidR="008C1E5D">
        <w:t xml:space="preserve"> accountability</w:t>
      </w:r>
      <w:r w:rsidR="006E3BDE">
        <w:t xml:space="preserve"> and assistance level according to the following rules</w:t>
      </w:r>
      <w:r w:rsidR="008C1E5D">
        <w:t>:</w:t>
      </w:r>
    </w:p>
    <w:p w:rsidR="00D04958" w:rsidRDefault="008C1E5D" w:rsidP="00581770">
      <w:pPr>
        <w:pStyle w:val="ListParagraph"/>
        <w:numPr>
          <w:ilvl w:val="0"/>
          <w:numId w:val="20"/>
        </w:numPr>
      </w:pPr>
      <w:r>
        <w:t xml:space="preserve">Schools with assessment participation rates below 90 percent </w:t>
      </w:r>
      <w:r w:rsidR="006E3BDE">
        <w:t>are</w:t>
      </w:r>
      <w:r>
        <w:t xml:space="preserve"> placed into Level 3. </w:t>
      </w:r>
      <w:r w:rsidR="00404366" w:rsidRPr="00581770">
        <w:rPr>
          <w:i w:val="0"/>
        </w:rPr>
        <w:t xml:space="preserve">Participation rates are calculated </w:t>
      </w:r>
      <w:r w:rsidR="00D053B7" w:rsidRPr="00581770">
        <w:rPr>
          <w:i w:val="0"/>
        </w:rPr>
        <w:t xml:space="preserve">separately for English language arts (ELA), mathematics, and science </w:t>
      </w:r>
      <w:r w:rsidR="00404366" w:rsidRPr="00581770">
        <w:rPr>
          <w:i w:val="0"/>
        </w:rPr>
        <w:t>for schools and subgroups that enroll 20 or more students in tested grades</w:t>
      </w:r>
      <w:r w:rsidR="00A451B9" w:rsidRPr="00581770">
        <w:rPr>
          <w:i w:val="0"/>
        </w:rPr>
        <w:t xml:space="preserve">, and include </w:t>
      </w:r>
      <w:r w:rsidR="00D04958" w:rsidRPr="00581770">
        <w:rPr>
          <w:i w:val="0"/>
        </w:rPr>
        <w:t xml:space="preserve">student </w:t>
      </w:r>
      <w:r w:rsidR="00A451B9" w:rsidRPr="00581770">
        <w:rPr>
          <w:i w:val="0"/>
        </w:rPr>
        <w:t>participation in MCAS and ACCESS for English language learners (ELLs) tests.</w:t>
      </w:r>
      <w:r w:rsidR="00D053B7" w:rsidRPr="00581770">
        <w:rPr>
          <w:i w:val="0"/>
        </w:rPr>
        <w:t xml:space="preserve"> </w:t>
      </w:r>
      <w:r w:rsidR="00D04958" w:rsidRPr="00581770">
        <w:rPr>
          <w:i w:val="0"/>
        </w:rPr>
        <w:t>In 2017, participation is calculated two ways for use in accountability determinations. First, the 2017 participation rate for each subgroup in each subject area test is calculated. If the actual 2017 participation rate is lower than 90 percent for any group in any subject, that rate is compared to the average of the most recent two years of assessment participation data for that group and subject. The higher of the two resulting rates is factored into the school’s 2017 accountability determination.</w:t>
      </w:r>
      <w:r w:rsidR="00D04958">
        <w:t xml:space="preserve"> </w:t>
      </w:r>
    </w:p>
    <w:p w:rsidR="006E3BDE" w:rsidRPr="006E3BDE" w:rsidRDefault="008C1E5D" w:rsidP="00581770">
      <w:pPr>
        <w:pStyle w:val="ListParagraph"/>
        <w:numPr>
          <w:ilvl w:val="0"/>
          <w:numId w:val="20"/>
        </w:numPr>
      </w:pPr>
      <w:r>
        <w:t xml:space="preserve">Schools that serve a combination of grades 3-8 and 9-12 that have persistently low graduation rates </w:t>
      </w:r>
      <w:r w:rsidR="006E3BDE">
        <w:t>are</w:t>
      </w:r>
      <w:r>
        <w:t xml:space="preserve"> placed into Level 3.</w:t>
      </w:r>
      <w:r w:rsidRPr="008C1E5D">
        <w:t xml:space="preserve"> </w:t>
      </w:r>
      <w:r w:rsidRPr="00581770">
        <w:rPr>
          <w:i w:val="0"/>
        </w:rPr>
        <w:t xml:space="preserve">“Persistently low” is defined as a 2016 four-year cohort graduation of less than 67 percent and 2015, 2014, and 2013 five-year cohort graduation rates of less than 70 percent. This applies to the school as a whole and to individual subgroups.  </w:t>
      </w:r>
    </w:p>
    <w:p w:rsidR="00701EE8" w:rsidRDefault="006E3BDE" w:rsidP="00581770">
      <w:pPr>
        <w:pStyle w:val="ListParagraph"/>
        <w:numPr>
          <w:ilvl w:val="0"/>
          <w:numId w:val="20"/>
        </w:numPr>
      </w:pPr>
      <w:r>
        <w:t>C</w:t>
      </w:r>
      <w:r w:rsidR="00701EE8" w:rsidRPr="00C523A0">
        <w:t xml:space="preserve">urrent Level 4 and Level 5 schools </w:t>
      </w:r>
      <w:r w:rsidR="00AA0AE6">
        <w:t>that administered</w:t>
      </w:r>
      <w:r w:rsidR="00701EE8">
        <w:t xml:space="preserve"> the new assessment that </w:t>
      </w:r>
      <w:r w:rsidR="00701EE8" w:rsidRPr="00C523A0">
        <w:t xml:space="preserve">meet the required exit criteria in 2017 </w:t>
      </w:r>
      <w:r>
        <w:t>are</w:t>
      </w:r>
      <w:r w:rsidR="00701EE8">
        <w:t xml:space="preserve"> eligible to be</w:t>
      </w:r>
      <w:r w:rsidR="00701EE8" w:rsidRPr="00C523A0">
        <w:t xml:space="preserve"> exit</w:t>
      </w:r>
      <w:r w:rsidR="00701EE8">
        <w:t>ed</w:t>
      </w:r>
      <w:r w:rsidR="00701EE8" w:rsidRPr="00C523A0">
        <w:t xml:space="preserve">, but </w:t>
      </w:r>
      <w:r w:rsidR="00701EE8">
        <w:t>will</w:t>
      </w:r>
      <w:r w:rsidR="00701EE8" w:rsidRPr="00C523A0">
        <w:t xml:space="preserve"> not be assigned a new accountability and assistance level. </w:t>
      </w:r>
      <w:r w:rsidR="00701EE8" w:rsidRPr="006E3BDE">
        <w:rPr>
          <w:i w:val="0"/>
        </w:rPr>
        <w:t xml:space="preserve">Level 4 and 5 schools that do not meet exit criteria will maintain their accountability and assistance level. New Level 4 and Level 5 </w:t>
      </w:r>
      <w:r w:rsidR="00161F73">
        <w:rPr>
          <w:i w:val="0"/>
        </w:rPr>
        <w:t xml:space="preserve">school </w:t>
      </w:r>
      <w:r w:rsidR="00701EE8" w:rsidRPr="006E3BDE">
        <w:rPr>
          <w:i w:val="0"/>
        </w:rPr>
        <w:t>designations may still be made at the discretion of the Commissioner</w:t>
      </w:r>
      <w:r w:rsidR="00AE25CC">
        <w:rPr>
          <w:i w:val="0"/>
        </w:rPr>
        <w:t xml:space="preserve"> of Elementary and Secondary Education</w:t>
      </w:r>
      <w:r w:rsidR="00701EE8" w:rsidRPr="006E3BDE">
        <w:rPr>
          <w:i w:val="0"/>
        </w:rPr>
        <w:t>.</w:t>
      </w:r>
      <w:r w:rsidR="00701EE8" w:rsidRPr="00C523A0">
        <w:t xml:space="preserve"> </w:t>
      </w:r>
    </w:p>
    <w:p w:rsidR="00072C53" w:rsidRDefault="006E3BDE" w:rsidP="00072C53">
      <w:r>
        <w:t xml:space="preserve">All other schools </w:t>
      </w:r>
      <w:r w:rsidR="00265A27">
        <w:t xml:space="preserve">that administered Next-Generation MCAS tests </w:t>
      </w:r>
      <w:r>
        <w:t xml:space="preserve">that meet participation and graduation rate requirements </w:t>
      </w:r>
      <w:r w:rsidR="00EF0214">
        <w:t>are not assigned</w:t>
      </w:r>
      <w:r>
        <w:t xml:space="preserve"> an accountability and assistance level, school percentile, or PPI</w:t>
      </w:r>
      <w:r w:rsidR="00265A27">
        <w:t>.</w:t>
      </w:r>
      <w:r w:rsidR="00072C53">
        <w:t xml:space="preserve"> Accountability determinations for schools that administered Next-Generation MCAS tests in 2017 are presented in the table below.</w:t>
      </w:r>
    </w:p>
    <w:p w:rsidR="0021293D" w:rsidRDefault="0021293D">
      <w:pPr>
        <w:spacing w:after="200"/>
        <w:rPr>
          <w:b/>
          <w:bCs/>
          <w:szCs w:val="18"/>
        </w:rPr>
      </w:pPr>
      <w:r>
        <w:br w:type="page"/>
      </w:r>
    </w:p>
    <w:p w:rsidR="00072C53" w:rsidRDefault="00072C53" w:rsidP="00072C53">
      <w:pPr>
        <w:pStyle w:val="Caption"/>
      </w:pPr>
      <w:r>
        <w:lastRenderedPageBreak/>
        <w:t xml:space="preserve">Table </w:t>
      </w:r>
      <w:r w:rsidR="00BE6ACA">
        <w:fldChar w:fldCharType="begin"/>
      </w:r>
      <w:r>
        <w:instrText xml:space="preserve"> SEQ Table \* ARABIC </w:instrText>
      </w:r>
      <w:r w:rsidR="00BE6ACA">
        <w:fldChar w:fldCharType="separate"/>
      </w:r>
      <w:r w:rsidR="00B3458D">
        <w:rPr>
          <w:noProof/>
        </w:rPr>
        <w:t>1</w:t>
      </w:r>
      <w:r w:rsidR="00BE6ACA">
        <w:fldChar w:fldCharType="end"/>
      </w:r>
      <w:r>
        <w:t>: 2017 School classifications and potential reasons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612"/>
        <w:gridCol w:w="5238"/>
      </w:tblGrid>
      <w:tr w:rsidR="00072C53" w:rsidRPr="006B0F9A" w:rsidTr="00965490">
        <w:trPr>
          <w:trHeight w:val="288"/>
          <w:tblHeader/>
        </w:trPr>
        <w:tc>
          <w:tcPr>
            <w:tcW w:w="855" w:type="pct"/>
            <w:tcBorders>
              <w:bottom w:val="single" w:sz="4" w:space="0" w:color="auto"/>
            </w:tcBorders>
            <w:shd w:val="clear" w:color="auto" w:fill="C6D9F1" w:themeFill="text2" w:themeFillTint="33"/>
            <w:vAlign w:val="center"/>
          </w:tcPr>
          <w:p w:rsidR="00072C53" w:rsidRPr="006B0F9A" w:rsidRDefault="00072C53" w:rsidP="00965490">
            <w:pPr>
              <w:pStyle w:val="NoSpacing"/>
              <w:rPr>
                <w:rFonts w:cs="Times New Roman"/>
                <w:b/>
                <w:szCs w:val="20"/>
              </w:rPr>
            </w:pPr>
            <w:r w:rsidRPr="006B0F9A">
              <w:rPr>
                <w:rFonts w:cs="Times New Roman"/>
                <w:b/>
                <w:szCs w:val="20"/>
              </w:rPr>
              <w:t>Level</w:t>
            </w:r>
          </w:p>
        </w:tc>
        <w:tc>
          <w:tcPr>
            <w:tcW w:w="1379" w:type="pct"/>
            <w:tcBorders>
              <w:bottom w:val="single" w:sz="4" w:space="0" w:color="auto"/>
            </w:tcBorders>
            <w:shd w:val="clear" w:color="auto" w:fill="C6D9F1" w:themeFill="text2" w:themeFillTint="33"/>
            <w:vAlign w:val="center"/>
          </w:tcPr>
          <w:p w:rsidR="00072C53" w:rsidRPr="006B0F9A" w:rsidRDefault="00072C53" w:rsidP="00965490">
            <w:pPr>
              <w:pStyle w:val="NoSpacing"/>
              <w:rPr>
                <w:rFonts w:cs="Times New Roman"/>
                <w:b/>
                <w:szCs w:val="20"/>
              </w:rPr>
            </w:pPr>
            <w:r w:rsidRPr="006B0F9A">
              <w:rPr>
                <w:rFonts w:cs="Times New Roman"/>
                <w:b/>
                <w:szCs w:val="20"/>
              </w:rPr>
              <w:t>Reason</w:t>
            </w:r>
          </w:p>
        </w:tc>
        <w:tc>
          <w:tcPr>
            <w:tcW w:w="2766" w:type="pct"/>
            <w:tcBorders>
              <w:bottom w:val="single" w:sz="4" w:space="0" w:color="auto"/>
            </w:tcBorders>
            <w:shd w:val="clear" w:color="auto" w:fill="C6D9F1" w:themeFill="text2" w:themeFillTint="33"/>
            <w:vAlign w:val="center"/>
          </w:tcPr>
          <w:p w:rsidR="00072C53" w:rsidRPr="006B0F9A" w:rsidRDefault="00072C53" w:rsidP="00965490">
            <w:pPr>
              <w:pStyle w:val="NoSpacing"/>
              <w:rPr>
                <w:rFonts w:cs="Times New Roman"/>
                <w:b/>
                <w:szCs w:val="20"/>
              </w:rPr>
            </w:pPr>
            <w:r w:rsidRPr="006B0F9A">
              <w:rPr>
                <w:rFonts w:cs="Times New Roman"/>
                <w:b/>
                <w:szCs w:val="20"/>
              </w:rPr>
              <w:t>Description</w:t>
            </w:r>
          </w:p>
        </w:tc>
      </w:tr>
      <w:tr w:rsidR="00072C53" w:rsidRPr="006B0F9A" w:rsidTr="00965490">
        <w:trPr>
          <w:trHeight w:val="233"/>
        </w:trPr>
        <w:tc>
          <w:tcPr>
            <w:tcW w:w="855" w:type="pct"/>
            <w:tcBorders>
              <w:bottom w:val="dotted" w:sz="4" w:space="0" w:color="auto"/>
            </w:tcBorders>
            <w:shd w:val="clear" w:color="auto" w:fill="auto"/>
          </w:tcPr>
          <w:p w:rsidR="00072C53" w:rsidRPr="006B0F9A" w:rsidRDefault="00072C53" w:rsidP="00965490">
            <w:pPr>
              <w:pStyle w:val="NoSpacing"/>
              <w:rPr>
                <w:rFonts w:cs="Times New Roman"/>
                <w:szCs w:val="20"/>
              </w:rPr>
            </w:pPr>
            <w:r w:rsidRPr="006B0F9A">
              <w:rPr>
                <w:rFonts w:cs="Times New Roman"/>
                <w:szCs w:val="20"/>
              </w:rPr>
              <w:t>No level</w:t>
            </w:r>
          </w:p>
        </w:tc>
        <w:tc>
          <w:tcPr>
            <w:tcW w:w="1379" w:type="pct"/>
            <w:tcBorders>
              <w:bottom w:val="dotted" w:sz="4" w:space="0" w:color="auto"/>
            </w:tcBorders>
            <w:shd w:val="clear" w:color="auto" w:fill="auto"/>
          </w:tcPr>
          <w:p w:rsidR="00072C53" w:rsidRPr="006B0F9A" w:rsidRDefault="006B0F9A" w:rsidP="00965490">
            <w:pPr>
              <w:pStyle w:val="NoSpacing"/>
              <w:rPr>
                <w:rFonts w:cs="Times New Roman"/>
                <w:i/>
                <w:szCs w:val="20"/>
              </w:rPr>
            </w:pPr>
            <w:r w:rsidRPr="006B0F9A">
              <w:rPr>
                <w:i/>
                <w:szCs w:val="20"/>
              </w:rPr>
              <w:t>Students in grades 3-8 participated in 2017 Next Generation MCAS tests</w:t>
            </w:r>
          </w:p>
        </w:tc>
        <w:tc>
          <w:tcPr>
            <w:tcW w:w="2766" w:type="pct"/>
            <w:tcBorders>
              <w:bottom w:val="dotted" w:sz="4" w:space="0" w:color="auto"/>
            </w:tcBorders>
            <w:shd w:val="clear" w:color="auto" w:fill="auto"/>
          </w:tcPr>
          <w:p w:rsidR="00072C53" w:rsidRPr="006B0F9A" w:rsidRDefault="00072C53" w:rsidP="00142E78">
            <w:pPr>
              <w:pStyle w:val="NoSpacing"/>
              <w:rPr>
                <w:rFonts w:cs="Times New Roman"/>
                <w:szCs w:val="20"/>
              </w:rPr>
            </w:pPr>
            <w:r w:rsidRPr="006B0F9A">
              <w:rPr>
                <w:rFonts w:cs="Times New Roman"/>
                <w:szCs w:val="20"/>
              </w:rPr>
              <w:t>Schools administering the</w:t>
            </w:r>
            <w:r w:rsidR="00142E78">
              <w:rPr>
                <w:rFonts w:cs="Times New Roman"/>
                <w:szCs w:val="20"/>
              </w:rPr>
              <w:t xml:space="preserve"> Next-G</w:t>
            </w:r>
            <w:r w:rsidRPr="006B0F9A">
              <w:rPr>
                <w:rFonts w:cs="Times New Roman"/>
                <w:szCs w:val="20"/>
              </w:rPr>
              <w:t>eneration MCAS assessment in grades 3-8 that do not otherwise meet the criteria for Levels 3-5</w:t>
            </w:r>
          </w:p>
        </w:tc>
      </w:tr>
      <w:tr w:rsidR="00072C53" w:rsidRPr="006B0F9A" w:rsidTr="00CA76BB">
        <w:trPr>
          <w:trHeight w:val="287"/>
        </w:trPr>
        <w:tc>
          <w:tcPr>
            <w:tcW w:w="855" w:type="pct"/>
            <w:vMerge w:val="restart"/>
            <w:tcBorders>
              <w:top w:val="dotted" w:sz="4" w:space="0" w:color="auto"/>
              <w:bottom w:val="dotted" w:sz="4" w:space="0" w:color="auto"/>
            </w:tcBorders>
            <w:shd w:val="clear" w:color="auto" w:fill="auto"/>
          </w:tcPr>
          <w:p w:rsidR="00072C53" w:rsidRPr="006B0F9A" w:rsidRDefault="00072C53" w:rsidP="00965490">
            <w:pPr>
              <w:pStyle w:val="NoSpacing"/>
              <w:rPr>
                <w:rFonts w:cs="Times New Roman"/>
                <w:szCs w:val="20"/>
              </w:rPr>
            </w:pPr>
            <w:r w:rsidRPr="006B0F9A">
              <w:rPr>
                <w:rFonts w:cs="Times New Roman"/>
                <w:szCs w:val="20"/>
              </w:rPr>
              <w:t>Level 3</w:t>
            </w:r>
          </w:p>
        </w:tc>
        <w:tc>
          <w:tcPr>
            <w:tcW w:w="1379" w:type="pct"/>
            <w:tcBorders>
              <w:top w:val="dotted" w:sz="4" w:space="0" w:color="auto"/>
              <w:bottom w:val="dotted" w:sz="4" w:space="0" w:color="auto"/>
            </w:tcBorders>
            <w:shd w:val="clear" w:color="auto" w:fill="auto"/>
          </w:tcPr>
          <w:p w:rsidR="00072C53" w:rsidRPr="006B0F9A" w:rsidRDefault="00072C53" w:rsidP="00965490">
            <w:pPr>
              <w:pStyle w:val="NoSpacing"/>
              <w:rPr>
                <w:rFonts w:cs="Times New Roman"/>
                <w:i/>
                <w:szCs w:val="20"/>
              </w:rPr>
            </w:pPr>
            <w:r w:rsidRPr="006B0F9A">
              <w:rPr>
                <w:rFonts w:cs="Times New Roman"/>
                <w:i/>
                <w:szCs w:val="20"/>
              </w:rPr>
              <w:t>Very low assessment participation (less than 90%)</w:t>
            </w:r>
          </w:p>
        </w:tc>
        <w:tc>
          <w:tcPr>
            <w:tcW w:w="2766" w:type="pct"/>
            <w:tcBorders>
              <w:top w:val="dotted" w:sz="4" w:space="0" w:color="auto"/>
              <w:bottom w:val="dotted" w:sz="4" w:space="0" w:color="auto"/>
            </w:tcBorders>
            <w:shd w:val="clear" w:color="auto" w:fill="auto"/>
          </w:tcPr>
          <w:p w:rsidR="00072C53" w:rsidRPr="006B0F9A" w:rsidRDefault="00072C53" w:rsidP="00965490">
            <w:pPr>
              <w:pStyle w:val="NoSpacing"/>
              <w:rPr>
                <w:rFonts w:cs="Times New Roman"/>
                <w:szCs w:val="20"/>
              </w:rPr>
            </w:pPr>
            <w:r w:rsidRPr="006B0F9A">
              <w:rPr>
                <w:rFonts w:cs="Times New Roman"/>
                <w:szCs w:val="20"/>
              </w:rPr>
              <w:t>Schools with less than 90 percent participation for any group in any subject that do not otherwise meet the criteria for classification into Levels 4-5</w:t>
            </w:r>
          </w:p>
        </w:tc>
      </w:tr>
      <w:tr w:rsidR="00072C53" w:rsidRPr="006B0F9A" w:rsidTr="00F63E7B">
        <w:trPr>
          <w:trHeight w:val="557"/>
        </w:trPr>
        <w:tc>
          <w:tcPr>
            <w:tcW w:w="855" w:type="pct"/>
            <w:vMerge/>
            <w:tcBorders>
              <w:top w:val="dotted" w:sz="4" w:space="0" w:color="auto"/>
              <w:bottom w:val="dotted" w:sz="4" w:space="0" w:color="auto"/>
            </w:tcBorders>
            <w:shd w:val="clear" w:color="auto" w:fill="auto"/>
          </w:tcPr>
          <w:p w:rsidR="00072C53" w:rsidRPr="006B0F9A" w:rsidRDefault="00072C53" w:rsidP="00965490">
            <w:pPr>
              <w:pStyle w:val="NoSpacing"/>
              <w:rPr>
                <w:rFonts w:cs="Times New Roman"/>
                <w:szCs w:val="20"/>
              </w:rPr>
            </w:pPr>
          </w:p>
        </w:tc>
        <w:tc>
          <w:tcPr>
            <w:tcW w:w="1379" w:type="pct"/>
            <w:tcBorders>
              <w:top w:val="dotted" w:sz="4" w:space="0" w:color="auto"/>
              <w:bottom w:val="dotted" w:sz="4" w:space="0" w:color="auto"/>
            </w:tcBorders>
            <w:shd w:val="clear" w:color="auto" w:fill="auto"/>
          </w:tcPr>
          <w:p w:rsidR="00072C53" w:rsidRPr="006B0F9A" w:rsidRDefault="00072C53" w:rsidP="00965490">
            <w:pPr>
              <w:pStyle w:val="NoSpacing"/>
              <w:rPr>
                <w:rFonts w:cs="Times New Roman"/>
                <w:i/>
                <w:szCs w:val="20"/>
              </w:rPr>
            </w:pPr>
            <w:r w:rsidRPr="006B0F9A">
              <w:rPr>
                <w:rFonts w:cs="Times New Roman"/>
                <w:i/>
                <w:szCs w:val="20"/>
              </w:rPr>
              <w:t>Persistently low graduation rates for one or more groups</w:t>
            </w:r>
          </w:p>
        </w:tc>
        <w:tc>
          <w:tcPr>
            <w:tcW w:w="2766" w:type="pct"/>
            <w:tcBorders>
              <w:top w:val="dotted" w:sz="4" w:space="0" w:color="auto"/>
              <w:bottom w:val="dotted" w:sz="4" w:space="0" w:color="auto"/>
            </w:tcBorders>
            <w:shd w:val="clear" w:color="auto" w:fill="auto"/>
          </w:tcPr>
          <w:p w:rsidR="00072C53" w:rsidRPr="006B0F9A" w:rsidRDefault="00072C53" w:rsidP="00965490">
            <w:pPr>
              <w:pStyle w:val="NoSpacing"/>
              <w:rPr>
                <w:rFonts w:cs="Times New Roman"/>
                <w:szCs w:val="20"/>
              </w:rPr>
            </w:pPr>
            <w:r w:rsidRPr="006B0F9A">
              <w:rPr>
                <w:rFonts w:cs="Times New Roman"/>
                <w:szCs w:val="20"/>
              </w:rPr>
              <w:t>Schools in which one or more groups in the school has a 2016 four-year cohort graduation of less than 67 percent and 2015, 2014, and 2013 five-year cohort graduation rates of less than 70 percent that do not otherwise meet the criteria for classification into Levels 4-5</w:t>
            </w:r>
          </w:p>
        </w:tc>
      </w:tr>
      <w:tr w:rsidR="00072C53" w:rsidRPr="006B0F9A" w:rsidTr="00965490">
        <w:trPr>
          <w:trHeight w:val="288"/>
        </w:trPr>
        <w:tc>
          <w:tcPr>
            <w:tcW w:w="855" w:type="pct"/>
            <w:tcBorders>
              <w:top w:val="dotted" w:sz="4" w:space="0" w:color="auto"/>
              <w:bottom w:val="dotted" w:sz="4" w:space="0" w:color="auto"/>
            </w:tcBorders>
            <w:shd w:val="clear" w:color="auto" w:fill="auto"/>
          </w:tcPr>
          <w:p w:rsidR="00072C53" w:rsidRPr="006B0F9A" w:rsidRDefault="00072C53" w:rsidP="00965490">
            <w:pPr>
              <w:pStyle w:val="NoSpacing"/>
              <w:rPr>
                <w:rFonts w:cs="Times New Roman"/>
                <w:szCs w:val="20"/>
              </w:rPr>
            </w:pPr>
            <w:r w:rsidRPr="006B0F9A">
              <w:rPr>
                <w:rFonts w:cs="Times New Roman"/>
                <w:szCs w:val="20"/>
              </w:rPr>
              <w:t>Level 4</w:t>
            </w:r>
          </w:p>
        </w:tc>
        <w:tc>
          <w:tcPr>
            <w:tcW w:w="1379" w:type="pct"/>
            <w:tcBorders>
              <w:top w:val="dotted" w:sz="4" w:space="0" w:color="auto"/>
              <w:bottom w:val="dotted" w:sz="4" w:space="0" w:color="auto"/>
            </w:tcBorders>
            <w:shd w:val="clear" w:color="auto" w:fill="auto"/>
          </w:tcPr>
          <w:p w:rsidR="00072C53" w:rsidRPr="006B0F9A" w:rsidRDefault="00072C53" w:rsidP="00965490">
            <w:pPr>
              <w:pStyle w:val="NoSpacing"/>
              <w:rPr>
                <w:rFonts w:cs="Times New Roman"/>
                <w:i/>
                <w:szCs w:val="20"/>
              </w:rPr>
            </w:pPr>
            <w:r w:rsidRPr="006B0F9A">
              <w:rPr>
                <w:rFonts w:cs="Times New Roman"/>
                <w:i/>
                <w:szCs w:val="20"/>
              </w:rPr>
              <w:t>Among lowest achieving and least improving schools</w:t>
            </w:r>
          </w:p>
        </w:tc>
        <w:tc>
          <w:tcPr>
            <w:tcW w:w="2766" w:type="pct"/>
            <w:tcBorders>
              <w:top w:val="dotted" w:sz="4" w:space="0" w:color="auto"/>
              <w:bottom w:val="dotted" w:sz="4" w:space="0" w:color="auto"/>
            </w:tcBorders>
            <w:shd w:val="clear" w:color="auto" w:fill="auto"/>
          </w:tcPr>
          <w:p w:rsidR="00072C53" w:rsidRPr="006B0F9A" w:rsidRDefault="00072C53" w:rsidP="00404366">
            <w:pPr>
              <w:pStyle w:val="NoSpacing"/>
              <w:rPr>
                <w:rFonts w:cs="Times New Roman"/>
                <w:szCs w:val="20"/>
              </w:rPr>
            </w:pPr>
            <w:r w:rsidRPr="006B0F9A">
              <w:rPr>
                <w:rFonts w:cs="Times New Roman"/>
                <w:szCs w:val="20"/>
              </w:rPr>
              <w:t xml:space="preserve">Schools classified into Level 4 by the </w:t>
            </w:r>
            <w:r w:rsidR="00404366" w:rsidRPr="006B0F9A">
              <w:rPr>
                <w:rFonts w:cs="Times New Roman"/>
                <w:szCs w:val="20"/>
              </w:rPr>
              <w:t>C</w:t>
            </w:r>
            <w:r w:rsidRPr="006B0F9A">
              <w:rPr>
                <w:rFonts w:cs="Times New Roman"/>
                <w:szCs w:val="20"/>
              </w:rPr>
              <w:t>ommissioner</w:t>
            </w:r>
          </w:p>
        </w:tc>
      </w:tr>
      <w:tr w:rsidR="00072C53" w:rsidRPr="006B0F9A" w:rsidTr="00965490">
        <w:trPr>
          <w:trHeight w:val="233"/>
        </w:trPr>
        <w:tc>
          <w:tcPr>
            <w:tcW w:w="855" w:type="pct"/>
            <w:tcBorders>
              <w:top w:val="dotted" w:sz="4" w:space="0" w:color="auto"/>
            </w:tcBorders>
            <w:shd w:val="clear" w:color="auto" w:fill="auto"/>
          </w:tcPr>
          <w:p w:rsidR="00072C53" w:rsidRPr="006B0F9A" w:rsidRDefault="00072C53" w:rsidP="00965490">
            <w:pPr>
              <w:pStyle w:val="NoSpacing"/>
              <w:rPr>
                <w:rFonts w:cs="Times New Roman"/>
                <w:szCs w:val="20"/>
              </w:rPr>
            </w:pPr>
            <w:r w:rsidRPr="006B0F9A">
              <w:rPr>
                <w:rFonts w:cs="Times New Roman"/>
                <w:szCs w:val="20"/>
              </w:rPr>
              <w:t>Level 5</w:t>
            </w:r>
          </w:p>
        </w:tc>
        <w:tc>
          <w:tcPr>
            <w:tcW w:w="1379" w:type="pct"/>
            <w:tcBorders>
              <w:top w:val="dotted" w:sz="4" w:space="0" w:color="auto"/>
            </w:tcBorders>
            <w:shd w:val="clear" w:color="auto" w:fill="auto"/>
          </w:tcPr>
          <w:p w:rsidR="00072C53" w:rsidRPr="006B0F9A" w:rsidRDefault="00072C53" w:rsidP="00965490">
            <w:pPr>
              <w:pStyle w:val="NoSpacing"/>
              <w:rPr>
                <w:rFonts w:cs="Times New Roman"/>
                <w:i/>
                <w:szCs w:val="20"/>
              </w:rPr>
            </w:pPr>
            <w:r w:rsidRPr="006B0F9A">
              <w:rPr>
                <w:rFonts w:cs="Times New Roman"/>
                <w:i/>
                <w:szCs w:val="20"/>
              </w:rPr>
              <w:t>Chronically underperforming school</w:t>
            </w:r>
          </w:p>
        </w:tc>
        <w:tc>
          <w:tcPr>
            <w:tcW w:w="2766" w:type="pct"/>
            <w:tcBorders>
              <w:top w:val="dotted" w:sz="4" w:space="0" w:color="auto"/>
            </w:tcBorders>
            <w:shd w:val="clear" w:color="auto" w:fill="auto"/>
          </w:tcPr>
          <w:p w:rsidR="00072C53" w:rsidRPr="006B0F9A" w:rsidRDefault="00072C53" w:rsidP="00404366">
            <w:pPr>
              <w:pStyle w:val="NoSpacing"/>
              <w:rPr>
                <w:rFonts w:cs="Times New Roman"/>
                <w:szCs w:val="20"/>
              </w:rPr>
            </w:pPr>
            <w:r w:rsidRPr="006B0F9A">
              <w:rPr>
                <w:rFonts w:cs="Times New Roman"/>
                <w:szCs w:val="20"/>
              </w:rPr>
              <w:t xml:space="preserve">Schools classified into Level 5 by the </w:t>
            </w:r>
            <w:r w:rsidR="00404366" w:rsidRPr="006B0F9A">
              <w:rPr>
                <w:rFonts w:cs="Times New Roman"/>
                <w:szCs w:val="20"/>
              </w:rPr>
              <w:t>C</w:t>
            </w:r>
            <w:r w:rsidRPr="006B0F9A">
              <w:rPr>
                <w:rFonts w:cs="Times New Roman"/>
                <w:szCs w:val="20"/>
              </w:rPr>
              <w:t>ommissioner</w:t>
            </w:r>
          </w:p>
        </w:tc>
      </w:tr>
    </w:tbl>
    <w:p w:rsidR="00265A27" w:rsidRDefault="008C0E8F" w:rsidP="00265A27">
      <w:pPr>
        <w:pStyle w:val="Heading2"/>
      </w:pPr>
      <w:bookmarkStart w:id="8" w:name="_Toc490741846"/>
      <w:r>
        <w:t>Classification of d</w:t>
      </w:r>
      <w:r w:rsidR="00265A27">
        <w:t>istricts</w:t>
      </w:r>
      <w:bookmarkEnd w:id="8"/>
    </w:p>
    <w:p w:rsidR="006F7AF8" w:rsidRDefault="00541233" w:rsidP="006F7AF8">
      <w:r>
        <w:t>Districts that administered Next-Generation MCAS tests in grades 3-8 will not be assigned an accountabilit</w:t>
      </w:r>
      <w:r w:rsidR="006F7AF8">
        <w:t xml:space="preserve">y and assistance level in 2017, with the following exceptions: </w:t>
      </w:r>
    </w:p>
    <w:p w:rsidR="006F7AF8" w:rsidRPr="006F7AF8" w:rsidRDefault="006F7AF8" w:rsidP="006F7AF8">
      <w:pPr>
        <w:pStyle w:val="ListParagraph"/>
        <w:numPr>
          <w:ilvl w:val="0"/>
          <w:numId w:val="18"/>
        </w:numPr>
        <w:rPr>
          <w:i w:val="0"/>
        </w:rPr>
      </w:pPr>
      <w:r>
        <w:t xml:space="preserve">Districts with assessment participation rates below 90 percent are placed into Level 3. </w:t>
      </w:r>
      <w:r w:rsidRPr="006F7AF8">
        <w:rPr>
          <w:i w:val="0"/>
        </w:rPr>
        <w:t xml:space="preserve">Participation rates are calculated separately for </w:t>
      </w:r>
      <w:r>
        <w:rPr>
          <w:i w:val="0"/>
        </w:rPr>
        <w:t>ELA,</w:t>
      </w:r>
      <w:r w:rsidRPr="006F7AF8">
        <w:rPr>
          <w:i w:val="0"/>
        </w:rPr>
        <w:t xml:space="preserve"> mathematics, and science for </w:t>
      </w:r>
      <w:r>
        <w:rPr>
          <w:i w:val="0"/>
        </w:rPr>
        <w:t>districts</w:t>
      </w:r>
      <w:r w:rsidRPr="006F7AF8">
        <w:rPr>
          <w:i w:val="0"/>
        </w:rPr>
        <w:t xml:space="preserve"> and subgroups that enroll 20 or more students in tested grades, and include participation in MCAS and ACCESS for </w:t>
      </w:r>
      <w:r w:rsidR="00130053">
        <w:rPr>
          <w:i w:val="0"/>
        </w:rPr>
        <w:t>ELLs</w:t>
      </w:r>
      <w:r w:rsidRPr="006F7AF8">
        <w:rPr>
          <w:i w:val="0"/>
        </w:rPr>
        <w:t xml:space="preserve"> tests. </w:t>
      </w:r>
      <w:r w:rsidR="00581770">
        <w:rPr>
          <w:i w:val="0"/>
        </w:rPr>
        <w:t xml:space="preserve">The same two-step approach to calculating </w:t>
      </w:r>
      <w:r w:rsidR="008A734B">
        <w:rPr>
          <w:i w:val="0"/>
        </w:rPr>
        <w:t xml:space="preserve">school-level </w:t>
      </w:r>
      <w:r w:rsidR="00581770">
        <w:rPr>
          <w:i w:val="0"/>
        </w:rPr>
        <w:t>participation rates is also applied to district participation.</w:t>
      </w:r>
    </w:p>
    <w:p w:rsidR="006F7AF8" w:rsidRDefault="004A484C" w:rsidP="00581770">
      <w:pPr>
        <w:pStyle w:val="ListParagraph"/>
        <w:numPr>
          <w:ilvl w:val="0"/>
          <w:numId w:val="18"/>
        </w:numPr>
      </w:pPr>
      <w:r>
        <w:t>Districts</w:t>
      </w:r>
      <w:r w:rsidR="006F7AF8">
        <w:t xml:space="preserve"> that were previously classified into Level 4 or Level</w:t>
      </w:r>
      <w:r w:rsidR="00581770">
        <w:t xml:space="preserve"> </w:t>
      </w:r>
      <w:r w:rsidR="002A1305">
        <w:t>5</w:t>
      </w:r>
      <w:r w:rsidR="00581770">
        <w:t xml:space="preserve"> </w:t>
      </w:r>
      <w:r w:rsidR="006F7AF8">
        <w:t>by the Board of Elementary and Secondary Education wi</w:t>
      </w:r>
      <w:r>
        <w:t xml:space="preserve">ll maintain their designation until further action is taken by the Board. </w:t>
      </w:r>
      <w:r w:rsidR="006F7AF8" w:rsidRPr="00581770">
        <w:rPr>
          <w:i w:val="0"/>
        </w:rPr>
        <w:t xml:space="preserve">New Level 4 and Level 5 designations may still be made at the discretion of the </w:t>
      </w:r>
      <w:r w:rsidRPr="00581770">
        <w:rPr>
          <w:i w:val="0"/>
        </w:rPr>
        <w:t>Board</w:t>
      </w:r>
      <w:r w:rsidR="006F7AF8" w:rsidRPr="00581770">
        <w:rPr>
          <w:i w:val="0"/>
        </w:rPr>
        <w:t xml:space="preserve">. </w:t>
      </w:r>
    </w:p>
    <w:p w:rsidR="00541233" w:rsidRDefault="00541233" w:rsidP="00541233">
      <w:r>
        <w:t xml:space="preserve">District </w:t>
      </w:r>
      <w:r w:rsidR="00072C53">
        <w:t xml:space="preserve">accountability determinations for 2017 </w:t>
      </w:r>
      <w:r>
        <w:t>are presented in the table below.</w:t>
      </w:r>
    </w:p>
    <w:p w:rsidR="00541233" w:rsidRDefault="00541233" w:rsidP="00541233">
      <w:pPr>
        <w:pStyle w:val="Caption"/>
      </w:pPr>
      <w:r>
        <w:t xml:space="preserve">Table </w:t>
      </w:r>
      <w:r w:rsidR="00072C53">
        <w:t>2</w:t>
      </w:r>
      <w:r>
        <w:t>: 2017 District classifications and potential reasons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612"/>
        <w:gridCol w:w="5238"/>
      </w:tblGrid>
      <w:tr w:rsidR="00541233" w:rsidRPr="006B0F9A" w:rsidTr="00541233">
        <w:trPr>
          <w:trHeight w:val="288"/>
          <w:tblHeader/>
        </w:trPr>
        <w:tc>
          <w:tcPr>
            <w:tcW w:w="855" w:type="pct"/>
            <w:tcBorders>
              <w:bottom w:val="single" w:sz="4" w:space="0" w:color="auto"/>
            </w:tcBorders>
            <w:shd w:val="clear" w:color="auto" w:fill="C6D9F1" w:themeFill="text2" w:themeFillTint="33"/>
            <w:vAlign w:val="center"/>
          </w:tcPr>
          <w:p w:rsidR="00541233" w:rsidRPr="006B0F9A" w:rsidRDefault="00541233" w:rsidP="00541233">
            <w:pPr>
              <w:pStyle w:val="NoSpacing"/>
              <w:rPr>
                <w:rFonts w:cs="Times New Roman"/>
                <w:b/>
                <w:szCs w:val="20"/>
              </w:rPr>
            </w:pPr>
            <w:r w:rsidRPr="006B0F9A">
              <w:rPr>
                <w:rFonts w:cs="Times New Roman"/>
                <w:b/>
                <w:szCs w:val="20"/>
              </w:rPr>
              <w:t>Level</w:t>
            </w:r>
          </w:p>
        </w:tc>
        <w:tc>
          <w:tcPr>
            <w:tcW w:w="1379" w:type="pct"/>
            <w:tcBorders>
              <w:bottom w:val="single" w:sz="4" w:space="0" w:color="auto"/>
            </w:tcBorders>
            <w:shd w:val="clear" w:color="auto" w:fill="C6D9F1" w:themeFill="text2" w:themeFillTint="33"/>
            <w:vAlign w:val="center"/>
          </w:tcPr>
          <w:p w:rsidR="00541233" w:rsidRPr="006B0F9A" w:rsidRDefault="00541233" w:rsidP="00541233">
            <w:pPr>
              <w:pStyle w:val="NoSpacing"/>
              <w:rPr>
                <w:rFonts w:cs="Times New Roman"/>
                <w:b/>
                <w:szCs w:val="20"/>
              </w:rPr>
            </w:pPr>
            <w:r w:rsidRPr="006B0F9A">
              <w:rPr>
                <w:rFonts w:cs="Times New Roman"/>
                <w:b/>
                <w:szCs w:val="20"/>
              </w:rPr>
              <w:t>Reason</w:t>
            </w:r>
          </w:p>
        </w:tc>
        <w:tc>
          <w:tcPr>
            <w:tcW w:w="2766" w:type="pct"/>
            <w:tcBorders>
              <w:bottom w:val="single" w:sz="4" w:space="0" w:color="auto"/>
            </w:tcBorders>
            <w:shd w:val="clear" w:color="auto" w:fill="C6D9F1" w:themeFill="text2" w:themeFillTint="33"/>
            <w:vAlign w:val="center"/>
          </w:tcPr>
          <w:p w:rsidR="00541233" w:rsidRPr="006B0F9A" w:rsidRDefault="00541233" w:rsidP="00541233">
            <w:pPr>
              <w:pStyle w:val="NoSpacing"/>
              <w:rPr>
                <w:rFonts w:cs="Times New Roman"/>
                <w:b/>
                <w:szCs w:val="20"/>
              </w:rPr>
            </w:pPr>
            <w:r w:rsidRPr="006B0F9A">
              <w:rPr>
                <w:rFonts w:cs="Times New Roman"/>
                <w:b/>
                <w:szCs w:val="20"/>
              </w:rPr>
              <w:t>Description</w:t>
            </w:r>
          </w:p>
        </w:tc>
      </w:tr>
      <w:tr w:rsidR="00541233" w:rsidRPr="006B0F9A" w:rsidTr="00541233">
        <w:trPr>
          <w:trHeight w:val="233"/>
        </w:trPr>
        <w:tc>
          <w:tcPr>
            <w:tcW w:w="855" w:type="pct"/>
            <w:tcBorders>
              <w:bottom w:val="dotted" w:sz="4" w:space="0" w:color="auto"/>
            </w:tcBorders>
            <w:shd w:val="clear" w:color="auto" w:fill="auto"/>
          </w:tcPr>
          <w:p w:rsidR="00541233" w:rsidRPr="006B0F9A" w:rsidRDefault="00541233" w:rsidP="00541233">
            <w:pPr>
              <w:pStyle w:val="NoSpacing"/>
              <w:rPr>
                <w:rFonts w:cs="Times New Roman"/>
                <w:szCs w:val="20"/>
              </w:rPr>
            </w:pPr>
            <w:r w:rsidRPr="006B0F9A">
              <w:rPr>
                <w:rFonts w:cs="Times New Roman"/>
                <w:szCs w:val="20"/>
              </w:rPr>
              <w:t>No level</w:t>
            </w:r>
          </w:p>
        </w:tc>
        <w:tc>
          <w:tcPr>
            <w:tcW w:w="1379" w:type="pct"/>
            <w:tcBorders>
              <w:bottom w:val="dotted" w:sz="4" w:space="0" w:color="auto"/>
            </w:tcBorders>
            <w:shd w:val="clear" w:color="auto" w:fill="auto"/>
          </w:tcPr>
          <w:p w:rsidR="00541233" w:rsidRPr="006B0F9A" w:rsidRDefault="006B0F9A" w:rsidP="00541233">
            <w:pPr>
              <w:pStyle w:val="NoSpacing"/>
              <w:rPr>
                <w:rFonts w:cs="Times New Roman"/>
                <w:i/>
                <w:szCs w:val="20"/>
              </w:rPr>
            </w:pPr>
            <w:r w:rsidRPr="006B0F9A">
              <w:rPr>
                <w:i/>
                <w:szCs w:val="20"/>
              </w:rPr>
              <w:t>Students in grades 3-8 participated in 2017 Next Generation MCAS tests</w:t>
            </w:r>
          </w:p>
        </w:tc>
        <w:tc>
          <w:tcPr>
            <w:tcW w:w="2766" w:type="pct"/>
            <w:tcBorders>
              <w:bottom w:val="dotted" w:sz="4" w:space="0" w:color="auto"/>
            </w:tcBorders>
            <w:shd w:val="clear" w:color="auto" w:fill="auto"/>
          </w:tcPr>
          <w:p w:rsidR="00541233" w:rsidRPr="006B0F9A" w:rsidRDefault="00541233" w:rsidP="00142E78">
            <w:pPr>
              <w:pStyle w:val="NoSpacing"/>
              <w:rPr>
                <w:rFonts w:cs="Times New Roman"/>
                <w:szCs w:val="20"/>
              </w:rPr>
            </w:pPr>
            <w:r w:rsidRPr="006B0F9A">
              <w:rPr>
                <w:rFonts w:cs="Times New Roman"/>
                <w:szCs w:val="20"/>
              </w:rPr>
              <w:t xml:space="preserve">Districts administering the </w:t>
            </w:r>
            <w:r w:rsidR="00142E78">
              <w:rPr>
                <w:rFonts w:cs="Times New Roman"/>
                <w:szCs w:val="20"/>
              </w:rPr>
              <w:t>Next-G</w:t>
            </w:r>
            <w:r w:rsidRPr="006B0F9A">
              <w:rPr>
                <w:rFonts w:cs="Times New Roman"/>
                <w:szCs w:val="20"/>
              </w:rPr>
              <w:t>eneration MCAS assessment in grades 3-8 that do not otherwise meet the criteria for Levels 3-5</w:t>
            </w:r>
          </w:p>
        </w:tc>
      </w:tr>
      <w:tr w:rsidR="00541233" w:rsidRPr="006B0F9A" w:rsidTr="00541233">
        <w:trPr>
          <w:trHeight w:val="386"/>
        </w:trPr>
        <w:tc>
          <w:tcPr>
            <w:tcW w:w="855" w:type="pct"/>
            <w:tcBorders>
              <w:top w:val="dotted" w:sz="4" w:space="0" w:color="auto"/>
              <w:bottom w:val="dotted" w:sz="4" w:space="0" w:color="auto"/>
            </w:tcBorders>
            <w:shd w:val="clear" w:color="auto" w:fill="auto"/>
          </w:tcPr>
          <w:p w:rsidR="00541233" w:rsidRPr="006B0F9A" w:rsidRDefault="00541233" w:rsidP="00541233">
            <w:pPr>
              <w:pStyle w:val="NoSpacing"/>
              <w:rPr>
                <w:rFonts w:cs="Times New Roman"/>
                <w:szCs w:val="20"/>
              </w:rPr>
            </w:pPr>
            <w:r w:rsidRPr="006B0F9A">
              <w:rPr>
                <w:rFonts w:cs="Times New Roman"/>
                <w:szCs w:val="20"/>
              </w:rPr>
              <w:t>Level 3</w:t>
            </w:r>
          </w:p>
        </w:tc>
        <w:tc>
          <w:tcPr>
            <w:tcW w:w="1379" w:type="pct"/>
            <w:tcBorders>
              <w:top w:val="dotted" w:sz="4" w:space="0" w:color="auto"/>
              <w:bottom w:val="dotted" w:sz="4" w:space="0" w:color="auto"/>
            </w:tcBorders>
            <w:shd w:val="clear" w:color="auto" w:fill="auto"/>
          </w:tcPr>
          <w:p w:rsidR="00541233" w:rsidRPr="006B0F9A" w:rsidRDefault="00541233" w:rsidP="00541233">
            <w:pPr>
              <w:pStyle w:val="NoSpacing"/>
              <w:rPr>
                <w:rFonts w:cs="Times New Roman"/>
                <w:i/>
                <w:szCs w:val="20"/>
              </w:rPr>
            </w:pPr>
            <w:r w:rsidRPr="006B0F9A">
              <w:rPr>
                <w:rFonts w:cs="Times New Roman"/>
                <w:i/>
                <w:szCs w:val="20"/>
              </w:rPr>
              <w:t>Very low assessment participation (less than 90%)</w:t>
            </w:r>
          </w:p>
        </w:tc>
        <w:tc>
          <w:tcPr>
            <w:tcW w:w="2766" w:type="pct"/>
            <w:tcBorders>
              <w:top w:val="dotted" w:sz="4" w:space="0" w:color="auto"/>
              <w:bottom w:val="dotted" w:sz="4" w:space="0" w:color="auto"/>
            </w:tcBorders>
            <w:shd w:val="clear" w:color="auto" w:fill="auto"/>
          </w:tcPr>
          <w:p w:rsidR="00541233" w:rsidRPr="006B0F9A" w:rsidRDefault="00541233" w:rsidP="00541233">
            <w:pPr>
              <w:pStyle w:val="NoSpacing"/>
              <w:rPr>
                <w:rFonts w:cs="Times New Roman"/>
                <w:szCs w:val="20"/>
              </w:rPr>
            </w:pPr>
            <w:r w:rsidRPr="006B0F9A">
              <w:rPr>
                <w:rFonts w:cs="Times New Roman"/>
                <w:szCs w:val="20"/>
              </w:rPr>
              <w:t>Districts with less than 90 percent participation for any group in any subject that do not otherwise meet the criteria for classification into Levels 4-5</w:t>
            </w:r>
          </w:p>
        </w:tc>
      </w:tr>
      <w:tr w:rsidR="00541233" w:rsidRPr="006B0F9A" w:rsidTr="00541233">
        <w:trPr>
          <w:trHeight w:val="288"/>
        </w:trPr>
        <w:tc>
          <w:tcPr>
            <w:tcW w:w="855" w:type="pct"/>
            <w:tcBorders>
              <w:top w:val="dotted" w:sz="4" w:space="0" w:color="auto"/>
              <w:bottom w:val="dotted" w:sz="4" w:space="0" w:color="auto"/>
            </w:tcBorders>
            <w:shd w:val="clear" w:color="auto" w:fill="auto"/>
          </w:tcPr>
          <w:p w:rsidR="00541233" w:rsidRPr="006B0F9A" w:rsidRDefault="00541233" w:rsidP="00541233">
            <w:pPr>
              <w:pStyle w:val="NoSpacing"/>
              <w:rPr>
                <w:rFonts w:cs="Times New Roman"/>
                <w:szCs w:val="20"/>
              </w:rPr>
            </w:pPr>
            <w:r w:rsidRPr="006B0F9A">
              <w:rPr>
                <w:rFonts w:cs="Times New Roman"/>
                <w:szCs w:val="20"/>
              </w:rPr>
              <w:t>Level 4</w:t>
            </w:r>
          </w:p>
        </w:tc>
        <w:tc>
          <w:tcPr>
            <w:tcW w:w="1379" w:type="pct"/>
            <w:tcBorders>
              <w:top w:val="dotted" w:sz="4" w:space="0" w:color="auto"/>
              <w:bottom w:val="dotted" w:sz="4" w:space="0" w:color="auto"/>
            </w:tcBorders>
            <w:shd w:val="clear" w:color="auto" w:fill="auto"/>
          </w:tcPr>
          <w:p w:rsidR="00541233" w:rsidRPr="006B0F9A" w:rsidRDefault="00541233" w:rsidP="00541233">
            <w:pPr>
              <w:pStyle w:val="NoSpacing"/>
              <w:rPr>
                <w:rFonts w:cs="Times New Roman"/>
                <w:i/>
                <w:szCs w:val="20"/>
              </w:rPr>
            </w:pPr>
            <w:r w:rsidRPr="006B0F9A">
              <w:rPr>
                <w:rFonts w:cs="Times New Roman"/>
                <w:i/>
                <w:szCs w:val="20"/>
              </w:rPr>
              <w:t>Underperforming district</w:t>
            </w:r>
          </w:p>
        </w:tc>
        <w:tc>
          <w:tcPr>
            <w:tcW w:w="2766" w:type="pct"/>
            <w:tcBorders>
              <w:top w:val="dotted" w:sz="4" w:space="0" w:color="auto"/>
              <w:bottom w:val="dotted" w:sz="4" w:space="0" w:color="auto"/>
            </w:tcBorders>
            <w:shd w:val="clear" w:color="auto" w:fill="auto"/>
          </w:tcPr>
          <w:p w:rsidR="00541233" w:rsidRPr="006B0F9A" w:rsidRDefault="00541233" w:rsidP="00541233">
            <w:pPr>
              <w:pStyle w:val="NoSpacing"/>
              <w:rPr>
                <w:rFonts w:cs="Times New Roman"/>
                <w:szCs w:val="20"/>
              </w:rPr>
            </w:pPr>
            <w:r w:rsidRPr="006B0F9A">
              <w:rPr>
                <w:rFonts w:cs="Times New Roman"/>
                <w:szCs w:val="20"/>
              </w:rPr>
              <w:t>Districts classified into Level 4 by the Board</w:t>
            </w:r>
          </w:p>
        </w:tc>
      </w:tr>
      <w:tr w:rsidR="00541233" w:rsidRPr="006B0F9A" w:rsidTr="00541233">
        <w:trPr>
          <w:trHeight w:val="233"/>
        </w:trPr>
        <w:tc>
          <w:tcPr>
            <w:tcW w:w="855" w:type="pct"/>
            <w:tcBorders>
              <w:top w:val="dotted" w:sz="4" w:space="0" w:color="auto"/>
            </w:tcBorders>
            <w:shd w:val="clear" w:color="auto" w:fill="auto"/>
          </w:tcPr>
          <w:p w:rsidR="00541233" w:rsidRPr="006B0F9A" w:rsidRDefault="00541233" w:rsidP="00541233">
            <w:pPr>
              <w:pStyle w:val="NoSpacing"/>
              <w:rPr>
                <w:rFonts w:cs="Times New Roman"/>
                <w:szCs w:val="20"/>
              </w:rPr>
            </w:pPr>
            <w:r w:rsidRPr="006B0F9A">
              <w:rPr>
                <w:rFonts w:cs="Times New Roman"/>
                <w:szCs w:val="20"/>
              </w:rPr>
              <w:t>Level 5</w:t>
            </w:r>
          </w:p>
        </w:tc>
        <w:tc>
          <w:tcPr>
            <w:tcW w:w="1379" w:type="pct"/>
            <w:tcBorders>
              <w:top w:val="dotted" w:sz="4" w:space="0" w:color="auto"/>
            </w:tcBorders>
            <w:shd w:val="clear" w:color="auto" w:fill="auto"/>
          </w:tcPr>
          <w:p w:rsidR="00541233" w:rsidRPr="006B0F9A" w:rsidRDefault="00541233" w:rsidP="00541233">
            <w:pPr>
              <w:pStyle w:val="NoSpacing"/>
              <w:rPr>
                <w:rFonts w:cs="Times New Roman"/>
                <w:i/>
                <w:szCs w:val="20"/>
              </w:rPr>
            </w:pPr>
            <w:r w:rsidRPr="006B0F9A">
              <w:rPr>
                <w:rFonts w:cs="Times New Roman"/>
                <w:i/>
                <w:szCs w:val="20"/>
              </w:rPr>
              <w:t>Chronically underperforming district</w:t>
            </w:r>
          </w:p>
        </w:tc>
        <w:tc>
          <w:tcPr>
            <w:tcW w:w="2766" w:type="pct"/>
            <w:tcBorders>
              <w:top w:val="dotted" w:sz="4" w:space="0" w:color="auto"/>
            </w:tcBorders>
            <w:shd w:val="clear" w:color="auto" w:fill="auto"/>
          </w:tcPr>
          <w:p w:rsidR="00541233" w:rsidRPr="006B0F9A" w:rsidRDefault="00541233" w:rsidP="00541233">
            <w:pPr>
              <w:pStyle w:val="NoSpacing"/>
              <w:rPr>
                <w:rFonts w:cs="Times New Roman"/>
                <w:szCs w:val="20"/>
              </w:rPr>
            </w:pPr>
            <w:r w:rsidRPr="006B0F9A">
              <w:rPr>
                <w:rFonts w:cs="Times New Roman"/>
                <w:szCs w:val="20"/>
              </w:rPr>
              <w:t>Districts classified into Level 5 by the Board</w:t>
            </w:r>
          </w:p>
        </w:tc>
      </w:tr>
    </w:tbl>
    <w:p w:rsidR="00B0616A" w:rsidRDefault="00B0616A" w:rsidP="00B0616A">
      <w:pPr>
        <w:pStyle w:val="Heading1"/>
      </w:pPr>
      <w:bookmarkStart w:id="9" w:name="_Toc490741847"/>
      <w:r>
        <w:lastRenderedPageBreak/>
        <w:t>Accountability determinations for high schools</w:t>
      </w:r>
      <w:bookmarkEnd w:id="9"/>
    </w:p>
    <w:p w:rsidR="00C36CD9" w:rsidRPr="00C36CD9" w:rsidRDefault="00C36CD9" w:rsidP="00C36CD9">
      <w:r>
        <w:t xml:space="preserve">Accountability reporting for </w:t>
      </w:r>
      <w:r w:rsidR="0021293D">
        <w:t>schools in which the only tested grade is grade 10 (hereafter referred to as “</w:t>
      </w:r>
      <w:r>
        <w:t>high schools</w:t>
      </w:r>
      <w:r w:rsidR="0021293D">
        <w:t>”)</w:t>
      </w:r>
      <w:r>
        <w:t xml:space="preserve"> and any school that did not administer Next-Generation MCAS assessments in 2017 remain</w:t>
      </w:r>
      <w:r w:rsidR="00F944BE">
        <w:t>s</w:t>
      </w:r>
      <w:r>
        <w:t xml:space="preserve"> unchanged. Progress and performance index (PPI) data, school percentiles, accountability and assistance levels, and other related accountability indicators </w:t>
      </w:r>
      <w:r w:rsidR="00364C32">
        <w:t>are</w:t>
      </w:r>
      <w:r>
        <w:t xml:space="preserve"> reported according to normal rules, as described </w:t>
      </w:r>
      <w:r w:rsidR="00812EC2">
        <w:t>in</w:t>
      </w:r>
      <w:r>
        <w:t xml:space="preserve"> the remainder of this document.</w:t>
      </w:r>
    </w:p>
    <w:p w:rsidR="0031590E" w:rsidRDefault="00DD1C01" w:rsidP="00ED2BC2">
      <w:pPr>
        <w:pStyle w:val="Heading2"/>
      </w:pPr>
      <w:bookmarkStart w:id="10" w:name="_Toc490741848"/>
      <w:r w:rsidRPr="003902AC">
        <w:t>Progress and Performance Index (PPI)</w:t>
      </w:r>
      <w:bookmarkEnd w:id="4"/>
      <w:bookmarkEnd w:id="5"/>
      <w:bookmarkEnd w:id="10"/>
    </w:p>
    <w:p w:rsidR="0031590E" w:rsidRDefault="00C40584">
      <w:r w:rsidRPr="00C40584">
        <w:t>The PPI combines information about narrowing proficiency gaps, growth, and graduation and dropout rates into a number</w:t>
      </w:r>
      <w:r w:rsidR="00014567">
        <w:t xml:space="preserve"> between 0 and 100</w:t>
      </w:r>
      <w:r w:rsidRPr="00C40584">
        <w:t xml:space="preserve">. </w:t>
      </w:r>
      <w:r w:rsidR="00014567">
        <w:t>A PPI of 75 or higher indicates that a group</w:t>
      </w:r>
      <w:r w:rsidR="003114FB">
        <w:t xml:space="preserve"> or </w:t>
      </w:r>
      <w:r w:rsidR="00014567">
        <w:t>school is on track toward meeting its proficiency gap-narrowing goal</w:t>
      </w:r>
      <w:r w:rsidR="006876EA">
        <w:t>s</w:t>
      </w:r>
      <w:r w:rsidR="00014567">
        <w:t xml:space="preserve">. </w:t>
      </w:r>
      <w:r w:rsidRPr="00C40584">
        <w:t>All</w:t>
      </w:r>
      <w:r w:rsidR="003114FB">
        <w:t xml:space="preserve"> high </w:t>
      </w:r>
      <w:r w:rsidRPr="00C40584">
        <w:t xml:space="preserve">schools and groups with sufficient data are assigned an annual PPI based on two years of data and a cumulative PPI based on </w:t>
      </w:r>
      <w:r w:rsidR="007B5472">
        <w:t xml:space="preserve">at least </w:t>
      </w:r>
      <w:r w:rsidRPr="00C40584">
        <w:t>three annual PPIs.</w:t>
      </w:r>
      <w:r w:rsidR="006876EA">
        <w:t xml:space="preserve"> The cumulative PPI generally represents a performance trend over four years.</w:t>
      </w:r>
    </w:p>
    <w:p w:rsidR="0031590E" w:rsidRPr="00AD1FFE" w:rsidRDefault="00984531" w:rsidP="00ED2BC2">
      <w:pPr>
        <w:pStyle w:val="Heading3"/>
        <w:rPr>
          <w:rStyle w:val="BookTitle"/>
          <w:b/>
          <w:bCs w:val="0"/>
          <w:smallCaps w:val="0"/>
          <w:spacing w:val="0"/>
        </w:rPr>
      </w:pPr>
      <w:bookmarkStart w:id="11" w:name="_Toc435178302"/>
      <w:bookmarkStart w:id="12" w:name="_Toc435178508"/>
      <w:bookmarkStart w:id="13" w:name="_Toc490741849"/>
      <w:r w:rsidRPr="00AD1FFE">
        <w:rPr>
          <w:rStyle w:val="BookTitle"/>
          <w:b/>
          <w:bCs w:val="0"/>
          <w:smallCaps w:val="0"/>
          <w:spacing w:val="0"/>
        </w:rPr>
        <w:t>Reporting groups</w:t>
      </w:r>
      <w:bookmarkEnd w:id="11"/>
      <w:bookmarkEnd w:id="12"/>
      <w:bookmarkEnd w:id="13"/>
    </w:p>
    <w:p w:rsidR="0031590E" w:rsidRDefault="003114FB">
      <w:r>
        <w:t>High</w:t>
      </w:r>
      <w:r w:rsidR="00A848EC">
        <w:t xml:space="preserve"> school</w:t>
      </w:r>
      <w:r w:rsidR="00FE6C19">
        <w:t xml:space="preserve"> accountability reports include PPIs for the</w:t>
      </w:r>
      <w:r w:rsidR="00BE2AD5">
        <w:t xml:space="preserve"> “</w:t>
      </w:r>
      <w:r w:rsidR="004E0F79">
        <w:t>all students</w:t>
      </w:r>
      <w:r w:rsidR="00BE2AD5">
        <w:t>”</w:t>
      </w:r>
      <w:r w:rsidR="004E0F79">
        <w:t xml:space="preserve"> gr</w:t>
      </w:r>
      <w:r w:rsidR="00FE6C19">
        <w:t xml:space="preserve">oup and for </w:t>
      </w:r>
      <w:r w:rsidR="00DE50F5">
        <w:t>eleven</w:t>
      </w:r>
      <w:r w:rsidR="00FE6C19">
        <w:t xml:space="preserve"> subgroups, </w:t>
      </w:r>
      <w:r w:rsidR="00FE6C19" w:rsidRPr="00FE6C19">
        <w:t>including: high needs</w:t>
      </w:r>
      <w:r w:rsidR="00E07DCF">
        <w:t xml:space="preserve"> students</w:t>
      </w:r>
      <w:r w:rsidR="00FE6C19" w:rsidRPr="00FE6C19">
        <w:t xml:space="preserve">, </w:t>
      </w:r>
      <w:r w:rsidR="00C9366A">
        <w:t>economically disadvantaged</w:t>
      </w:r>
      <w:r w:rsidR="00E07DCF">
        <w:t xml:space="preserve"> stud</w:t>
      </w:r>
      <w:r w:rsidR="00392F8B">
        <w:t>ents</w:t>
      </w:r>
      <w:r w:rsidR="00FE6C19" w:rsidRPr="00FE6C19">
        <w:t>, students with disabilities, current and former Englis</w:t>
      </w:r>
      <w:r w:rsidR="00DE50F5">
        <w:t>h language learners</w:t>
      </w:r>
      <w:r w:rsidR="00014567">
        <w:t xml:space="preserve"> (ELLs)</w:t>
      </w:r>
      <w:r w:rsidR="00DE50F5">
        <w:t>, and up to seven</w:t>
      </w:r>
      <w:r w:rsidR="00FE6C19" w:rsidRPr="00FE6C19">
        <w:t xml:space="preserve"> racial and ethnic groups. </w:t>
      </w:r>
    </w:p>
    <w:p w:rsidR="004E2528" w:rsidRDefault="00DF766C" w:rsidP="004E2528">
      <w:r>
        <w:t xml:space="preserve">The </w:t>
      </w:r>
      <w:r w:rsidR="00E07DCF">
        <w:t xml:space="preserve">Massachusetts </w:t>
      </w:r>
      <w:r>
        <w:t xml:space="preserve">Department of Elementary and Secondary Education (ESE) </w:t>
      </w:r>
      <w:r w:rsidR="00E07DCF">
        <w:t xml:space="preserve">began reporting data for the economically disadvantaged subgroup in 2015. </w:t>
      </w:r>
      <w:r w:rsidR="007F6968">
        <w:t xml:space="preserve">Unlike the low income subgroup, which was </w:t>
      </w:r>
      <w:r w:rsidR="00E07DCF">
        <w:t xml:space="preserve">reported through 2014 and was </w:t>
      </w:r>
      <w:r w:rsidR="007F6968">
        <w:t xml:space="preserve">determined based on a student’s eligibility for free or reduced-price lunch, the economically disadvantaged group only </w:t>
      </w:r>
      <w:r w:rsidR="00E07DCF">
        <w:t xml:space="preserve">includes </w:t>
      </w:r>
      <w:r w:rsidR="007F6968">
        <w:t xml:space="preserve">those students </w:t>
      </w:r>
      <w:r>
        <w:t>who</w:t>
      </w:r>
      <w:r w:rsidR="007F6968">
        <w:t xml:space="preserve"> participate</w:t>
      </w:r>
      <w:r w:rsidR="007F6968" w:rsidRPr="007204E7">
        <w:t xml:space="preserve"> in one or more of the following state-administered programs: the Supplemental Nutrition Assistance Program (SNAP); Transitional Assistance for Families with Dependent Children (TAFDC); the Department of Children and Families' (DCF) foster care program; and MassHealth (Medicaid). </w:t>
      </w:r>
      <w:r w:rsidR="007353DA">
        <w:t>Students in the</w:t>
      </w:r>
      <w:r w:rsidR="007F6968">
        <w:t xml:space="preserve"> economically disadvantaged </w:t>
      </w:r>
      <w:r w:rsidR="007353DA">
        <w:t>subgroup</w:t>
      </w:r>
      <w:r w:rsidR="007F6968">
        <w:t xml:space="preserve"> </w:t>
      </w:r>
      <w:r w:rsidR="00FC5A14">
        <w:t>are</w:t>
      </w:r>
      <w:r w:rsidR="007F6968">
        <w:t xml:space="preserve"> also </w:t>
      </w:r>
      <w:r w:rsidR="007353DA">
        <w:t>included in</w:t>
      </w:r>
      <w:r w:rsidR="007F6968">
        <w:t xml:space="preserve"> the high needs subgroup. </w:t>
      </w:r>
    </w:p>
    <w:p w:rsidR="004E2528" w:rsidRDefault="004E2528" w:rsidP="004E2528">
      <w:r w:rsidRPr="00DE2520">
        <w:t xml:space="preserve">The high needs group is an unduplicated count of all students in a school or district belonging to at least one of the following individual subgroups: students with disabilities, </w:t>
      </w:r>
      <w:r>
        <w:t>ELL and F</w:t>
      </w:r>
      <w:r w:rsidRPr="00DE2520">
        <w:t xml:space="preserve">ormer ELL students, </w:t>
      </w:r>
      <w:r w:rsidR="00FC5A14">
        <w:t xml:space="preserve">and </w:t>
      </w:r>
      <w:r>
        <w:t>economically</w:t>
      </w:r>
      <w:r w:rsidRPr="00DE2520">
        <w:t xml:space="preserve"> </w:t>
      </w:r>
      <w:r>
        <w:t>disadvantaged</w:t>
      </w:r>
      <w:r w:rsidRPr="00DE2520">
        <w:t xml:space="preserve"> students</w:t>
      </w:r>
      <w:r>
        <w:t>. The inclusion of the high needs group in accountability determinations holds more schools accountable for the performance of students belonging to historically disadvantaged groups.</w:t>
      </w:r>
      <w:r w:rsidRPr="00011BA9">
        <w:t xml:space="preserve"> </w:t>
      </w:r>
    </w:p>
    <w:p w:rsidR="0031590E" w:rsidRDefault="00011BA9">
      <w:r w:rsidRPr="00FE6C19">
        <w:t>If a particular student group does not meet the minimum size</w:t>
      </w:r>
      <w:r>
        <w:t xml:space="preserve"> (20 students </w:t>
      </w:r>
      <w:r w:rsidR="00F60C5C">
        <w:t>in the aggregate</w:t>
      </w:r>
      <w:r>
        <w:t xml:space="preserve"> or for a given subgroup)</w:t>
      </w:r>
      <w:r w:rsidRPr="00FE6C19">
        <w:t>, a PPI will not be reported for that group.</w:t>
      </w:r>
      <w:r>
        <w:t xml:space="preserve"> ESE determines student groups based on enrollment information provided by districts though the </w:t>
      </w:r>
      <w:hyperlink r:id="rId17" w:history="1">
        <w:r w:rsidRPr="0075134F">
          <w:rPr>
            <w:rStyle w:val="Hyperlink"/>
          </w:rPr>
          <w:t>Student Information Management System (SIMS)</w:t>
        </w:r>
      </w:hyperlink>
      <w:r>
        <w:t xml:space="preserve"> data collection process.</w:t>
      </w:r>
    </w:p>
    <w:p w:rsidR="0031590E" w:rsidRDefault="00BE2AD5" w:rsidP="00ED2BC2">
      <w:pPr>
        <w:pStyle w:val="Heading3"/>
      </w:pPr>
      <w:bookmarkStart w:id="14" w:name="_Toc435178303"/>
      <w:bookmarkStart w:id="15" w:name="_Toc435178509"/>
      <w:bookmarkStart w:id="16" w:name="_Toc490741850"/>
      <w:r w:rsidRPr="00D87B5B">
        <w:t>Annual</w:t>
      </w:r>
      <w:r w:rsidRPr="009E3A2E">
        <w:t xml:space="preserve"> PPI</w:t>
      </w:r>
      <w:bookmarkEnd w:id="14"/>
      <w:bookmarkEnd w:id="15"/>
      <w:bookmarkEnd w:id="16"/>
    </w:p>
    <w:p w:rsidR="0031590E" w:rsidRPr="00ED2BC2" w:rsidRDefault="00690677" w:rsidP="00ED2BC2">
      <w:pPr>
        <w:pStyle w:val="Heading4"/>
        <w:rPr>
          <w:rStyle w:val="BookTitle"/>
          <w:b w:val="0"/>
          <w:bCs/>
          <w:smallCaps w:val="0"/>
          <w:spacing w:val="0"/>
        </w:rPr>
      </w:pPr>
      <w:bookmarkStart w:id="17" w:name="_Toc435178304"/>
      <w:bookmarkStart w:id="18" w:name="_Toc435178510"/>
      <w:r w:rsidRPr="00ED2BC2">
        <w:rPr>
          <w:rStyle w:val="BookTitle"/>
          <w:b w:val="0"/>
          <w:bCs/>
          <w:smallCaps w:val="0"/>
          <w:spacing w:val="0"/>
        </w:rPr>
        <w:lastRenderedPageBreak/>
        <w:t>Indicators and t</w:t>
      </w:r>
      <w:r w:rsidR="001B52CE" w:rsidRPr="00ED2BC2">
        <w:rPr>
          <w:rStyle w:val="BookTitle"/>
          <w:b w:val="0"/>
          <w:bCs/>
          <w:smallCaps w:val="0"/>
          <w:spacing w:val="0"/>
        </w:rPr>
        <w:t>argets</w:t>
      </w:r>
      <w:bookmarkEnd w:id="17"/>
      <w:bookmarkEnd w:id="18"/>
    </w:p>
    <w:p w:rsidR="0031590E" w:rsidRDefault="0051359F">
      <w:r>
        <w:t xml:space="preserve">A </w:t>
      </w:r>
      <w:r w:rsidR="00627671">
        <w:t xml:space="preserve">high </w:t>
      </w:r>
      <w:r>
        <w:t>school</w:t>
      </w:r>
      <w:r w:rsidR="007E6E30">
        <w:t xml:space="preserve"> or subgroup’s annual PPI is a measure of improvement toward its own targets over a two-year period on up to seven core indicators:</w:t>
      </w:r>
    </w:p>
    <w:p w:rsidR="0031590E" w:rsidRDefault="00577405" w:rsidP="00D6571A">
      <w:pPr>
        <w:pStyle w:val="ListParagraph"/>
        <w:numPr>
          <w:ilvl w:val="0"/>
          <w:numId w:val="5"/>
        </w:numPr>
      </w:pPr>
      <w:r w:rsidRPr="002C54BB">
        <w:t>Narrowing proficiency gaps</w:t>
      </w:r>
      <w:r w:rsidR="001B52CE" w:rsidRPr="002C54BB">
        <w:t xml:space="preserve"> in </w:t>
      </w:r>
      <w:r w:rsidRPr="002C54BB">
        <w:t>English language arts (ELA)</w:t>
      </w:r>
      <w:r w:rsidR="001B52CE" w:rsidRPr="002C54BB">
        <w:t>, m</w:t>
      </w:r>
      <w:r w:rsidRPr="002C54BB">
        <w:t>athematics</w:t>
      </w:r>
      <w:r w:rsidR="001B52CE" w:rsidRPr="002C54BB">
        <w:t>, and s</w:t>
      </w:r>
      <w:r w:rsidRPr="002C54BB">
        <w:t>cience</w:t>
      </w:r>
      <w:r w:rsidR="001B52CE" w:rsidRPr="002C54BB">
        <w:t>:</w:t>
      </w:r>
    </w:p>
    <w:p w:rsidR="003F55D2" w:rsidRDefault="00B3365D" w:rsidP="009617E8">
      <w:pPr>
        <w:ind w:left="360"/>
      </w:pPr>
      <w:r w:rsidRPr="00517F87">
        <w:t xml:space="preserve">A school or subgroup’s </w:t>
      </w:r>
      <w:r>
        <w:t>“</w:t>
      </w:r>
      <w:r w:rsidRPr="00517F87">
        <w:t xml:space="preserve">proficiency gap” is the distance between the group’s 2011 </w:t>
      </w:r>
      <w:r w:rsidR="006876EA" w:rsidRPr="001B52CE">
        <w:t>Composite Performance Index (CPI)</w:t>
      </w:r>
      <w:r w:rsidRPr="00517F87">
        <w:t xml:space="preserve"> and a CPI of 100. The goal for all schools and groups </w:t>
      </w:r>
      <w:r w:rsidR="00433FFD">
        <w:t>is to halve that gap in the six-</w:t>
      </w:r>
      <w:r w:rsidRPr="00517F87">
        <w:t>yea</w:t>
      </w:r>
      <w:r w:rsidR="006876EA">
        <w:t>r period between 2011 and 2017.</w:t>
      </w:r>
    </w:p>
    <w:p w:rsidR="00461235" w:rsidRDefault="001B52CE" w:rsidP="009617E8">
      <w:pPr>
        <w:ind w:left="360"/>
      </w:pPr>
      <w:r w:rsidRPr="001B52CE">
        <w:t xml:space="preserve">The CPI is a 100-point index that assigns 100, 75, 50, 25, or 0 points to each </w:t>
      </w:r>
      <w:r w:rsidR="00627671">
        <w:t xml:space="preserve">high school </w:t>
      </w:r>
      <w:r w:rsidRPr="001B52CE">
        <w:t xml:space="preserve">student participating in MCAS and MCAS-Alternate Assessment tests based on their </w:t>
      </w:r>
      <w:r w:rsidR="00AC74B3">
        <w:t>achievement</w:t>
      </w:r>
      <w:r w:rsidRPr="001B52CE">
        <w:t xml:space="preserve">. The CPI is a measure of the extent to which </w:t>
      </w:r>
      <w:r w:rsidR="006876EA">
        <w:t xml:space="preserve">all </w:t>
      </w:r>
      <w:r w:rsidRPr="001B52CE">
        <w:t>students are progressing toward proficiency</w:t>
      </w:r>
      <w:r w:rsidR="006876EA">
        <w:t>. When all students in a group score Proficient or Advanced, the group</w:t>
      </w:r>
      <w:r w:rsidR="00BE633D">
        <w:t>’</w:t>
      </w:r>
      <w:r w:rsidR="006876EA">
        <w:t>s CPI will be 100</w:t>
      </w:r>
      <w:r w:rsidRPr="001B52CE">
        <w:t>. CPIs are generated separately for ELA, mathematics, and science, and at all levels</w:t>
      </w:r>
      <w:r w:rsidR="001F4266">
        <w:t xml:space="preserve"> – state</w:t>
      </w:r>
      <w:r w:rsidRPr="001B52CE">
        <w:t xml:space="preserve">, district, school, and subgroup. The CPI is calculated by first multiplying the number of students at each MCAS/MCAS-Alt </w:t>
      </w:r>
      <w:r w:rsidR="00AC74B3">
        <w:t>achievement</w:t>
      </w:r>
      <w:r w:rsidRPr="001B52CE">
        <w:t xml:space="preserve"> level by the number of points corresponding to that level. The total points for each </w:t>
      </w:r>
      <w:r w:rsidR="00AC74B3">
        <w:t>achievement</w:t>
      </w:r>
      <w:r w:rsidRPr="001B52CE">
        <w:t xml:space="preserve"> level are then added together, and divided by the total number of students in the group. The result is a number between 0 and 100, which constitutes the CPI for that subject and group.</w:t>
      </w:r>
      <w:r w:rsidR="00B323A3">
        <w:t xml:space="preserve"> </w:t>
      </w:r>
      <w:r w:rsidR="0098410F">
        <w:t>The table below shows</w:t>
      </w:r>
      <w:r w:rsidR="0098410F" w:rsidRPr="001B52CE">
        <w:t xml:space="preserve"> </w:t>
      </w:r>
      <w:r w:rsidR="0098410F">
        <w:t>a sample</w:t>
      </w:r>
      <w:r w:rsidR="0098410F" w:rsidRPr="001B52CE">
        <w:t xml:space="preserve"> CPI calcula</w:t>
      </w:r>
      <w:r w:rsidR="0098410F">
        <w:t>tion for a group of 40 students.</w:t>
      </w:r>
    </w:p>
    <w:p w:rsidR="001A0D5C" w:rsidRDefault="001A0D5C" w:rsidP="009617E8">
      <w:pPr>
        <w:pStyle w:val="Caption"/>
        <w:ind w:left="360"/>
      </w:pPr>
      <w:r>
        <w:t xml:space="preserve">Table </w:t>
      </w:r>
      <w:r w:rsidR="008644AE">
        <w:t>3</w:t>
      </w:r>
      <w:r>
        <w:t>: Sample CPI calculation</w:t>
      </w:r>
    </w:p>
    <w:tbl>
      <w:tblPr>
        <w:tblStyle w:val="TableGrid"/>
        <w:tblW w:w="4756" w:type="pct"/>
        <w:tblInd w:w="468" w:type="dxa"/>
        <w:tblLook w:val="04A0" w:firstRow="1" w:lastRow="0" w:firstColumn="1" w:lastColumn="0" w:noHBand="0" w:noVBand="1"/>
      </w:tblPr>
      <w:tblGrid>
        <w:gridCol w:w="2764"/>
        <w:gridCol w:w="2764"/>
        <w:gridCol w:w="1193"/>
        <w:gridCol w:w="1195"/>
        <w:gridCol w:w="1193"/>
      </w:tblGrid>
      <w:tr w:rsidR="007F0B6F" w:rsidRPr="002C54BB" w:rsidTr="007F0B6F">
        <w:tc>
          <w:tcPr>
            <w:tcW w:w="1517" w:type="pct"/>
            <w:tcBorders>
              <w:bottom w:val="single" w:sz="4" w:space="0" w:color="auto"/>
            </w:tcBorders>
            <w:shd w:val="clear" w:color="auto" w:fill="C6D9F1" w:themeFill="text2" w:themeFillTint="33"/>
            <w:vAlign w:val="center"/>
          </w:tcPr>
          <w:p w:rsidR="00627671" w:rsidRDefault="00627671" w:rsidP="000846C9">
            <w:pPr>
              <w:pStyle w:val="NoSpacing"/>
              <w:rPr>
                <w:b/>
              </w:rPr>
            </w:pPr>
            <w:r w:rsidRPr="002C54BB">
              <w:rPr>
                <w:b/>
              </w:rPr>
              <w:t xml:space="preserve">MCAS </w:t>
            </w:r>
            <w:r>
              <w:rPr>
                <w:b/>
              </w:rPr>
              <w:t>Achievement</w:t>
            </w:r>
            <w:r w:rsidRPr="002C54BB">
              <w:rPr>
                <w:b/>
              </w:rPr>
              <w:t xml:space="preserve"> Level </w:t>
            </w:r>
          </w:p>
          <w:p w:rsidR="00627671" w:rsidRPr="002C54BB" w:rsidRDefault="00627671" w:rsidP="000846C9">
            <w:pPr>
              <w:pStyle w:val="NoSpacing"/>
              <w:rPr>
                <w:b/>
              </w:rPr>
            </w:pPr>
            <w:r w:rsidRPr="002C54BB">
              <w:rPr>
                <w:b/>
              </w:rPr>
              <w:t>(Scaled Score Range)</w:t>
            </w:r>
          </w:p>
        </w:tc>
        <w:tc>
          <w:tcPr>
            <w:tcW w:w="1517" w:type="pct"/>
            <w:tcBorders>
              <w:bottom w:val="single" w:sz="4" w:space="0" w:color="auto"/>
            </w:tcBorders>
            <w:shd w:val="clear" w:color="auto" w:fill="C6D9F1" w:themeFill="text2" w:themeFillTint="33"/>
            <w:vAlign w:val="center"/>
          </w:tcPr>
          <w:p w:rsidR="00627671" w:rsidRPr="002C54BB" w:rsidRDefault="00627671" w:rsidP="000846C9">
            <w:pPr>
              <w:pStyle w:val="NoSpacing"/>
              <w:rPr>
                <w:b/>
              </w:rPr>
            </w:pPr>
            <w:r w:rsidRPr="002C54BB">
              <w:rPr>
                <w:b/>
              </w:rPr>
              <w:t xml:space="preserve">MCAS-Alt </w:t>
            </w:r>
          </w:p>
          <w:p w:rsidR="00627671" w:rsidRPr="002C54BB" w:rsidRDefault="00627671" w:rsidP="000846C9">
            <w:pPr>
              <w:pStyle w:val="NoSpacing"/>
              <w:rPr>
                <w:b/>
              </w:rPr>
            </w:pPr>
            <w:r>
              <w:rPr>
                <w:b/>
              </w:rPr>
              <w:t>Achievement</w:t>
            </w:r>
            <w:r w:rsidRPr="002C54BB">
              <w:rPr>
                <w:b/>
              </w:rPr>
              <w:t xml:space="preserve"> Level</w:t>
            </w:r>
          </w:p>
        </w:tc>
        <w:tc>
          <w:tcPr>
            <w:tcW w:w="655" w:type="pct"/>
            <w:tcBorders>
              <w:bottom w:val="single" w:sz="4" w:space="0" w:color="auto"/>
            </w:tcBorders>
            <w:shd w:val="clear" w:color="auto" w:fill="C6D9F1" w:themeFill="text2" w:themeFillTint="33"/>
            <w:vAlign w:val="center"/>
          </w:tcPr>
          <w:p w:rsidR="00627671" w:rsidRPr="002C54BB" w:rsidRDefault="00627671" w:rsidP="006876EA">
            <w:pPr>
              <w:pStyle w:val="NoSpacing"/>
              <w:jc w:val="right"/>
              <w:rPr>
                <w:b/>
              </w:rPr>
            </w:pPr>
            <w:r w:rsidRPr="002C54BB">
              <w:rPr>
                <w:b/>
              </w:rPr>
              <w:t>Points per Student</w:t>
            </w:r>
          </w:p>
        </w:tc>
        <w:tc>
          <w:tcPr>
            <w:tcW w:w="656" w:type="pct"/>
            <w:tcBorders>
              <w:bottom w:val="single" w:sz="4" w:space="0" w:color="auto"/>
            </w:tcBorders>
            <w:shd w:val="clear" w:color="auto" w:fill="C6D9F1" w:themeFill="text2" w:themeFillTint="33"/>
            <w:vAlign w:val="center"/>
          </w:tcPr>
          <w:p w:rsidR="00627671" w:rsidRDefault="00627671" w:rsidP="006876EA">
            <w:pPr>
              <w:pStyle w:val="NoSpacing"/>
              <w:jc w:val="right"/>
              <w:rPr>
                <w:b/>
              </w:rPr>
            </w:pPr>
            <w:r w:rsidRPr="002C54BB">
              <w:rPr>
                <w:b/>
              </w:rPr>
              <w:t xml:space="preserve"># of </w:t>
            </w:r>
          </w:p>
          <w:p w:rsidR="00627671" w:rsidRPr="002C54BB" w:rsidRDefault="00627671" w:rsidP="006876EA">
            <w:pPr>
              <w:pStyle w:val="NoSpacing"/>
              <w:jc w:val="right"/>
              <w:rPr>
                <w:b/>
              </w:rPr>
            </w:pPr>
            <w:r w:rsidRPr="002C54BB">
              <w:rPr>
                <w:b/>
              </w:rPr>
              <w:t>Students</w:t>
            </w:r>
          </w:p>
        </w:tc>
        <w:tc>
          <w:tcPr>
            <w:tcW w:w="655" w:type="pct"/>
            <w:tcBorders>
              <w:bottom w:val="single" w:sz="4" w:space="0" w:color="auto"/>
            </w:tcBorders>
            <w:shd w:val="clear" w:color="auto" w:fill="C6D9F1" w:themeFill="text2" w:themeFillTint="33"/>
            <w:vAlign w:val="center"/>
          </w:tcPr>
          <w:p w:rsidR="00627671" w:rsidRDefault="00627671" w:rsidP="006876EA">
            <w:pPr>
              <w:pStyle w:val="NoSpacing"/>
              <w:jc w:val="right"/>
              <w:rPr>
                <w:b/>
              </w:rPr>
            </w:pPr>
            <w:r w:rsidRPr="002C54BB">
              <w:rPr>
                <w:b/>
              </w:rPr>
              <w:t xml:space="preserve">Total </w:t>
            </w:r>
          </w:p>
          <w:p w:rsidR="00627671" w:rsidRPr="002C54BB" w:rsidRDefault="00627671" w:rsidP="006876EA">
            <w:pPr>
              <w:pStyle w:val="NoSpacing"/>
              <w:jc w:val="right"/>
              <w:rPr>
                <w:b/>
              </w:rPr>
            </w:pPr>
            <w:r w:rsidRPr="002C54BB">
              <w:rPr>
                <w:b/>
              </w:rPr>
              <w:t>Points</w:t>
            </w:r>
          </w:p>
        </w:tc>
      </w:tr>
      <w:tr w:rsidR="007F0B6F" w:rsidRPr="00D45820" w:rsidTr="007F0B6F">
        <w:tc>
          <w:tcPr>
            <w:tcW w:w="1517" w:type="pct"/>
            <w:tcBorders>
              <w:bottom w:val="dotted" w:sz="4" w:space="0" w:color="auto"/>
            </w:tcBorders>
            <w:vAlign w:val="center"/>
          </w:tcPr>
          <w:p w:rsidR="00627671" w:rsidRDefault="00627671" w:rsidP="000846C9">
            <w:pPr>
              <w:pStyle w:val="NoSpacing"/>
            </w:pPr>
            <w:r w:rsidRPr="00D45820">
              <w:rPr>
                <w:i/>
              </w:rPr>
              <w:t>Proficient</w:t>
            </w:r>
            <w:r w:rsidRPr="00D45820">
              <w:t xml:space="preserve"> or </w:t>
            </w:r>
            <w:r w:rsidRPr="00D45820">
              <w:rPr>
                <w:i/>
              </w:rPr>
              <w:t>Advanced</w:t>
            </w:r>
            <w:r w:rsidRPr="00D45820">
              <w:t xml:space="preserve"> </w:t>
            </w:r>
          </w:p>
          <w:p w:rsidR="00627671" w:rsidRPr="00D45820" w:rsidRDefault="00627671" w:rsidP="000846C9">
            <w:pPr>
              <w:pStyle w:val="NoSpacing"/>
            </w:pPr>
            <w:r w:rsidRPr="00D45820">
              <w:t>(240-280)</w:t>
            </w:r>
          </w:p>
        </w:tc>
        <w:tc>
          <w:tcPr>
            <w:tcW w:w="1517" w:type="pct"/>
            <w:tcBorders>
              <w:bottom w:val="dotted" w:sz="4" w:space="0" w:color="auto"/>
            </w:tcBorders>
            <w:vAlign w:val="center"/>
          </w:tcPr>
          <w:p w:rsidR="00627671" w:rsidRPr="00D45820" w:rsidRDefault="00627671" w:rsidP="000846C9">
            <w:pPr>
              <w:pStyle w:val="NoSpacing"/>
            </w:pPr>
            <w:r w:rsidRPr="00D45820">
              <w:rPr>
                <w:i/>
              </w:rPr>
              <w:t>Progressing</w:t>
            </w:r>
            <w:r w:rsidRPr="00D45820">
              <w:t xml:space="preserve"> </w:t>
            </w:r>
          </w:p>
          <w:p w:rsidR="00627671" w:rsidRPr="00D45820" w:rsidRDefault="00627671" w:rsidP="000846C9">
            <w:pPr>
              <w:pStyle w:val="NoSpacing"/>
            </w:pPr>
            <w:r w:rsidRPr="00D45820">
              <w:t>(certain disabilities)</w:t>
            </w:r>
            <w:r>
              <w:rPr>
                <w:rStyle w:val="FootnoteReference"/>
              </w:rPr>
              <w:footnoteReference w:id="2"/>
            </w:r>
          </w:p>
        </w:tc>
        <w:tc>
          <w:tcPr>
            <w:tcW w:w="655" w:type="pct"/>
            <w:tcBorders>
              <w:bottom w:val="dotted" w:sz="4" w:space="0" w:color="auto"/>
            </w:tcBorders>
            <w:vAlign w:val="center"/>
          </w:tcPr>
          <w:p w:rsidR="00627671" w:rsidRPr="00D45820" w:rsidRDefault="00627671" w:rsidP="002C54BB">
            <w:pPr>
              <w:pStyle w:val="NoSpacing"/>
              <w:jc w:val="right"/>
            </w:pPr>
            <w:r w:rsidRPr="00D45820">
              <w:t>100</w:t>
            </w:r>
          </w:p>
        </w:tc>
        <w:tc>
          <w:tcPr>
            <w:tcW w:w="656" w:type="pct"/>
            <w:tcBorders>
              <w:bottom w:val="dotted" w:sz="4" w:space="0" w:color="auto"/>
            </w:tcBorders>
            <w:vAlign w:val="center"/>
          </w:tcPr>
          <w:p w:rsidR="00627671" w:rsidRPr="00D45820" w:rsidRDefault="00627671" w:rsidP="002C54BB">
            <w:pPr>
              <w:pStyle w:val="NoSpacing"/>
              <w:jc w:val="right"/>
            </w:pPr>
            <w:r>
              <w:t>25</w:t>
            </w:r>
          </w:p>
        </w:tc>
        <w:tc>
          <w:tcPr>
            <w:tcW w:w="655" w:type="pct"/>
            <w:tcBorders>
              <w:bottom w:val="dotted" w:sz="4" w:space="0" w:color="auto"/>
            </w:tcBorders>
            <w:vAlign w:val="center"/>
          </w:tcPr>
          <w:p w:rsidR="00627671" w:rsidRPr="00D45820" w:rsidRDefault="00627671" w:rsidP="002C54BB">
            <w:pPr>
              <w:pStyle w:val="NoSpacing"/>
              <w:jc w:val="right"/>
            </w:pPr>
            <w:r>
              <w:t>2500</w:t>
            </w:r>
          </w:p>
        </w:tc>
      </w:tr>
      <w:tr w:rsidR="007F0B6F" w:rsidRPr="00D45820" w:rsidTr="007F0B6F">
        <w:tc>
          <w:tcPr>
            <w:tcW w:w="1517" w:type="pct"/>
            <w:tcBorders>
              <w:top w:val="dotted" w:sz="4" w:space="0" w:color="auto"/>
              <w:bottom w:val="dotted" w:sz="4" w:space="0" w:color="auto"/>
            </w:tcBorders>
            <w:vAlign w:val="center"/>
          </w:tcPr>
          <w:p w:rsidR="00627671" w:rsidRDefault="00627671" w:rsidP="0096458C">
            <w:pPr>
              <w:pStyle w:val="NoSpacing"/>
              <w:rPr>
                <w:i/>
              </w:rPr>
            </w:pPr>
            <w:r w:rsidRPr="00D45820">
              <w:rPr>
                <w:i/>
              </w:rPr>
              <w:t>Needs Improvement – High</w:t>
            </w:r>
            <w:r>
              <w:rPr>
                <w:i/>
              </w:rPr>
              <w:t xml:space="preserve"> </w:t>
            </w:r>
          </w:p>
          <w:p w:rsidR="00627671" w:rsidRPr="00627671" w:rsidRDefault="00627671" w:rsidP="0096458C">
            <w:pPr>
              <w:pStyle w:val="NoSpacing"/>
              <w:rPr>
                <w:i/>
              </w:rPr>
            </w:pPr>
            <w:r w:rsidRPr="00D45820">
              <w:t>(230-238)</w:t>
            </w:r>
          </w:p>
        </w:tc>
        <w:tc>
          <w:tcPr>
            <w:tcW w:w="1517" w:type="pct"/>
            <w:tcBorders>
              <w:top w:val="dotted" w:sz="4" w:space="0" w:color="auto"/>
              <w:bottom w:val="dotted" w:sz="4" w:space="0" w:color="auto"/>
            </w:tcBorders>
            <w:vAlign w:val="center"/>
          </w:tcPr>
          <w:p w:rsidR="00627671" w:rsidRPr="00D45820" w:rsidRDefault="00627671" w:rsidP="000846C9">
            <w:pPr>
              <w:pStyle w:val="NoSpacing"/>
            </w:pPr>
            <w:r w:rsidRPr="00D45820">
              <w:rPr>
                <w:i/>
              </w:rPr>
              <w:t>Progressing</w:t>
            </w:r>
            <w:r>
              <w:rPr>
                <w:rStyle w:val="FootnoteReference"/>
                <w:i/>
              </w:rPr>
              <w:footnoteReference w:id="3"/>
            </w:r>
            <w:r w:rsidRPr="00D45820">
              <w:t xml:space="preserve"> or </w:t>
            </w:r>
            <w:r w:rsidRPr="00D45820">
              <w:rPr>
                <w:i/>
              </w:rPr>
              <w:t>Emerging</w:t>
            </w:r>
          </w:p>
        </w:tc>
        <w:tc>
          <w:tcPr>
            <w:tcW w:w="655" w:type="pct"/>
            <w:tcBorders>
              <w:top w:val="dotted" w:sz="4" w:space="0" w:color="auto"/>
              <w:bottom w:val="dotted" w:sz="4" w:space="0" w:color="auto"/>
            </w:tcBorders>
            <w:vAlign w:val="center"/>
          </w:tcPr>
          <w:p w:rsidR="00627671" w:rsidRPr="00D45820" w:rsidRDefault="00627671" w:rsidP="002C54BB">
            <w:pPr>
              <w:pStyle w:val="NoSpacing"/>
              <w:jc w:val="right"/>
            </w:pPr>
            <w:r w:rsidRPr="00D45820">
              <w:t>75</w:t>
            </w:r>
          </w:p>
        </w:tc>
        <w:tc>
          <w:tcPr>
            <w:tcW w:w="656" w:type="pct"/>
            <w:tcBorders>
              <w:top w:val="dotted" w:sz="4" w:space="0" w:color="auto"/>
              <w:bottom w:val="dotted" w:sz="4" w:space="0" w:color="auto"/>
            </w:tcBorders>
            <w:vAlign w:val="center"/>
          </w:tcPr>
          <w:p w:rsidR="00627671" w:rsidRPr="00D45820" w:rsidRDefault="00627671" w:rsidP="002C54BB">
            <w:pPr>
              <w:pStyle w:val="NoSpacing"/>
              <w:jc w:val="right"/>
            </w:pPr>
            <w:r>
              <w:t>5</w:t>
            </w:r>
          </w:p>
        </w:tc>
        <w:tc>
          <w:tcPr>
            <w:tcW w:w="655" w:type="pct"/>
            <w:tcBorders>
              <w:top w:val="dotted" w:sz="4" w:space="0" w:color="auto"/>
              <w:bottom w:val="dotted" w:sz="4" w:space="0" w:color="auto"/>
            </w:tcBorders>
            <w:vAlign w:val="center"/>
          </w:tcPr>
          <w:p w:rsidR="00627671" w:rsidRPr="00D45820" w:rsidRDefault="00627671" w:rsidP="002C54BB">
            <w:pPr>
              <w:pStyle w:val="NoSpacing"/>
              <w:jc w:val="right"/>
            </w:pPr>
            <w:r>
              <w:t>375</w:t>
            </w:r>
          </w:p>
        </w:tc>
      </w:tr>
      <w:tr w:rsidR="007F0B6F" w:rsidRPr="00D45820" w:rsidTr="007F0B6F">
        <w:tc>
          <w:tcPr>
            <w:tcW w:w="1517" w:type="pct"/>
            <w:tcBorders>
              <w:top w:val="dotted" w:sz="4" w:space="0" w:color="auto"/>
              <w:bottom w:val="dotted" w:sz="4" w:space="0" w:color="auto"/>
            </w:tcBorders>
            <w:vAlign w:val="center"/>
          </w:tcPr>
          <w:p w:rsidR="00627671" w:rsidRDefault="00627671" w:rsidP="0096458C">
            <w:pPr>
              <w:pStyle w:val="NoSpacing"/>
              <w:rPr>
                <w:i/>
              </w:rPr>
            </w:pPr>
            <w:r w:rsidRPr="00D45820">
              <w:rPr>
                <w:i/>
              </w:rPr>
              <w:t>Needs Improvement – Low</w:t>
            </w:r>
            <w:r>
              <w:rPr>
                <w:i/>
              </w:rPr>
              <w:t xml:space="preserve"> </w:t>
            </w:r>
          </w:p>
          <w:p w:rsidR="00627671" w:rsidRPr="00627671" w:rsidRDefault="00627671" w:rsidP="0096458C">
            <w:pPr>
              <w:pStyle w:val="NoSpacing"/>
              <w:rPr>
                <w:i/>
              </w:rPr>
            </w:pPr>
            <w:r w:rsidRPr="00D45820">
              <w:t>(220-228)</w:t>
            </w:r>
          </w:p>
        </w:tc>
        <w:tc>
          <w:tcPr>
            <w:tcW w:w="1517" w:type="pct"/>
            <w:tcBorders>
              <w:top w:val="dotted" w:sz="4" w:space="0" w:color="auto"/>
              <w:bottom w:val="dotted" w:sz="4" w:space="0" w:color="auto"/>
            </w:tcBorders>
            <w:vAlign w:val="center"/>
          </w:tcPr>
          <w:p w:rsidR="00627671" w:rsidRPr="00D45820" w:rsidRDefault="00627671" w:rsidP="000846C9">
            <w:pPr>
              <w:pStyle w:val="NoSpacing"/>
            </w:pPr>
            <w:r w:rsidRPr="00D45820">
              <w:rPr>
                <w:i/>
              </w:rPr>
              <w:t>Awareness</w:t>
            </w:r>
          </w:p>
        </w:tc>
        <w:tc>
          <w:tcPr>
            <w:tcW w:w="655" w:type="pct"/>
            <w:tcBorders>
              <w:top w:val="dotted" w:sz="4" w:space="0" w:color="auto"/>
              <w:bottom w:val="dotted" w:sz="4" w:space="0" w:color="auto"/>
            </w:tcBorders>
            <w:vAlign w:val="center"/>
          </w:tcPr>
          <w:p w:rsidR="00627671" w:rsidRPr="00D45820" w:rsidRDefault="00627671" w:rsidP="002C54BB">
            <w:pPr>
              <w:pStyle w:val="NoSpacing"/>
              <w:jc w:val="right"/>
            </w:pPr>
            <w:r w:rsidRPr="00D45820">
              <w:t>50</w:t>
            </w:r>
          </w:p>
        </w:tc>
        <w:tc>
          <w:tcPr>
            <w:tcW w:w="656" w:type="pct"/>
            <w:tcBorders>
              <w:top w:val="dotted" w:sz="4" w:space="0" w:color="auto"/>
              <w:bottom w:val="dotted" w:sz="4" w:space="0" w:color="auto"/>
            </w:tcBorders>
            <w:vAlign w:val="center"/>
          </w:tcPr>
          <w:p w:rsidR="00627671" w:rsidRPr="00D45820" w:rsidRDefault="00627671" w:rsidP="002C54BB">
            <w:pPr>
              <w:pStyle w:val="NoSpacing"/>
              <w:jc w:val="right"/>
            </w:pPr>
            <w:r>
              <w:t>5</w:t>
            </w:r>
          </w:p>
        </w:tc>
        <w:tc>
          <w:tcPr>
            <w:tcW w:w="655" w:type="pct"/>
            <w:tcBorders>
              <w:top w:val="dotted" w:sz="4" w:space="0" w:color="auto"/>
              <w:bottom w:val="dotted" w:sz="4" w:space="0" w:color="auto"/>
            </w:tcBorders>
            <w:vAlign w:val="center"/>
          </w:tcPr>
          <w:p w:rsidR="00627671" w:rsidRPr="00D45820" w:rsidRDefault="00627671" w:rsidP="002C54BB">
            <w:pPr>
              <w:pStyle w:val="NoSpacing"/>
              <w:jc w:val="right"/>
            </w:pPr>
            <w:r>
              <w:t>250</w:t>
            </w:r>
          </w:p>
        </w:tc>
      </w:tr>
      <w:tr w:rsidR="007F0B6F" w:rsidRPr="00D45820" w:rsidTr="007F0B6F">
        <w:tc>
          <w:tcPr>
            <w:tcW w:w="1517" w:type="pct"/>
            <w:tcBorders>
              <w:top w:val="dotted" w:sz="4" w:space="0" w:color="auto"/>
              <w:bottom w:val="dotted" w:sz="4" w:space="0" w:color="auto"/>
            </w:tcBorders>
            <w:vAlign w:val="center"/>
          </w:tcPr>
          <w:p w:rsidR="00627671" w:rsidRDefault="00627671" w:rsidP="0096458C">
            <w:pPr>
              <w:pStyle w:val="NoSpacing"/>
            </w:pPr>
            <w:r w:rsidRPr="00D45820">
              <w:rPr>
                <w:i/>
              </w:rPr>
              <w:t>Warning/Failing – High</w:t>
            </w:r>
            <w:r w:rsidRPr="00D45820">
              <w:t xml:space="preserve"> </w:t>
            </w:r>
          </w:p>
          <w:p w:rsidR="00627671" w:rsidRPr="00627671" w:rsidRDefault="00627671" w:rsidP="0096458C">
            <w:pPr>
              <w:pStyle w:val="NoSpacing"/>
              <w:rPr>
                <w:i/>
              </w:rPr>
            </w:pPr>
            <w:r w:rsidRPr="00D45820">
              <w:t>(210-218)</w:t>
            </w:r>
          </w:p>
        </w:tc>
        <w:tc>
          <w:tcPr>
            <w:tcW w:w="1517" w:type="pct"/>
            <w:tcBorders>
              <w:top w:val="dotted" w:sz="4" w:space="0" w:color="auto"/>
              <w:bottom w:val="dotted" w:sz="4" w:space="0" w:color="auto"/>
            </w:tcBorders>
            <w:vAlign w:val="center"/>
          </w:tcPr>
          <w:p w:rsidR="00627671" w:rsidRPr="00D45820" w:rsidRDefault="00627671" w:rsidP="000846C9">
            <w:pPr>
              <w:pStyle w:val="NoSpacing"/>
              <w:rPr>
                <w:i/>
              </w:rPr>
            </w:pPr>
            <w:r w:rsidRPr="00D45820">
              <w:rPr>
                <w:i/>
              </w:rPr>
              <w:t>Portfolio Incomplete</w:t>
            </w:r>
          </w:p>
        </w:tc>
        <w:tc>
          <w:tcPr>
            <w:tcW w:w="655" w:type="pct"/>
            <w:tcBorders>
              <w:top w:val="dotted" w:sz="4" w:space="0" w:color="auto"/>
              <w:bottom w:val="dotted" w:sz="4" w:space="0" w:color="auto"/>
            </w:tcBorders>
            <w:vAlign w:val="center"/>
          </w:tcPr>
          <w:p w:rsidR="00627671" w:rsidRPr="00D45820" w:rsidRDefault="00627671" w:rsidP="002C54BB">
            <w:pPr>
              <w:pStyle w:val="NoSpacing"/>
              <w:jc w:val="right"/>
            </w:pPr>
            <w:r w:rsidRPr="00D45820">
              <w:t>25</w:t>
            </w:r>
          </w:p>
        </w:tc>
        <w:tc>
          <w:tcPr>
            <w:tcW w:w="656" w:type="pct"/>
            <w:tcBorders>
              <w:top w:val="dotted" w:sz="4" w:space="0" w:color="auto"/>
              <w:bottom w:val="dotted" w:sz="4" w:space="0" w:color="auto"/>
            </w:tcBorders>
            <w:vAlign w:val="center"/>
          </w:tcPr>
          <w:p w:rsidR="00627671" w:rsidRPr="00D45820" w:rsidRDefault="00627671" w:rsidP="002C54BB">
            <w:pPr>
              <w:pStyle w:val="NoSpacing"/>
              <w:jc w:val="right"/>
            </w:pPr>
            <w:r>
              <w:t>4</w:t>
            </w:r>
          </w:p>
        </w:tc>
        <w:tc>
          <w:tcPr>
            <w:tcW w:w="655" w:type="pct"/>
            <w:tcBorders>
              <w:top w:val="dotted" w:sz="4" w:space="0" w:color="auto"/>
              <w:bottom w:val="dotted" w:sz="4" w:space="0" w:color="auto"/>
            </w:tcBorders>
            <w:vAlign w:val="center"/>
          </w:tcPr>
          <w:p w:rsidR="00627671" w:rsidRPr="00D45820" w:rsidRDefault="00627671" w:rsidP="002C54BB">
            <w:pPr>
              <w:pStyle w:val="NoSpacing"/>
              <w:jc w:val="right"/>
            </w:pPr>
            <w:r>
              <w:t>100</w:t>
            </w:r>
          </w:p>
        </w:tc>
      </w:tr>
      <w:tr w:rsidR="007F0B6F" w:rsidRPr="00D45820" w:rsidTr="007F0B6F">
        <w:tc>
          <w:tcPr>
            <w:tcW w:w="1517" w:type="pct"/>
            <w:tcBorders>
              <w:top w:val="dotted" w:sz="4" w:space="0" w:color="auto"/>
            </w:tcBorders>
            <w:vAlign w:val="center"/>
          </w:tcPr>
          <w:p w:rsidR="00627671" w:rsidRDefault="00627671" w:rsidP="0096458C">
            <w:pPr>
              <w:pStyle w:val="NoSpacing"/>
            </w:pPr>
            <w:r w:rsidRPr="00D45820">
              <w:rPr>
                <w:i/>
              </w:rPr>
              <w:t>Warning/Failing – Low</w:t>
            </w:r>
            <w:r>
              <w:rPr>
                <w:i/>
              </w:rPr>
              <w:t xml:space="preserve"> </w:t>
            </w:r>
            <w:r w:rsidRPr="00D45820">
              <w:t xml:space="preserve"> </w:t>
            </w:r>
          </w:p>
          <w:p w:rsidR="00627671" w:rsidRPr="00627671" w:rsidRDefault="00627671" w:rsidP="0096458C">
            <w:pPr>
              <w:pStyle w:val="NoSpacing"/>
              <w:rPr>
                <w:i/>
              </w:rPr>
            </w:pPr>
            <w:r w:rsidRPr="00D45820">
              <w:t>(200-208)</w:t>
            </w:r>
          </w:p>
        </w:tc>
        <w:tc>
          <w:tcPr>
            <w:tcW w:w="1517" w:type="pct"/>
            <w:tcBorders>
              <w:top w:val="dotted" w:sz="4" w:space="0" w:color="auto"/>
            </w:tcBorders>
            <w:vAlign w:val="center"/>
          </w:tcPr>
          <w:p w:rsidR="00627671" w:rsidRPr="00D45820" w:rsidRDefault="00627671" w:rsidP="000846C9">
            <w:pPr>
              <w:pStyle w:val="NoSpacing"/>
              <w:rPr>
                <w:i/>
              </w:rPr>
            </w:pPr>
            <w:r w:rsidRPr="00D45820">
              <w:rPr>
                <w:i/>
              </w:rPr>
              <w:t>Portfolio not Submitted</w:t>
            </w:r>
          </w:p>
        </w:tc>
        <w:tc>
          <w:tcPr>
            <w:tcW w:w="655" w:type="pct"/>
            <w:tcBorders>
              <w:top w:val="dotted" w:sz="4" w:space="0" w:color="auto"/>
            </w:tcBorders>
            <w:vAlign w:val="center"/>
          </w:tcPr>
          <w:p w:rsidR="00627671" w:rsidRPr="00D45820" w:rsidRDefault="00627671" w:rsidP="002C54BB">
            <w:pPr>
              <w:pStyle w:val="NoSpacing"/>
              <w:jc w:val="right"/>
            </w:pPr>
            <w:r w:rsidRPr="00D45820">
              <w:t>0</w:t>
            </w:r>
          </w:p>
        </w:tc>
        <w:tc>
          <w:tcPr>
            <w:tcW w:w="656" w:type="pct"/>
            <w:tcBorders>
              <w:top w:val="dotted" w:sz="4" w:space="0" w:color="auto"/>
            </w:tcBorders>
            <w:vAlign w:val="center"/>
          </w:tcPr>
          <w:p w:rsidR="00627671" w:rsidRPr="00D45820" w:rsidRDefault="00627671" w:rsidP="002C54BB">
            <w:pPr>
              <w:pStyle w:val="NoSpacing"/>
              <w:jc w:val="right"/>
            </w:pPr>
            <w:r>
              <w:t>1</w:t>
            </w:r>
          </w:p>
        </w:tc>
        <w:tc>
          <w:tcPr>
            <w:tcW w:w="655" w:type="pct"/>
            <w:tcBorders>
              <w:top w:val="dotted" w:sz="4" w:space="0" w:color="auto"/>
            </w:tcBorders>
            <w:vAlign w:val="center"/>
          </w:tcPr>
          <w:p w:rsidR="00627671" w:rsidRPr="00D45820" w:rsidRDefault="00627671" w:rsidP="002C54BB">
            <w:pPr>
              <w:pStyle w:val="NoSpacing"/>
              <w:jc w:val="right"/>
            </w:pPr>
            <w:r w:rsidRPr="00D45820">
              <w:t>0</w:t>
            </w:r>
          </w:p>
        </w:tc>
      </w:tr>
      <w:tr w:rsidR="007F0B6F" w:rsidRPr="002C54BB" w:rsidTr="007F0B6F">
        <w:tc>
          <w:tcPr>
            <w:tcW w:w="3689" w:type="pct"/>
            <w:gridSpan w:val="3"/>
          </w:tcPr>
          <w:p w:rsidR="007F0B6F" w:rsidRPr="002C54BB" w:rsidRDefault="007F0B6F" w:rsidP="007F0B6F">
            <w:pPr>
              <w:pStyle w:val="NoSpacing"/>
              <w:jc w:val="right"/>
              <w:rPr>
                <w:b/>
              </w:rPr>
            </w:pPr>
            <w:r w:rsidRPr="002C54BB">
              <w:rPr>
                <w:b/>
              </w:rPr>
              <w:t>Total</w:t>
            </w:r>
          </w:p>
        </w:tc>
        <w:tc>
          <w:tcPr>
            <w:tcW w:w="656" w:type="pct"/>
            <w:vAlign w:val="center"/>
          </w:tcPr>
          <w:p w:rsidR="007F0B6F" w:rsidRPr="002C54BB" w:rsidRDefault="007F0B6F" w:rsidP="002C54BB">
            <w:pPr>
              <w:pStyle w:val="NoSpacing"/>
              <w:jc w:val="right"/>
              <w:rPr>
                <w:b/>
              </w:rPr>
            </w:pPr>
            <w:r>
              <w:rPr>
                <w:b/>
              </w:rPr>
              <w:t>4</w:t>
            </w:r>
            <w:r w:rsidRPr="002C54BB">
              <w:rPr>
                <w:b/>
              </w:rPr>
              <w:t>0</w:t>
            </w:r>
          </w:p>
        </w:tc>
        <w:tc>
          <w:tcPr>
            <w:tcW w:w="655" w:type="pct"/>
            <w:vAlign w:val="center"/>
          </w:tcPr>
          <w:p w:rsidR="007F0B6F" w:rsidRPr="002C54BB" w:rsidRDefault="007F0B6F" w:rsidP="002C54BB">
            <w:pPr>
              <w:pStyle w:val="NoSpacing"/>
              <w:jc w:val="right"/>
              <w:rPr>
                <w:b/>
              </w:rPr>
            </w:pPr>
            <w:r>
              <w:rPr>
                <w:b/>
              </w:rPr>
              <w:t>3225</w:t>
            </w:r>
          </w:p>
        </w:tc>
      </w:tr>
      <w:tr w:rsidR="007F0B6F" w:rsidRPr="00D45820" w:rsidTr="007F0B6F">
        <w:tc>
          <w:tcPr>
            <w:tcW w:w="3689" w:type="pct"/>
            <w:gridSpan w:val="3"/>
          </w:tcPr>
          <w:p w:rsidR="007F0B6F" w:rsidRPr="002C54BB" w:rsidRDefault="007F0B6F" w:rsidP="007F0B6F">
            <w:pPr>
              <w:pStyle w:val="NoSpacing"/>
              <w:jc w:val="right"/>
              <w:rPr>
                <w:b/>
              </w:rPr>
            </w:pPr>
            <w:r w:rsidRPr="002C54BB">
              <w:rPr>
                <w:b/>
              </w:rPr>
              <w:t>CPI</w:t>
            </w:r>
            <w:r w:rsidRPr="00D45820">
              <w:t xml:space="preserve"> (</w:t>
            </w:r>
            <w:r>
              <w:t>3225</w:t>
            </w:r>
            <w:r w:rsidRPr="00D45820">
              <w:t xml:space="preserve"> ÷ </w:t>
            </w:r>
            <w:r>
              <w:t>4</w:t>
            </w:r>
            <w:r w:rsidRPr="00D45820">
              <w:t>0)</w:t>
            </w:r>
          </w:p>
        </w:tc>
        <w:tc>
          <w:tcPr>
            <w:tcW w:w="1311" w:type="pct"/>
            <w:gridSpan w:val="2"/>
            <w:vAlign w:val="center"/>
          </w:tcPr>
          <w:p w:rsidR="007F0B6F" w:rsidRPr="002C54BB" w:rsidRDefault="007F0B6F" w:rsidP="002C54BB">
            <w:pPr>
              <w:pStyle w:val="NoSpacing"/>
              <w:jc w:val="center"/>
              <w:rPr>
                <w:b/>
              </w:rPr>
            </w:pPr>
            <w:r>
              <w:rPr>
                <w:b/>
              </w:rPr>
              <w:t>80.6</w:t>
            </w:r>
          </w:p>
        </w:tc>
      </w:tr>
    </w:tbl>
    <w:p w:rsidR="00403F2F" w:rsidRDefault="00403F2F" w:rsidP="00AA1A72">
      <w:pPr>
        <w:spacing w:after="0"/>
      </w:pPr>
    </w:p>
    <w:p w:rsidR="00403F2F" w:rsidRDefault="00882794" w:rsidP="009617E8">
      <w:pPr>
        <w:ind w:left="360"/>
      </w:pPr>
      <w:r>
        <w:t>T</w:t>
      </w:r>
      <w:r w:rsidR="00B3365D">
        <w:t xml:space="preserve">able </w:t>
      </w:r>
      <w:r w:rsidR="00786F27">
        <w:t>4</w:t>
      </w:r>
      <w:r>
        <w:t xml:space="preserve"> </w:t>
      </w:r>
      <w:r w:rsidR="00B3365D">
        <w:t xml:space="preserve">below </w:t>
      </w:r>
      <w:r>
        <w:t>demonstrates how to calculate</w:t>
      </w:r>
      <w:r w:rsidR="00B3365D">
        <w:t xml:space="preserve"> the proficiency gap-narrowing targets for two </w:t>
      </w:r>
      <w:r>
        <w:t xml:space="preserve">sample </w:t>
      </w:r>
      <w:r w:rsidR="00B3365D">
        <w:t>student groups.</w:t>
      </w:r>
      <w:r w:rsidR="00BE0FA2" w:rsidRPr="00517F87">
        <w:t xml:space="preserve"> Group 1</w:t>
      </w:r>
      <w:r>
        <w:t>’s starting point</w:t>
      </w:r>
      <w:r w:rsidR="00BE0FA2" w:rsidRPr="00517F87">
        <w:t xml:space="preserve"> is a 2011 </w:t>
      </w:r>
      <w:r>
        <w:t xml:space="preserve">baseline </w:t>
      </w:r>
      <w:r w:rsidR="00BE0FA2" w:rsidRPr="00517F87">
        <w:t xml:space="preserve">CPI of 64. </w:t>
      </w:r>
      <w:r>
        <w:t xml:space="preserve">A CPI of 100 represents </w:t>
      </w:r>
      <w:r>
        <w:lastRenderedPageBreak/>
        <w:t xml:space="preserve">proficiency for all students in the group. </w:t>
      </w:r>
      <w:r w:rsidR="00BE0FA2" w:rsidRPr="00517F87">
        <w:t xml:space="preserve">Therefore, the </w:t>
      </w:r>
      <w:r>
        <w:t xml:space="preserve">group’s proficiency </w:t>
      </w:r>
      <w:r w:rsidR="00BE0FA2" w:rsidRPr="00517F87">
        <w:t>gap is</w:t>
      </w:r>
      <w:r>
        <w:t xml:space="preserve"> represented by</w:t>
      </w:r>
      <w:r w:rsidR="00BE0FA2" w:rsidRPr="00517F87">
        <w:t xml:space="preserve"> 100 minus 64, or 36 CPI points. Half of that figure is 18 points. The state goal is to halve proficiency gaps by the 2016-17 school year; consequently, the CPI for Group 1 must, at a minimum, increase by 3 points each year to be on track toward a CPI of 82 by 2016-17 (64 + 18 = 82).</w:t>
      </w:r>
      <w:r w:rsidR="00B3365D">
        <w:t xml:space="preserve"> A similar calculation is also shown for Group 2.</w:t>
      </w:r>
      <w:r w:rsidR="00BE0FA2" w:rsidRPr="00517F87">
        <w:t xml:space="preserve"> </w:t>
      </w:r>
    </w:p>
    <w:p w:rsidR="00DD402D" w:rsidRDefault="00DD402D" w:rsidP="009617E8">
      <w:pPr>
        <w:pStyle w:val="Caption"/>
        <w:ind w:left="360"/>
      </w:pPr>
      <w:r>
        <w:t xml:space="preserve">Table </w:t>
      </w:r>
      <w:r w:rsidR="008644AE">
        <w:t>4</w:t>
      </w:r>
      <w:r w:rsidR="00B3365D">
        <w:t>: Sample proficiency gap-</w:t>
      </w:r>
      <w:r>
        <w:t>narrowing target calculation</w:t>
      </w:r>
    </w:p>
    <w:tbl>
      <w:tblPr>
        <w:tblStyle w:val="TableGrid"/>
        <w:tblW w:w="4756" w:type="pct"/>
        <w:tblInd w:w="468" w:type="dxa"/>
        <w:tblLook w:val="04A0" w:firstRow="1" w:lastRow="0" w:firstColumn="1" w:lastColumn="0" w:noHBand="0" w:noVBand="1"/>
      </w:tblPr>
      <w:tblGrid>
        <w:gridCol w:w="6766"/>
        <w:gridCol w:w="1217"/>
        <w:gridCol w:w="1126"/>
      </w:tblGrid>
      <w:tr w:rsidR="006E20AC" w:rsidRPr="002C54BB" w:rsidTr="009617E8">
        <w:trPr>
          <w:trHeight w:val="288"/>
        </w:trPr>
        <w:tc>
          <w:tcPr>
            <w:tcW w:w="3714" w:type="pct"/>
            <w:tcBorders>
              <w:bottom w:val="single" w:sz="4" w:space="0" w:color="auto"/>
            </w:tcBorders>
            <w:shd w:val="clear" w:color="auto" w:fill="C6D9F1" w:themeFill="text2" w:themeFillTint="33"/>
            <w:vAlign w:val="center"/>
          </w:tcPr>
          <w:p w:rsidR="006E20AC" w:rsidRPr="002C54BB" w:rsidRDefault="006E20AC" w:rsidP="007B7CB7">
            <w:pPr>
              <w:pStyle w:val="NoSpacing"/>
              <w:rPr>
                <w:b/>
              </w:rPr>
            </w:pPr>
            <w:r w:rsidRPr="002C54BB">
              <w:rPr>
                <w:b/>
              </w:rPr>
              <w:t xml:space="preserve">Calculating the </w:t>
            </w:r>
            <w:r w:rsidR="007B7CB7">
              <w:rPr>
                <w:b/>
              </w:rPr>
              <w:t>g</w:t>
            </w:r>
            <w:r w:rsidRPr="002C54BB">
              <w:rPr>
                <w:b/>
              </w:rPr>
              <w:t>ap-</w:t>
            </w:r>
            <w:r w:rsidR="007B7CB7">
              <w:rPr>
                <w:b/>
              </w:rPr>
              <w:t>narrowing t</w:t>
            </w:r>
            <w:r w:rsidRPr="002C54BB">
              <w:rPr>
                <w:b/>
              </w:rPr>
              <w:t>arget</w:t>
            </w:r>
          </w:p>
        </w:tc>
        <w:tc>
          <w:tcPr>
            <w:tcW w:w="668" w:type="pct"/>
            <w:tcBorders>
              <w:bottom w:val="single" w:sz="4" w:space="0" w:color="auto"/>
            </w:tcBorders>
            <w:shd w:val="clear" w:color="auto" w:fill="C6D9F1" w:themeFill="text2" w:themeFillTint="33"/>
            <w:vAlign w:val="center"/>
          </w:tcPr>
          <w:p w:rsidR="006E20AC" w:rsidRPr="002C54BB" w:rsidRDefault="006E20AC" w:rsidP="000846C9">
            <w:pPr>
              <w:pStyle w:val="NoSpacing"/>
              <w:rPr>
                <w:b/>
              </w:rPr>
            </w:pPr>
            <w:r w:rsidRPr="002C54BB">
              <w:rPr>
                <w:b/>
              </w:rPr>
              <w:t>Group 1</w:t>
            </w:r>
          </w:p>
        </w:tc>
        <w:tc>
          <w:tcPr>
            <w:tcW w:w="618" w:type="pct"/>
            <w:tcBorders>
              <w:bottom w:val="single" w:sz="4" w:space="0" w:color="auto"/>
            </w:tcBorders>
            <w:shd w:val="clear" w:color="auto" w:fill="C6D9F1" w:themeFill="text2" w:themeFillTint="33"/>
          </w:tcPr>
          <w:p w:rsidR="006E20AC" w:rsidRPr="002C54BB" w:rsidRDefault="006E20AC" w:rsidP="000846C9">
            <w:pPr>
              <w:pStyle w:val="NoSpacing"/>
              <w:rPr>
                <w:b/>
              </w:rPr>
            </w:pPr>
            <w:r w:rsidRPr="002C54BB">
              <w:rPr>
                <w:b/>
              </w:rPr>
              <w:t>Group 2</w:t>
            </w:r>
          </w:p>
        </w:tc>
      </w:tr>
      <w:tr w:rsidR="006E20AC" w:rsidRPr="00BE0FA2" w:rsidTr="009617E8">
        <w:trPr>
          <w:trHeight w:val="288"/>
        </w:trPr>
        <w:tc>
          <w:tcPr>
            <w:tcW w:w="3714" w:type="pct"/>
            <w:tcBorders>
              <w:bottom w:val="dotted" w:sz="4" w:space="0" w:color="auto"/>
            </w:tcBorders>
            <w:vAlign w:val="center"/>
          </w:tcPr>
          <w:p w:rsidR="006E20AC" w:rsidRPr="00BE0FA2" w:rsidRDefault="006E20AC" w:rsidP="00D6571A">
            <w:pPr>
              <w:pStyle w:val="NoSpacing"/>
              <w:numPr>
                <w:ilvl w:val="0"/>
                <w:numId w:val="2"/>
              </w:numPr>
              <w:ind w:left="450"/>
            </w:pPr>
            <w:r>
              <w:t xml:space="preserve">Obtain the group’s </w:t>
            </w:r>
            <w:r w:rsidRPr="002C54BB">
              <w:rPr>
                <w:b/>
              </w:rPr>
              <w:t>2011 CPI</w:t>
            </w:r>
            <w:r>
              <w:t xml:space="preserve"> (the baseline for the 2017 target)</w:t>
            </w:r>
          </w:p>
        </w:tc>
        <w:tc>
          <w:tcPr>
            <w:tcW w:w="668" w:type="pct"/>
            <w:tcBorders>
              <w:bottom w:val="dotted" w:sz="4" w:space="0" w:color="auto"/>
            </w:tcBorders>
            <w:vAlign w:val="center"/>
          </w:tcPr>
          <w:p w:rsidR="006E20AC" w:rsidRPr="00BE0FA2" w:rsidRDefault="006E20AC" w:rsidP="002C54BB">
            <w:pPr>
              <w:pStyle w:val="NoSpacing"/>
              <w:jc w:val="right"/>
            </w:pPr>
            <w:r>
              <w:t>64</w:t>
            </w:r>
          </w:p>
        </w:tc>
        <w:tc>
          <w:tcPr>
            <w:tcW w:w="618" w:type="pct"/>
            <w:tcBorders>
              <w:bottom w:val="dotted" w:sz="4" w:space="0" w:color="auto"/>
            </w:tcBorders>
            <w:vAlign w:val="center"/>
          </w:tcPr>
          <w:p w:rsidR="006E20AC" w:rsidRDefault="006E20AC" w:rsidP="002C54BB">
            <w:pPr>
              <w:pStyle w:val="NoSpacing"/>
              <w:jc w:val="right"/>
            </w:pPr>
            <w:r>
              <w:t>76</w:t>
            </w:r>
          </w:p>
        </w:tc>
      </w:tr>
      <w:tr w:rsidR="006E20AC" w:rsidRPr="00BE0FA2" w:rsidTr="009617E8">
        <w:trPr>
          <w:trHeight w:val="288"/>
        </w:trPr>
        <w:tc>
          <w:tcPr>
            <w:tcW w:w="3714" w:type="pct"/>
            <w:tcBorders>
              <w:top w:val="dotted" w:sz="4" w:space="0" w:color="auto"/>
              <w:bottom w:val="dotted" w:sz="4" w:space="0" w:color="auto"/>
            </w:tcBorders>
            <w:vAlign w:val="center"/>
          </w:tcPr>
          <w:p w:rsidR="006E20AC" w:rsidRPr="00BE0FA2" w:rsidRDefault="006E20AC" w:rsidP="00D6571A">
            <w:pPr>
              <w:pStyle w:val="NoSpacing"/>
              <w:numPr>
                <w:ilvl w:val="0"/>
                <w:numId w:val="2"/>
              </w:numPr>
              <w:ind w:left="450"/>
            </w:pPr>
            <w:r>
              <w:t xml:space="preserve">Calculate the </w:t>
            </w:r>
            <w:r w:rsidRPr="002C54BB">
              <w:rPr>
                <w:b/>
              </w:rPr>
              <w:t>proficiency</w:t>
            </w:r>
            <w:r w:rsidRPr="00BE0FA2">
              <w:t xml:space="preserve"> </w:t>
            </w:r>
            <w:r w:rsidRPr="002C54BB">
              <w:rPr>
                <w:b/>
              </w:rPr>
              <w:t>gap</w:t>
            </w:r>
            <w:r>
              <w:t xml:space="preserve"> (100 minus 2011 CPI)</w:t>
            </w:r>
          </w:p>
        </w:tc>
        <w:tc>
          <w:tcPr>
            <w:tcW w:w="668" w:type="pct"/>
            <w:tcBorders>
              <w:top w:val="dotted" w:sz="4" w:space="0" w:color="auto"/>
              <w:bottom w:val="dotted" w:sz="4" w:space="0" w:color="auto"/>
            </w:tcBorders>
            <w:vAlign w:val="center"/>
          </w:tcPr>
          <w:p w:rsidR="006E20AC" w:rsidRPr="00BE0FA2" w:rsidRDefault="006E20AC" w:rsidP="002C54BB">
            <w:pPr>
              <w:pStyle w:val="NoSpacing"/>
              <w:jc w:val="right"/>
            </w:pPr>
            <w:r>
              <w:t>36</w:t>
            </w:r>
          </w:p>
        </w:tc>
        <w:tc>
          <w:tcPr>
            <w:tcW w:w="618" w:type="pct"/>
            <w:tcBorders>
              <w:top w:val="dotted" w:sz="4" w:space="0" w:color="auto"/>
              <w:bottom w:val="dotted" w:sz="4" w:space="0" w:color="auto"/>
            </w:tcBorders>
            <w:vAlign w:val="center"/>
          </w:tcPr>
          <w:p w:rsidR="006E20AC" w:rsidRDefault="006E20AC" w:rsidP="002C54BB">
            <w:pPr>
              <w:pStyle w:val="NoSpacing"/>
              <w:jc w:val="right"/>
            </w:pPr>
            <w:r>
              <w:t>24</w:t>
            </w:r>
          </w:p>
        </w:tc>
      </w:tr>
      <w:tr w:rsidR="006E20AC" w:rsidRPr="00BE0FA2" w:rsidTr="009617E8">
        <w:trPr>
          <w:trHeight w:val="288"/>
        </w:trPr>
        <w:tc>
          <w:tcPr>
            <w:tcW w:w="3714" w:type="pct"/>
            <w:tcBorders>
              <w:top w:val="dotted" w:sz="4" w:space="0" w:color="auto"/>
              <w:bottom w:val="dotted" w:sz="4" w:space="0" w:color="auto"/>
            </w:tcBorders>
            <w:vAlign w:val="center"/>
          </w:tcPr>
          <w:p w:rsidR="006E20AC" w:rsidRPr="00BE0FA2" w:rsidRDefault="006E20AC" w:rsidP="00D6571A">
            <w:pPr>
              <w:pStyle w:val="NoSpacing"/>
              <w:numPr>
                <w:ilvl w:val="0"/>
                <w:numId w:val="2"/>
              </w:numPr>
              <w:ind w:left="450"/>
            </w:pPr>
            <w:r>
              <w:t xml:space="preserve">Calculate the </w:t>
            </w:r>
            <w:r w:rsidRPr="002C54BB">
              <w:rPr>
                <w:b/>
              </w:rPr>
              <w:t>gap-</w:t>
            </w:r>
            <w:r w:rsidR="007B7CB7">
              <w:rPr>
                <w:b/>
              </w:rPr>
              <w:t>narrowing</w:t>
            </w:r>
            <w:r w:rsidRPr="002C54BB">
              <w:rPr>
                <w:b/>
              </w:rPr>
              <w:t xml:space="preserve"> target</w:t>
            </w:r>
            <w:r>
              <w:t xml:space="preserve"> (proficiency gap divided by 2)</w:t>
            </w:r>
          </w:p>
        </w:tc>
        <w:tc>
          <w:tcPr>
            <w:tcW w:w="668" w:type="pct"/>
            <w:tcBorders>
              <w:top w:val="dotted" w:sz="4" w:space="0" w:color="auto"/>
              <w:bottom w:val="dotted" w:sz="4" w:space="0" w:color="auto"/>
            </w:tcBorders>
            <w:vAlign w:val="center"/>
          </w:tcPr>
          <w:p w:rsidR="006E20AC" w:rsidRPr="00BE0FA2" w:rsidRDefault="006E20AC" w:rsidP="002C54BB">
            <w:pPr>
              <w:pStyle w:val="NoSpacing"/>
              <w:jc w:val="right"/>
            </w:pPr>
            <w:r>
              <w:t>18</w:t>
            </w:r>
          </w:p>
        </w:tc>
        <w:tc>
          <w:tcPr>
            <w:tcW w:w="618" w:type="pct"/>
            <w:tcBorders>
              <w:top w:val="dotted" w:sz="4" w:space="0" w:color="auto"/>
              <w:bottom w:val="dotted" w:sz="4" w:space="0" w:color="auto"/>
            </w:tcBorders>
            <w:vAlign w:val="center"/>
          </w:tcPr>
          <w:p w:rsidR="006E20AC" w:rsidRDefault="006E20AC" w:rsidP="002C54BB">
            <w:pPr>
              <w:pStyle w:val="NoSpacing"/>
              <w:jc w:val="right"/>
            </w:pPr>
            <w:r>
              <w:t>12</w:t>
            </w:r>
          </w:p>
        </w:tc>
      </w:tr>
      <w:tr w:rsidR="006E20AC" w:rsidRPr="00BE0FA2" w:rsidTr="009617E8">
        <w:trPr>
          <w:trHeight w:val="288"/>
        </w:trPr>
        <w:tc>
          <w:tcPr>
            <w:tcW w:w="3714" w:type="pct"/>
            <w:tcBorders>
              <w:top w:val="dotted" w:sz="4" w:space="0" w:color="auto"/>
              <w:bottom w:val="dotted" w:sz="4" w:space="0" w:color="auto"/>
            </w:tcBorders>
            <w:vAlign w:val="center"/>
          </w:tcPr>
          <w:p w:rsidR="006E20AC" w:rsidRPr="00BE0FA2" w:rsidRDefault="006E20AC" w:rsidP="00D6571A">
            <w:pPr>
              <w:pStyle w:val="NoSpacing"/>
              <w:numPr>
                <w:ilvl w:val="0"/>
                <w:numId w:val="2"/>
              </w:numPr>
              <w:ind w:left="450"/>
            </w:pPr>
            <w:r>
              <w:t xml:space="preserve">Calculate the </w:t>
            </w:r>
            <w:r w:rsidRPr="002C54BB">
              <w:rPr>
                <w:b/>
              </w:rPr>
              <w:t>2017 target</w:t>
            </w:r>
            <w:r>
              <w:t xml:space="preserve"> (2011 CPI plus gap-halving target)</w:t>
            </w:r>
          </w:p>
        </w:tc>
        <w:tc>
          <w:tcPr>
            <w:tcW w:w="668" w:type="pct"/>
            <w:tcBorders>
              <w:top w:val="dotted" w:sz="4" w:space="0" w:color="auto"/>
              <w:bottom w:val="dotted" w:sz="4" w:space="0" w:color="auto"/>
            </w:tcBorders>
            <w:vAlign w:val="center"/>
          </w:tcPr>
          <w:p w:rsidR="006E20AC" w:rsidRPr="00BE0FA2" w:rsidRDefault="006E20AC" w:rsidP="002C54BB">
            <w:pPr>
              <w:pStyle w:val="NoSpacing"/>
              <w:jc w:val="right"/>
            </w:pPr>
            <w:r>
              <w:t>82</w:t>
            </w:r>
          </w:p>
        </w:tc>
        <w:tc>
          <w:tcPr>
            <w:tcW w:w="618" w:type="pct"/>
            <w:tcBorders>
              <w:top w:val="dotted" w:sz="4" w:space="0" w:color="auto"/>
              <w:bottom w:val="dotted" w:sz="4" w:space="0" w:color="auto"/>
            </w:tcBorders>
            <w:vAlign w:val="center"/>
          </w:tcPr>
          <w:p w:rsidR="006E20AC" w:rsidRDefault="006E20AC" w:rsidP="002C54BB">
            <w:pPr>
              <w:pStyle w:val="NoSpacing"/>
              <w:jc w:val="right"/>
            </w:pPr>
            <w:r>
              <w:t>88</w:t>
            </w:r>
          </w:p>
        </w:tc>
      </w:tr>
      <w:tr w:rsidR="006E20AC" w:rsidRPr="00BE0FA2" w:rsidTr="009617E8">
        <w:trPr>
          <w:trHeight w:val="288"/>
        </w:trPr>
        <w:tc>
          <w:tcPr>
            <w:tcW w:w="3714" w:type="pct"/>
            <w:tcBorders>
              <w:top w:val="dotted" w:sz="4" w:space="0" w:color="auto"/>
              <w:bottom w:val="single" w:sz="4" w:space="0" w:color="auto"/>
            </w:tcBorders>
            <w:vAlign w:val="center"/>
          </w:tcPr>
          <w:p w:rsidR="006E20AC" w:rsidRPr="00BE0FA2" w:rsidRDefault="006E20AC" w:rsidP="00D6571A">
            <w:pPr>
              <w:pStyle w:val="NoSpacing"/>
              <w:numPr>
                <w:ilvl w:val="0"/>
                <w:numId w:val="2"/>
              </w:numPr>
              <w:ind w:left="450"/>
            </w:pPr>
            <w:r>
              <w:t xml:space="preserve">Calculate </w:t>
            </w:r>
            <w:r w:rsidRPr="002C54BB">
              <w:rPr>
                <w:b/>
              </w:rPr>
              <w:t>annual targets</w:t>
            </w:r>
            <w:r w:rsidR="00BB1278">
              <w:rPr>
                <w:b/>
              </w:rPr>
              <w:t>*</w:t>
            </w:r>
            <w:r>
              <w:t xml:space="preserve"> (gap-halving target divided by 6 years)</w:t>
            </w:r>
          </w:p>
        </w:tc>
        <w:tc>
          <w:tcPr>
            <w:tcW w:w="668" w:type="pct"/>
            <w:tcBorders>
              <w:top w:val="dotted" w:sz="4" w:space="0" w:color="auto"/>
              <w:bottom w:val="single" w:sz="4" w:space="0" w:color="auto"/>
            </w:tcBorders>
            <w:vAlign w:val="center"/>
          </w:tcPr>
          <w:p w:rsidR="006E20AC" w:rsidRPr="00BE0FA2" w:rsidRDefault="006E20AC" w:rsidP="002C54BB">
            <w:pPr>
              <w:pStyle w:val="NoSpacing"/>
              <w:jc w:val="right"/>
            </w:pPr>
            <w:r>
              <w:t>3</w:t>
            </w:r>
          </w:p>
        </w:tc>
        <w:tc>
          <w:tcPr>
            <w:tcW w:w="618" w:type="pct"/>
            <w:tcBorders>
              <w:top w:val="dotted" w:sz="4" w:space="0" w:color="auto"/>
              <w:bottom w:val="single" w:sz="4" w:space="0" w:color="auto"/>
            </w:tcBorders>
            <w:vAlign w:val="center"/>
          </w:tcPr>
          <w:p w:rsidR="006E20AC" w:rsidRDefault="006E20AC" w:rsidP="002C54BB">
            <w:pPr>
              <w:pStyle w:val="NoSpacing"/>
              <w:jc w:val="right"/>
            </w:pPr>
            <w:r>
              <w:t>2</w:t>
            </w:r>
          </w:p>
        </w:tc>
      </w:tr>
      <w:tr w:rsidR="006E20AC" w:rsidRPr="00BE0FA2" w:rsidTr="009617E8">
        <w:trPr>
          <w:trHeight w:val="288"/>
        </w:trPr>
        <w:tc>
          <w:tcPr>
            <w:tcW w:w="5000" w:type="pct"/>
            <w:gridSpan w:val="3"/>
            <w:tcBorders>
              <w:left w:val="nil"/>
              <w:bottom w:val="nil"/>
              <w:right w:val="nil"/>
            </w:tcBorders>
            <w:vAlign w:val="center"/>
          </w:tcPr>
          <w:p w:rsidR="00211855" w:rsidRDefault="00BB1278">
            <w:pPr>
              <w:pStyle w:val="NoSpacing"/>
            </w:pPr>
            <w:r>
              <w:t>* A</w:t>
            </w:r>
            <w:r w:rsidR="006E20AC">
              <w:t xml:space="preserve"> group’s annual targets between 2011 and 2017 are fixed; interim targets between 2011 and 2017 </w:t>
            </w:r>
            <w:r w:rsidR="00882794">
              <w:t>are not</w:t>
            </w:r>
            <w:r w:rsidR="006E20AC">
              <w:t xml:space="preserve"> adjusted based on the group’s actual </w:t>
            </w:r>
            <w:r w:rsidR="00AC74B3">
              <w:t>achievement</w:t>
            </w:r>
            <w:r w:rsidR="006E20AC">
              <w:t xml:space="preserve"> across those years.</w:t>
            </w:r>
          </w:p>
        </w:tc>
      </w:tr>
    </w:tbl>
    <w:p w:rsidR="0080483F" w:rsidRDefault="0080483F" w:rsidP="00041F42">
      <w:pPr>
        <w:spacing w:after="0"/>
        <w:ind w:left="360"/>
      </w:pPr>
    </w:p>
    <w:p w:rsidR="003F55D2" w:rsidRDefault="00B3365D" w:rsidP="009617E8">
      <w:pPr>
        <w:ind w:left="360"/>
      </w:pPr>
      <w:r>
        <w:t xml:space="preserve">Table </w:t>
      </w:r>
      <w:r w:rsidR="00475521">
        <w:t>5</w:t>
      </w:r>
      <w:r>
        <w:t xml:space="preserve"> provides a visual representation of the student achievement targets calculated for both groups in Table </w:t>
      </w:r>
      <w:r w:rsidR="00786F27">
        <w:t>4</w:t>
      </w:r>
      <w:r>
        <w:t xml:space="preserve"> above. Note that i</w:t>
      </w:r>
      <w:r w:rsidRPr="00517F87">
        <w:t>f both groups successf</w:t>
      </w:r>
      <w:r w:rsidR="00433FFD">
        <w:t>ully halve proficiency gaps in six</w:t>
      </w:r>
      <w:r w:rsidRPr="00517F87">
        <w:t xml:space="preserve"> years, the distance between the groups – the </w:t>
      </w:r>
      <w:r w:rsidRPr="0096458C">
        <w:t>achievement</w:t>
      </w:r>
      <w:r w:rsidRPr="00517F87">
        <w:t xml:space="preserve"> gap – will also be </w:t>
      </w:r>
      <w:r>
        <w:t>reduced</w:t>
      </w:r>
      <w:r w:rsidRPr="00517F87">
        <w:t xml:space="preserve"> by half</w:t>
      </w:r>
      <w:r>
        <w:t>.</w:t>
      </w:r>
    </w:p>
    <w:p w:rsidR="004E6B0C" w:rsidRDefault="004E6B0C" w:rsidP="009617E8">
      <w:pPr>
        <w:pStyle w:val="Caption"/>
        <w:ind w:left="360"/>
      </w:pPr>
      <w:r>
        <w:t xml:space="preserve">Table </w:t>
      </w:r>
      <w:r w:rsidR="008644AE">
        <w:t>5</w:t>
      </w:r>
      <w:r w:rsidR="007B7CB7">
        <w:t>: Sample proficiency gap-</w:t>
      </w:r>
      <w:r>
        <w:t>narrowing targets</w:t>
      </w:r>
    </w:p>
    <w:p w:rsidR="00B3365D" w:rsidRDefault="00792F65" w:rsidP="009617E8">
      <w:pPr>
        <w:ind w:left="360"/>
      </w:pPr>
      <w:r>
        <w:rPr>
          <w:noProof/>
          <w:lang w:eastAsia="zh-CN" w:bidi="ar-SA"/>
        </w:rPr>
        <w:drawing>
          <wp:inline distT="0" distB="0" distL="0" distR="0" wp14:anchorId="6C23E504" wp14:editId="33E4A532">
            <wp:extent cx="5257800" cy="2209800"/>
            <wp:effectExtent l="0" t="0" r="0" b="0"/>
            <wp:docPr id="1" name="Picture 1" descr="Description: Closing proficiency gaps is a cornerstone of the accountability system. Every district, school, and group will be expected to halve the distance between their performance in 2011, as measured by the CPI, and 2017. For example, a group with a baseline CPI of 64 in 2011 will be expected to increase to 82 by 2017; a group with a baseline CPI of 76 in 2011 will be expected to increase to 88 by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57800" cy="2209800"/>
                    </a:xfrm>
                    <a:prstGeom prst="rect">
                      <a:avLst/>
                    </a:prstGeom>
                  </pic:spPr>
                </pic:pic>
              </a:graphicData>
            </a:graphic>
          </wp:inline>
        </w:drawing>
      </w:r>
      <w:bookmarkStart w:id="19" w:name="_GoBack"/>
      <w:bookmarkEnd w:id="19"/>
    </w:p>
    <w:p w:rsidR="004E6B0C" w:rsidRPr="00055ADB" w:rsidRDefault="00577405" w:rsidP="005E67E6">
      <w:pPr>
        <w:pStyle w:val="ListParagraph"/>
      </w:pPr>
      <w:r w:rsidRPr="00055ADB">
        <w:t>G</w:t>
      </w:r>
      <w:r w:rsidR="007E6E30" w:rsidRPr="00055ADB">
        <w:t>r</w:t>
      </w:r>
      <w:r w:rsidRPr="00055ADB">
        <w:t>owth</w:t>
      </w:r>
      <w:r w:rsidR="001B52CE" w:rsidRPr="00055ADB">
        <w:t xml:space="preserve"> in </w:t>
      </w:r>
      <w:r w:rsidRPr="00055ADB">
        <w:t>ELA</w:t>
      </w:r>
      <w:r w:rsidR="001B52CE" w:rsidRPr="00055ADB">
        <w:t xml:space="preserve"> and m</w:t>
      </w:r>
      <w:r w:rsidRPr="00055ADB">
        <w:t>athematics</w:t>
      </w:r>
      <w:r w:rsidR="00055ADB">
        <w:t>:</w:t>
      </w:r>
    </w:p>
    <w:p w:rsidR="008C4C6E" w:rsidRDefault="00630F3F" w:rsidP="009617E8">
      <w:pPr>
        <w:ind w:left="360"/>
      </w:pPr>
      <w:r w:rsidRPr="00630F3F">
        <w:t xml:space="preserve">All </w:t>
      </w:r>
      <w:r w:rsidR="0080483F">
        <w:t xml:space="preserve">high </w:t>
      </w:r>
      <w:r w:rsidR="00FB181B">
        <w:t>schools and subgroups</w:t>
      </w:r>
      <w:r w:rsidRPr="00630F3F">
        <w:t xml:space="preserve"> are expected to demonstrate growth in student </w:t>
      </w:r>
      <w:r w:rsidR="00AC74B3">
        <w:t>achievement</w:t>
      </w:r>
      <w:r w:rsidRPr="00630F3F">
        <w:t xml:space="preserve"> each year between 2011 and 2017. ESE uses</w:t>
      </w:r>
      <w:r w:rsidR="00DE5928">
        <w:t xml:space="preserve"> median</w:t>
      </w:r>
      <w:r w:rsidRPr="00630F3F">
        <w:t xml:space="preserve"> Student Growth Percentiles (SGPs) to measure how a</w:t>
      </w:r>
      <w:r w:rsidR="00882794">
        <w:t>chievement for a</w:t>
      </w:r>
      <w:r w:rsidRPr="00630F3F">
        <w:t xml:space="preserve"> group of students has grown or changed over time. </w:t>
      </w:r>
    </w:p>
    <w:p w:rsidR="008C4C6E" w:rsidRDefault="008C4C6E" w:rsidP="009617E8">
      <w:pPr>
        <w:ind w:left="360"/>
      </w:pPr>
      <w:r>
        <w:t xml:space="preserve"> ESE </w:t>
      </w:r>
      <w:r w:rsidR="00D96936">
        <w:t>reports</w:t>
      </w:r>
      <w:r>
        <w:t xml:space="preserve"> transitional SGPs for schools that administered ELA and mathematics PARCC tests in 2015</w:t>
      </w:r>
      <w:r w:rsidR="00786F27">
        <w:t xml:space="preserve"> and 2016</w:t>
      </w:r>
      <w:r>
        <w:t xml:space="preserve">. Transitional SGPs </w:t>
      </w:r>
      <w:r w:rsidR="008A2F22">
        <w:t>are</w:t>
      </w:r>
      <w:r>
        <w:t xml:space="preserve"> calculated separately for ELA and mathematics, and </w:t>
      </w:r>
      <w:r w:rsidR="008A2F22">
        <w:t>are</w:t>
      </w:r>
      <w:r>
        <w:t xml:space="preserve"> used in the calculation of state, district, school, and subgroup </w:t>
      </w:r>
      <w:r w:rsidR="0098410F">
        <w:t>results. T</w:t>
      </w:r>
      <w:r w:rsidR="008A2F22">
        <w:t xml:space="preserve">ransitional SGPs measure the growth of all </w:t>
      </w:r>
      <w:r w:rsidR="0080483F">
        <w:t xml:space="preserve">grade 10 </w:t>
      </w:r>
      <w:r w:rsidR="008A2F22">
        <w:t xml:space="preserve">students who took </w:t>
      </w:r>
      <w:r w:rsidR="0080483F">
        <w:t xml:space="preserve">MCAS </w:t>
      </w:r>
      <w:r w:rsidR="008A2F22">
        <w:t xml:space="preserve">in spring </w:t>
      </w:r>
      <w:r w:rsidR="003C2351">
        <w:t xml:space="preserve">2017 </w:t>
      </w:r>
      <w:r w:rsidR="008A2F22">
        <w:t xml:space="preserve">based on the </w:t>
      </w:r>
      <w:r w:rsidR="0080483F">
        <w:t>grade 8 MCAS and PARCC</w:t>
      </w:r>
      <w:r w:rsidR="0098410F">
        <w:t xml:space="preserve"> </w:t>
      </w:r>
      <w:r w:rsidR="008A2F22">
        <w:t>scores of their academic peers.</w:t>
      </w:r>
    </w:p>
    <w:p w:rsidR="00155FCD" w:rsidRDefault="00630F3F" w:rsidP="009617E8">
      <w:pPr>
        <w:ind w:left="360"/>
      </w:pPr>
      <w:r w:rsidRPr="00630F3F">
        <w:lastRenderedPageBreak/>
        <w:t xml:space="preserve">The goal for all groups is to achieve or </w:t>
      </w:r>
      <w:r w:rsidR="006876EA">
        <w:t>exceed</w:t>
      </w:r>
      <w:r w:rsidRPr="00630F3F">
        <w:t xml:space="preserve"> a</w:t>
      </w:r>
      <w:r w:rsidR="00DE29E0">
        <w:t xml:space="preserve"> transitional </w:t>
      </w:r>
      <w:r w:rsidR="00F62A74">
        <w:t>SGP</w:t>
      </w:r>
      <w:r w:rsidRPr="00630F3F">
        <w:t xml:space="preserve"> </w:t>
      </w:r>
      <w:r w:rsidR="00F62A74">
        <w:t xml:space="preserve">of </w:t>
      </w:r>
      <w:r w:rsidRPr="00630F3F">
        <w:t xml:space="preserve">at least one point above the </w:t>
      </w:r>
      <w:r w:rsidR="006876EA">
        <w:t xml:space="preserve">historical </w:t>
      </w:r>
      <w:r w:rsidRPr="00630F3F">
        <w:t>state median</w:t>
      </w:r>
      <w:r w:rsidR="006876EA">
        <w:t xml:space="preserve"> of 50</w:t>
      </w:r>
      <w:r w:rsidRPr="00630F3F">
        <w:t xml:space="preserve">. </w:t>
      </w:r>
      <w:r w:rsidR="006876EA">
        <w:t xml:space="preserve">Groups with a median </w:t>
      </w:r>
      <w:r w:rsidR="00DE29E0">
        <w:t xml:space="preserve">transitional </w:t>
      </w:r>
      <w:r w:rsidR="006876EA">
        <w:t>SGP of 51 or higher receive full credit for this PPI indicator.</w:t>
      </w:r>
      <w:r w:rsidR="00A23789">
        <w:t xml:space="preserve"> </w:t>
      </w:r>
    </w:p>
    <w:p w:rsidR="003F55D2" w:rsidRDefault="00A23789" w:rsidP="009617E8">
      <w:pPr>
        <w:ind w:left="360"/>
      </w:pPr>
      <w:r>
        <w:t xml:space="preserve">Groups can also earn full credit for decreasing the percentage of students who are not proficient by 10 percent or more from the previous year. Known as </w:t>
      </w:r>
      <w:r w:rsidRPr="00A23789">
        <w:rPr>
          <w:i/>
        </w:rPr>
        <w:t>Safe Harbor</w:t>
      </w:r>
      <w:r>
        <w:t xml:space="preserve">, this calculation is done separately for ELA and mathematics, and is similar to the extra credit calculation for reducing the percentage of student scoring </w:t>
      </w:r>
      <w:r w:rsidRPr="00A23789">
        <w:rPr>
          <w:i/>
        </w:rPr>
        <w:t>Warning/Failing</w:t>
      </w:r>
      <w:r>
        <w:t xml:space="preserve"> described later in this document.</w:t>
      </w:r>
    </w:p>
    <w:p w:rsidR="009617E8" w:rsidRPr="00055ADB" w:rsidRDefault="009617E8" w:rsidP="009617E8">
      <w:pPr>
        <w:pStyle w:val="ListParagraph"/>
      </w:pPr>
      <w:r w:rsidRPr="00055ADB">
        <w:t>Cohort graduation rate:</w:t>
      </w:r>
    </w:p>
    <w:p w:rsidR="009617E8" w:rsidRDefault="009617E8" w:rsidP="009617E8">
      <w:pPr>
        <w:ind w:left="360"/>
      </w:pPr>
      <w:r>
        <w:t xml:space="preserve">In </w:t>
      </w:r>
      <w:r w:rsidR="0098410F">
        <w:t>2017</w:t>
      </w:r>
      <w:r>
        <w:t xml:space="preserve">, the four-year cohort </w:t>
      </w:r>
      <w:r w:rsidR="008A2F22">
        <w:t xml:space="preserve">graduation rate </w:t>
      </w:r>
      <w:r>
        <w:t>target is 80 percent and the five-year cohort target is 85 percent.</w:t>
      </w:r>
      <w:r w:rsidRPr="002F1765">
        <w:t xml:space="preserve"> For accountability determinations in any given year, the cohort graduation rate from the prior school</w:t>
      </w:r>
      <w:r>
        <w:t xml:space="preserve"> year is used. For example, </w:t>
      </w:r>
      <w:r w:rsidR="0098410F">
        <w:t>2017</w:t>
      </w:r>
      <w:r w:rsidR="0098410F" w:rsidRPr="002F1765">
        <w:t xml:space="preserve"> </w:t>
      </w:r>
      <w:r w:rsidRPr="002F1765">
        <w:t>accountability determinations for the four-year rate use data f</w:t>
      </w:r>
      <w:r>
        <w:t xml:space="preserve">rom </w:t>
      </w:r>
      <w:r w:rsidR="0098410F">
        <w:t>2016</w:t>
      </w:r>
      <w:r w:rsidRPr="002F1765">
        <w:t>; determinations for the f</w:t>
      </w:r>
      <w:r>
        <w:t xml:space="preserve">ive-year rate use data from </w:t>
      </w:r>
      <w:r w:rsidR="0098410F">
        <w:t>2015</w:t>
      </w:r>
      <w:r w:rsidRPr="002F1765">
        <w:t xml:space="preserve">. </w:t>
      </w:r>
      <w:r>
        <w:t xml:space="preserve">Graduation rates from </w:t>
      </w:r>
      <w:r w:rsidR="0098410F">
        <w:t>2016</w:t>
      </w:r>
      <w:r w:rsidR="0098410F" w:rsidRPr="00AD063B">
        <w:t xml:space="preserve"> </w:t>
      </w:r>
      <w:r w:rsidRPr="00AD063B">
        <w:t xml:space="preserve">and </w:t>
      </w:r>
      <w:r w:rsidR="0098410F">
        <w:t>2015</w:t>
      </w:r>
      <w:r w:rsidR="0098410F" w:rsidRPr="00AD063B">
        <w:t xml:space="preserve"> </w:t>
      </w:r>
      <w:r w:rsidRPr="00AD063B">
        <w:t xml:space="preserve">cohorts </w:t>
      </w:r>
      <w:r>
        <w:t xml:space="preserve">are used in accountability determinations </w:t>
      </w:r>
      <w:r w:rsidRPr="00AD063B">
        <w:t xml:space="preserve">because </w:t>
      </w:r>
      <w:r>
        <w:t>this</w:t>
      </w:r>
      <w:r w:rsidRPr="00AD063B">
        <w:t xml:space="preserve"> allows ESE to use a data set that has been thoroughly reviewed by district and ESE staff. ESE will not have complete graduation rate data for the </w:t>
      </w:r>
      <w:r w:rsidR="0098410F">
        <w:t>2017</w:t>
      </w:r>
      <w:r w:rsidR="0098410F" w:rsidRPr="00AD063B">
        <w:t xml:space="preserve"> </w:t>
      </w:r>
      <w:r w:rsidRPr="00AD063B">
        <w:t xml:space="preserve">cohort until late </w:t>
      </w:r>
      <w:r w:rsidR="0098410F">
        <w:t>2017</w:t>
      </w:r>
      <w:r w:rsidRPr="00AD063B">
        <w:t xml:space="preserve">, after the October SIMS reporting period and the </w:t>
      </w:r>
      <w:r w:rsidR="0098410F">
        <w:t>2017</w:t>
      </w:r>
      <w:r w:rsidR="0098410F" w:rsidRPr="00AD063B">
        <w:t xml:space="preserve"> </w:t>
      </w:r>
      <w:r w:rsidRPr="00AD063B">
        <w:t>cohort data review period have closed.</w:t>
      </w:r>
    </w:p>
    <w:p w:rsidR="009617E8" w:rsidRDefault="0047028E" w:rsidP="009617E8">
      <w:pPr>
        <w:ind w:left="360"/>
      </w:pPr>
      <w:r>
        <w:t xml:space="preserve">High </w:t>
      </w:r>
      <w:r w:rsidR="009617E8" w:rsidRPr="002F1765">
        <w:t>schools and subgroups will be awarded PPI points if they meet the Commonwealth’s annual targets in a given year for either the four-</w:t>
      </w:r>
      <w:r w:rsidR="0059181B">
        <w:t xml:space="preserve"> </w:t>
      </w:r>
      <w:r w:rsidR="009617E8" w:rsidRPr="002F1765">
        <w:t>or five-year cohort graduation rate, whichever is higher.</w:t>
      </w:r>
      <w:r w:rsidR="009617E8" w:rsidRPr="00321FAB">
        <w:t xml:space="preserve"> </w:t>
      </w:r>
      <w:r w:rsidR="009617E8" w:rsidRPr="002F1765">
        <w:t>If, in a given year, a group is below the annual target but improves from the prior year by 2.5 percent or more, it will receive partial credit.</w:t>
      </w:r>
      <w:r w:rsidR="00A314E0">
        <w:t xml:space="preserve"> Graduation rates are only used in PPI calculations for schools serving grades 9-12.</w:t>
      </w:r>
    </w:p>
    <w:p w:rsidR="00577405" w:rsidRPr="00055ADB" w:rsidRDefault="00577405" w:rsidP="005E67E6">
      <w:pPr>
        <w:pStyle w:val="ListParagraph"/>
      </w:pPr>
      <w:r w:rsidRPr="00055ADB">
        <w:t>Annual dropout rate</w:t>
      </w:r>
      <w:r w:rsidR="00055ADB">
        <w:t>:</w:t>
      </w:r>
    </w:p>
    <w:p w:rsidR="003F55D2" w:rsidRDefault="00FB181B" w:rsidP="009617E8">
      <w:pPr>
        <w:ind w:left="360"/>
      </w:pPr>
      <w:r>
        <w:t xml:space="preserve">All </w:t>
      </w:r>
      <w:r w:rsidR="0047028E">
        <w:t>high</w:t>
      </w:r>
      <w:r w:rsidR="00321FAB" w:rsidRPr="00321FAB">
        <w:t xml:space="preserve"> schools and subgroups are expected to halve the gap between their 2010 annual dropout rate, if one exists, and a rate of zero percent by the 2016-17 school year. For accountability determinations in any given year, the annual dropout rate from the prior year is used. For example, </w:t>
      </w:r>
      <w:r w:rsidR="0098410F">
        <w:t>2017</w:t>
      </w:r>
      <w:r w:rsidR="0098410F" w:rsidRPr="00321FAB">
        <w:t xml:space="preserve"> </w:t>
      </w:r>
      <w:r w:rsidR="00321FAB" w:rsidRPr="00321FAB">
        <w:t xml:space="preserve">accountability determinations for the dropout rate use data from </w:t>
      </w:r>
      <w:r w:rsidR="0098410F">
        <w:t>2016</w:t>
      </w:r>
      <w:r w:rsidR="00321FAB" w:rsidRPr="00321FAB">
        <w:t>. A group’s annual target is calculated by halving the group’s 2010 annual dropout rate and dividing by six.</w:t>
      </w:r>
      <w:r w:rsidR="00DE5928">
        <w:t xml:space="preserve"> Dropout rates are only used in PPI calculations</w:t>
      </w:r>
      <w:r w:rsidR="008A2F22">
        <w:t xml:space="preserve"> for schools serving grades 9-12</w:t>
      </w:r>
      <w:r w:rsidR="00DE5928">
        <w:t>.</w:t>
      </w:r>
    </w:p>
    <w:p w:rsidR="003311A5" w:rsidRDefault="003311A5" w:rsidP="009617E8">
      <w:pPr>
        <w:pStyle w:val="Caption"/>
        <w:ind w:left="360"/>
      </w:pPr>
      <w:r>
        <w:t xml:space="preserve">Table </w:t>
      </w:r>
      <w:r w:rsidR="008644AE">
        <w:t>6</w:t>
      </w:r>
      <w:r>
        <w:t>: Sample dropout rate target calculation</w:t>
      </w:r>
    </w:p>
    <w:tbl>
      <w:tblPr>
        <w:tblStyle w:val="TableGrid"/>
        <w:tblW w:w="4756" w:type="pct"/>
        <w:tblInd w:w="468" w:type="dxa"/>
        <w:tblLook w:val="04A0" w:firstRow="1" w:lastRow="0" w:firstColumn="1" w:lastColumn="0" w:noHBand="0" w:noVBand="1"/>
      </w:tblPr>
      <w:tblGrid>
        <w:gridCol w:w="7229"/>
        <w:gridCol w:w="1880"/>
      </w:tblGrid>
      <w:tr w:rsidR="001E4D7E" w:rsidRPr="002C54BB" w:rsidTr="009617E8">
        <w:trPr>
          <w:trHeight w:val="288"/>
        </w:trPr>
        <w:tc>
          <w:tcPr>
            <w:tcW w:w="3968" w:type="pct"/>
            <w:tcBorders>
              <w:bottom w:val="single" w:sz="4" w:space="0" w:color="auto"/>
            </w:tcBorders>
            <w:shd w:val="clear" w:color="auto" w:fill="C6D9F1" w:themeFill="text2" w:themeFillTint="33"/>
            <w:vAlign w:val="center"/>
          </w:tcPr>
          <w:p w:rsidR="001E4D7E" w:rsidRPr="002C54BB" w:rsidRDefault="001E4D7E" w:rsidP="007B7CB7">
            <w:pPr>
              <w:pStyle w:val="NoSpacing"/>
              <w:rPr>
                <w:b/>
              </w:rPr>
            </w:pPr>
            <w:r w:rsidRPr="002C54BB">
              <w:rPr>
                <w:b/>
              </w:rPr>
              <w:t xml:space="preserve">Calculating the </w:t>
            </w:r>
            <w:r>
              <w:rPr>
                <w:b/>
              </w:rPr>
              <w:t>dropout rate t</w:t>
            </w:r>
            <w:r w:rsidRPr="002C54BB">
              <w:rPr>
                <w:b/>
              </w:rPr>
              <w:t>arget</w:t>
            </w:r>
          </w:p>
        </w:tc>
        <w:tc>
          <w:tcPr>
            <w:tcW w:w="1032" w:type="pct"/>
            <w:tcBorders>
              <w:bottom w:val="single" w:sz="4" w:space="0" w:color="auto"/>
            </w:tcBorders>
            <w:shd w:val="clear" w:color="auto" w:fill="C6D9F1" w:themeFill="text2" w:themeFillTint="33"/>
            <w:vAlign w:val="center"/>
          </w:tcPr>
          <w:p w:rsidR="001E4D7E" w:rsidRPr="002C54BB" w:rsidRDefault="001E4D7E" w:rsidP="00882794">
            <w:pPr>
              <w:pStyle w:val="NoSpacing"/>
              <w:rPr>
                <w:b/>
              </w:rPr>
            </w:pPr>
            <w:r w:rsidRPr="002C54BB">
              <w:rPr>
                <w:b/>
              </w:rPr>
              <w:t>Group 1</w:t>
            </w:r>
          </w:p>
        </w:tc>
      </w:tr>
      <w:tr w:rsidR="001E4D7E" w:rsidRPr="00BE0FA2" w:rsidTr="009617E8">
        <w:trPr>
          <w:trHeight w:val="288"/>
        </w:trPr>
        <w:tc>
          <w:tcPr>
            <w:tcW w:w="3968" w:type="pct"/>
            <w:tcBorders>
              <w:bottom w:val="dotted" w:sz="4" w:space="0" w:color="auto"/>
            </w:tcBorders>
            <w:vAlign w:val="center"/>
          </w:tcPr>
          <w:p w:rsidR="001E4D7E" w:rsidRPr="00BE0FA2" w:rsidRDefault="001E4D7E" w:rsidP="00D6571A">
            <w:pPr>
              <w:pStyle w:val="NoSpacing"/>
              <w:numPr>
                <w:ilvl w:val="0"/>
                <w:numId w:val="3"/>
              </w:numPr>
              <w:ind w:left="450"/>
            </w:pPr>
            <w:r>
              <w:t xml:space="preserve">Obtain the group’s </w:t>
            </w:r>
            <w:r w:rsidRPr="007B7CB7">
              <w:rPr>
                <w:b/>
              </w:rPr>
              <w:t>201</w:t>
            </w:r>
            <w:r>
              <w:rPr>
                <w:b/>
              </w:rPr>
              <w:t>0</w:t>
            </w:r>
            <w:r w:rsidRPr="007B7CB7">
              <w:rPr>
                <w:b/>
              </w:rPr>
              <w:t xml:space="preserve"> </w:t>
            </w:r>
            <w:r>
              <w:rPr>
                <w:b/>
              </w:rPr>
              <w:t>dropout rate</w:t>
            </w:r>
            <w:r>
              <w:t xml:space="preserve"> (the baseline for the 2017 target)</w:t>
            </w:r>
          </w:p>
        </w:tc>
        <w:tc>
          <w:tcPr>
            <w:tcW w:w="1032" w:type="pct"/>
            <w:tcBorders>
              <w:bottom w:val="dotted" w:sz="4" w:space="0" w:color="auto"/>
            </w:tcBorders>
            <w:vAlign w:val="center"/>
          </w:tcPr>
          <w:p w:rsidR="001E4D7E" w:rsidRPr="00BE0FA2" w:rsidRDefault="001E4D7E" w:rsidP="00882794">
            <w:pPr>
              <w:pStyle w:val="NoSpacing"/>
              <w:jc w:val="right"/>
            </w:pPr>
            <w:r>
              <w:t>6.0</w:t>
            </w:r>
          </w:p>
        </w:tc>
      </w:tr>
      <w:tr w:rsidR="001E4D7E" w:rsidRPr="00BE0FA2" w:rsidTr="009617E8">
        <w:trPr>
          <w:trHeight w:val="288"/>
        </w:trPr>
        <w:tc>
          <w:tcPr>
            <w:tcW w:w="3968" w:type="pct"/>
            <w:tcBorders>
              <w:top w:val="dotted" w:sz="4" w:space="0" w:color="auto"/>
              <w:bottom w:val="dotted" w:sz="4" w:space="0" w:color="auto"/>
            </w:tcBorders>
            <w:vAlign w:val="center"/>
          </w:tcPr>
          <w:p w:rsidR="001E4D7E" w:rsidRPr="00BE0FA2" w:rsidRDefault="001E4D7E" w:rsidP="00D6571A">
            <w:pPr>
              <w:pStyle w:val="NoSpacing"/>
              <w:numPr>
                <w:ilvl w:val="0"/>
                <w:numId w:val="3"/>
              </w:numPr>
              <w:ind w:left="450"/>
            </w:pPr>
            <w:r>
              <w:t xml:space="preserve">Calculate the </w:t>
            </w:r>
            <w:r w:rsidRPr="002C54BB">
              <w:rPr>
                <w:b/>
              </w:rPr>
              <w:t>2017 target</w:t>
            </w:r>
            <w:r>
              <w:t xml:space="preserve"> (2010 rate divided by 2)</w:t>
            </w:r>
          </w:p>
        </w:tc>
        <w:tc>
          <w:tcPr>
            <w:tcW w:w="1032" w:type="pct"/>
            <w:tcBorders>
              <w:top w:val="dotted" w:sz="4" w:space="0" w:color="auto"/>
              <w:bottom w:val="dotted" w:sz="4" w:space="0" w:color="auto"/>
            </w:tcBorders>
            <w:vAlign w:val="center"/>
          </w:tcPr>
          <w:p w:rsidR="001E4D7E" w:rsidRPr="00BE0FA2" w:rsidRDefault="001E4D7E" w:rsidP="00882794">
            <w:pPr>
              <w:pStyle w:val="NoSpacing"/>
              <w:jc w:val="right"/>
            </w:pPr>
            <w:r>
              <w:t>3.0</w:t>
            </w:r>
          </w:p>
        </w:tc>
      </w:tr>
      <w:tr w:rsidR="001E4D7E" w:rsidRPr="00BE0FA2" w:rsidTr="009617E8">
        <w:trPr>
          <w:trHeight w:val="288"/>
        </w:trPr>
        <w:tc>
          <w:tcPr>
            <w:tcW w:w="3968" w:type="pct"/>
            <w:tcBorders>
              <w:top w:val="dotted" w:sz="4" w:space="0" w:color="auto"/>
              <w:bottom w:val="single" w:sz="4" w:space="0" w:color="auto"/>
            </w:tcBorders>
            <w:vAlign w:val="center"/>
          </w:tcPr>
          <w:p w:rsidR="001E4D7E" w:rsidRPr="00BE0FA2" w:rsidRDefault="001E4D7E" w:rsidP="00D6571A">
            <w:pPr>
              <w:pStyle w:val="NoSpacing"/>
              <w:numPr>
                <w:ilvl w:val="0"/>
                <w:numId w:val="3"/>
              </w:numPr>
              <w:ind w:left="450"/>
            </w:pPr>
            <w:r>
              <w:t xml:space="preserve">Calculate </w:t>
            </w:r>
            <w:r w:rsidRPr="002C54BB">
              <w:rPr>
                <w:b/>
              </w:rPr>
              <w:t>annual targets</w:t>
            </w:r>
            <w:r w:rsidR="00BB1278">
              <w:rPr>
                <w:b/>
              </w:rPr>
              <w:t>*</w:t>
            </w:r>
            <w:r>
              <w:t xml:space="preserve"> (2010 rate divided by 6 years)</w:t>
            </w:r>
          </w:p>
        </w:tc>
        <w:tc>
          <w:tcPr>
            <w:tcW w:w="1032" w:type="pct"/>
            <w:tcBorders>
              <w:top w:val="dotted" w:sz="4" w:space="0" w:color="auto"/>
              <w:bottom w:val="single" w:sz="4" w:space="0" w:color="auto"/>
            </w:tcBorders>
            <w:vAlign w:val="center"/>
          </w:tcPr>
          <w:p w:rsidR="001E4D7E" w:rsidRPr="00BE0FA2" w:rsidRDefault="00D301B1" w:rsidP="00882794">
            <w:pPr>
              <w:pStyle w:val="NoSpacing"/>
              <w:jc w:val="right"/>
            </w:pPr>
            <w:r>
              <w:t>0.5</w:t>
            </w:r>
          </w:p>
        </w:tc>
      </w:tr>
      <w:tr w:rsidR="007B7CB7" w:rsidRPr="00BE0FA2" w:rsidTr="009617E8">
        <w:trPr>
          <w:trHeight w:val="288"/>
        </w:trPr>
        <w:tc>
          <w:tcPr>
            <w:tcW w:w="5000" w:type="pct"/>
            <w:gridSpan w:val="2"/>
            <w:tcBorders>
              <w:left w:val="nil"/>
              <w:bottom w:val="nil"/>
              <w:right w:val="nil"/>
            </w:tcBorders>
            <w:vAlign w:val="center"/>
          </w:tcPr>
          <w:p w:rsidR="00211855" w:rsidRDefault="00BB1278" w:rsidP="0098410F">
            <w:pPr>
              <w:pStyle w:val="NoSpacing"/>
            </w:pPr>
            <w:r>
              <w:t>*A</w:t>
            </w:r>
            <w:r w:rsidR="007B7CB7">
              <w:t xml:space="preserve"> group’s annual targets between 2010 and </w:t>
            </w:r>
            <w:r w:rsidR="0098410F">
              <w:t xml:space="preserve">2017 </w:t>
            </w:r>
            <w:r w:rsidR="007B7CB7">
              <w:t xml:space="preserve">are fixed; interim targets </w:t>
            </w:r>
            <w:r w:rsidR="00DE5928">
              <w:t>are not</w:t>
            </w:r>
            <w:r w:rsidR="007B7CB7">
              <w:t xml:space="preserve"> adjusted based on the group’s actual rates across those years.</w:t>
            </w:r>
          </w:p>
        </w:tc>
      </w:tr>
    </w:tbl>
    <w:p w:rsidR="003F55D2" w:rsidRDefault="003F55D2" w:rsidP="00EE0D89">
      <w:pPr>
        <w:spacing w:after="0"/>
      </w:pPr>
    </w:p>
    <w:p w:rsidR="00577405" w:rsidRDefault="00690677" w:rsidP="00AD1FFE">
      <w:pPr>
        <w:pStyle w:val="Heading4"/>
      </w:pPr>
      <w:bookmarkStart w:id="20" w:name="_Toc435178305"/>
      <w:bookmarkStart w:id="21" w:name="_Toc435178511"/>
      <w:r>
        <w:lastRenderedPageBreak/>
        <w:t>Awarding PPI p</w:t>
      </w:r>
      <w:r w:rsidR="00577405">
        <w:t>oints</w:t>
      </w:r>
      <w:bookmarkEnd w:id="20"/>
      <w:bookmarkEnd w:id="21"/>
    </w:p>
    <w:p w:rsidR="007E6E30" w:rsidRDefault="007E6E30" w:rsidP="005E67E6">
      <w:r>
        <w:t>An annual PPI is calculated for all groups that assessed a sufficient number of students in ELA and mathematics in the most recent year and one of the two prior years. This means that at a minimum, groups must have a sufficient number of students to calculate a CPI in ELA and math.</w:t>
      </w:r>
    </w:p>
    <w:p w:rsidR="007E6E30" w:rsidRDefault="007E6E30" w:rsidP="005E67E6">
      <w:r>
        <w:t xml:space="preserve">Groups are awarded 0, 25, 50, 75, or 100 points based </w:t>
      </w:r>
      <w:r w:rsidR="00B07ADA">
        <w:t>on</w:t>
      </w:r>
      <w:r w:rsidR="00131960">
        <w:t xml:space="preserve"> making improvement relative to the group’s own annual target</w:t>
      </w:r>
      <w:r>
        <w:t>, with a score of 75 considered to be “on target” for a given indicator. The annual PPI is then calculated by dividing the sum of the points earned for all indicators by the number of core indicators (2-7).</w:t>
      </w:r>
    </w:p>
    <w:p w:rsidR="008F5174" w:rsidRDefault="007E6E30">
      <w:pPr>
        <w:pStyle w:val="Caption"/>
      </w:pPr>
      <w:r w:rsidRPr="00E54B4B">
        <w:t xml:space="preserve">Table </w:t>
      </w:r>
      <w:r w:rsidR="008644AE">
        <w:t>7</w:t>
      </w:r>
      <w:r w:rsidR="008F02B6" w:rsidRPr="00E54B4B">
        <w:t>: Awarding PPI points</w:t>
      </w:r>
    </w:p>
    <w:tbl>
      <w:tblPr>
        <w:tblStyle w:val="TableGrid"/>
        <w:tblW w:w="4944" w:type="pct"/>
        <w:tblInd w:w="108" w:type="dxa"/>
        <w:tblLook w:val="04A0" w:firstRow="1" w:lastRow="0" w:firstColumn="1" w:lastColumn="0" w:noHBand="0" w:noVBand="1"/>
      </w:tblPr>
      <w:tblGrid>
        <w:gridCol w:w="2994"/>
        <w:gridCol w:w="6475"/>
      </w:tblGrid>
      <w:tr w:rsidR="007E6E30" w:rsidRPr="002C54BB" w:rsidTr="00777B59">
        <w:trPr>
          <w:trHeight w:val="288"/>
        </w:trPr>
        <w:tc>
          <w:tcPr>
            <w:tcW w:w="1581" w:type="pct"/>
            <w:tcBorders>
              <w:bottom w:val="single" w:sz="4" w:space="0" w:color="auto"/>
            </w:tcBorders>
            <w:shd w:val="clear" w:color="auto" w:fill="C6D9F1" w:themeFill="text2" w:themeFillTint="33"/>
            <w:vAlign w:val="center"/>
          </w:tcPr>
          <w:p w:rsidR="007E6E30" w:rsidRPr="002C54BB" w:rsidRDefault="007E6E30" w:rsidP="000846C9">
            <w:pPr>
              <w:pStyle w:val="NoSpacing"/>
              <w:rPr>
                <w:b/>
              </w:rPr>
            </w:pPr>
            <w:r w:rsidRPr="002C54BB">
              <w:rPr>
                <w:b/>
              </w:rPr>
              <w:t>Points awarded</w:t>
            </w:r>
          </w:p>
        </w:tc>
        <w:tc>
          <w:tcPr>
            <w:tcW w:w="3419" w:type="pct"/>
            <w:tcBorders>
              <w:bottom w:val="single" w:sz="4" w:space="0" w:color="auto"/>
            </w:tcBorders>
            <w:shd w:val="clear" w:color="auto" w:fill="C6D9F1" w:themeFill="text2" w:themeFillTint="33"/>
            <w:vAlign w:val="center"/>
          </w:tcPr>
          <w:p w:rsidR="007E6E30" w:rsidRPr="002C54BB" w:rsidRDefault="007E6E30" w:rsidP="000846C9">
            <w:pPr>
              <w:pStyle w:val="NoSpacing"/>
              <w:rPr>
                <w:b/>
              </w:rPr>
            </w:pPr>
            <w:r w:rsidRPr="002C54BB">
              <w:rPr>
                <w:b/>
              </w:rPr>
              <w:t>Rating</w:t>
            </w:r>
          </w:p>
        </w:tc>
      </w:tr>
      <w:tr w:rsidR="007E6E30" w:rsidRPr="00A55F63" w:rsidTr="00777B59">
        <w:trPr>
          <w:trHeight w:val="288"/>
        </w:trPr>
        <w:tc>
          <w:tcPr>
            <w:tcW w:w="1581" w:type="pct"/>
            <w:tcBorders>
              <w:bottom w:val="dotted" w:sz="4" w:space="0" w:color="auto"/>
            </w:tcBorders>
            <w:vAlign w:val="center"/>
          </w:tcPr>
          <w:p w:rsidR="007E6E30" w:rsidRPr="00A55F63" w:rsidRDefault="007E6E30" w:rsidP="000846C9">
            <w:pPr>
              <w:pStyle w:val="NoSpacing"/>
            </w:pPr>
            <w:r w:rsidRPr="00A55F63">
              <w:t>100</w:t>
            </w:r>
          </w:p>
        </w:tc>
        <w:tc>
          <w:tcPr>
            <w:tcW w:w="3419" w:type="pct"/>
            <w:tcBorders>
              <w:bottom w:val="dotted" w:sz="4" w:space="0" w:color="auto"/>
            </w:tcBorders>
            <w:vAlign w:val="center"/>
          </w:tcPr>
          <w:p w:rsidR="007E6E30" w:rsidRPr="00A55F63" w:rsidRDefault="007E6E30" w:rsidP="000846C9">
            <w:pPr>
              <w:pStyle w:val="NoSpacing"/>
              <w:rPr>
                <w:i/>
              </w:rPr>
            </w:pPr>
            <w:r w:rsidRPr="00A55F63">
              <w:rPr>
                <w:i/>
              </w:rPr>
              <w:t xml:space="preserve">Above </w:t>
            </w:r>
            <w:r w:rsidR="00E54B4B" w:rsidRPr="00A55F63">
              <w:rPr>
                <w:i/>
              </w:rPr>
              <w:t>T</w:t>
            </w:r>
            <w:r w:rsidRPr="00A55F63">
              <w:rPr>
                <w:i/>
              </w:rPr>
              <w:t>arget</w:t>
            </w:r>
          </w:p>
        </w:tc>
      </w:tr>
      <w:tr w:rsidR="007E6E30" w:rsidRPr="00A55F63" w:rsidTr="00777B59">
        <w:trPr>
          <w:trHeight w:val="288"/>
        </w:trPr>
        <w:tc>
          <w:tcPr>
            <w:tcW w:w="1581" w:type="pct"/>
            <w:tcBorders>
              <w:top w:val="dotted" w:sz="4" w:space="0" w:color="auto"/>
              <w:bottom w:val="dotted" w:sz="4" w:space="0" w:color="auto"/>
            </w:tcBorders>
            <w:vAlign w:val="center"/>
          </w:tcPr>
          <w:p w:rsidR="007E6E30" w:rsidRPr="00A55F63" w:rsidRDefault="007E6E30" w:rsidP="000846C9">
            <w:pPr>
              <w:pStyle w:val="NoSpacing"/>
            </w:pPr>
            <w:r w:rsidRPr="00A55F63">
              <w:t>75</w:t>
            </w:r>
          </w:p>
        </w:tc>
        <w:tc>
          <w:tcPr>
            <w:tcW w:w="3419" w:type="pct"/>
            <w:tcBorders>
              <w:top w:val="dotted" w:sz="4" w:space="0" w:color="auto"/>
              <w:bottom w:val="dotted" w:sz="4" w:space="0" w:color="auto"/>
            </w:tcBorders>
            <w:vAlign w:val="center"/>
          </w:tcPr>
          <w:p w:rsidR="007E6E30" w:rsidRPr="00A55F63" w:rsidRDefault="007E6E30" w:rsidP="000846C9">
            <w:pPr>
              <w:pStyle w:val="NoSpacing"/>
              <w:rPr>
                <w:i/>
              </w:rPr>
            </w:pPr>
            <w:r w:rsidRPr="00A55F63">
              <w:rPr>
                <w:i/>
              </w:rPr>
              <w:t xml:space="preserve">On </w:t>
            </w:r>
            <w:r w:rsidR="00E54B4B" w:rsidRPr="00A55F63">
              <w:rPr>
                <w:i/>
              </w:rPr>
              <w:t>T</w:t>
            </w:r>
            <w:r w:rsidRPr="00A55F63">
              <w:rPr>
                <w:i/>
              </w:rPr>
              <w:t>arget</w:t>
            </w:r>
          </w:p>
        </w:tc>
      </w:tr>
      <w:tr w:rsidR="007E6E30" w:rsidRPr="00A55F63" w:rsidTr="00777B59">
        <w:trPr>
          <w:trHeight w:val="288"/>
        </w:trPr>
        <w:tc>
          <w:tcPr>
            <w:tcW w:w="1581" w:type="pct"/>
            <w:tcBorders>
              <w:top w:val="dotted" w:sz="4" w:space="0" w:color="auto"/>
              <w:bottom w:val="dotted" w:sz="4" w:space="0" w:color="auto"/>
            </w:tcBorders>
            <w:vAlign w:val="center"/>
          </w:tcPr>
          <w:p w:rsidR="007E6E30" w:rsidRPr="00A55F63" w:rsidRDefault="007E6E30" w:rsidP="000846C9">
            <w:pPr>
              <w:pStyle w:val="NoSpacing"/>
            </w:pPr>
            <w:r w:rsidRPr="00A55F63">
              <w:t>50</w:t>
            </w:r>
          </w:p>
        </w:tc>
        <w:tc>
          <w:tcPr>
            <w:tcW w:w="3419" w:type="pct"/>
            <w:tcBorders>
              <w:top w:val="dotted" w:sz="4" w:space="0" w:color="auto"/>
              <w:bottom w:val="dotted" w:sz="4" w:space="0" w:color="auto"/>
            </w:tcBorders>
            <w:vAlign w:val="center"/>
          </w:tcPr>
          <w:p w:rsidR="007E6E30" w:rsidRPr="00A55F63" w:rsidRDefault="007E6E30" w:rsidP="000846C9">
            <w:pPr>
              <w:pStyle w:val="NoSpacing"/>
              <w:rPr>
                <w:i/>
              </w:rPr>
            </w:pPr>
            <w:r w:rsidRPr="00A55F63">
              <w:rPr>
                <w:i/>
              </w:rPr>
              <w:t xml:space="preserve">Improved </w:t>
            </w:r>
            <w:r w:rsidR="00E54B4B" w:rsidRPr="00A55F63">
              <w:rPr>
                <w:i/>
              </w:rPr>
              <w:t>B</w:t>
            </w:r>
            <w:r w:rsidRPr="00A55F63">
              <w:rPr>
                <w:i/>
              </w:rPr>
              <w:t xml:space="preserve">elow </w:t>
            </w:r>
            <w:r w:rsidR="00E54B4B" w:rsidRPr="00A55F63">
              <w:rPr>
                <w:i/>
              </w:rPr>
              <w:t>T</w:t>
            </w:r>
            <w:r w:rsidRPr="00A55F63">
              <w:rPr>
                <w:i/>
              </w:rPr>
              <w:t>arget</w:t>
            </w:r>
          </w:p>
        </w:tc>
      </w:tr>
      <w:tr w:rsidR="007E6E30" w:rsidRPr="00A55F63" w:rsidTr="00777B59">
        <w:trPr>
          <w:trHeight w:val="288"/>
        </w:trPr>
        <w:tc>
          <w:tcPr>
            <w:tcW w:w="1581" w:type="pct"/>
            <w:tcBorders>
              <w:top w:val="dotted" w:sz="4" w:space="0" w:color="auto"/>
              <w:bottom w:val="dotted" w:sz="4" w:space="0" w:color="auto"/>
            </w:tcBorders>
            <w:vAlign w:val="center"/>
          </w:tcPr>
          <w:p w:rsidR="007E6E30" w:rsidRPr="00A55F63" w:rsidRDefault="007E6E30" w:rsidP="000846C9">
            <w:pPr>
              <w:pStyle w:val="NoSpacing"/>
            </w:pPr>
            <w:r w:rsidRPr="00A55F63">
              <w:t>25</w:t>
            </w:r>
          </w:p>
        </w:tc>
        <w:tc>
          <w:tcPr>
            <w:tcW w:w="3419" w:type="pct"/>
            <w:tcBorders>
              <w:top w:val="dotted" w:sz="4" w:space="0" w:color="auto"/>
              <w:bottom w:val="dotted" w:sz="4" w:space="0" w:color="auto"/>
            </w:tcBorders>
            <w:vAlign w:val="center"/>
          </w:tcPr>
          <w:p w:rsidR="007E6E30" w:rsidRPr="00A55F63" w:rsidRDefault="007E6E30" w:rsidP="000846C9">
            <w:pPr>
              <w:pStyle w:val="NoSpacing"/>
              <w:rPr>
                <w:i/>
              </w:rPr>
            </w:pPr>
            <w:r w:rsidRPr="00A55F63">
              <w:rPr>
                <w:i/>
              </w:rPr>
              <w:t xml:space="preserve">No </w:t>
            </w:r>
            <w:r w:rsidR="00E54B4B" w:rsidRPr="00A55F63">
              <w:rPr>
                <w:i/>
              </w:rPr>
              <w:t>C</w:t>
            </w:r>
            <w:r w:rsidRPr="00A55F63">
              <w:rPr>
                <w:i/>
              </w:rPr>
              <w:t>hange</w:t>
            </w:r>
          </w:p>
        </w:tc>
      </w:tr>
      <w:tr w:rsidR="007E6E30" w:rsidRPr="00A55F63" w:rsidTr="00777B59">
        <w:trPr>
          <w:trHeight w:val="288"/>
        </w:trPr>
        <w:tc>
          <w:tcPr>
            <w:tcW w:w="1581" w:type="pct"/>
            <w:tcBorders>
              <w:top w:val="dotted" w:sz="4" w:space="0" w:color="auto"/>
              <w:bottom w:val="dotted" w:sz="4" w:space="0" w:color="auto"/>
            </w:tcBorders>
            <w:vAlign w:val="center"/>
          </w:tcPr>
          <w:p w:rsidR="007E6E30" w:rsidRPr="00A55F63" w:rsidRDefault="007E6E30" w:rsidP="000846C9">
            <w:pPr>
              <w:pStyle w:val="NoSpacing"/>
            </w:pPr>
            <w:r w:rsidRPr="00A55F63">
              <w:t>0</w:t>
            </w:r>
          </w:p>
        </w:tc>
        <w:tc>
          <w:tcPr>
            <w:tcW w:w="3419" w:type="pct"/>
            <w:tcBorders>
              <w:top w:val="dotted" w:sz="4" w:space="0" w:color="auto"/>
              <w:bottom w:val="dotted" w:sz="4" w:space="0" w:color="auto"/>
            </w:tcBorders>
            <w:vAlign w:val="center"/>
          </w:tcPr>
          <w:p w:rsidR="007E6E30" w:rsidRPr="00A55F63" w:rsidRDefault="007E6E30" w:rsidP="000846C9">
            <w:pPr>
              <w:pStyle w:val="NoSpacing"/>
              <w:rPr>
                <w:i/>
              </w:rPr>
            </w:pPr>
            <w:r w:rsidRPr="00A55F63">
              <w:rPr>
                <w:i/>
              </w:rPr>
              <w:t>Declined</w:t>
            </w:r>
          </w:p>
        </w:tc>
      </w:tr>
      <w:tr w:rsidR="007E6E30" w:rsidRPr="00A55F63" w:rsidTr="00777B59">
        <w:trPr>
          <w:trHeight w:val="288"/>
        </w:trPr>
        <w:tc>
          <w:tcPr>
            <w:tcW w:w="1581" w:type="pct"/>
            <w:tcBorders>
              <w:top w:val="dotted" w:sz="4" w:space="0" w:color="auto"/>
            </w:tcBorders>
            <w:vAlign w:val="center"/>
          </w:tcPr>
          <w:p w:rsidR="007E6E30" w:rsidRPr="00A55F63" w:rsidRDefault="007E6E30" w:rsidP="000846C9">
            <w:pPr>
              <w:pStyle w:val="NoSpacing"/>
            </w:pPr>
            <w:r w:rsidRPr="00A55F63">
              <w:t>-</w:t>
            </w:r>
          </w:p>
        </w:tc>
        <w:tc>
          <w:tcPr>
            <w:tcW w:w="3419" w:type="pct"/>
            <w:tcBorders>
              <w:top w:val="dotted" w:sz="4" w:space="0" w:color="auto"/>
            </w:tcBorders>
            <w:vAlign w:val="center"/>
          </w:tcPr>
          <w:p w:rsidR="007E6E30" w:rsidRPr="00A55F63" w:rsidRDefault="007E6E30" w:rsidP="000846C9">
            <w:pPr>
              <w:pStyle w:val="NoSpacing"/>
              <w:rPr>
                <w:i/>
              </w:rPr>
            </w:pPr>
            <w:r w:rsidRPr="00A55F63">
              <w:rPr>
                <w:i/>
              </w:rPr>
              <w:t>(Insufficient data or not applicable)</w:t>
            </w:r>
          </w:p>
        </w:tc>
      </w:tr>
    </w:tbl>
    <w:p w:rsidR="00CA3401" w:rsidRDefault="00CA3401" w:rsidP="00041F42">
      <w:pPr>
        <w:spacing w:after="0"/>
      </w:pPr>
    </w:p>
    <w:p w:rsidR="000370EF" w:rsidRPr="00153CC3" w:rsidRDefault="000370EF" w:rsidP="005E67E6">
      <w:r>
        <w:t xml:space="preserve">Each indicator comprising the PPI has criteria designed to </w:t>
      </w:r>
      <w:r w:rsidR="00A314E0">
        <w:t>provide credit to</w:t>
      </w:r>
      <w:r>
        <w:t xml:space="preserve"> high performing schools or schools with high performing groups. For example, a school or group that has a CPI of 97.5 or higher, or met the CPI of the 90</w:t>
      </w:r>
      <w:r w:rsidRPr="00921CD0">
        <w:rPr>
          <w:vertAlign w:val="superscript"/>
        </w:rPr>
        <w:t>th</w:t>
      </w:r>
      <w:r>
        <w:t xml:space="preserve"> percentile for all groups in the </w:t>
      </w:r>
      <w:r w:rsidR="008868C8">
        <w:t>school type category</w:t>
      </w:r>
      <w:r>
        <w:t xml:space="preserve">, is automatically awarded 100 PPI points and an “On Target” rating even if the group’s CPI declined from the prior year. Similarly, a school or group with </w:t>
      </w:r>
      <w:r w:rsidR="00846B2F">
        <w:t xml:space="preserve">a </w:t>
      </w:r>
      <w:r>
        <w:t xml:space="preserve">high graduation </w:t>
      </w:r>
      <w:r w:rsidR="00846B2F">
        <w:t xml:space="preserve">rate </w:t>
      </w:r>
      <w:r>
        <w:t xml:space="preserve">or </w:t>
      </w:r>
      <w:r w:rsidR="00846B2F">
        <w:t xml:space="preserve">a low </w:t>
      </w:r>
      <w:r>
        <w:t xml:space="preserve">dropout rate also receives credit. </w:t>
      </w:r>
    </w:p>
    <w:p w:rsidR="003047C3" w:rsidRDefault="00690677" w:rsidP="00AD1FFE">
      <w:pPr>
        <w:pStyle w:val="Heading4"/>
      </w:pPr>
      <w:bookmarkStart w:id="22" w:name="_Toc435178306"/>
      <w:bookmarkStart w:id="23" w:name="_Toc435178512"/>
      <w:r>
        <w:t>Extra c</w:t>
      </w:r>
      <w:r w:rsidR="003047C3">
        <w:t>redit</w:t>
      </w:r>
      <w:bookmarkEnd w:id="22"/>
      <w:bookmarkEnd w:id="23"/>
    </w:p>
    <w:p w:rsidR="006A5540" w:rsidRDefault="006A5540" w:rsidP="006A5540">
      <w:r>
        <w:t>There are several ways in which a group can earn extra credit toward its annual PPI calculation:</w:t>
      </w:r>
    </w:p>
    <w:p w:rsidR="006A5540" w:rsidRPr="006A5540" w:rsidRDefault="006A5540" w:rsidP="006A5540">
      <w:pPr>
        <w:pStyle w:val="ListParagraph"/>
      </w:pPr>
      <w:r>
        <w:t>Improving student achievement</w:t>
      </w:r>
      <w:r w:rsidR="00756C39">
        <w:t>:</w:t>
      </w:r>
    </w:p>
    <w:p w:rsidR="006A5540" w:rsidRDefault="00E34A0E" w:rsidP="006A5540">
      <w:pPr>
        <w:ind w:left="360"/>
      </w:pPr>
      <w:r w:rsidRPr="00436103">
        <w:t xml:space="preserve">A group </w:t>
      </w:r>
      <w:r>
        <w:t>is awarded</w:t>
      </w:r>
      <w:r w:rsidRPr="00436103">
        <w:t xml:space="preserve"> extra credit for reducing the percentage of students scoring </w:t>
      </w:r>
      <w:r w:rsidRPr="00837F09">
        <w:rPr>
          <w:i/>
        </w:rPr>
        <w:t>Warning/Failing</w:t>
      </w:r>
      <w:r w:rsidRPr="00436103">
        <w:t xml:space="preserve"> and/or by increasing the percentage of students scoring </w:t>
      </w:r>
      <w:r w:rsidRPr="00837F09">
        <w:rPr>
          <w:i/>
        </w:rPr>
        <w:t>Advanced</w:t>
      </w:r>
      <w:r>
        <w:t xml:space="preserve"> by 10 percent</w:t>
      </w:r>
      <w:r w:rsidRPr="00436103">
        <w:t xml:space="preserve"> or more on ELA, mathematics, or science MCAS</w:t>
      </w:r>
      <w:r w:rsidR="008F5174">
        <w:t xml:space="preserve"> </w:t>
      </w:r>
      <w:r w:rsidRPr="00436103">
        <w:t>t</w:t>
      </w:r>
      <w:r>
        <w:t xml:space="preserve">ests. </w:t>
      </w:r>
    </w:p>
    <w:p w:rsidR="006A5540" w:rsidRDefault="006A5540" w:rsidP="006A5540">
      <w:pPr>
        <w:pStyle w:val="ListParagraph"/>
      </w:pPr>
      <w:r>
        <w:t>Reengaging dropouts</w:t>
      </w:r>
      <w:r w:rsidR="00756C39">
        <w:t>:</w:t>
      </w:r>
    </w:p>
    <w:p w:rsidR="0096629F" w:rsidRDefault="00EE0D89" w:rsidP="006A5540">
      <w:pPr>
        <w:ind w:left="360"/>
      </w:pPr>
      <w:r>
        <w:t xml:space="preserve">Schools </w:t>
      </w:r>
      <w:r w:rsidR="00BB2F16">
        <w:t>serving</w:t>
      </w:r>
      <w:r>
        <w:t xml:space="preserve"> high school grades</w:t>
      </w:r>
      <w:r w:rsidRPr="00255D30">
        <w:t xml:space="preserve"> </w:t>
      </w:r>
      <w:r>
        <w:t>can also earn</w:t>
      </w:r>
      <w:r w:rsidRPr="00255D30">
        <w:t xml:space="preserve"> </w:t>
      </w:r>
      <w:r w:rsidR="00BE633D">
        <w:t>extra credit points if they re</w:t>
      </w:r>
      <w:r w:rsidRPr="00255D30">
        <w:t>engaged two or more dropouts in the previous school year</w:t>
      </w:r>
      <w:r w:rsidR="0047028E" w:rsidRPr="00255D30">
        <w:t xml:space="preserve">. </w:t>
      </w:r>
      <w:r w:rsidRPr="00B0504D">
        <w:t>The dropout reengagement number is the count of high school dropouts that re-enroll in school for</w:t>
      </w:r>
      <w:r w:rsidR="00D05C9B">
        <w:t xml:space="preserve"> at least</w:t>
      </w:r>
      <w:r w:rsidRPr="00B0504D">
        <w:t xml:space="preserve"> two consecutive SIMS collection periods or graduate or obtain a certificate of high school completion. This metric is a calculation of the official</w:t>
      </w:r>
      <w:r>
        <w:t xml:space="preserve"> number of</w:t>
      </w:r>
      <w:r w:rsidRPr="00B0504D">
        <w:t xml:space="preserve"> </w:t>
      </w:r>
      <w:r w:rsidRPr="00B0504D">
        <w:lastRenderedPageBreak/>
        <w:t>high school dropouts</w:t>
      </w:r>
      <w:r w:rsidR="00BB3E89">
        <w:rPr>
          <w:rStyle w:val="FootnoteReference"/>
        </w:rPr>
        <w:footnoteReference w:id="4"/>
      </w:r>
      <w:r>
        <w:t xml:space="preserve"> statewide</w:t>
      </w:r>
      <w:r w:rsidRPr="00B0504D">
        <w:t xml:space="preserve"> from the previous four school years who returned to school in </w:t>
      </w:r>
      <w:r>
        <w:t xml:space="preserve">the </w:t>
      </w:r>
      <w:r w:rsidR="00351F20">
        <w:t>2015-16</w:t>
      </w:r>
      <w:r>
        <w:t xml:space="preserve"> school year. The re</w:t>
      </w:r>
      <w:r w:rsidRPr="00B0504D">
        <w:t xml:space="preserve">engaged student is credited to the school that re-enrolls/graduates them regardless of which school the student originally </w:t>
      </w:r>
      <w:r w:rsidRPr="009B2FF8">
        <w:t>dropped out from. Extra credit points can be earned by the all students and high needs students groups only</w:t>
      </w:r>
      <w:r w:rsidR="0096629F">
        <w:t>, and only at the school level</w:t>
      </w:r>
      <w:r w:rsidRPr="009B2FF8">
        <w:t xml:space="preserve">. </w:t>
      </w:r>
    </w:p>
    <w:p w:rsidR="006A5540" w:rsidRDefault="006A5540" w:rsidP="006A5540">
      <w:pPr>
        <w:pStyle w:val="ListParagraph"/>
      </w:pPr>
      <w:r>
        <w:t xml:space="preserve">Demonstrating strong growth in English language </w:t>
      </w:r>
      <w:r w:rsidR="002150C0">
        <w:t>acquisition</w:t>
      </w:r>
      <w:r w:rsidR="00756C39">
        <w:t>:</w:t>
      </w:r>
    </w:p>
    <w:p w:rsidR="0096629F" w:rsidRDefault="00660E12" w:rsidP="006A5540">
      <w:pPr>
        <w:tabs>
          <w:tab w:val="left" w:pos="360"/>
        </w:tabs>
        <w:ind w:left="360"/>
      </w:pPr>
      <w:r>
        <w:t>E</w:t>
      </w:r>
      <w:r w:rsidR="00B060F5">
        <w:t xml:space="preserve">xtra </w:t>
      </w:r>
      <w:r w:rsidR="0096629F" w:rsidRPr="0096629F">
        <w:t xml:space="preserve">credit </w:t>
      </w:r>
      <w:r w:rsidR="008E44A6">
        <w:t>is</w:t>
      </w:r>
      <w:r w:rsidR="00B060F5">
        <w:t xml:space="preserve"> available </w:t>
      </w:r>
      <w:r w:rsidR="0096629F" w:rsidRPr="0096629F">
        <w:t xml:space="preserve">to </w:t>
      </w:r>
      <w:r w:rsidR="00A848EC">
        <w:t>districts and schools</w:t>
      </w:r>
      <w:r w:rsidR="0096629F" w:rsidRPr="0096629F">
        <w:t xml:space="preserve"> serving English language learners (ELLs) who demonstrate strong growth on the ACCESS for ELLs English language proficiency assessment. With several years of ACCESS results available, student growth percentiles based on ACCESS (SGPAs) </w:t>
      </w:r>
      <w:r w:rsidR="00B060F5">
        <w:t xml:space="preserve">can be calculated </w:t>
      </w:r>
      <w:r w:rsidR="0096629F" w:rsidRPr="0096629F">
        <w:t>using the same methodology</w:t>
      </w:r>
      <w:r w:rsidR="009F6E55">
        <w:t xml:space="preserve"> currently</w:t>
      </w:r>
      <w:r w:rsidR="0096629F" w:rsidRPr="0096629F">
        <w:t xml:space="preserve"> </w:t>
      </w:r>
      <w:r w:rsidR="00B060F5">
        <w:t>used</w:t>
      </w:r>
      <w:r w:rsidR="0096629F" w:rsidRPr="0096629F">
        <w:t xml:space="preserve"> for student growth percentile (SGP) calculations based on our statewide </w:t>
      </w:r>
      <w:r w:rsidR="009F6E55">
        <w:t xml:space="preserve">ELA and mathematics </w:t>
      </w:r>
      <w:r w:rsidR="0096629F" w:rsidRPr="0096629F">
        <w:t xml:space="preserve">assessments. Median SGPAs provide a clear signal </w:t>
      </w:r>
      <w:r w:rsidR="00094984">
        <w:t>as to how</w:t>
      </w:r>
      <w:r w:rsidR="0096629F" w:rsidRPr="0096629F">
        <w:t xml:space="preserve"> the ELLs in a particular school or district are increasing their English language proficiency</w:t>
      </w:r>
      <w:r w:rsidR="00094984">
        <w:t xml:space="preserve"> compared to other ELLs statewide</w:t>
      </w:r>
      <w:r w:rsidR="0096629F" w:rsidRPr="0096629F">
        <w:t xml:space="preserve">, with SGPAs of 60 or higher on the 100-point SGPA scale representing particularly strong gains as compared to other ELLs who have similar ACCESS score histories. </w:t>
      </w:r>
      <w:r w:rsidR="00D11659">
        <w:t>E</w:t>
      </w:r>
      <w:r w:rsidR="0096629F" w:rsidRPr="0096629F">
        <w:t>xtra credit</w:t>
      </w:r>
      <w:r w:rsidR="00D11659">
        <w:t xml:space="preserve"> </w:t>
      </w:r>
      <w:r w:rsidR="008E44A6">
        <w:t>is</w:t>
      </w:r>
      <w:r w:rsidR="00B060F5">
        <w:t xml:space="preserve"> awarded </w:t>
      </w:r>
      <w:r w:rsidR="0096629F" w:rsidRPr="0096629F">
        <w:t>if the ELL subgroup in the school obtains a median SGPA of 60 or higher</w:t>
      </w:r>
      <w:r w:rsidR="009F6E55">
        <w:t>.</w:t>
      </w:r>
      <w:r w:rsidR="0096629F" w:rsidRPr="0096629F">
        <w:t xml:space="preserve"> Points </w:t>
      </w:r>
      <w:r w:rsidR="008E44A6">
        <w:t>are</w:t>
      </w:r>
      <w:r w:rsidR="0096629F" w:rsidRPr="0096629F">
        <w:t xml:space="preserve"> awarded to the ELL subgroup, the high needs subgroup, and the aggregate group. In order to receive this additional credit, the ELL subgroup must meet mi</w:t>
      </w:r>
      <w:r w:rsidR="00B060F5">
        <w:t xml:space="preserve">nimum group size requirements. </w:t>
      </w:r>
    </w:p>
    <w:p w:rsidR="003A3A98" w:rsidRPr="003A3A98" w:rsidRDefault="003A3A98" w:rsidP="003A3A98">
      <w:pPr>
        <w:tabs>
          <w:tab w:val="left" w:pos="360"/>
        </w:tabs>
        <w:ind w:left="360"/>
      </w:pPr>
      <w:r>
        <w:t>Due to a delay in the availability of 2017 data, extra credit points for high growth on the ACCESS for ELLs assessment have not been awarded to any district, school, or group in the preliminary accountability reports. Extra credit points, if earned, will be included in official district and school accountability reports in fall 2017.</w:t>
      </w:r>
    </w:p>
    <w:p w:rsidR="00E34A0E" w:rsidRDefault="00E34A0E" w:rsidP="005E67E6">
      <w:r>
        <w:t>An additional 25 points are</w:t>
      </w:r>
      <w:r w:rsidRPr="00436103">
        <w:t xml:space="preserve"> added to the total number of points for meeting each of these goals – up to </w:t>
      </w:r>
      <w:r w:rsidR="00D11659">
        <w:t>200</w:t>
      </w:r>
      <w:r w:rsidR="00D11659" w:rsidRPr="00436103">
        <w:t xml:space="preserve"> </w:t>
      </w:r>
      <w:r>
        <w:t>p</w:t>
      </w:r>
      <w:r w:rsidRPr="00436103">
        <w:t>oints –</w:t>
      </w:r>
      <w:r w:rsidR="00F842A3">
        <w:t xml:space="preserve"> </w:t>
      </w:r>
      <w:r w:rsidRPr="00436103">
        <w:t xml:space="preserve">before dividing by the number of </w:t>
      </w:r>
      <w:r>
        <w:t xml:space="preserve">core </w:t>
      </w:r>
      <w:r w:rsidRPr="00436103">
        <w:t>indicators. Because of the potential to earn extra credit, the annual PPI for a group in a given year may exceed 100 points.</w:t>
      </w:r>
    </w:p>
    <w:p w:rsidR="00FB70BA" w:rsidRPr="00FB70BA" w:rsidRDefault="00B07ADA" w:rsidP="005E67E6">
      <w:pPr>
        <w:rPr>
          <w:rFonts w:cs="Calibri"/>
        </w:rPr>
      </w:pPr>
      <w:r>
        <w:t xml:space="preserve">A sample extra credit calculation is in </w:t>
      </w:r>
      <w:r w:rsidR="00593CBA">
        <w:t>the table</w:t>
      </w:r>
      <w:r>
        <w:t xml:space="preserve"> below.</w:t>
      </w:r>
    </w:p>
    <w:p w:rsidR="00F842A3" w:rsidRDefault="00F842A3" w:rsidP="007B271E">
      <w:pPr>
        <w:pStyle w:val="Caption"/>
      </w:pPr>
      <w:r>
        <w:t xml:space="preserve">Table </w:t>
      </w:r>
      <w:r w:rsidR="008644AE">
        <w:t>8</w:t>
      </w:r>
      <w:r>
        <w:t xml:space="preserve">: </w:t>
      </w:r>
      <w:r w:rsidR="00365927">
        <w:t>Sample calculation of</w:t>
      </w:r>
      <w:r>
        <w:t xml:space="preserve"> </w:t>
      </w:r>
      <w:r w:rsidR="00F9153E">
        <w:t xml:space="preserve">change in </w:t>
      </w:r>
      <w:r w:rsidRPr="00F842A3">
        <w:rPr>
          <w:i/>
        </w:rPr>
        <w:t>Advanced</w:t>
      </w:r>
      <w:r>
        <w:t xml:space="preserve"> </w:t>
      </w:r>
      <w:r w:rsidR="00F9153E">
        <w:t>percentage</w:t>
      </w:r>
    </w:p>
    <w:tbl>
      <w:tblPr>
        <w:tblStyle w:val="TableGrid"/>
        <w:tblW w:w="5000" w:type="pct"/>
        <w:tblBorders>
          <w:insideH w:val="dotted" w:sz="4" w:space="0" w:color="auto"/>
        </w:tblBorders>
        <w:tblLook w:val="04A0" w:firstRow="1" w:lastRow="0" w:firstColumn="1" w:lastColumn="0" w:noHBand="0" w:noVBand="1"/>
      </w:tblPr>
      <w:tblGrid>
        <w:gridCol w:w="7291"/>
        <w:gridCol w:w="2285"/>
      </w:tblGrid>
      <w:tr w:rsidR="00406EDA" w:rsidRPr="002C54BB" w:rsidTr="00B632DA">
        <w:trPr>
          <w:trHeight w:val="288"/>
        </w:trPr>
        <w:tc>
          <w:tcPr>
            <w:tcW w:w="3807" w:type="pct"/>
            <w:tcBorders>
              <w:top w:val="single" w:sz="4" w:space="0" w:color="auto"/>
              <w:bottom w:val="single" w:sz="4" w:space="0" w:color="auto"/>
            </w:tcBorders>
            <w:shd w:val="clear" w:color="auto" w:fill="C6D9F1" w:themeFill="text2" w:themeFillTint="33"/>
            <w:vAlign w:val="center"/>
          </w:tcPr>
          <w:p w:rsidR="00406EDA" w:rsidRPr="002C54BB" w:rsidRDefault="00406EDA" w:rsidP="00351F20">
            <w:pPr>
              <w:pStyle w:val="NoSpacing"/>
              <w:rPr>
                <w:b/>
                <w:i/>
              </w:rPr>
            </w:pPr>
            <w:r w:rsidRPr="002C54BB">
              <w:rPr>
                <w:b/>
              </w:rPr>
              <w:t>Calculating the percent change in students</w:t>
            </w:r>
            <w:r w:rsidRPr="002C54BB">
              <w:rPr>
                <w:b/>
                <w:i/>
              </w:rPr>
              <w:t xml:space="preserve"> </w:t>
            </w:r>
            <w:r w:rsidRPr="002C54BB">
              <w:rPr>
                <w:b/>
              </w:rPr>
              <w:t>scoring</w:t>
            </w:r>
            <w:r w:rsidRPr="002C54BB">
              <w:rPr>
                <w:b/>
                <w:i/>
              </w:rPr>
              <w:t xml:space="preserve"> Advanced </w:t>
            </w:r>
            <w:r w:rsidRPr="002C54BB">
              <w:rPr>
                <w:b/>
              </w:rPr>
              <w:t>on MCAS</w:t>
            </w:r>
            <w:r w:rsidR="008F5174">
              <w:rPr>
                <w:b/>
              </w:rPr>
              <w:t xml:space="preserve"> </w:t>
            </w:r>
          </w:p>
        </w:tc>
        <w:tc>
          <w:tcPr>
            <w:tcW w:w="1193" w:type="pct"/>
            <w:tcBorders>
              <w:top w:val="single" w:sz="4" w:space="0" w:color="auto"/>
              <w:bottom w:val="single" w:sz="4" w:space="0" w:color="auto"/>
            </w:tcBorders>
            <w:shd w:val="clear" w:color="auto" w:fill="C6D9F1" w:themeFill="text2" w:themeFillTint="33"/>
            <w:vAlign w:val="center"/>
          </w:tcPr>
          <w:p w:rsidR="00406EDA" w:rsidRPr="002C54BB" w:rsidRDefault="00406EDA" w:rsidP="000846C9">
            <w:pPr>
              <w:pStyle w:val="NoSpacing"/>
              <w:rPr>
                <w:b/>
              </w:rPr>
            </w:pPr>
            <w:r w:rsidRPr="002C54BB">
              <w:rPr>
                <w:b/>
              </w:rPr>
              <w:t>Value</w:t>
            </w:r>
          </w:p>
        </w:tc>
      </w:tr>
      <w:tr w:rsidR="00365927" w:rsidRPr="00406EDA" w:rsidTr="00B632DA">
        <w:trPr>
          <w:trHeight w:val="288"/>
        </w:trPr>
        <w:tc>
          <w:tcPr>
            <w:tcW w:w="3807" w:type="pct"/>
            <w:tcBorders>
              <w:top w:val="single" w:sz="4" w:space="0" w:color="auto"/>
            </w:tcBorders>
            <w:vAlign w:val="center"/>
          </w:tcPr>
          <w:p w:rsidR="00365927" w:rsidRPr="008D3B84" w:rsidRDefault="00351F20" w:rsidP="000846C9">
            <w:pPr>
              <w:pStyle w:val="NoSpacing"/>
              <w:rPr>
                <w:b/>
              </w:rPr>
            </w:pPr>
            <w:r>
              <w:rPr>
                <w:b/>
              </w:rPr>
              <w:t>2016</w:t>
            </w:r>
            <w:r w:rsidRPr="008D3B84">
              <w:rPr>
                <w:b/>
              </w:rPr>
              <w:t xml:space="preserve"> </w:t>
            </w:r>
            <w:r w:rsidR="00365927" w:rsidRPr="008D3B84">
              <w:rPr>
                <w:b/>
              </w:rPr>
              <w:t>% Advanced</w:t>
            </w:r>
          </w:p>
        </w:tc>
        <w:tc>
          <w:tcPr>
            <w:tcW w:w="1193" w:type="pct"/>
            <w:tcBorders>
              <w:top w:val="single" w:sz="4" w:space="0" w:color="auto"/>
            </w:tcBorders>
            <w:vAlign w:val="center"/>
          </w:tcPr>
          <w:p w:rsidR="00365927" w:rsidRPr="00406EDA" w:rsidRDefault="00FB70BA" w:rsidP="002C54BB">
            <w:pPr>
              <w:pStyle w:val="NoSpacing"/>
              <w:jc w:val="right"/>
            </w:pPr>
            <w:r w:rsidRPr="00406EDA">
              <w:t>25.0</w:t>
            </w:r>
          </w:p>
        </w:tc>
      </w:tr>
      <w:tr w:rsidR="00365927" w:rsidRPr="00406EDA" w:rsidTr="00B632DA">
        <w:trPr>
          <w:trHeight w:val="288"/>
        </w:trPr>
        <w:tc>
          <w:tcPr>
            <w:tcW w:w="3807" w:type="pct"/>
            <w:vAlign w:val="center"/>
          </w:tcPr>
          <w:p w:rsidR="00365927" w:rsidRPr="008D3B84" w:rsidRDefault="00351F20" w:rsidP="000846C9">
            <w:pPr>
              <w:pStyle w:val="NoSpacing"/>
              <w:rPr>
                <w:b/>
              </w:rPr>
            </w:pPr>
            <w:r>
              <w:rPr>
                <w:b/>
              </w:rPr>
              <w:t>2017</w:t>
            </w:r>
            <w:r w:rsidRPr="008D3B84">
              <w:rPr>
                <w:b/>
              </w:rPr>
              <w:t xml:space="preserve"> </w:t>
            </w:r>
            <w:r w:rsidR="00365927" w:rsidRPr="008D3B84">
              <w:rPr>
                <w:b/>
              </w:rPr>
              <w:t>% Advanced</w:t>
            </w:r>
          </w:p>
        </w:tc>
        <w:tc>
          <w:tcPr>
            <w:tcW w:w="1193" w:type="pct"/>
            <w:vAlign w:val="center"/>
          </w:tcPr>
          <w:p w:rsidR="00365927" w:rsidRPr="00406EDA" w:rsidRDefault="00FB70BA" w:rsidP="002C54BB">
            <w:pPr>
              <w:pStyle w:val="NoSpacing"/>
              <w:jc w:val="right"/>
            </w:pPr>
            <w:r w:rsidRPr="00406EDA">
              <w:t>28.0</w:t>
            </w:r>
          </w:p>
        </w:tc>
      </w:tr>
      <w:tr w:rsidR="00365927" w:rsidRPr="00406EDA" w:rsidTr="00B632DA">
        <w:trPr>
          <w:trHeight w:val="288"/>
        </w:trPr>
        <w:tc>
          <w:tcPr>
            <w:tcW w:w="3807" w:type="pct"/>
            <w:vAlign w:val="center"/>
          </w:tcPr>
          <w:p w:rsidR="00365927" w:rsidRPr="00406EDA" w:rsidRDefault="001723A1" w:rsidP="00351F20">
            <w:pPr>
              <w:pStyle w:val="NoSpacing"/>
            </w:pPr>
            <w:r w:rsidRPr="008D3B84">
              <w:rPr>
                <w:b/>
              </w:rPr>
              <w:t>Difference</w:t>
            </w:r>
            <w:r w:rsidRPr="00406EDA">
              <w:t xml:space="preserve"> (</w:t>
            </w:r>
            <w:r w:rsidR="00351F20">
              <w:t>2017</w:t>
            </w:r>
            <w:r w:rsidR="00351F20" w:rsidRPr="00406EDA">
              <w:t xml:space="preserve"> </w:t>
            </w:r>
            <w:r w:rsidRPr="00406EDA">
              <w:t>% minus</w:t>
            </w:r>
            <w:r w:rsidR="00365927" w:rsidRPr="00406EDA">
              <w:t xml:space="preserve"> </w:t>
            </w:r>
            <w:r w:rsidR="00351F20">
              <w:t>2016</w:t>
            </w:r>
            <w:r w:rsidR="00351F20" w:rsidRPr="00406EDA">
              <w:t xml:space="preserve"> </w:t>
            </w:r>
            <w:r w:rsidR="00365927" w:rsidRPr="00406EDA">
              <w:t>%</w:t>
            </w:r>
            <w:r w:rsidRPr="00406EDA">
              <w:t>)</w:t>
            </w:r>
          </w:p>
        </w:tc>
        <w:tc>
          <w:tcPr>
            <w:tcW w:w="1193" w:type="pct"/>
            <w:vAlign w:val="center"/>
          </w:tcPr>
          <w:p w:rsidR="00365927" w:rsidRPr="00406EDA" w:rsidRDefault="00FB70BA" w:rsidP="002C54BB">
            <w:pPr>
              <w:pStyle w:val="NoSpacing"/>
              <w:jc w:val="right"/>
            </w:pPr>
            <w:r w:rsidRPr="00406EDA">
              <w:t>3.0</w:t>
            </w:r>
          </w:p>
        </w:tc>
      </w:tr>
      <w:tr w:rsidR="00365927" w:rsidRPr="00406EDA" w:rsidTr="00B632DA">
        <w:trPr>
          <w:trHeight w:val="288"/>
        </w:trPr>
        <w:tc>
          <w:tcPr>
            <w:tcW w:w="3807" w:type="pct"/>
            <w:vAlign w:val="center"/>
          </w:tcPr>
          <w:p w:rsidR="00365927" w:rsidRPr="008D3B84" w:rsidRDefault="00365927" w:rsidP="00351F20">
            <w:pPr>
              <w:pStyle w:val="NoSpacing"/>
              <w:rPr>
                <w:b/>
              </w:rPr>
            </w:pPr>
            <w:r w:rsidRPr="008D3B84">
              <w:rPr>
                <w:b/>
              </w:rPr>
              <w:t xml:space="preserve">Difference divided by </w:t>
            </w:r>
            <w:r w:rsidR="00351F20">
              <w:rPr>
                <w:b/>
              </w:rPr>
              <w:t>2016</w:t>
            </w:r>
            <w:r w:rsidR="00351F20" w:rsidRPr="008D3B84">
              <w:rPr>
                <w:b/>
              </w:rPr>
              <w:t xml:space="preserve"> </w:t>
            </w:r>
            <w:r w:rsidRPr="008D3B84">
              <w:rPr>
                <w:b/>
              </w:rPr>
              <w:t>%</w:t>
            </w:r>
          </w:p>
        </w:tc>
        <w:tc>
          <w:tcPr>
            <w:tcW w:w="1193" w:type="pct"/>
            <w:vAlign w:val="center"/>
          </w:tcPr>
          <w:p w:rsidR="00365927" w:rsidRPr="00406EDA" w:rsidRDefault="00FB70BA" w:rsidP="002C54BB">
            <w:pPr>
              <w:pStyle w:val="NoSpacing"/>
              <w:jc w:val="right"/>
            </w:pPr>
            <w:r w:rsidRPr="00406EDA">
              <w:t>0.12</w:t>
            </w:r>
          </w:p>
        </w:tc>
      </w:tr>
      <w:tr w:rsidR="00365927" w:rsidRPr="00406EDA" w:rsidTr="00B632DA">
        <w:trPr>
          <w:trHeight w:val="288"/>
        </w:trPr>
        <w:tc>
          <w:tcPr>
            <w:tcW w:w="3807" w:type="pct"/>
            <w:vAlign w:val="center"/>
          </w:tcPr>
          <w:p w:rsidR="00365927" w:rsidRPr="00406EDA" w:rsidRDefault="001723A1" w:rsidP="000846C9">
            <w:pPr>
              <w:pStyle w:val="NoSpacing"/>
            </w:pPr>
            <w:r w:rsidRPr="008D3B84">
              <w:rPr>
                <w:b/>
              </w:rPr>
              <w:t>Percent</w:t>
            </w:r>
            <w:r w:rsidR="00BB697A" w:rsidRPr="008D3B84">
              <w:rPr>
                <w:b/>
              </w:rPr>
              <w:t>age</w:t>
            </w:r>
            <w:r w:rsidRPr="008D3B84">
              <w:rPr>
                <w:b/>
              </w:rPr>
              <w:t xml:space="preserve"> change</w:t>
            </w:r>
            <w:r w:rsidRPr="00406EDA">
              <w:t xml:space="preserve"> (</w:t>
            </w:r>
            <w:r w:rsidR="00365927" w:rsidRPr="00406EDA">
              <w:t>Answer multiplied by 100</w:t>
            </w:r>
            <w:r w:rsidRPr="00406EDA">
              <w:t>)</w:t>
            </w:r>
          </w:p>
        </w:tc>
        <w:tc>
          <w:tcPr>
            <w:tcW w:w="1193" w:type="pct"/>
            <w:vAlign w:val="center"/>
          </w:tcPr>
          <w:p w:rsidR="00365927" w:rsidRPr="00406EDA" w:rsidRDefault="00FB70BA" w:rsidP="002C54BB">
            <w:pPr>
              <w:pStyle w:val="NoSpacing"/>
              <w:jc w:val="right"/>
            </w:pPr>
            <w:r w:rsidRPr="00406EDA">
              <w:t>12</w:t>
            </w:r>
            <w:r w:rsidR="001723A1" w:rsidRPr="00406EDA">
              <w:t>.0</w:t>
            </w:r>
          </w:p>
        </w:tc>
      </w:tr>
      <w:tr w:rsidR="00365927" w:rsidRPr="00406EDA" w:rsidTr="00B632DA">
        <w:trPr>
          <w:trHeight w:val="288"/>
        </w:trPr>
        <w:tc>
          <w:tcPr>
            <w:tcW w:w="3807" w:type="pct"/>
            <w:vAlign w:val="center"/>
          </w:tcPr>
          <w:p w:rsidR="00365927" w:rsidRPr="00406EDA" w:rsidRDefault="00FB70BA" w:rsidP="000846C9">
            <w:pPr>
              <w:pStyle w:val="NoSpacing"/>
            </w:pPr>
            <w:r w:rsidRPr="00406EDA">
              <w:t>Extra credit earned?</w:t>
            </w:r>
          </w:p>
        </w:tc>
        <w:tc>
          <w:tcPr>
            <w:tcW w:w="1193" w:type="pct"/>
            <w:vAlign w:val="center"/>
          </w:tcPr>
          <w:p w:rsidR="00365927" w:rsidRPr="00406EDA" w:rsidRDefault="00FB70BA" w:rsidP="002C54BB">
            <w:pPr>
              <w:pStyle w:val="NoSpacing"/>
              <w:jc w:val="right"/>
            </w:pPr>
            <w:r w:rsidRPr="00406EDA">
              <w:t>Yes</w:t>
            </w:r>
          </w:p>
        </w:tc>
      </w:tr>
    </w:tbl>
    <w:p w:rsidR="003047C3" w:rsidRPr="00ED2BC2" w:rsidRDefault="003047C3" w:rsidP="00ED2BC2">
      <w:pPr>
        <w:pStyle w:val="Heading3"/>
      </w:pPr>
      <w:bookmarkStart w:id="24" w:name="_Toc435178307"/>
      <w:bookmarkStart w:id="25" w:name="_Toc435178513"/>
      <w:bookmarkStart w:id="26" w:name="_Toc490741851"/>
      <w:r w:rsidRPr="00ED2BC2">
        <w:lastRenderedPageBreak/>
        <w:t>Cumulative PPI</w:t>
      </w:r>
      <w:bookmarkEnd w:id="24"/>
      <w:bookmarkEnd w:id="25"/>
      <w:bookmarkEnd w:id="26"/>
    </w:p>
    <w:p w:rsidR="00B07ADA" w:rsidRDefault="00D46D7D" w:rsidP="00ED2BC2">
      <w:pPr>
        <w:spacing w:before="240"/>
      </w:pPr>
      <w:r>
        <w:t>A schools or subgroup’s</w:t>
      </w:r>
      <w:r w:rsidRPr="00436103">
        <w:t xml:space="preserve"> </w:t>
      </w:r>
      <w:r>
        <w:t xml:space="preserve">cumulative PPI is </w:t>
      </w:r>
      <w:r w:rsidRPr="00436103">
        <w:t xml:space="preserve">the average of </w:t>
      </w:r>
      <w:r>
        <w:t>its</w:t>
      </w:r>
      <w:r w:rsidRPr="00436103">
        <w:t xml:space="preserve"> annual PPIs over </w:t>
      </w:r>
      <w:r>
        <w:t>the most recent four year period</w:t>
      </w:r>
      <w:r w:rsidRPr="00436103">
        <w:t xml:space="preserve">, weighting recent years the most (1-2-3-4). </w:t>
      </w:r>
      <w:r w:rsidR="00B07ADA" w:rsidRPr="00436103">
        <w:t xml:space="preserve">For a school to be </w:t>
      </w:r>
      <w:r w:rsidR="00B07ADA">
        <w:t>considered to be making progress toward narrowing proficiency gaps</w:t>
      </w:r>
      <w:r w:rsidR="00B07ADA" w:rsidRPr="00436103">
        <w:t xml:space="preserve">, the cumulative PPI for </w:t>
      </w:r>
      <w:r w:rsidR="00B07ADA">
        <w:t xml:space="preserve">all students </w:t>
      </w:r>
      <w:r w:rsidR="00B07ADA" w:rsidRPr="00436103">
        <w:t>and high needs students must be 75 or higher.</w:t>
      </w:r>
    </w:p>
    <w:p w:rsidR="00C079CF" w:rsidRDefault="00D46D7D">
      <w:r w:rsidRPr="00436103">
        <w:t xml:space="preserve">A cumulative PPI is calculated for a group if it has at least three </w:t>
      </w:r>
      <w:r>
        <w:t>a</w:t>
      </w:r>
      <w:r w:rsidRPr="00436103">
        <w:t>nnual PPIs</w:t>
      </w:r>
      <w:r w:rsidR="00A214CA">
        <w:t>, including an annual PPI for the most recent year</w:t>
      </w:r>
      <w:r w:rsidRPr="00436103">
        <w:t xml:space="preserve">. If a group is missing an annual PPI for one year, that year is left out of the weighting (e.g., 1-X-3-4). </w:t>
      </w:r>
      <w:r>
        <w:t>While a group</w:t>
      </w:r>
      <w:r w:rsidR="00602B7C">
        <w:t>’</w:t>
      </w:r>
      <w:r>
        <w:t>s annual PPI can exceed 100 points, t</w:t>
      </w:r>
      <w:r w:rsidRPr="00436103">
        <w:t xml:space="preserve">he cumulative PPI is </w:t>
      </w:r>
      <w:r>
        <w:t xml:space="preserve">always </w:t>
      </w:r>
      <w:r w:rsidRPr="00436103">
        <w:t xml:space="preserve">reported on a </w:t>
      </w:r>
      <w:r>
        <w:t>100-point scale</w:t>
      </w:r>
      <w:r w:rsidRPr="00436103">
        <w:t xml:space="preserve">. </w:t>
      </w:r>
    </w:p>
    <w:p w:rsidR="00D46D7D" w:rsidRDefault="00F842A3" w:rsidP="005E67E6">
      <w:pPr>
        <w:pStyle w:val="Caption"/>
      </w:pPr>
      <w:r>
        <w:t xml:space="preserve">Table </w:t>
      </w:r>
      <w:r w:rsidR="008644AE">
        <w:t>9</w:t>
      </w:r>
      <w:r w:rsidR="006B1F66">
        <w:t>: Sample PPI calculation</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4589"/>
        <w:gridCol w:w="792"/>
        <w:gridCol w:w="792"/>
        <w:gridCol w:w="792"/>
        <w:gridCol w:w="795"/>
      </w:tblGrid>
      <w:tr w:rsidR="006D777D" w:rsidRPr="002C54BB" w:rsidTr="006E6BE6">
        <w:trPr>
          <w:trHeight w:val="288"/>
        </w:trPr>
        <w:tc>
          <w:tcPr>
            <w:tcW w:w="3326" w:type="pct"/>
            <w:gridSpan w:val="2"/>
            <w:tcBorders>
              <w:top w:val="single" w:sz="4" w:space="0" w:color="auto"/>
              <w:bottom w:val="single" w:sz="4" w:space="0" w:color="auto"/>
              <w:right w:val="nil"/>
            </w:tcBorders>
            <w:shd w:val="clear" w:color="auto" w:fill="C6D9F1" w:themeFill="text2" w:themeFillTint="33"/>
            <w:vAlign w:val="center"/>
          </w:tcPr>
          <w:p w:rsidR="006B1F66" w:rsidRPr="002C54BB" w:rsidRDefault="006B1F66" w:rsidP="006D777D">
            <w:pPr>
              <w:pStyle w:val="NoSpacing"/>
              <w:rPr>
                <w:b/>
              </w:rPr>
            </w:pPr>
            <w:bookmarkStart w:id="27" w:name="OLE_LINK4"/>
            <w:bookmarkStart w:id="28" w:name="OLE_LINK5"/>
            <w:r w:rsidRPr="002C54BB">
              <w:rPr>
                <w:b/>
              </w:rPr>
              <w:t>Indicators</w:t>
            </w:r>
          </w:p>
        </w:tc>
        <w:tc>
          <w:tcPr>
            <w:tcW w:w="418" w:type="pct"/>
            <w:tcBorders>
              <w:top w:val="single" w:sz="4" w:space="0" w:color="auto"/>
              <w:left w:val="nil"/>
              <w:bottom w:val="single" w:sz="4" w:space="0" w:color="auto"/>
              <w:right w:val="nil"/>
            </w:tcBorders>
            <w:shd w:val="clear" w:color="auto" w:fill="C6D9F1" w:themeFill="text2" w:themeFillTint="33"/>
            <w:vAlign w:val="center"/>
          </w:tcPr>
          <w:p w:rsidR="006B1F66" w:rsidRPr="002C54BB" w:rsidRDefault="005744B6" w:rsidP="006D777D">
            <w:pPr>
              <w:pStyle w:val="NoSpacing"/>
              <w:jc w:val="center"/>
              <w:rPr>
                <w:b/>
              </w:rPr>
            </w:pPr>
            <w:r>
              <w:rPr>
                <w:b/>
              </w:rPr>
              <w:t>2014</w:t>
            </w:r>
          </w:p>
        </w:tc>
        <w:tc>
          <w:tcPr>
            <w:tcW w:w="418" w:type="pct"/>
            <w:tcBorders>
              <w:top w:val="single" w:sz="4" w:space="0" w:color="auto"/>
              <w:left w:val="nil"/>
              <w:bottom w:val="single" w:sz="4" w:space="0" w:color="auto"/>
              <w:right w:val="nil"/>
            </w:tcBorders>
            <w:shd w:val="clear" w:color="auto" w:fill="C6D9F1" w:themeFill="text2" w:themeFillTint="33"/>
            <w:vAlign w:val="center"/>
          </w:tcPr>
          <w:p w:rsidR="006B1F66" w:rsidRPr="002C54BB" w:rsidRDefault="005744B6" w:rsidP="006D777D">
            <w:pPr>
              <w:pStyle w:val="NoSpacing"/>
              <w:jc w:val="center"/>
              <w:rPr>
                <w:b/>
              </w:rPr>
            </w:pPr>
            <w:r>
              <w:rPr>
                <w:b/>
              </w:rPr>
              <w:t>2015</w:t>
            </w:r>
          </w:p>
        </w:tc>
        <w:tc>
          <w:tcPr>
            <w:tcW w:w="418" w:type="pct"/>
            <w:tcBorders>
              <w:top w:val="single" w:sz="4" w:space="0" w:color="auto"/>
              <w:left w:val="nil"/>
              <w:bottom w:val="single" w:sz="4" w:space="0" w:color="auto"/>
              <w:right w:val="nil"/>
            </w:tcBorders>
            <w:shd w:val="clear" w:color="auto" w:fill="C6D9F1" w:themeFill="text2" w:themeFillTint="33"/>
            <w:vAlign w:val="center"/>
          </w:tcPr>
          <w:p w:rsidR="006B1F66" w:rsidRPr="002C54BB" w:rsidRDefault="005744B6" w:rsidP="006D777D">
            <w:pPr>
              <w:pStyle w:val="NoSpacing"/>
              <w:jc w:val="center"/>
              <w:rPr>
                <w:b/>
              </w:rPr>
            </w:pPr>
            <w:r>
              <w:rPr>
                <w:b/>
              </w:rPr>
              <w:t>2016</w:t>
            </w:r>
          </w:p>
        </w:tc>
        <w:tc>
          <w:tcPr>
            <w:tcW w:w="420" w:type="pct"/>
            <w:tcBorders>
              <w:top w:val="single" w:sz="4" w:space="0" w:color="auto"/>
              <w:left w:val="nil"/>
              <w:bottom w:val="single" w:sz="4" w:space="0" w:color="auto"/>
            </w:tcBorders>
            <w:shd w:val="clear" w:color="auto" w:fill="C6D9F1" w:themeFill="text2" w:themeFillTint="33"/>
            <w:vAlign w:val="center"/>
          </w:tcPr>
          <w:p w:rsidR="006B1F66" w:rsidRPr="002C54BB" w:rsidRDefault="005744B6" w:rsidP="006D777D">
            <w:pPr>
              <w:pStyle w:val="NoSpacing"/>
              <w:jc w:val="center"/>
              <w:rPr>
                <w:b/>
              </w:rPr>
            </w:pPr>
            <w:r>
              <w:rPr>
                <w:b/>
              </w:rPr>
              <w:t>2017</w:t>
            </w:r>
          </w:p>
        </w:tc>
      </w:tr>
      <w:tr w:rsidR="006D777D" w:rsidRPr="00A55F63" w:rsidTr="006E6BE6">
        <w:trPr>
          <w:trHeight w:val="288"/>
        </w:trPr>
        <w:tc>
          <w:tcPr>
            <w:tcW w:w="903" w:type="pct"/>
            <w:vMerge w:val="restart"/>
            <w:tcBorders>
              <w:top w:val="single" w:sz="4" w:space="0" w:color="auto"/>
              <w:bottom w:val="nil"/>
            </w:tcBorders>
            <w:shd w:val="clear" w:color="auto" w:fill="auto"/>
          </w:tcPr>
          <w:p w:rsidR="006B1F66" w:rsidRPr="002C54BB" w:rsidRDefault="006B1F66" w:rsidP="000846C9">
            <w:pPr>
              <w:pStyle w:val="NoSpacing"/>
              <w:rPr>
                <w:b/>
              </w:rPr>
            </w:pPr>
            <w:r w:rsidRPr="002C54BB">
              <w:rPr>
                <w:b/>
              </w:rPr>
              <w:t>English Language Arts</w:t>
            </w:r>
          </w:p>
        </w:tc>
        <w:tc>
          <w:tcPr>
            <w:tcW w:w="2423" w:type="pct"/>
            <w:tcBorders>
              <w:top w:val="single" w:sz="4" w:space="0" w:color="auto"/>
              <w:bottom w:val="nil"/>
            </w:tcBorders>
            <w:shd w:val="clear" w:color="auto" w:fill="auto"/>
            <w:vAlign w:val="center"/>
          </w:tcPr>
          <w:p w:rsidR="006B1F66" w:rsidRPr="00A55F63" w:rsidRDefault="006B1F66" w:rsidP="000846C9">
            <w:pPr>
              <w:pStyle w:val="NoSpacing"/>
            </w:pPr>
            <w:r w:rsidRPr="00A55F63">
              <w:t>Narrowing proficiency gaps (CPI)</w:t>
            </w:r>
          </w:p>
        </w:tc>
        <w:tc>
          <w:tcPr>
            <w:tcW w:w="418"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50</w:t>
            </w:r>
          </w:p>
        </w:tc>
        <w:tc>
          <w:tcPr>
            <w:tcW w:w="418"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50</w:t>
            </w:r>
          </w:p>
        </w:tc>
        <w:tc>
          <w:tcPr>
            <w:tcW w:w="418"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75</w:t>
            </w:r>
          </w:p>
        </w:tc>
        <w:tc>
          <w:tcPr>
            <w:tcW w:w="420"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100</w:t>
            </w:r>
          </w:p>
        </w:tc>
      </w:tr>
      <w:tr w:rsidR="006D777D" w:rsidRPr="00A55F63" w:rsidTr="006E6BE6">
        <w:trPr>
          <w:trHeight w:val="288"/>
        </w:trPr>
        <w:tc>
          <w:tcPr>
            <w:tcW w:w="903" w:type="pct"/>
            <w:vMerge/>
            <w:tcBorders>
              <w:top w:val="nil"/>
              <w:bottom w:val="nil"/>
            </w:tcBorders>
            <w:shd w:val="clear" w:color="auto" w:fill="auto"/>
          </w:tcPr>
          <w:p w:rsidR="006B1F66" w:rsidRPr="002C54BB" w:rsidRDefault="006B1F66" w:rsidP="000846C9">
            <w:pPr>
              <w:pStyle w:val="NoSpacing"/>
              <w:rPr>
                <w:b/>
              </w:rPr>
            </w:pPr>
          </w:p>
        </w:tc>
        <w:tc>
          <w:tcPr>
            <w:tcW w:w="2423" w:type="pct"/>
            <w:tcBorders>
              <w:top w:val="nil"/>
              <w:bottom w:val="dotted" w:sz="4" w:space="0" w:color="auto"/>
            </w:tcBorders>
            <w:shd w:val="clear" w:color="auto" w:fill="auto"/>
            <w:vAlign w:val="center"/>
          </w:tcPr>
          <w:p w:rsidR="006B1F66" w:rsidRPr="00A55F63" w:rsidRDefault="006B1F66" w:rsidP="000846C9">
            <w:pPr>
              <w:pStyle w:val="NoSpacing"/>
            </w:pPr>
            <w:r w:rsidRPr="00A55F63">
              <w:t>Growth (SGP)</w:t>
            </w:r>
          </w:p>
        </w:tc>
        <w:tc>
          <w:tcPr>
            <w:tcW w:w="418" w:type="pct"/>
            <w:tcBorders>
              <w:top w:val="nil"/>
              <w:bottom w:val="dotted" w:sz="4" w:space="0" w:color="auto"/>
            </w:tcBorders>
            <w:shd w:val="clear" w:color="auto" w:fill="auto"/>
            <w:vAlign w:val="center"/>
          </w:tcPr>
          <w:p w:rsidR="006B1F66" w:rsidRPr="00A55F63" w:rsidRDefault="006B1F66" w:rsidP="002C54BB">
            <w:pPr>
              <w:pStyle w:val="NoSpacing"/>
              <w:jc w:val="center"/>
            </w:pPr>
            <w:r w:rsidRPr="00A55F63">
              <w:t>0</w:t>
            </w:r>
          </w:p>
        </w:tc>
        <w:tc>
          <w:tcPr>
            <w:tcW w:w="418" w:type="pct"/>
            <w:tcBorders>
              <w:top w:val="nil"/>
              <w:bottom w:val="dotted" w:sz="4" w:space="0" w:color="auto"/>
            </w:tcBorders>
            <w:shd w:val="clear" w:color="auto" w:fill="auto"/>
            <w:vAlign w:val="center"/>
          </w:tcPr>
          <w:p w:rsidR="006B1F66" w:rsidRPr="00A55F63" w:rsidRDefault="006B1F66" w:rsidP="002C54BB">
            <w:pPr>
              <w:pStyle w:val="NoSpacing"/>
              <w:jc w:val="center"/>
            </w:pPr>
            <w:r w:rsidRPr="00A55F63">
              <w:t>25</w:t>
            </w:r>
          </w:p>
        </w:tc>
        <w:tc>
          <w:tcPr>
            <w:tcW w:w="418" w:type="pct"/>
            <w:tcBorders>
              <w:top w:val="nil"/>
              <w:bottom w:val="dotted" w:sz="4" w:space="0" w:color="auto"/>
            </w:tcBorders>
            <w:shd w:val="clear" w:color="auto" w:fill="auto"/>
            <w:vAlign w:val="center"/>
          </w:tcPr>
          <w:p w:rsidR="006B1F66" w:rsidRPr="00A55F63" w:rsidRDefault="006B1F66" w:rsidP="002C54BB">
            <w:pPr>
              <w:pStyle w:val="NoSpacing"/>
              <w:jc w:val="center"/>
            </w:pPr>
            <w:r w:rsidRPr="00A55F63">
              <w:t>50</w:t>
            </w:r>
          </w:p>
        </w:tc>
        <w:tc>
          <w:tcPr>
            <w:tcW w:w="420" w:type="pct"/>
            <w:tcBorders>
              <w:top w:val="nil"/>
              <w:bottom w:val="dotted" w:sz="4" w:space="0" w:color="auto"/>
            </w:tcBorders>
            <w:shd w:val="clear" w:color="auto" w:fill="auto"/>
            <w:vAlign w:val="center"/>
          </w:tcPr>
          <w:p w:rsidR="006B1F66" w:rsidRPr="00A55F63" w:rsidRDefault="006B1F66" w:rsidP="002C54BB">
            <w:pPr>
              <w:pStyle w:val="NoSpacing"/>
              <w:jc w:val="center"/>
            </w:pPr>
            <w:r w:rsidRPr="00A55F63">
              <w:t>75</w:t>
            </w:r>
          </w:p>
        </w:tc>
      </w:tr>
      <w:tr w:rsidR="006D777D" w:rsidRPr="00A55F63" w:rsidTr="006E6BE6">
        <w:trPr>
          <w:trHeight w:val="288"/>
        </w:trPr>
        <w:tc>
          <w:tcPr>
            <w:tcW w:w="903" w:type="pct"/>
            <w:vMerge/>
            <w:tcBorders>
              <w:top w:val="nil"/>
              <w:bottom w:val="nil"/>
            </w:tcBorders>
            <w:shd w:val="clear" w:color="auto" w:fill="auto"/>
          </w:tcPr>
          <w:p w:rsidR="006B1F66" w:rsidRPr="002C54BB" w:rsidRDefault="006B1F66" w:rsidP="000846C9">
            <w:pPr>
              <w:pStyle w:val="NoSpacing"/>
              <w:rPr>
                <w:b/>
              </w:rPr>
            </w:pPr>
          </w:p>
        </w:tc>
        <w:tc>
          <w:tcPr>
            <w:tcW w:w="2423" w:type="pct"/>
            <w:tcBorders>
              <w:top w:val="dotted" w:sz="4" w:space="0" w:color="auto"/>
              <w:bottom w:val="nil"/>
            </w:tcBorders>
            <w:shd w:val="clear" w:color="auto" w:fill="auto"/>
            <w:vAlign w:val="center"/>
          </w:tcPr>
          <w:p w:rsidR="006B1F66" w:rsidRPr="00A55F63" w:rsidRDefault="006B1F66" w:rsidP="000846C9">
            <w:pPr>
              <w:pStyle w:val="NoSpacing"/>
            </w:pPr>
            <w:r w:rsidRPr="00A55F63">
              <w:t xml:space="preserve">Extra credit for decreasing % </w:t>
            </w:r>
            <w:r w:rsidRPr="00A55F63">
              <w:rPr>
                <w:i/>
              </w:rPr>
              <w:t>Warning/Failing</w:t>
            </w:r>
            <w:r w:rsidRPr="00A55F63">
              <w:t xml:space="preserve"> (</w:t>
            </w:r>
            <w:r w:rsidR="00BA6F4F">
              <w:t xml:space="preserve">≥ </w:t>
            </w:r>
            <w:r w:rsidRPr="00A55F63">
              <w:t>10%</w:t>
            </w:r>
            <w:r w:rsidR="00BA6F4F">
              <w:t>)</w:t>
            </w:r>
          </w:p>
        </w:tc>
        <w:tc>
          <w:tcPr>
            <w:tcW w:w="418"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0</w:t>
            </w:r>
          </w:p>
        </w:tc>
        <w:tc>
          <w:tcPr>
            <w:tcW w:w="418"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25</w:t>
            </w:r>
          </w:p>
        </w:tc>
        <w:tc>
          <w:tcPr>
            <w:tcW w:w="418"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0</w:t>
            </w:r>
          </w:p>
        </w:tc>
        <w:tc>
          <w:tcPr>
            <w:tcW w:w="420"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0</w:t>
            </w:r>
          </w:p>
        </w:tc>
      </w:tr>
      <w:tr w:rsidR="006D777D" w:rsidRPr="00A55F63" w:rsidTr="006E6BE6">
        <w:trPr>
          <w:trHeight w:val="288"/>
        </w:trPr>
        <w:tc>
          <w:tcPr>
            <w:tcW w:w="903" w:type="pct"/>
            <w:vMerge/>
            <w:tcBorders>
              <w:top w:val="nil"/>
              <w:bottom w:val="single" w:sz="4" w:space="0" w:color="auto"/>
            </w:tcBorders>
            <w:shd w:val="clear" w:color="auto" w:fill="auto"/>
          </w:tcPr>
          <w:p w:rsidR="006B1F66" w:rsidRPr="002C54BB" w:rsidRDefault="006B1F66" w:rsidP="000846C9">
            <w:pPr>
              <w:pStyle w:val="NoSpacing"/>
              <w:rPr>
                <w:b/>
              </w:rPr>
            </w:pPr>
          </w:p>
        </w:tc>
        <w:tc>
          <w:tcPr>
            <w:tcW w:w="2423" w:type="pct"/>
            <w:tcBorders>
              <w:top w:val="nil"/>
              <w:bottom w:val="single" w:sz="4" w:space="0" w:color="auto"/>
            </w:tcBorders>
            <w:shd w:val="clear" w:color="auto" w:fill="auto"/>
            <w:vAlign w:val="center"/>
          </w:tcPr>
          <w:p w:rsidR="006B1F66" w:rsidRPr="00A55F63" w:rsidRDefault="006B1F66" w:rsidP="000846C9">
            <w:pPr>
              <w:pStyle w:val="NoSpacing"/>
            </w:pPr>
            <w:r w:rsidRPr="00A55F63">
              <w:t xml:space="preserve">Extra credit for increasing % </w:t>
            </w:r>
            <w:r w:rsidRPr="00A55F63">
              <w:rPr>
                <w:i/>
              </w:rPr>
              <w:t>Advanced</w:t>
            </w:r>
            <w:r w:rsidRPr="00A55F63">
              <w:t xml:space="preserve"> </w:t>
            </w:r>
            <w:r w:rsidR="00BA6F4F" w:rsidRPr="00A55F63">
              <w:t>(</w:t>
            </w:r>
            <w:r w:rsidR="00BA6F4F">
              <w:t xml:space="preserve">≥ </w:t>
            </w:r>
            <w:r w:rsidR="00BA6F4F" w:rsidRPr="00A55F63">
              <w:t>10%</w:t>
            </w:r>
            <w:r w:rsidR="00BA6F4F">
              <w:t>)</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0</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0</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25</w:t>
            </w:r>
          </w:p>
        </w:tc>
        <w:tc>
          <w:tcPr>
            <w:tcW w:w="420"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0</w:t>
            </w:r>
          </w:p>
        </w:tc>
      </w:tr>
      <w:tr w:rsidR="006D777D" w:rsidRPr="00A55F63" w:rsidTr="006E6BE6">
        <w:trPr>
          <w:trHeight w:val="288"/>
        </w:trPr>
        <w:tc>
          <w:tcPr>
            <w:tcW w:w="903" w:type="pct"/>
            <w:vMerge w:val="restart"/>
            <w:tcBorders>
              <w:top w:val="single" w:sz="4" w:space="0" w:color="auto"/>
              <w:bottom w:val="nil"/>
            </w:tcBorders>
            <w:shd w:val="clear" w:color="auto" w:fill="auto"/>
          </w:tcPr>
          <w:p w:rsidR="006B1F66" w:rsidRPr="002C54BB" w:rsidRDefault="006B1F66" w:rsidP="000846C9">
            <w:pPr>
              <w:pStyle w:val="NoSpacing"/>
              <w:rPr>
                <w:b/>
              </w:rPr>
            </w:pPr>
            <w:r w:rsidRPr="002C54BB">
              <w:rPr>
                <w:b/>
              </w:rPr>
              <w:t>Mathematics</w:t>
            </w:r>
          </w:p>
        </w:tc>
        <w:tc>
          <w:tcPr>
            <w:tcW w:w="2423" w:type="pct"/>
            <w:tcBorders>
              <w:top w:val="single" w:sz="4" w:space="0" w:color="auto"/>
              <w:bottom w:val="nil"/>
            </w:tcBorders>
            <w:shd w:val="clear" w:color="auto" w:fill="auto"/>
            <w:vAlign w:val="center"/>
          </w:tcPr>
          <w:p w:rsidR="006B1F66" w:rsidRPr="00A55F63" w:rsidRDefault="006B1F66" w:rsidP="000846C9">
            <w:pPr>
              <w:pStyle w:val="NoSpacing"/>
            </w:pPr>
            <w:r w:rsidRPr="00A55F63">
              <w:t>Narrowing proficiency gaps (CPI)</w:t>
            </w:r>
          </w:p>
        </w:tc>
        <w:tc>
          <w:tcPr>
            <w:tcW w:w="418"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75</w:t>
            </w:r>
          </w:p>
        </w:tc>
        <w:tc>
          <w:tcPr>
            <w:tcW w:w="418"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50</w:t>
            </w:r>
          </w:p>
        </w:tc>
        <w:tc>
          <w:tcPr>
            <w:tcW w:w="418"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100</w:t>
            </w:r>
          </w:p>
        </w:tc>
        <w:tc>
          <w:tcPr>
            <w:tcW w:w="420"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75</w:t>
            </w:r>
          </w:p>
        </w:tc>
      </w:tr>
      <w:tr w:rsidR="006D777D" w:rsidRPr="00A55F63" w:rsidTr="006E6BE6">
        <w:trPr>
          <w:trHeight w:val="288"/>
        </w:trPr>
        <w:tc>
          <w:tcPr>
            <w:tcW w:w="903" w:type="pct"/>
            <w:vMerge/>
            <w:tcBorders>
              <w:top w:val="nil"/>
              <w:bottom w:val="nil"/>
            </w:tcBorders>
            <w:shd w:val="clear" w:color="auto" w:fill="auto"/>
          </w:tcPr>
          <w:p w:rsidR="006B1F66" w:rsidRPr="002C54BB" w:rsidRDefault="006B1F66" w:rsidP="000846C9">
            <w:pPr>
              <w:pStyle w:val="NoSpacing"/>
              <w:rPr>
                <w:b/>
              </w:rPr>
            </w:pPr>
          </w:p>
        </w:tc>
        <w:tc>
          <w:tcPr>
            <w:tcW w:w="2423" w:type="pct"/>
            <w:tcBorders>
              <w:top w:val="nil"/>
              <w:bottom w:val="dotted" w:sz="4" w:space="0" w:color="auto"/>
            </w:tcBorders>
            <w:shd w:val="clear" w:color="auto" w:fill="auto"/>
            <w:vAlign w:val="center"/>
          </w:tcPr>
          <w:p w:rsidR="006B1F66" w:rsidRPr="00A55F63" w:rsidRDefault="006B1F66" w:rsidP="000846C9">
            <w:pPr>
              <w:pStyle w:val="NoSpacing"/>
            </w:pPr>
            <w:r w:rsidRPr="00A55F63">
              <w:t>Growth (SGP)</w:t>
            </w:r>
          </w:p>
        </w:tc>
        <w:tc>
          <w:tcPr>
            <w:tcW w:w="418" w:type="pct"/>
            <w:tcBorders>
              <w:top w:val="nil"/>
              <w:bottom w:val="dotted" w:sz="4" w:space="0" w:color="auto"/>
            </w:tcBorders>
            <w:shd w:val="clear" w:color="auto" w:fill="auto"/>
            <w:vAlign w:val="center"/>
          </w:tcPr>
          <w:p w:rsidR="006B1F66" w:rsidRPr="00A55F63" w:rsidRDefault="006B1F66" w:rsidP="002C54BB">
            <w:pPr>
              <w:pStyle w:val="NoSpacing"/>
              <w:jc w:val="center"/>
            </w:pPr>
            <w:r w:rsidRPr="00A55F63">
              <w:t>50</w:t>
            </w:r>
          </w:p>
        </w:tc>
        <w:tc>
          <w:tcPr>
            <w:tcW w:w="418" w:type="pct"/>
            <w:tcBorders>
              <w:top w:val="nil"/>
              <w:bottom w:val="dotted" w:sz="4" w:space="0" w:color="auto"/>
            </w:tcBorders>
            <w:shd w:val="clear" w:color="auto" w:fill="auto"/>
            <w:vAlign w:val="center"/>
          </w:tcPr>
          <w:p w:rsidR="006B1F66" w:rsidRPr="00A55F63" w:rsidRDefault="006B1F66" w:rsidP="002C54BB">
            <w:pPr>
              <w:pStyle w:val="NoSpacing"/>
              <w:jc w:val="center"/>
            </w:pPr>
            <w:r w:rsidRPr="00A55F63">
              <w:t>50</w:t>
            </w:r>
          </w:p>
        </w:tc>
        <w:tc>
          <w:tcPr>
            <w:tcW w:w="418" w:type="pct"/>
            <w:tcBorders>
              <w:top w:val="nil"/>
              <w:bottom w:val="dotted" w:sz="4" w:space="0" w:color="auto"/>
            </w:tcBorders>
            <w:shd w:val="clear" w:color="auto" w:fill="auto"/>
            <w:vAlign w:val="center"/>
          </w:tcPr>
          <w:p w:rsidR="006B1F66" w:rsidRPr="00A55F63" w:rsidRDefault="006B1F66" w:rsidP="002C54BB">
            <w:pPr>
              <w:pStyle w:val="NoSpacing"/>
              <w:jc w:val="center"/>
            </w:pPr>
            <w:r w:rsidRPr="00A55F63">
              <w:t>75</w:t>
            </w:r>
          </w:p>
        </w:tc>
        <w:tc>
          <w:tcPr>
            <w:tcW w:w="420" w:type="pct"/>
            <w:tcBorders>
              <w:top w:val="nil"/>
              <w:bottom w:val="dotted" w:sz="4" w:space="0" w:color="auto"/>
            </w:tcBorders>
            <w:shd w:val="clear" w:color="auto" w:fill="auto"/>
            <w:vAlign w:val="center"/>
          </w:tcPr>
          <w:p w:rsidR="006B1F66" w:rsidRPr="00A55F63" w:rsidRDefault="006B1F66" w:rsidP="002C54BB">
            <w:pPr>
              <w:pStyle w:val="NoSpacing"/>
              <w:jc w:val="center"/>
            </w:pPr>
            <w:r w:rsidRPr="00A55F63">
              <w:t>100</w:t>
            </w:r>
          </w:p>
        </w:tc>
      </w:tr>
      <w:tr w:rsidR="006D777D" w:rsidRPr="00A55F63" w:rsidTr="006E6BE6">
        <w:trPr>
          <w:trHeight w:val="288"/>
        </w:trPr>
        <w:tc>
          <w:tcPr>
            <w:tcW w:w="903" w:type="pct"/>
            <w:vMerge/>
            <w:tcBorders>
              <w:top w:val="nil"/>
              <w:bottom w:val="nil"/>
            </w:tcBorders>
            <w:shd w:val="clear" w:color="auto" w:fill="auto"/>
          </w:tcPr>
          <w:p w:rsidR="006B1F66" w:rsidRPr="002C54BB" w:rsidRDefault="006B1F66" w:rsidP="000846C9">
            <w:pPr>
              <w:pStyle w:val="NoSpacing"/>
              <w:rPr>
                <w:b/>
              </w:rPr>
            </w:pPr>
          </w:p>
        </w:tc>
        <w:tc>
          <w:tcPr>
            <w:tcW w:w="2423" w:type="pct"/>
            <w:tcBorders>
              <w:top w:val="dotted" w:sz="4" w:space="0" w:color="auto"/>
              <w:bottom w:val="nil"/>
            </w:tcBorders>
            <w:shd w:val="clear" w:color="auto" w:fill="auto"/>
            <w:vAlign w:val="center"/>
          </w:tcPr>
          <w:p w:rsidR="006B1F66" w:rsidRPr="00A55F63" w:rsidRDefault="006B1F66" w:rsidP="000846C9">
            <w:pPr>
              <w:pStyle w:val="NoSpacing"/>
            </w:pPr>
            <w:r w:rsidRPr="00A55F63">
              <w:t xml:space="preserve">Extra credit for decreasing % </w:t>
            </w:r>
            <w:r w:rsidRPr="00A55F63">
              <w:rPr>
                <w:i/>
              </w:rPr>
              <w:t>Warning/Failing</w:t>
            </w:r>
            <w:r w:rsidRPr="00A55F63">
              <w:t xml:space="preserve"> </w:t>
            </w:r>
            <w:r w:rsidR="00BA6F4F" w:rsidRPr="00A55F63">
              <w:t>(</w:t>
            </w:r>
            <w:r w:rsidR="00BA6F4F">
              <w:t xml:space="preserve">≥ </w:t>
            </w:r>
            <w:r w:rsidR="00BA6F4F" w:rsidRPr="00A55F63">
              <w:t>10%</w:t>
            </w:r>
            <w:r w:rsidR="00BA6F4F">
              <w:t>)</w:t>
            </w:r>
          </w:p>
        </w:tc>
        <w:tc>
          <w:tcPr>
            <w:tcW w:w="418"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0</w:t>
            </w:r>
          </w:p>
        </w:tc>
        <w:tc>
          <w:tcPr>
            <w:tcW w:w="418"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0</w:t>
            </w:r>
          </w:p>
        </w:tc>
        <w:tc>
          <w:tcPr>
            <w:tcW w:w="418"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0</w:t>
            </w:r>
          </w:p>
        </w:tc>
        <w:tc>
          <w:tcPr>
            <w:tcW w:w="420"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25</w:t>
            </w:r>
          </w:p>
        </w:tc>
      </w:tr>
      <w:tr w:rsidR="006D777D" w:rsidRPr="00A55F63" w:rsidTr="006E6BE6">
        <w:trPr>
          <w:trHeight w:val="288"/>
        </w:trPr>
        <w:tc>
          <w:tcPr>
            <w:tcW w:w="903" w:type="pct"/>
            <w:vMerge/>
            <w:tcBorders>
              <w:top w:val="nil"/>
              <w:bottom w:val="single" w:sz="4" w:space="0" w:color="auto"/>
            </w:tcBorders>
            <w:shd w:val="clear" w:color="auto" w:fill="auto"/>
          </w:tcPr>
          <w:p w:rsidR="006B1F66" w:rsidRPr="002C54BB" w:rsidRDefault="006B1F66" w:rsidP="000846C9">
            <w:pPr>
              <w:pStyle w:val="NoSpacing"/>
              <w:rPr>
                <w:b/>
              </w:rPr>
            </w:pPr>
          </w:p>
        </w:tc>
        <w:tc>
          <w:tcPr>
            <w:tcW w:w="2423" w:type="pct"/>
            <w:tcBorders>
              <w:top w:val="nil"/>
              <w:bottom w:val="single" w:sz="4" w:space="0" w:color="auto"/>
            </w:tcBorders>
            <w:shd w:val="clear" w:color="auto" w:fill="auto"/>
            <w:vAlign w:val="center"/>
          </w:tcPr>
          <w:p w:rsidR="006B1F66" w:rsidRPr="00A55F63" w:rsidRDefault="006B1F66" w:rsidP="000846C9">
            <w:pPr>
              <w:pStyle w:val="NoSpacing"/>
            </w:pPr>
            <w:r w:rsidRPr="00A55F63">
              <w:t xml:space="preserve">Extra credit for increasing % </w:t>
            </w:r>
            <w:r w:rsidRPr="00A55F63">
              <w:rPr>
                <w:i/>
              </w:rPr>
              <w:t>Advanced</w:t>
            </w:r>
            <w:r w:rsidRPr="00A55F63">
              <w:t xml:space="preserve"> (</w:t>
            </w:r>
            <w:r w:rsidR="00BA6F4F">
              <w:t xml:space="preserve">≥ </w:t>
            </w:r>
            <w:r w:rsidR="00BA6F4F" w:rsidRPr="00A55F63">
              <w:t>10%</w:t>
            </w:r>
            <w:r w:rsidR="00BA6F4F">
              <w:t>)</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0</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0</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0</w:t>
            </w:r>
          </w:p>
        </w:tc>
        <w:tc>
          <w:tcPr>
            <w:tcW w:w="420"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0</w:t>
            </w:r>
          </w:p>
        </w:tc>
      </w:tr>
      <w:tr w:rsidR="006D777D" w:rsidRPr="00A55F63" w:rsidTr="006E6BE6">
        <w:trPr>
          <w:trHeight w:val="288"/>
        </w:trPr>
        <w:tc>
          <w:tcPr>
            <w:tcW w:w="903" w:type="pct"/>
            <w:vMerge w:val="restart"/>
            <w:tcBorders>
              <w:top w:val="single" w:sz="4" w:space="0" w:color="auto"/>
              <w:bottom w:val="nil"/>
            </w:tcBorders>
            <w:shd w:val="clear" w:color="auto" w:fill="auto"/>
          </w:tcPr>
          <w:p w:rsidR="006B1F66" w:rsidRPr="002C54BB" w:rsidRDefault="006B1F66" w:rsidP="000846C9">
            <w:pPr>
              <w:pStyle w:val="NoSpacing"/>
              <w:rPr>
                <w:b/>
              </w:rPr>
            </w:pPr>
            <w:r w:rsidRPr="002C54BB">
              <w:rPr>
                <w:b/>
              </w:rPr>
              <w:t>Science</w:t>
            </w:r>
          </w:p>
        </w:tc>
        <w:tc>
          <w:tcPr>
            <w:tcW w:w="2423" w:type="pct"/>
            <w:tcBorders>
              <w:top w:val="single" w:sz="4" w:space="0" w:color="auto"/>
              <w:bottom w:val="dotted" w:sz="4" w:space="0" w:color="auto"/>
            </w:tcBorders>
            <w:shd w:val="clear" w:color="auto" w:fill="auto"/>
            <w:vAlign w:val="center"/>
          </w:tcPr>
          <w:p w:rsidR="006B1F66" w:rsidRPr="00A55F63" w:rsidRDefault="006B1F66" w:rsidP="000846C9">
            <w:pPr>
              <w:pStyle w:val="NoSpacing"/>
            </w:pPr>
            <w:r w:rsidRPr="00A55F63">
              <w:t>Narrowing proficiency gaps (CPI)</w:t>
            </w:r>
          </w:p>
        </w:tc>
        <w:tc>
          <w:tcPr>
            <w:tcW w:w="418" w:type="pct"/>
            <w:tcBorders>
              <w:top w:val="single" w:sz="4" w:space="0" w:color="auto"/>
              <w:bottom w:val="dotted" w:sz="4" w:space="0" w:color="auto"/>
            </w:tcBorders>
            <w:shd w:val="clear" w:color="auto" w:fill="auto"/>
            <w:vAlign w:val="center"/>
          </w:tcPr>
          <w:p w:rsidR="006B1F66" w:rsidRPr="00A55F63" w:rsidRDefault="006B1F66" w:rsidP="002C54BB">
            <w:pPr>
              <w:pStyle w:val="NoSpacing"/>
              <w:jc w:val="center"/>
            </w:pPr>
            <w:r w:rsidRPr="00A55F63">
              <w:t>50</w:t>
            </w:r>
          </w:p>
        </w:tc>
        <w:tc>
          <w:tcPr>
            <w:tcW w:w="418" w:type="pct"/>
            <w:tcBorders>
              <w:top w:val="single" w:sz="4" w:space="0" w:color="auto"/>
              <w:bottom w:val="dotted" w:sz="4" w:space="0" w:color="auto"/>
            </w:tcBorders>
            <w:shd w:val="clear" w:color="auto" w:fill="auto"/>
            <w:vAlign w:val="center"/>
          </w:tcPr>
          <w:p w:rsidR="006B1F66" w:rsidRPr="00A55F63" w:rsidRDefault="006B1F66" w:rsidP="002C54BB">
            <w:pPr>
              <w:pStyle w:val="NoSpacing"/>
              <w:jc w:val="center"/>
            </w:pPr>
            <w:r w:rsidRPr="00A55F63">
              <w:t>50</w:t>
            </w:r>
          </w:p>
        </w:tc>
        <w:tc>
          <w:tcPr>
            <w:tcW w:w="418" w:type="pct"/>
            <w:tcBorders>
              <w:top w:val="single" w:sz="4" w:space="0" w:color="auto"/>
              <w:bottom w:val="dotted" w:sz="4" w:space="0" w:color="auto"/>
            </w:tcBorders>
            <w:shd w:val="clear" w:color="auto" w:fill="auto"/>
            <w:vAlign w:val="center"/>
          </w:tcPr>
          <w:p w:rsidR="006B1F66" w:rsidRPr="00A55F63" w:rsidRDefault="006B1F66" w:rsidP="002C54BB">
            <w:pPr>
              <w:pStyle w:val="NoSpacing"/>
              <w:jc w:val="center"/>
            </w:pPr>
            <w:r w:rsidRPr="00A55F63">
              <w:t>50</w:t>
            </w:r>
          </w:p>
        </w:tc>
        <w:tc>
          <w:tcPr>
            <w:tcW w:w="420" w:type="pct"/>
            <w:tcBorders>
              <w:top w:val="single" w:sz="4" w:space="0" w:color="auto"/>
              <w:bottom w:val="dotted" w:sz="4" w:space="0" w:color="auto"/>
            </w:tcBorders>
            <w:shd w:val="clear" w:color="auto" w:fill="auto"/>
            <w:vAlign w:val="center"/>
          </w:tcPr>
          <w:p w:rsidR="006B1F66" w:rsidRPr="00A55F63" w:rsidRDefault="006B1F66" w:rsidP="002C54BB">
            <w:pPr>
              <w:pStyle w:val="NoSpacing"/>
              <w:jc w:val="center"/>
            </w:pPr>
            <w:r w:rsidRPr="00A55F63">
              <w:t>100</w:t>
            </w:r>
          </w:p>
        </w:tc>
      </w:tr>
      <w:tr w:rsidR="006D777D" w:rsidRPr="00A55F63" w:rsidTr="006E6BE6">
        <w:trPr>
          <w:trHeight w:val="288"/>
        </w:trPr>
        <w:tc>
          <w:tcPr>
            <w:tcW w:w="903" w:type="pct"/>
            <w:vMerge/>
            <w:tcBorders>
              <w:top w:val="nil"/>
              <w:bottom w:val="nil"/>
            </w:tcBorders>
            <w:shd w:val="clear" w:color="auto" w:fill="auto"/>
          </w:tcPr>
          <w:p w:rsidR="006B1F66" w:rsidRPr="002C54BB" w:rsidRDefault="006B1F66" w:rsidP="000846C9">
            <w:pPr>
              <w:pStyle w:val="NoSpacing"/>
              <w:rPr>
                <w:b/>
              </w:rPr>
            </w:pPr>
          </w:p>
        </w:tc>
        <w:tc>
          <w:tcPr>
            <w:tcW w:w="2423" w:type="pct"/>
            <w:tcBorders>
              <w:top w:val="dotted" w:sz="4" w:space="0" w:color="auto"/>
              <w:bottom w:val="nil"/>
            </w:tcBorders>
            <w:shd w:val="clear" w:color="auto" w:fill="auto"/>
            <w:vAlign w:val="center"/>
          </w:tcPr>
          <w:p w:rsidR="006B1F66" w:rsidRPr="00A55F63" w:rsidRDefault="006B1F66" w:rsidP="000846C9">
            <w:pPr>
              <w:pStyle w:val="NoSpacing"/>
            </w:pPr>
            <w:r w:rsidRPr="00A55F63">
              <w:t xml:space="preserve">Extra credit for decreasing % </w:t>
            </w:r>
            <w:r w:rsidRPr="00A55F63">
              <w:rPr>
                <w:i/>
              </w:rPr>
              <w:t>Warning/Failing</w:t>
            </w:r>
            <w:r w:rsidRPr="00A55F63">
              <w:t xml:space="preserve"> </w:t>
            </w:r>
            <w:r w:rsidR="00BA6F4F" w:rsidRPr="00A55F63">
              <w:t>(</w:t>
            </w:r>
            <w:r w:rsidR="00BA6F4F">
              <w:t xml:space="preserve">≥ </w:t>
            </w:r>
            <w:r w:rsidR="00BA6F4F" w:rsidRPr="00A55F63">
              <w:t>10%</w:t>
            </w:r>
            <w:r w:rsidR="00BA6F4F">
              <w:t>)</w:t>
            </w:r>
          </w:p>
        </w:tc>
        <w:tc>
          <w:tcPr>
            <w:tcW w:w="418"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0</w:t>
            </w:r>
          </w:p>
        </w:tc>
        <w:tc>
          <w:tcPr>
            <w:tcW w:w="418"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0</w:t>
            </w:r>
          </w:p>
        </w:tc>
        <w:tc>
          <w:tcPr>
            <w:tcW w:w="418"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25</w:t>
            </w:r>
          </w:p>
        </w:tc>
        <w:tc>
          <w:tcPr>
            <w:tcW w:w="420" w:type="pct"/>
            <w:tcBorders>
              <w:top w:val="dotted" w:sz="4" w:space="0" w:color="auto"/>
              <w:bottom w:val="nil"/>
            </w:tcBorders>
            <w:shd w:val="clear" w:color="auto" w:fill="auto"/>
            <w:vAlign w:val="center"/>
          </w:tcPr>
          <w:p w:rsidR="006B1F66" w:rsidRPr="00A55F63" w:rsidRDefault="006B1F66" w:rsidP="002C54BB">
            <w:pPr>
              <w:pStyle w:val="NoSpacing"/>
              <w:jc w:val="center"/>
            </w:pPr>
            <w:r w:rsidRPr="00A55F63">
              <w:t>25</w:t>
            </w:r>
          </w:p>
        </w:tc>
      </w:tr>
      <w:tr w:rsidR="006D777D" w:rsidRPr="00A55F63" w:rsidTr="006E6BE6">
        <w:trPr>
          <w:trHeight w:val="288"/>
        </w:trPr>
        <w:tc>
          <w:tcPr>
            <w:tcW w:w="903" w:type="pct"/>
            <w:vMerge/>
            <w:tcBorders>
              <w:top w:val="nil"/>
              <w:bottom w:val="single" w:sz="4" w:space="0" w:color="auto"/>
            </w:tcBorders>
            <w:shd w:val="clear" w:color="auto" w:fill="auto"/>
          </w:tcPr>
          <w:p w:rsidR="006B1F66" w:rsidRPr="002C54BB" w:rsidRDefault="006B1F66" w:rsidP="000846C9">
            <w:pPr>
              <w:pStyle w:val="NoSpacing"/>
              <w:rPr>
                <w:b/>
              </w:rPr>
            </w:pPr>
          </w:p>
        </w:tc>
        <w:tc>
          <w:tcPr>
            <w:tcW w:w="2423" w:type="pct"/>
            <w:tcBorders>
              <w:top w:val="nil"/>
              <w:bottom w:val="single" w:sz="4" w:space="0" w:color="auto"/>
            </w:tcBorders>
            <w:shd w:val="clear" w:color="auto" w:fill="auto"/>
            <w:vAlign w:val="center"/>
          </w:tcPr>
          <w:p w:rsidR="006B1F66" w:rsidRPr="00A55F63" w:rsidRDefault="006B1F66" w:rsidP="000846C9">
            <w:pPr>
              <w:pStyle w:val="NoSpacing"/>
            </w:pPr>
            <w:r w:rsidRPr="00A55F63">
              <w:t xml:space="preserve">Extra credit for increasing % </w:t>
            </w:r>
            <w:r w:rsidRPr="00A55F63">
              <w:rPr>
                <w:i/>
              </w:rPr>
              <w:t>Advanced</w:t>
            </w:r>
            <w:r w:rsidRPr="00A55F63">
              <w:t xml:space="preserve"> </w:t>
            </w:r>
            <w:r w:rsidR="00BA6F4F" w:rsidRPr="00A55F63">
              <w:t>(</w:t>
            </w:r>
            <w:r w:rsidR="00BA6F4F">
              <w:t xml:space="preserve">≥ </w:t>
            </w:r>
            <w:r w:rsidR="00BA6F4F" w:rsidRPr="00A55F63">
              <w:t>10%</w:t>
            </w:r>
            <w:r w:rsidR="00BA6F4F">
              <w:t>)</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0</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0</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0</w:t>
            </w:r>
          </w:p>
        </w:tc>
        <w:tc>
          <w:tcPr>
            <w:tcW w:w="420"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25</w:t>
            </w:r>
          </w:p>
        </w:tc>
      </w:tr>
      <w:tr w:rsidR="004F3592" w:rsidRPr="00A55F63" w:rsidTr="006E6BE6">
        <w:trPr>
          <w:trHeight w:val="288"/>
        </w:trPr>
        <w:tc>
          <w:tcPr>
            <w:tcW w:w="903" w:type="pct"/>
            <w:vMerge w:val="restart"/>
            <w:tcBorders>
              <w:top w:val="single" w:sz="4" w:space="0" w:color="auto"/>
            </w:tcBorders>
            <w:shd w:val="clear" w:color="auto" w:fill="auto"/>
          </w:tcPr>
          <w:p w:rsidR="004F3592" w:rsidRPr="002C54BB" w:rsidRDefault="004F3592" w:rsidP="000846C9">
            <w:pPr>
              <w:pStyle w:val="NoSpacing"/>
              <w:rPr>
                <w:b/>
              </w:rPr>
            </w:pPr>
            <w:r w:rsidRPr="002C54BB">
              <w:rPr>
                <w:b/>
              </w:rPr>
              <w:t>High School</w:t>
            </w:r>
          </w:p>
        </w:tc>
        <w:tc>
          <w:tcPr>
            <w:tcW w:w="2423" w:type="pct"/>
            <w:tcBorders>
              <w:top w:val="single" w:sz="4" w:space="0" w:color="auto"/>
              <w:bottom w:val="nil"/>
            </w:tcBorders>
            <w:shd w:val="clear" w:color="auto" w:fill="auto"/>
            <w:vAlign w:val="center"/>
          </w:tcPr>
          <w:p w:rsidR="004F3592" w:rsidRPr="00A55F63" w:rsidRDefault="004F3592" w:rsidP="000846C9">
            <w:pPr>
              <w:pStyle w:val="NoSpacing"/>
            </w:pPr>
            <w:r w:rsidRPr="00A55F63">
              <w:t>Annual dropout rate</w:t>
            </w:r>
          </w:p>
        </w:tc>
        <w:tc>
          <w:tcPr>
            <w:tcW w:w="418" w:type="pct"/>
            <w:tcBorders>
              <w:top w:val="single" w:sz="4" w:space="0" w:color="auto"/>
              <w:bottom w:val="nil"/>
            </w:tcBorders>
            <w:shd w:val="clear" w:color="auto" w:fill="auto"/>
            <w:vAlign w:val="center"/>
          </w:tcPr>
          <w:p w:rsidR="004F3592" w:rsidRPr="00A55F63" w:rsidRDefault="004F3592" w:rsidP="002C54BB">
            <w:pPr>
              <w:pStyle w:val="NoSpacing"/>
              <w:jc w:val="center"/>
            </w:pPr>
            <w:r w:rsidRPr="00A55F63">
              <w:t>75</w:t>
            </w:r>
          </w:p>
        </w:tc>
        <w:tc>
          <w:tcPr>
            <w:tcW w:w="418" w:type="pct"/>
            <w:tcBorders>
              <w:top w:val="single" w:sz="4" w:space="0" w:color="auto"/>
              <w:bottom w:val="nil"/>
            </w:tcBorders>
            <w:shd w:val="clear" w:color="auto" w:fill="auto"/>
            <w:vAlign w:val="center"/>
          </w:tcPr>
          <w:p w:rsidR="004F3592" w:rsidRPr="00A55F63" w:rsidRDefault="004F3592" w:rsidP="002C54BB">
            <w:pPr>
              <w:pStyle w:val="NoSpacing"/>
              <w:jc w:val="center"/>
            </w:pPr>
            <w:r w:rsidRPr="00A55F63">
              <w:t>100</w:t>
            </w:r>
          </w:p>
        </w:tc>
        <w:tc>
          <w:tcPr>
            <w:tcW w:w="418" w:type="pct"/>
            <w:tcBorders>
              <w:top w:val="single" w:sz="4" w:space="0" w:color="auto"/>
              <w:bottom w:val="nil"/>
            </w:tcBorders>
            <w:shd w:val="clear" w:color="auto" w:fill="auto"/>
            <w:vAlign w:val="center"/>
          </w:tcPr>
          <w:p w:rsidR="004F3592" w:rsidRPr="00A55F63" w:rsidRDefault="004F3592" w:rsidP="002C54BB">
            <w:pPr>
              <w:pStyle w:val="NoSpacing"/>
              <w:jc w:val="center"/>
            </w:pPr>
            <w:r w:rsidRPr="00A55F63">
              <w:t>75</w:t>
            </w:r>
          </w:p>
        </w:tc>
        <w:tc>
          <w:tcPr>
            <w:tcW w:w="420" w:type="pct"/>
            <w:tcBorders>
              <w:top w:val="single" w:sz="4" w:space="0" w:color="auto"/>
              <w:bottom w:val="nil"/>
            </w:tcBorders>
            <w:shd w:val="clear" w:color="auto" w:fill="auto"/>
            <w:vAlign w:val="center"/>
          </w:tcPr>
          <w:p w:rsidR="004F3592" w:rsidRPr="00A55F63" w:rsidRDefault="004F3592" w:rsidP="002C54BB">
            <w:pPr>
              <w:pStyle w:val="NoSpacing"/>
              <w:jc w:val="center"/>
            </w:pPr>
            <w:r w:rsidRPr="00A55F63">
              <w:t>100</w:t>
            </w:r>
          </w:p>
        </w:tc>
      </w:tr>
      <w:tr w:rsidR="004F3592" w:rsidRPr="00A55F63" w:rsidTr="006E6BE6">
        <w:trPr>
          <w:trHeight w:val="288"/>
        </w:trPr>
        <w:tc>
          <w:tcPr>
            <w:tcW w:w="903" w:type="pct"/>
            <w:vMerge/>
            <w:shd w:val="clear" w:color="auto" w:fill="auto"/>
          </w:tcPr>
          <w:p w:rsidR="004F3592" w:rsidRPr="00A55F63" w:rsidRDefault="004F3592" w:rsidP="000846C9">
            <w:pPr>
              <w:pStyle w:val="NoSpacing"/>
            </w:pPr>
          </w:p>
        </w:tc>
        <w:tc>
          <w:tcPr>
            <w:tcW w:w="2423" w:type="pct"/>
            <w:tcBorders>
              <w:top w:val="nil"/>
              <w:bottom w:val="dotted" w:sz="4" w:space="0" w:color="auto"/>
            </w:tcBorders>
            <w:shd w:val="clear" w:color="auto" w:fill="auto"/>
            <w:vAlign w:val="center"/>
          </w:tcPr>
          <w:p w:rsidR="004F3592" w:rsidRPr="00A55F63" w:rsidRDefault="004F3592" w:rsidP="000846C9">
            <w:pPr>
              <w:pStyle w:val="NoSpacing"/>
            </w:pPr>
            <w:r w:rsidRPr="00A55F63">
              <w:t>Cohort graduation rate</w:t>
            </w:r>
          </w:p>
        </w:tc>
        <w:tc>
          <w:tcPr>
            <w:tcW w:w="418" w:type="pct"/>
            <w:tcBorders>
              <w:top w:val="nil"/>
              <w:bottom w:val="dotted" w:sz="4" w:space="0" w:color="auto"/>
            </w:tcBorders>
            <w:shd w:val="clear" w:color="auto" w:fill="auto"/>
            <w:vAlign w:val="center"/>
          </w:tcPr>
          <w:p w:rsidR="004F3592" w:rsidRPr="00A55F63" w:rsidRDefault="004F3592" w:rsidP="002C54BB">
            <w:pPr>
              <w:pStyle w:val="NoSpacing"/>
              <w:jc w:val="center"/>
            </w:pPr>
            <w:r w:rsidRPr="00A55F63">
              <w:t>75</w:t>
            </w:r>
          </w:p>
        </w:tc>
        <w:tc>
          <w:tcPr>
            <w:tcW w:w="418" w:type="pct"/>
            <w:tcBorders>
              <w:top w:val="nil"/>
              <w:bottom w:val="dotted" w:sz="4" w:space="0" w:color="auto"/>
            </w:tcBorders>
            <w:shd w:val="clear" w:color="auto" w:fill="auto"/>
            <w:vAlign w:val="center"/>
          </w:tcPr>
          <w:p w:rsidR="004F3592" w:rsidRPr="00A55F63" w:rsidRDefault="004F3592" w:rsidP="002C54BB">
            <w:pPr>
              <w:pStyle w:val="NoSpacing"/>
              <w:jc w:val="center"/>
            </w:pPr>
            <w:r w:rsidRPr="00A55F63">
              <w:t>75</w:t>
            </w:r>
          </w:p>
        </w:tc>
        <w:tc>
          <w:tcPr>
            <w:tcW w:w="418" w:type="pct"/>
            <w:tcBorders>
              <w:top w:val="nil"/>
              <w:bottom w:val="dotted" w:sz="4" w:space="0" w:color="auto"/>
            </w:tcBorders>
            <w:shd w:val="clear" w:color="auto" w:fill="auto"/>
            <w:vAlign w:val="center"/>
          </w:tcPr>
          <w:p w:rsidR="004F3592" w:rsidRPr="00A55F63" w:rsidRDefault="004F3592" w:rsidP="002C54BB">
            <w:pPr>
              <w:pStyle w:val="NoSpacing"/>
              <w:jc w:val="center"/>
            </w:pPr>
            <w:r w:rsidRPr="00A55F63">
              <w:t>75</w:t>
            </w:r>
          </w:p>
        </w:tc>
        <w:tc>
          <w:tcPr>
            <w:tcW w:w="420" w:type="pct"/>
            <w:tcBorders>
              <w:top w:val="nil"/>
              <w:bottom w:val="dotted" w:sz="4" w:space="0" w:color="auto"/>
            </w:tcBorders>
            <w:shd w:val="clear" w:color="auto" w:fill="auto"/>
            <w:vAlign w:val="center"/>
          </w:tcPr>
          <w:p w:rsidR="004F3592" w:rsidRPr="00A55F63" w:rsidRDefault="004F3592" w:rsidP="002C54BB">
            <w:pPr>
              <w:pStyle w:val="NoSpacing"/>
              <w:jc w:val="center"/>
            </w:pPr>
            <w:r w:rsidRPr="00A55F63">
              <w:t>75</w:t>
            </w:r>
          </w:p>
        </w:tc>
      </w:tr>
      <w:tr w:rsidR="004F3592" w:rsidRPr="00A55F63" w:rsidTr="006E6BE6">
        <w:trPr>
          <w:trHeight w:val="288"/>
        </w:trPr>
        <w:tc>
          <w:tcPr>
            <w:tcW w:w="903" w:type="pct"/>
            <w:vMerge/>
            <w:tcBorders>
              <w:bottom w:val="single" w:sz="4" w:space="0" w:color="auto"/>
            </w:tcBorders>
            <w:shd w:val="clear" w:color="auto" w:fill="auto"/>
          </w:tcPr>
          <w:p w:rsidR="004F3592" w:rsidRPr="00A55F63" w:rsidRDefault="004F3592" w:rsidP="000846C9">
            <w:pPr>
              <w:pStyle w:val="NoSpacing"/>
            </w:pPr>
          </w:p>
        </w:tc>
        <w:tc>
          <w:tcPr>
            <w:tcW w:w="2423" w:type="pct"/>
            <w:tcBorders>
              <w:top w:val="dotted" w:sz="4" w:space="0" w:color="auto"/>
              <w:bottom w:val="single" w:sz="4" w:space="0" w:color="auto"/>
            </w:tcBorders>
            <w:shd w:val="clear" w:color="auto" w:fill="auto"/>
            <w:vAlign w:val="center"/>
          </w:tcPr>
          <w:p w:rsidR="004F3592" w:rsidRPr="00A55F63" w:rsidRDefault="004F3592" w:rsidP="000846C9">
            <w:pPr>
              <w:pStyle w:val="NoSpacing"/>
            </w:pPr>
            <w:r>
              <w:t>Extra credit for reengaging dropouts (2 or more)</w:t>
            </w:r>
          </w:p>
        </w:tc>
        <w:tc>
          <w:tcPr>
            <w:tcW w:w="418" w:type="pct"/>
            <w:tcBorders>
              <w:top w:val="dotted" w:sz="4" w:space="0" w:color="auto"/>
              <w:bottom w:val="single" w:sz="4" w:space="0" w:color="auto"/>
            </w:tcBorders>
            <w:shd w:val="clear" w:color="auto" w:fill="auto"/>
            <w:vAlign w:val="center"/>
          </w:tcPr>
          <w:p w:rsidR="004F3592" w:rsidRPr="00A55F63" w:rsidRDefault="0047028E" w:rsidP="002C54BB">
            <w:pPr>
              <w:pStyle w:val="NoSpacing"/>
              <w:jc w:val="center"/>
            </w:pPr>
            <w:r>
              <w:t>0</w:t>
            </w:r>
          </w:p>
        </w:tc>
        <w:tc>
          <w:tcPr>
            <w:tcW w:w="418" w:type="pct"/>
            <w:tcBorders>
              <w:top w:val="dotted" w:sz="4" w:space="0" w:color="auto"/>
              <w:bottom w:val="single" w:sz="4" w:space="0" w:color="auto"/>
            </w:tcBorders>
            <w:shd w:val="clear" w:color="auto" w:fill="auto"/>
            <w:vAlign w:val="center"/>
          </w:tcPr>
          <w:p w:rsidR="004F3592" w:rsidRPr="00A55F63" w:rsidRDefault="00660E12" w:rsidP="002C54BB">
            <w:pPr>
              <w:pStyle w:val="NoSpacing"/>
              <w:jc w:val="center"/>
            </w:pPr>
            <w:r>
              <w:t>0</w:t>
            </w:r>
          </w:p>
        </w:tc>
        <w:tc>
          <w:tcPr>
            <w:tcW w:w="418" w:type="pct"/>
            <w:tcBorders>
              <w:top w:val="dotted" w:sz="4" w:space="0" w:color="auto"/>
              <w:bottom w:val="single" w:sz="4" w:space="0" w:color="auto"/>
            </w:tcBorders>
            <w:shd w:val="clear" w:color="auto" w:fill="auto"/>
            <w:vAlign w:val="center"/>
          </w:tcPr>
          <w:p w:rsidR="004F3592" w:rsidRPr="00A55F63" w:rsidRDefault="00D11659" w:rsidP="002C54BB">
            <w:pPr>
              <w:pStyle w:val="NoSpacing"/>
              <w:jc w:val="center"/>
            </w:pPr>
            <w:r>
              <w:t>0</w:t>
            </w:r>
          </w:p>
        </w:tc>
        <w:tc>
          <w:tcPr>
            <w:tcW w:w="420" w:type="pct"/>
            <w:tcBorders>
              <w:top w:val="dotted" w:sz="4" w:space="0" w:color="auto"/>
              <w:bottom w:val="single" w:sz="4" w:space="0" w:color="auto"/>
            </w:tcBorders>
            <w:shd w:val="clear" w:color="auto" w:fill="auto"/>
            <w:vAlign w:val="center"/>
          </w:tcPr>
          <w:p w:rsidR="004F3592" w:rsidRPr="00A55F63" w:rsidRDefault="004F3592" w:rsidP="002C54BB">
            <w:pPr>
              <w:pStyle w:val="NoSpacing"/>
              <w:jc w:val="center"/>
            </w:pPr>
            <w:r>
              <w:t>25</w:t>
            </w:r>
          </w:p>
        </w:tc>
      </w:tr>
      <w:tr w:rsidR="00D11659" w:rsidRPr="00A55F63" w:rsidTr="006E6BE6">
        <w:trPr>
          <w:trHeight w:val="288"/>
        </w:trPr>
        <w:tc>
          <w:tcPr>
            <w:tcW w:w="903" w:type="pct"/>
            <w:tcBorders>
              <w:top w:val="single" w:sz="4" w:space="0" w:color="auto"/>
              <w:bottom w:val="nil"/>
            </w:tcBorders>
            <w:shd w:val="clear" w:color="auto" w:fill="auto"/>
            <w:vAlign w:val="center"/>
          </w:tcPr>
          <w:p w:rsidR="00D11659" w:rsidRPr="00403F2F" w:rsidRDefault="00D11659" w:rsidP="000846C9">
            <w:pPr>
              <w:pStyle w:val="NoSpacing"/>
              <w:rPr>
                <w:b/>
              </w:rPr>
            </w:pPr>
            <w:r w:rsidRPr="00403F2F">
              <w:rPr>
                <w:b/>
              </w:rPr>
              <w:t>English Language Acquisition</w:t>
            </w:r>
          </w:p>
        </w:tc>
        <w:tc>
          <w:tcPr>
            <w:tcW w:w="2423" w:type="pct"/>
            <w:tcBorders>
              <w:top w:val="single" w:sz="4" w:space="0" w:color="auto"/>
              <w:bottom w:val="nil"/>
            </w:tcBorders>
            <w:shd w:val="clear" w:color="auto" w:fill="auto"/>
            <w:vAlign w:val="center"/>
          </w:tcPr>
          <w:p w:rsidR="00403F2F" w:rsidRDefault="00FC271A">
            <w:pPr>
              <w:spacing w:after="0" w:line="240" w:lineRule="auto"/>
            </w:pPr>
            <w:r w:rsidRPr="00FC271A">
              <w:rPr>
                <w:sz w:val="20"/>
              </w:rPr>
              <w:t xml:space="preserve">Extra credit for high growth on ACCESS for ELLs assessment (Student Growth Percentile on </w:t>
            </w:r>
            <w:r w:rsidR="00D11659">
              <w:rPr>
                <w:sz w:val="20"/>
              </w:rPr>
              <w:t>ACCESS</w:t>
            </w:r>
            <w:r w:rsidRPr="00FC271A">
              <w:rPr>
                <w:sz w:val="20"/>
              </w:rPr>
              <w:t>)</w:t>
            </w:r>
          </w:p>
        </w:tc>
        <w:tc>
          <w:tcPr>
            <w:tcW w:w="418" w:type="pct"/>
            <w:tcBorders>
              <w:top w:val="single" w:sz="4" w:space="0" w:color="auto"/>
              <w:bottom w:val="nil"/>
            </w:tcBorders>
            <w:shd w:val="clear" w:color="auto" w:fill="auto"/>
            <w:vAlign w:val="center"/>
          </w:tcPr>
          <w:p w:rsidR="00D11659" w:rsidRPr="00A55F63" w:rsidRDefault="0047028E" w:rsidP="002C54BB">
            <w:pPr>
              <w:pStyle w:val="NoSpacing"/>
              <w:jc w:val="center"/>
            </w:pPr>
            <w:r>
              <w:t>-</w:t>
            </w:r>
          </w:p>
        </w:tc>
        <w:tc>
          <w:tcPr>
            <w:tcW w:w="418" w:type="pct"/>
            <w:tcBorders>
              <w:top w:val="single" w:sz="4" w:space="0" w:color="auto"/>
              <w:bottom w:val="nil"/>
            </w:tcBorders>
            <w:shd w:val="clear" w:color="auto" w:fill="auto"/>
            <w:vAlign w:val="center"/>
          </w:tcPr>
          <w:p w:rsidR="00D11659" w:rsidRPr="00A55F63" w:rsidRDefault="0047028E" w:rsidP="002C54BB">
            <w:pPr>
              <w:pStyle w:val="NoSpacing"/>
              <w:jc w:val="center"/>
            </w:pPr>
            <w:r>
              <w:t>0</w:t>
            </w:r>
          </w:p>
        </w:tc>
        <w:tc>
          <w:tcPr>
            <w:tcW w:w="418" w:type="pct"/>
            <w:tcBorders>
              <w:top w:val="single" w:sz="4" w:space="0" w:color="auto"/>
              <w:bottom w:val="nil"/>
            </w:tcBorders>
            <w:shd w:val="clear" w:color="auto" w:fill="auto"/>
            <w:vAlign w:val="center"/>
          </w:tcPr>
          <w:p w:rsidR="00D11659" w:rsidRPr="00A55F63" w:rsidRDefault="00660E12" w:rsidP="002C54BB">
            <w:pPr>
              <w:pStyle w:val="NoSpacing"/>
              <w:jc w:val="center"/>
            </w:pPr>
            <w:r>
              <w:t>0</w:t>
            </w:r>
          </w:p>
        </w:tc>
        <w:tc>
          <w:tcPr>
            <w:tcW w:w="420" w:type="pct"/>
            <w:tcBorders>
              <w:top w:val="single" w:sz="4" w:space="0" w:color="auto"/>
              <w:bottom w:val="nil"/>
            </w:tcBorders>
            <w:shd w:val="clear" w:color="auto" w:fill="auto"/>
            <w:vAlign w:val="center"/>
          </w:tcPr>
          <w:p w:rsidR="00D11659" w:rsidRPr="00A55F63" w:rsidRDefault="00D11659" w:rsidP="002C54BB">
            <w:pPr>
              <w:pStyle w:val="NoSpacing"/>
              <w:jc w:val="center"/>
            </w:pPr>
            <w:r>
              <w:t>25</w:t>
            </w:r>
          </w:p>
        </w:tc>
      </w:tr>
      <w:tr w:rsidR="006D777D" w:rsidRPr="00A55F63" w:rsidTr="006E6BE6">
        <w:trPr>
          <w:trHeight w:val="288"/>
        </w:trPr>
        <w:tc>
          <w:tcPr>
            <w:tcW w:w="3326" w:type="pct"/>
            <w:gridSpan w:val="2"/>
            <w:tcBorders>
              <w:top w:val="single" w:sz="4" w:space="0" w:color="auto"/>
              <w:bottom w:val="nil"/>
            </w:tcBorders>
            <w:shd w:val="clear" w:color="auto" w:fill="auto"/>
            <w:vAlign w:val="center"/>
          </w:tcPr>
          <w:p w:rsidR="006B1F66" w:rsidRPr="00A55F63" w:rsidRDefault="006B1F66" w:rsidP="000846C9">
            <w:pPr>
              <w:pStyle w:val="NoSpacing"/>
            </w:pPr>
            <w:r w:rsidRPr="00A55F63">
              <w:t>Points awarded for achievement, growth, and high school indicators</w:t>
            </w:r>
          </w:p>
        </w:tc>
        <w:tc>
          <w:tcPr>
            <w:tcW w:w="418"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375</w:t>
            </w:r>
          </w:p>
        </w:tc>
        <w:tc>
          <w:tcPr>
            <w:tcW w:w="418"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400</w:t>
            </w:r>
          </w:p>
        </w:tc>
        <w:tc>
          <w:tcPr>
            <w:tcW w:w="418"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500</w:t>
            </w:r>
          </w:p>
        </w:tc>
        <w:tc>
          <w:tcPr>
            <w:tcW w:w="420" w:type="pct"/>
            <w:tcBorders>
              <w:top w:val="single" w:sz="4" w:space="0" w:color="auto"/>
              <w:bottom w:val="nil"/>
            </w:tcBorders>
            <w:shd w:val="clear" w:color="auto" w:fill="auto"/>
            <w:vAlign w:val="center"/>
          </w:tcPr>
          <w:p w:rsidR="006B1F66" w:rsidRPr="00A55F63" w:rsidRDefault="006B1F66" w:rsidP="002C54BB">
            <w:pPr>
              <w:pStyle w:val="NoSpacing"/>
              <w:jc w:val="center"/>
            </w:pPr>
            <w:r w:rsidRPr="00A55F63">
              <w:t>625</w:t>
            </w:r>
          </w:p>
        </w:tc>
      </w:tr>
      <w:tr w:rsidR="006D777D" w:rsidRPr="00A55F63" w:rsidTr="006E6BE6">
        <w:trPr>
          <w:trHeight w:val="288"/>
        </w:trPr>
        <w:tc>
          <w:tcPr>
            <w:tcW w:w="3326" w:type="pct"/>
            <w:gridSpan w:val="2"/>
            <w:tcBorders>
              <w:top w:val="nil"/>
              <w:bottom w:val="single" w:sz="4" w:space="0" w:color="auto"/>
            </w:tcBorders>
            <w:shd w:val="clear" w:color="auto" w:fill="auto"/>
            <w:vAlign w:val="center"/>
          </w:tcPr>
          <w:p w:rsidR="006B1F66" w:rsidRPr="00A55F63" w:rsidRDefault="006B1F66" w:rsidP="000846C9">
            <w:pPr>
              <w:pStyle w:val="NoSpacing"/>
            </w:pPr>
            <w:r w:rsidRPr="00A55F63">
              <w:t>Points awarded for extra credit</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0</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25</w:t>
            </w:r>
          </w:p>
        </w:tc>
        <w:tc>
          <w:tcPr>
            <w:tcW w:w="418" w:type="pct"/>
            <w:tcBorders>
              <w:top w:val="nil"/>
              <w:bottom w:val="single" w:sz="4" w:space="0" w:color="auto"/>
            </w:tcBorders>
            <w:shd w:val="clear" w:color="auto" w:fill="auto"/>
            <w:vAlign w:val="center"/>
          </w:tcPr>
          <w:p w:rsidR="006B1F66" w:rsidRPr="00A55F63" w:rsidRDefault="006B1F66" w:rsidP="002C54BB">
            <w:pPr>
              <w:pStyle w:val="NoSpacing"/>
              <w:jc w:val="center"/>
            </w:pPr>
            <w:r w:rsidRPr="00A55F63">
              <w:t>50</w:t>
            </w:r>
          </w:p>
        </w:tc>
        <w:tc>
          <w:tcPr>
            <w:tcW w:w="420" w:type="pct"/>
            <w:tcBorders>
              <w:top w:val="nil"/>
              <w:bottom w:val="single" w:sz="4" w:space="0" w:color="auto"/>
            </w:tcBorders>
            <w:shd w:val="clear" w:color="auto" w:fill="auto"/>
            <w:vAlign w:val="center"/>
          </w:tcPr>
          <w:p w:rsidR="006B1F66" w:rsidRPr="00A55F63" w:rsidRDefault="00D11659" w:rsidP="002C54BB">
            <w:pPr>
              <w:pStyle w:val="NoSpacing"/>
              <w:jc w:val="center"/>
            </w:pPr>
            <w:r>
              <w:t>125</w:t>
            </w:r>
          </w:p>
        </w:tc>
      </w:tr>
      <w:tr w:rsidR="006D777D" w:rsidRPr="00A55F63" w:rsidTr="006E6BE6">
        <w:trPr>
          <w:trHeight w:val="288"/>
        </w:trPr>
        <w:tc>
          <w:tcPr>
            <w:tcW w:w="3326" w:type="pct"/>
            <w:gridSpan w:val="2"/>
            <w:tcBorders>
              <w:top w:val="single" w:sz="4" w:space="0" w:color="auto"/>
              <w:bottom w:val="single" w:sz="4" w:space="0" w:color="auto"/>
            </w:tcBorders>
            <w:shd w:val="clear" w:color="auto" w:fill="auto"/>
            <w:vAlign w:val="center"/>
          </w:tcPr>
          <w:p w:rsidR="006B1F66" w:rsidRPr="00A55F63" w:rsidRDefault="006B1F66" w:rsidP="000846C9">
            <w:pPr>
              <w:pStyle w:val="NoSpacing"/>
            </w:pPr>
            <w:r w:rsidRPr="00A55F63">
              <w:t>Total points awarded</w:t>
            </w:r>
          </w:p>
        </w:tc>
        <w:tc>
          <w:tcPr>
            <w:tcW w:w="418" w:type="pct"/>
            <w:tcBorders>
              <w:top w:val="single" w:sz="4" w:space="0" w:color="auto"/>
              <w:bottom w:val="single" w:sz="4" w:space="0" w:color="auto"/>
            </w:tcBorders>
            <w:shd w:val="clear" w:color="auto" w:fill="auto"/>
            <w:vAlign w:val="center"/>
          </w:tcPr>
          <w:p w:rsidR="006B1F66" w:rsidRPr="00A55F63" w:rsidRDefault="006B1F66" w:rsidP="002C54BB">
            <w:pPr>
              <w:pStyle w:val="NoSpacing"/>
              <w:jc w:val="center"/>
            </w:pPr>
            <w:r w:rsidRPr="00A55F63">
              <w:t>375</w:t>
            </w:r>
          </w:p>
        </w:tc>
        <w:tc>
          <w:tcPr>
            <w:tcW w:w="418" w:type="pct"/>
            <w:tcBorders>
              <w:top w:val="single" w:sz="4" w:space="0" w:color="auto"/>
              <w:bottom w:val="single" w:sz="4" w:space="0" w:color="auto"/>
            </w:tcBorders>
            <w:shd w:val="clear" w:color="auto" w:fill="auto"/>
            <w:vAlign w:val="center"/>
          </w:tcPr>
          <w:p w:rsidR="006B1F66" w:rsidRPr="00A55F63" w:rsidRDefault="006B1F66" w:rsidP="002C54BB">
            <w:pPr>
              <w:pStyle w:val="NoSpacing"/>
              <w:jc w:val="center"/>
            </w:pPr>
            <w:r w:rsidRPr="00A55F63">
              <w:t>425</w:t>
            </w:r>
          </w:p>
        </w:tc>
        <w:tc>
          <w:tcPr>
            <w:tcW w:w="418" w:type="pct"/>
            <w:tcBorders>
              <w:top w:val="single" w:sz="4" w:space="0" w:color="auto"/>
              <w:bottom w:val="single" w:sz="4" w:space="0" w:color="auto"/>
            </w:tcBorders>
            <w:shd w:val="clear" w:color="auto" w:fill="auto"/>
            <w:vAlign w:val="center"/>
          </w:tcPr>
          <w:p w:rsidR="006B1F66" w:rsidRPr="00A55F63" w:rsidRDefault="006B1F66" w:rsidP="002C54BB">
            <w:pPr>
              <w:pStyle w:val="NoSpacing"/>
              <w:jc w:val="center"/>
            </w:pPr>
            <w:r w:rsidRPr="00A55F63">
              <w:t>550</w:t>
            </w:r>
          </w:p>
        </w:tc>
        <w:tc>
          <w:tcPr>
            <w:tcW w:w="420" w:type="pct"/>
            <w:tcBorders>
              <w:top w:val="single" w:sz="4" w:space="0" w:color="auto"/>
              <w:bottom w:val="single" w:sz="4" w:space="0" w:color="auto"/>
            </w:tcBorders>
            <w:shd w:val="clear" w:color="auto" w:fill="auto"/>
            <w:vAlign w:val="center"/>
          </w:tcPr>
          <w:p w:rsidR="006B1F66" w:rsidRPr="00A55F63" w:rsidRDefault="00D11659" w:rsidP="002C54BB">
            <w:pPr>
              <w:pStyle w:val="NoSpacing"/>
              <w:jc w:val="center"/>
            </w:pPr>
            <w:r>
              <w:t>750</w:t>
            </w:r>
          </w:p>
        </w:tc>
      </w:tr>
      <w:tr w:rsidR="006D777D" w:rsidRPr="00A55F63" w:rsidTr="006E6BE6">
        <w:trPr>
          <w:trHeight w:val="288"/>
        </w:trPr>
        <w:tc>
          <w:tcPr>
            <w:tcW w:w="3326" w:type="pct"/>
            <w:gridSpan w:val="2"/>
            <w:tcBorders>
              <w:top w:val="single" w:sz="4" w:space="0" w:color="auto"/>
              <w:bottom w:val="single" w:sz="4" w:space="0" w:color="auto"/>
            </w:tcBorders>
            <w:shd w:val="clear" w:color="auto" w:fill="auto"/>
            <w:vAlign w:val="center"/>
          </w:tcPr>
          <w:p w:rsidR="006B1F66" w:rsidRPr="00A55F63" w:rsidRDefault="006B1F66" w:rsidP="000846C9">
            <w:pPr>
              <w:pStyle w:val="NoSpacing"/>
            </w:pPr>
            <w:r w:rsidRPr="00A55F63">
              <w:t>Number of achievement, growth, and high school indicators</w:t>
            </w:r>
          </w:p>
        </w:tc>
        <w:tc>
          <w:tcPr>
            <w:tcW w:w="418" w:type="pct"/>
            <w:tcBorders>
              <w:top w:val="single" w:sz="4" w:space="0" w:color="auto"/>
              <w:bottom w:val="single" w:sz="4" w:space="0" w:color="auto"/>
            </w:tcBorders>
            <w:shd w:val="clear" w:color="auto" w:fill="auto"/>
            <w:vAlign w:val="center"/>
          </w:tcPr>
          <w:p w:rsidR="006B1F66" w:rsidRPr="00A55F63" w:rsidRDefault="006B1F66" w:rsidP="002C54BB">
            <w:pPr>
              <w:pStyle w:val="NoSpacing"/>
              <w:jc w:val="center"/>
            </w:pPr>
            <w:r w:rsidRPr="00A55F63">
              <w:t>7</w:t>
            </w:r>
          </w:p>
        </w:tc>
        <w:tc>
          <w:tcPr>
            <w:tcW w:w="418" w:type="pct"/>
            <w:tcBorders>
              <w:top w:val="single" w:sz="4" w:space="0" w:color="auto"/>
              <w:bottom w:val="single" w:sz="4" w:space="0" w:color="auto"/>
            </w:tcBorders>
            <w:shd w:val="clear" w:color="auto" w:fill="auto"/>
            <w:vAlign w:val="center"/>
          </w:tcPr>
          <w:p w:rsidR="006B1F66" w:rsidRPr="00A55F63" w:rsidRDefault="006B1F66" w:rsidP="002C54BB">
            <w:pPr>
              <w:pStyle w:val="NoSpacing"/>
              <w:jc w:val="center"/>
            </w:pPr>
            <w:r w:rsidRPr="00A55F63">
              <w:t>7</w:t>
            </w:r>
          </w:p>
        </w:tc>
        <w:tc>
          <w:tcPr>
            <w:tcW w:w="418" w:type="pct"/>
            <w:tcBorders>
              <w:top w:val="single" w:sz="4" w:space="0" w:color="auto"/>
              <w:bottom w:val="single" w:sz="4" w:space="0" w:color="auto"/>
            </w:tcBorders>
            <w:shd w:val="clear" w:color="auto" w:fill="auto"/>
            <w:vAlign w:val="center"/>
          </w:tcPr>
          <w:p w:rsidR="006B1F66" w:rsidRPr="00A55F63" w:rsidRDefault="006B1F66" w:rsidP="002C54BB">
            <w:pPr>
              <w:pStyle w:val="NoSpacing"/>
              <w:jc w:val="center"/>
            </w:pPr>
            <w:r w:rsidRPr="00A55F63">
              <w:t>7</w:t>
            </w:r>
          </w:p>
        </w:tc>
        <w:tc>
          <w:tcPr>
            <w:tcW w:w="420" w:type="pct"/>
            <w:tcBorders>
              <w:top w:val="single" w:sz="4" w:space="0" w:color="auto"/>
              <w:bottom w:val="single" w:sz="4" w:space="0" w:color="auto"/>
            </w:tcBorders>
            <w:shd w:val="clear" w:color="auto" w:fill="auto"/>
            <w:vAlign w:val="center"/>
          </w:tcPr>
          <w:p w:rsidR="006B1F66" w:rsidRPr="00A55F63" w:rsidRDefault="006B1F66" w:rsidP="002C54BB">
            <w:pPr>
              <w:pStyle w:val="NoSpacing"/>
              <w:jc w:val="center"/>
            </w:pPr>
            <w:r w:rsidRPr="00A55F63">
              <w:t>7</w:t>
            </w:r>
          </w:p>
        </w:tc>
      </w:tr>
      <w:tr w:rsidR="006D777D" w:rsidRPr="009C3327" w:rsidTr="006E6BE6">
        <w:trPr>
          <w:trHeight w:val="288"/>
        </w:trPr>
        <w:tc>
          <w:tcPr>
            <w:tcW w:w="3326" w:type="pct"/>
            <w:gridSpan w:val="2"/>
            <w:tcBorders>
              <w:top w:val="single" w:sz="4" w:space="0" w:color="auto"/>
              <w:bottom w:val="single" w:sz="4" w:space="0" w:color="auto"/>
            </w:tcBorders>
            <w:shd w:val="clear" w:color="auto" w:fill="auto"/>
            <w:vAlign w:val="center"/>
          </w:tcPr>
          <w:p w:rsidR="006B1F66" w:rsidRPr="009C3327" w:rsidRDefault="006B1F66" w:rsidP="000846C9">
            <w:pPr>
              <w:pStyle w:val="NoSpacing"/>
              <w:rPr>
                <w:b/>
              </w:rPr>
            </w:pPr>
            <w:r w:rsidRPr="009C3327">
              <w:rPr>
                <w:b/>
              </w:rPr>
              <w:t>Annual PPI</w:t>
            </w:r>
          </w:p>
        </w:tc>
        <w:tc>
          <w:tcPr>
            <w:tcW w:w="418" w:type="pct"/>
            <w:tcBorders>
              <w:top w:val="single" w:sz="4" w:space="0" w:color="auto"/>
              <w:bottom w:val="single" w:sz="4" w:space="0" w:color="auto"/>
            </w:tcBorders>
            <w:shd w:val="clear" w:color="auto" w:fill="auto"/>
            <w:vAlign w:val="center"/>
          </w:tcPr>
          <w:p w:rsidR="006B1F66" w:rsidRPr="009C3327" w:rsidRDefault="006B1F66" w:rsidP="002C54BB">
            <w:pPr>
              <w:pStyle w:val="NoSpacing"/>
              <w:jc w:val="center"/>
              <w:rPr>
                <w:b/>
              </w:rPr>
            </w:pPr>
            <w:r w:rsidRPr="009C3327">
              <w:rPr>
                <w:b/>
              </w:rPr>
              <w:t>54</w:t>
            </w:r>
          </w:p>
        </w:tc>
        <w:tc>
          <w:tcPr>
            <w:tcW w:w="418" w:type="pct"/>
            <w:tcBorders>
              <w:top w:val="single" w:sz="4" w:space="0" w:color="auto"/>
              <w:bottom w:val="single" w:sz="4" w:space="0" w:color="auto"/>
            </w:tcBorders>
            <w:shd w:val="clear" w:color="auto" w:fill="auto"/>
            <w:vAlign w:val="center"/>
          </w:tcPr>
          <w:p w:rsidR="006B1F66" w:rsidRPr="009C3327" w:rsidRDefault="006B1F66" w:rsidP="002C54BB">
            <w:pPr>
              <w:pStyle w:val="NoSpacing"/>
              <w:jc w:val="center"/>
              <w:rPr>
                <w:b/>
              </w:rPr>
            </w:pPr>
            <w:r w:rsidRPr="009C3327">
              <w:rPr>
                <w:b/>
              </w:rPr>
              <w:t>61</w:t>
            </w:r>
          </w:p>
        </w:tc>
        <w:tc>
          <w:tcPr>
            <w:tcW w:w="418" w:type="pct"/>
            <w:tcBorders>
              <w:top w:val="single" w:sz="4" w:space="0" w:color="auto"/>
              <w:bottom w:val="single" w:sz="4" w:space="0" w:color="auto"/>
            </w:tcBorders>
            <w:shd w:val="clear" w:color="auto" w:fill="auto"/>
            <w:vAlign w:val="center"/>
          </w:tcPr>
          <w:p w:rsidR="006B1F66" w:rsidRPr="009C3327" w:rsidRDefault="006B1F66" w:rsidP="002C54BB">
            <w:pPr>
              <w:pStyle w:val="NoSpacing"/>
              <w:jc w:val="center"/>
              <w:rPr>
                <w:b/>
              </w:rPr>
            </w:pPr>
            <w:r w:rsidRPr="009C3327">
              <w:rPr>
                <w:b/>
              </w:rPr>
              <w:t>79</w:t>
            </w:r>
          </w:p>
        </w:tc>
        <w:tc>
          <w:tcPr>
            <w:tcW w:w="420" w:type="pct"/>
            <w:tcBorders>
              <w:top w:val="single" w:sz="4" w:space="0" w:color="auto"/>
              <w:bottom w:val="single" w:sz="4" w:space="0" w:color="auto"/>
            </w:tcBorders>
            <w:shd w:val="clear" w:color="auto" w:fill="auto"/>
            <w:vAlign w:val="center"/>
          </w:tcPr>
          <w:p w:rsidR="006B1F66" w:rsidRPr="009C3327" w:rsidRDefault="00992243" w:rsidP="002C54BB">
            <w:pPr>
              <w:pStyle w:val="NoSpacing"/>
              <w:jc w:val="center"/>
              <w:rPr>
                <w:b/>
              </w:rPr>
            </w:pPr>
            <w:r>
              <w:rPr>
                <w:b/>
              </w:rPr>
              <w:t>107</w:t>
            </w:r>
          </w:p>
        </w:tc>
      </w:tr>
      <w:tr w:rsidR="006D777D" w:rsidRPr="009C3327" w:rsidTr="004F3592">
        <w:trPr>
          <w:trHeight w:val="288"/>
        </w:trPr>
        <w:tc>
          <w:tcPr>
            <w:tcW w:w="3326" w:type="pct"/>
            <w:gridSpan w:val="2"/>
            <w:tcBorders>
              <w:top w:val="single" w:sz="4" w:space="0" w:color="auto"/>
            </w:tcBorders>
            <w:shd w:val="clear" w:color="auto" w:fill="auto"/>
            <w:vAlign w:val="center"/>
          </w:tcPr>
          <w:p w:rsidR="006B1F66" w:rsidRPr="009C3327" w:rsidRDefault="006B1F66" w:rsidP="005744B6">
            <w:pPr>
              <w:pStyle w:val="NoSpacing"/>
              <w:rPr>
                <w:b/>
              </w:rPr>
            </w:pPr>
            <w:r w:rsidRPr="009C3327">
              <w:rPr>
                <w:b/>
              </w:rPr>
              <w:t xml:space="preserve">Cumulative PPI </w:t>
            </w:r>
            <w:r w:rsidRPr="009C3327">
              <w:t>(</w:t>
            </w:r>
            <w:r w:rsidR="005744B6">
              <w:t>2014</w:t>
            </w:r>
            <w:r w:rsidRPr="009C3327">
              <w:t xml:space="preserve">*1 + </w:t>
            </w:r>
            <w:r w:rsidR="005744B6">
              <w:t>2015</w:t>
            </w:r>
            <w:r w:rsidRPr="009C3327">
              <w:t xml:space="preserve">*2 + </w:t>
            </w:r>
            <w:r w:rsidR="005744B6">
              <w:t>2016</w:t>
            </w:r>
            <w:r w:rsidRPr="009C3327">
              <w:t xml:space="preserve">*3 + </w:t>
            </w:r>
            <w:r w:rsidR="005744B6">
              <w:t>2017</w:t>
            </w:r>
            <w:r w:rsidRPr="009C3327">
              <w:t xml:space="preserve">*4) </w:t>
            </w:r>
            <w:r w:rsidR="00F842A3" w:rsidRPr="009C3327">
              <w:t>÷</w:t>
            </w:r>
            <w:r w:rsidRPr="009C3327">
              <w:t xml:space="preserve"> 10</w:t>
            </w:r>
          </w:p>
        </w:tc>
        <w:tc>
          <w:tcPr>
            <w:tcW w:w="1674" w:type="pct"/>
            <w:gridSpan w:val="4"/>
            <w:tcBorders>
              <w:top w:val="single" w:sz="4" w:space="0" w:color="auto"/>
            </w:tcBorders>
            <w:shd w:val="clear" w:color="auto" w:fill="auto"/>
            <w:vAlign w:val="center"/>
          </w:tcPr>
          <w:p w:rsidR="006B1F66" w:rsidRPr="009C3327" w:rsidRDefault="00992243" w:rsidP="002C54BB">
            <w:pPr>
              <w:pStyle w:val="NoSpacing"/>
              <w:jc w:val="center"/>
              <w:rPr>
                <w:b/>
              </w:rPr>
            </w:pPr>
            <w:r>
              <w:rPr>
                <w:b/>
              </w:rPr>
              <w:t>84</w:t>
            </w:r>
          </w:p>
        </w:tc>
      </w:tr>
    </w:tbl>
    <w:p w:rsidR="00476487" w:rsidRDefault="00660E12" w:rsidP="00ED2BC2">
      <w:pPr>
        <w:pStyle w:val="Heading3"/>
      </w:pPr>
      <w:bookmarkStart w:id="29" w:name="_Toc435178308"/>
      <w:bookmarkStart w:id="30" w:name="_Toc435178514"/>
      <w:bookmarkStart w:id="31" w:name="_Toc490741852"/>
      <w:bookmarkEnd w:id="27"/>
      <w:bookmarkEnd w:id="28"/>
      <w:r>
        <w:t>A</w:t>
      </w:r>
      <w:r w:rsidR="00476487">
        <w:t>ccountability reporting and the economically disadvantaged subgroup</w:t>
      </w:r>
      <w:bookmarkEnd w:id="29"/>
      <w:bookmarkEnd w:id="30"/>
      <w:bookmarkEnd w:id="31"/>
    </w:p>
    <w:p w:rsidR="00EF760C" w:rsidRDefault="00660E12" w:rsidP="00476487">
      <w:r>
        <w:t xml:space="preserve">Since </w:t>
      </w:r>
      <w:r w:rsidR="00476487" w:rsidRPr="000E0F46">
        <w:t>2015, ESE no longer report</w:t>
      </w:r>
      <w:r>
        <w:t>s</w:t>
      </w:r>
      <w:r w:rsidR="00476487" w:rsidRPr="000E0F46">
        <w:t xml:space="preserve"> data for the low income student group</w:t>
      </w:r>
      <w:r w:rsidR="00476487">
        <w:t xml:space="preserve">, and instead </w:t>
      </w:r>
      <w:r w:rsidR="00EF760C">
        <w:t>report</w:t>
      </w:r>
      <w:r>
        <w:t>s</w:t>
      </w:r>
      <w:r w:rsidR="00EF760C">
        <w:t xml:space="preserve"> data</w:t>
      </w:r>
      <w:r w:rsidR="00476487" w:rsidRPr="000E0F46">
        <w:t xml:space="preserve"> for the economically disadvantaged group</w:t>
      </w:r>
      <w:r w:rsidR="00476487">
        <w:t xml:space="preserve">. </w:t>
      </w:r>
      <w:r w:rsidR="00297BFA">
        <w:t>Because</w:t>
      </w:r>
      <w:r w:rsidR="00BF3D9C">
        <w:t xml:space="preserve"> the State is the early years of using a new system for collecting poverty information</w:t>
      </w:r>
      <w:r w:rsidR="00EF760C">
        <w:t xml:space="preserve">, ESE </w:t>
      </w:r>
      <w:r>
        <w:t>has made</w:t>
      </w:r>
      <w:r w:rsidR="00EF760C">
        <w:t xml:space="preserve"> a few adjustments to accountability calculations for both the economically disadvantaged and high needs subgroups.</w:t>
      </w:r>
    </w:p>
    <w:p w:rsidR="00EF760C" w:rsidRPr="00EF760C" w:rsidRDefault="00EF760C" w:rsidP="00EF760C">
      <w:r>
        <w:lastRenderedPageBreak/>
        <w:t xml:space="preserve">Data related to achievement, improvement, and high school measures </w:t>
      </w:r>
      <w:r w:rsidR="00660E12">
        <w:t>are</w:t>
      </w:r>
      <w:r>
        <w:t xml:space="preserve"> reported for the economically disadvantaged group in 2015</w:t>
      </w:r>
      <w:r w:rsidR="005744B6">
        <w:t>,</w:t>
      </w:r>
      <w:r w:rsidR="00DE29E0">
        <w:t xml:space="preserve"> </w:t>
      </w:r>
      <w:r w:rsidR="00660E12">
        <w:t>2016</w:t>
      </w:r>
      <w:r w:rsidR="005744B6">
        <w:t>, and 2017</w:t>
      </w:r>
      <w:r>
        <w:t xml:space="preserve">. </w:t>
      </w:r>
      <w:r w:rsidR="00BF3D9C">
        <w:t xml:space="preserve">With </w:t>
      </w:r>
      <w:r w:rsidR="005744B6">
        <w:t xml:space="preserve">three </w:t>
      </w:r>
      <w:r w:rsidR="00BF3D9C">
        <w:t xml:space="preserve">years of data for this group, </w:t>
      </w:r>
      <w:r w:rsidR="005744B6">
        <w:t xml:space="preserve">2016 and 2017 </w:t>
      </w:r>
      <w:r w:rsidR="00BF3D9C">
        <w:t>annual PPI</w:t>
      </w:r>
      <w:r w:rsidR="005744B6">
        <w:t>s</w:t>
      </w:r>
      <w:r w:rsidR="00BF3D9C">
        <w:t xml:space="preserve"> </w:t>
      </w:r>
      <w:r w:rsidR="00DE29E0">
        <w:t>are</w:t>
      </w:r>
      <w:r w:rsidR="00BF3D9C">
        <w:t xml:space="preserve"> calculated for</w:t>
      </w:r>
      <w:r w:rsidR="00554065">
        <w:t xml:space="preserve"> any group that meets the minimum group size requirements</w:t>
      </w:r>
      <w:r w:rsidR="00BF3D9C">
        <w:t xml:space="preserve">. </w:t>
      </w:r>
      <w:r>
        <w:t xml:space="preserve">However, </w:t>
      </w:r>
      <w:r w:rsidR="00BF3D9C">
        <w:t>since</w:t>
      </w:r>
      <w:r>
        <w:t xml:space="preserve"> </w:t>
      </w:r>
      <w:r w:rsidR="00BF3D9C">
        <w:t xml:space="preserve">the calculation of the </w:t>
      </w:r>
      <w:r>
        <w:t xml:space="preserve">cumulative PPI </w:t>
      </w:r>
      <w:r w:rsidR="00BF3D9C">
        <w:t xml:space="preserve">requires at least four years of data, cumulative PPIs for the economically disadvantaged group </w:t>
      </w:r>
      <w:r w:rsidR="00484B39">
        <w:t>are not</w:t>
      </w:r>
      <w:r>
        <w:t xml:space="preserve"> reported</w:t>
      </w:r>
      <w:r w:rsidR="00BF3D9C">
        <w:t xml:space="preserve"> in </w:t>
      </w:r>
      <w:r w:rsidR="005744B6">
        <w:t>2017</w:t>
      </w:r>
      <w:r>
        <w:t xml:space="preserve">. </w:t>
      </w:r>
    </w:p>
    <w:p w:rsidR="00E20E90" w:rsidRDefault="00B72232" w:rsidP="00E20E90">
      <w:r>
        <w:t>I</w:t>
      </w:r>
      <w:r w:rsidR="009E24A2">
        <w:t xml:space="preserve">n 2015 </w:t>
      </w:r>
      <w:r w:rsidR="005C2E62">
        <w:t xml:space="preserve">ESE </w:t>
      </w:r>
      <w:r>
        <w:t>applied</w:t>
      </w:r>
      <w:r w:rsidR="005C2E62">
        <w:t xml:space="preserve"> a</w:t>
      </w:r>
      <w:r w:rsidR="005C2E62" w:rsidRPr="000E0F46">
        <w:t xml:space="preserve"> “hold harmless” provisi</w:t>
      </w:r>
      <w:r w:rsidR="005C2E62">
        <w:t xml:space="preserve">on when calculating the </w:t>
      </w:r>
      <w:r w:rsidR="007310E7">
        <w:t>annual</w:t>
      </w:r>
      <w:r w:rsidR="005C2E62">
        <w:t xml:space="preserve"> PPI for the high needs group. T</w:t>
      </w:r>
      <w:r w:rsidR="00476487" w:rsidRPr="000E0F46">
        <w:t>he</w:t>
      </w:r>
      <w:r w:rsidR="00A55D1C">
        <w:t xml:space="preserve"> group’s</w:t>
      </w:r>
      <w:r w:rsidR="00476487" w:rsidRPr="000E0F46">
        <w:t xml:space="preserve"> </w:t>
      </w:r>
      <w:r w:rsidR="005C2E62">
        <w:t xml:space="preserve">2015 data </w:t>
      </w:r>
      <w:r>
        <w:t>was</w:t>
      </w:r>
      <w:r w:rsidR="005C2E62">
        <w:t xml:space="preserve"> used to calculate the 2015 </w:t>
      </w:r>
      <w:r w:rsidR="00476487" w:rsidRPr="000E0F46">
        <w:t>annual PPI</w:t>
      </w:r>
      <w:r w:rsidR="005C2E62">
        <w:t xml:space="preserve">, which </w:t>
      </w:r>
      <w:r>
        <w:t>was then</w:t>
      </w:r>
      <w:r w:rsidR="005C2E62">
        <w:t xml:space="preserve"> compared to the </w:t>
      </w:r>
      <w:r w:rsidR="009E24A2">
        <w:t xml:space="preserve">high needs group’s </w:t>
      </w:r>
      <w:r w:rsidR="005C2E62">
        <w:t xml:space="preserve">2014 annual PPI. </w:t>
      </w:r>
      <w:r w:rsidR="009E24A2">
        <w:t>ESE assign</w:t>
      </w:r>
      <w:r>
        <w:t>ed</w:t>
      </w:r>
      <w:r w:rsidR="009E24A2">
        <w:t xml:space="preserve"> credit for w</w:t>
      </w:r>
      <w:r w:rsidR="005C2E62">
        <w:t>hiche</w:t>
      </w:r>
      <w:r w:rsidR="00476487" w:rsidRPr="000E0F46">
        <w:t xml:space="preserve">ver annual PPI </w:t>
      </w:r>
      <w:r>
        <w:t>was</w:t>
      </w:r>
      <w:r w:rsidRPr="000E0F46">
        <w:t xml:space="preserve"> </w:t>
      </w:r>
      <w:r w:rsidR="00476487" w:rsidRPr="000E0F46">
        <w:t xml:space="preserve">higher </w:t>
      </w:r>
      <w:r w:rsidR="005C2E62">
        <w:t>to the high needs group for 2015</w:t>
      </w:r>
      <w:r w:rsidR="00476487" w:rsidRPr="000E0F46">
        <w:t xml:space="preserve"> and use</w:t>
      </w:r>
      <w:r>
        <w:t>d</w:t>
      </w:r>
      <w:r w:rsidR="009E24A2">
        <w:t xml:space="preserve"> that value</w:t>
      </w:r>
      <w:r w:rsidR="00476487" w:rsidRPr="000E0F46">
        <w:t xml:space="preserve"> in the </w:t>
      </w:r>
      <w:r>
        <w:t xml:space="preserve">2015 </w:t>
      </w:r>
      <w:r w:rsidR="00476487" w:rsidRPr="000E0F46">
        <w:t>cumulative PPI calculation</w:t>
      </w:r>
      <w:r w:rsidR="00A55D1C">
        <w:t xml:space="preserve">. </w:t>
      </w:r>
      <w:bookmarkStart w:id="32" w:name="_Toc435178309"/>
      <w:bookmarkStart w:id="33" w:name="_Toc435178515"/>
      <w:r w:rsidR="00E20E90" w:rsidRPr="00E20E90">
        <w:t xml:space="preserve">A 2015 </w:t>
      </w:r>
      <w:r w:rsidR="00E20E90">
        <w:t xml:space="preserve">annual PPI with an asterisk </w:t>
      </w:r>
      <w:r w:rsidR="00E20E90" w:rsidRPr="00E20E90">
        <w:t xml:space="preserve">on </w:t>
      </w:r>
      <w:r w:rsidR="00E20E90">
        <w:t xml:space="preserve">the group-level detail of the accountability report </w:t>
      </w:r>
      <w:r w:rsidR="00E20E90" w:rsidRPr="00E20E90">
        <w:t xml:space="preserve">signals that the 2014 annual PPI was higher than the 2015 annual PPI, and </w:t>
      </w:r>
      <w:r w:rsidR="00484B39">
        <w:t>is</w:t>
      </w:r>
      <w:r w:rsidR="00484B39" w:rsidRPr="00E20E90">
        <w:t xml:space="preserve"> </w:t>
      </w:r>
      <w:r w:rsidR="00E20E90" w:rsidRPr="00E20E90">
        <w:t>used for both 2014 and 2015 in the cumulative PPI calculation.</w:t>
      </w:r>
    </w:p>
    <w:p w:rsidR="00DD1C01" w:rsidRPr="003902AC" w:rsidRDefault="005A1CA0" w:rsidP="00ED2BC2">
      <w:pPr>
        <w:pStyle w:val="Heading2"/>
      </w:pPr>
      <w:bookmarkStart w:id="34" w:name="_Toc490741853"/>
      <w:r>
        <w:t>Percentiles</w:t>
      </w:r>
      <w:bookmarkEnd w:id="32"/>
      <w:bookmarkEnd w:id="33"/>
      <w:bookmarkEnd w:id="34"/>
    </w:p>
    <w:p w:rsidR="005A1CA0" w:rsidRDefault="005A1CA0" w:rsidP="00ED2BC2">
      <w:pPr>
        <w:pStyle w:val="Heading3"/>
      </w:pPr>
      <w:bookmarkStart w:id="35" w:name="_Toc435178310"/>
      <w:bookmarkStart w:id="36" w:name="_Toc435178516"/>
      <w:bookmarkStart w:id="37" w:name="_Toc490741854"/>
      <w:r>
        <w:t>School percentiles</w:t>
      </w:r>
      <w:bookmarkEnd w:id="35"/>
      <w:bookmarkEnd w:id="36"/>
      <w:bookmarkEnd w:id="37"/>
    </w:p>
    <w:p w:rsidR="00CC5B25" w:rsidRDefault="00CC5B25" w:rsidP="005E67E6">
      <w:pPr>
        <w:rPr>
          <w:rFonts w:cs="Calibri"/>
        </w:rPr>
      </w:pPr>
      <w:r>
        <w:t xml:space="preserve">School percentiles (1-99) are reported for </w:t>
      </w:r>
      <w:r w:rsidR="00484B39">
        <w:t xml:space="preserve">high </w:t>
      </w:r>
      <w:r>
        <w:t>schools with at least four years of data. This number is an indication of the school’s overall performance relative to other schools that serve the same or similar grades.</w:t>
      </w:r>
      <w:r w:rsidRPr="00BD03CA">
        <w:t xml:space="preserve"> </w:t>
      </w:r>
      <w:r>
        <w:t>State law requires ESE to classify</w:t>
      </w:r>
      <w:r w:rsidR="00B07ADA">
        <w:t xml:space="preserve"> a school</w:t>
      </w:r>
      <w:r>
        <w:t xml:space="preserve"> into </w:t>
      </w:r>
      <w:r w:rsidRPr="00436103">
        <w:t xml:space="preserve">Level 3 </w:t>
      </w:r>
      <w:r>
        <w:t xml:space="preserve">if </w:t>
      </w:r>
      <w:r w:rsidR="00B07ADA">
        <w:t>it is</w:t>
      </w:r>
      <w:r>
        <w:t xml:space="preserve"> </w:t>
      </w:r>
      <w:r w:rsidR="00846B2F">
        <w:t xml:space="preserve">among the lowest </w:t>
      </w:r>
      <w:r w:rsidR="00B07ADA">
        <w:t xml:space="preserve">performing </w:t>
      </w:r>
      <w:r w:rsidR="00846B2F">
        <w:t>20 percent</w:t>
      </w:r>
      <w:r>
        <w:t xml:space="preserve"> of schools</w:t>
      </w:r>
      <w:r w:rsidRPr="00436103">
        <w:t xml:space="preserve"> relative to other schools </w:t>
      </w:r>
      <w:r w:rsidR="008868C8">
        <w:t>of</w:t>
      </w:r>
      <w:r w:rsidRPr="00436103">
        <w:t xml:space="preserve"> the same </w:t>
      </w:r>
      <w:r w:rsidR="008868C8">
        <w:t>school type</w:t>
      </w:r>
      <w:r>
        <w:rPr>
          <w:rFonts w:cs="Calibri"/>
        </w:rPr>
        <w:t xml:space="preserve"> (percentiles 1-20). </w:t>
      </w:r>
    </w:p>
    <w:p w:rsidR="00C97878" w:rsidRPr="009E3A2E" w:rsidRDefault="00C97878" w:rsidP="00AD1FFE">
      <w:pPr>
        <w:pStyle w:val="Heading4"/>
      </w:pPr>
      <w:bookmarkStart w:id="38" w:name="_Toc435178311"/>
      <w:bookmarkStart w:id="39" w:name="_Toc435178517"/>
      <w:r w:rsidRPr="009E3A2E">
        <w:t xml:space="preserve">The role of </w:t>
      </w:r>
      <w:r w:rsidR="008868C8" w:rsidRPr="009E3A2E">
        <w:t>school types</w:t>
      </w:r>
      <w:r w:rsidRPr="009E3A2E">
        <w:t xml:space="preserve"> in calculating school percentiles</w:t>
      </w:r>
      <w:bookmarkEnd w:id="38"/>
      <w:bookmarkEnd w:id="39"/>
    </w:p>
    <w:p w:rsidR="00C97878" w:rsidRPr="00E97C8D" w:rsidRDefault="00C97878" w:rsidP="005E67E6">
      <w:r w:rsidRPr="00C5028B">
        <w:t xml:space="preserve">All schools are classified into one of six </w:t>
      </w:r>
      <w:r w:rsidR="008868C8">
        <w:t>school type</w:t>
      </w:r>
      <w:r w:rsidRPr="00C5028B">
        <w:t xml:space="preserve"> categories based on the grades served by the school in the most recent year: (1) </w:t>
      </w:r>
      <w:r w:rsidRPr="00C5028B">
        <w:rPr>
          <w:i/>
        </w:rPr>
        <w:t>Early Elementary</w:t>
      </w:r>
      <w:r w:rsidRPr="00C5028B">
        <w:t>, usually schools ending in grades 1 or 2; (</w:t>
      </w:r>
      <w:r>
        <w:t>2</w:t>
      </w:r>
      <w:r w:rsidRPr="0066479A">
        <w:t xml:space="preserve">) </w:t>
      </w:r>
      <w:r w:rsidRPr="0066479A">
        <w:rPr>
          <w:i/>
        </w:rPr>
        <w:t>Elementary</w:t>
      </w:r>
      <w:r w:rsidRPr="0066479A">
        <w:t>, usually sc</w:t>
      </w:r>
      <w:r w:rsidR="00B07ADA">
        <w:t>hools serving grades K-5 or K-6</w:t>
      </w:r>
      <w:r w:rsidRPr="0066479A">
        <w:t xml:space="preserve">; </w:t>
      </w:r>
      <w:r>
        <w:t>(3</w:t>
      </w:r>
      <w:r w:rsidRPr="0066479A">
        <w:t xml:space="preserve">) </w:t>
      </w:r>
      <w:r w:rsidRPr="00C5028B">
        <w:rPr>
          <w:i/>
        </w:rPr>
        <w:t>Elementary/Middle</w:t>
      </w:r>
      <w:r w:rsidRPr="00C5028B">
        <w:t>, usu</w:t>
      </w:r>
      <w:r w:rsidR="00B07ADA">
        <w:t>ally schools serving grades K-8</w:t>
      </w:r>
      <w:r w:rsidRPr="00C5028B">
        <w:t xml:space="preserve">; (4) </w:t>
      </w:r>
      <w:r w:rsidRPr="00C5028B">
        <w:rPr>
          <w:i/>
        </w:rPr>
        <w:t>Middle</w:t>
      </w:r>
      <w:r w:rsidRPr="00C5028B">
        <w:t xml:space="preserve">, usually schools serving grades 6-8 or 7-8; (5) </w:t>
      </w:r>
      <w:r w:rsidRPr="00C5028B">
        <w:rPr>
          <w:i/>
        </w:rPr>
        <w:t>Middle/High</w:t>
      </w:r>
      <w:r w:rsidR="00B07ADA">
        <w:rPr>
          <w:i/>
        </w:rPr>
        <w:t xml:space="preserve"> or K-12</w:t>
      </w:r>
      <w:r w:rsidRPr="00C5028B">
        <w:t xml:space="preserve">, usually schools serving grades 7-12 </w:t>
      </w:r>
      <w:r w:rsidR="00B07ADA">
        <w:t>or K-12</w:t>
      </w:r>
      <w:r w:rsidRPr="00C5028B">
        <w:t xml:space="preserve">; and (6) </w:t>
      </w:r>
      <w:r w:rsidRPr="00C5028B">
        <w:rPr>
          <w:i/>
        </w:rPr>
        <w:t>High</w:t>
      </w:r>
      <w:r w:rsidRPr="00C5028B">
        <w:t>, usua</w:t>
      </w:r>
      <w:r w:rsidR="00B07ADA">
        <w:t>lly schools serving grades 9-12</w:t>
      </w:r>
      <w:r w:rsidRPr="00C5028B">
        <w:t xml:space="preserve">. </w:t>
      </w:r>
      <w:r w:rsidR="00484B39">
        <w:t>These</w:t>
      </w:r>
      <w:r w:rsidRPr="00C5028B">
        <w:t xml:space="preserve"> categories are used to </w:t>
      </w:r>
      <w:r>
        <w:t>calculate percentiles</w:t>
      </w:r>
      <w:r w:rsidRPr="00C5028B">
        <w:t xml:space="preserve"> and place schools into Level 3 if they are</w:t>
      </w:r>
      <w:r>
        <w:t xml:space="preserve"> among the lowest performing 20 percent</w:t>
      </w:r>
      <w:r w:rsidRPr="00C5028B">
        <w:t xml:space="preserve"> of schools with</w:t>
      </w:r>
      <w:r>
        <w:t xml:space="preserve">in that </w:t>
      </w:r>
      <w:r w:rsidR="008868C8">
        <w:t>school type category</w:t>
      </w:r>
      <w:r>
        <w:t>. School percentiles are not calculated for early elementary schools</w:t>
      </w:r>
      <w:r w:rsidR="00484B39">
        <w:t xml:space="preserve">, </w:t>
      </w:r>
      <w:r w:rsidR="00846B2F">
        <w:t>schools ending in grade 3</w:t>
      </w:r>
      <w:r w:rsidR="00484B39">
        <w:t>, or any school that administered the 2017 Next-Generation MCAS tests in grades 3-8</w:t>
      </w:r>
      <w:r>
        <w:t xml:space="preserve">.  </w:t>
      </w:r>
    </w:p>
    <w:p w:rsidR="00C97878" w:rsidRPr="009E3A2E" w:rsidRDefault="00881A46" w:rsidP="00AD1FFE">
      <w:pPr>
        <w:pStyle w:val="Heading4"/>
      </w:pPr>
      <w:bookmarkStart w:id="40" w:name="_Toc435178312"/>
      <w:bookmarkStart w:id="41" w:name="_Toc435178518"/>
      <w:r w:rsidRPr="009E3A2E">
        <w:t>Calculating school percentiles</w:t>
      </w:r>
      <w:bookmarkEnd w:id="40"/>
      <w:bookmarkEnd w:id="41"/>
    </w:p>
    <w:p w:rsidR="0031590E" w:rsidRDefault="002A2380">
      <w:pPr>
        <w:rPr>
          <w:rFonts w:cs="Calibri"/>
        </w:rPr>
      </w:pPr>
      <w:r>
        <w:t>A</w:t>
      </w:r>
      <w:r w:rsidR="00484B39">
        <w:t xml:space="preserve"> high</w:t>
      </w:r>
      <w:r>
        <w:t xml:space="preserve"> school must have</w:t>
      </w:r>
      <w:r w:rsidR="00CC5B25">
        <w:t xml:space="preserve"> four years of valid data, meaning that the school must have assessed at least 20 students in the aggregate over the most recent four year period</w:t>
      </w:r>
      <w:r>
        <w:t xml:space="preserve"> to receive a school percentile</w:t>
      </w:r>
      <w:r w:rsidR="00CC5B25">
        <w:t xml:space="preserve">. </w:t>
      </w:r>
      <w:r>
        <w:t xml:space="preserve">For each </w:t>
      </w:r>
      <w:r w:rsidR="00484B39">
        <w:t xml:space="preserve">high </w:t>
      </w:r>
      <w:r>
        <w:t xml:space="preserve">school with valid data, </w:t>
      </w:r>
      <w:r w:rsidR="00D6571A">
        <w:t xml:space="preserve">ESE </w:t>
      </w:r>
      <w:r w:rsidR="00CC5B25">
        <w:t xml:space="preserve">(A) calculates </w:t>
      </w:r>
      <w:r w:rsidR="00CC5B25" w:rsidRPr="0039271E">
        <w:t>percentile ranks (1-99) for each</w:t>
      </w:r>
      <w:r>
        <w:t xml:space="preserve"> achievement</w:t>
      </w:r>
      <w:r w:rsidR="002859A6">
        <w:t xml:space="preserve">, </w:t>
      </w:r>
      <w:r>
        <w:t>improvement</w:t>
      </w:r>
      <w:r w:rsidR="00A27DAB">
        <w:t>, and high school</w:t>
      </w:r>
      <w:r w:rsidR="00CC5B25" w:rsidRPr="0039271E">
        <w:t xml:space="preserve"> indicator as compared to other schools </w:t>
      </w:r>
      <w:r w:rsidR="008868C8">
        <w:t>of the same school type</w:t>
      </w:r>
      <w:r w:rsidR="00CC5B25">
        <w:t>, (B) calculates</w:t>
      </w:r>
      <w:r w:rsidR="00CC5B25" w:rsidRPr="0039271E">
        <w:t xml:space="preserve"> a mean (average) rank across </w:t>
      </w:r>
      <w:r w:rsidR="00A27DAB">
        <w:t xml:space="preserve">each of the </w:t>
      </w:r>
      <w:r>
        <w:t>achievement</w:t>
      </w:r>
      <w:r w:rsidR="002859A6">
        <w:t xml:space="preserve">, </w:t>
      </w:r>
      <w:r w:rsidR="00D513C9">
        <w:t>improvement</w:t>
      </w:r>
      <w:r w:rsidR="00A27DAB">
        <w:t>, and high school</w:t>
      </w:r>
      <w:r w:rsidR="00D513C9">
        <w:t xml:space="preserve"> indicators </w:t>
      </w:r>
      <w:r w:rsidR="00CC5B25" w:rsidRPr="0039271E">
        <w:t>that place</w:t>
      </w:r>
      <w:r w:rsidR="00D513C9">
        <w:t>s</w:t>
      </w:r>
      <w:r w:rsidR="00CC5B25" w:rsidRPr="0039271E">
        <w:t xml:space="preserve"> progressively more weight on data from more re</w:t>
      </w:r>
      <w:r w:rsidR="00CC5B25">
        <w:t>cent years (</w:t>
      </w:r>
      <w:r w:rsidR="009E24A2">
        <w:t>i.e</w:t>
      </w:r>
      <w:r w:rsidR="00306655">
        <w:t xml:space="preserve">., </w:t>
      </w:r>
      <w:r w:rsidR="00CC5B25">
        <w:t>1-2-3-4), (C) standardizes</w:t>
      </w:r>
      <w:r w:rsidR="00CC5B25" w:rsidRPr="0039271E">
        <w:t xml:space="preserve"> the relative value of </w:t>
      </w:r>
      <w:r w:rsidR="00D513C9">
        <w:t xml:space="preserve">the </w:t>
      </w:r>
      <w:r w:rsidR="00CC5B25" w:rsidRPr="0039271E">
        <w:t>achievement</w:t>
      </w:r>
      <w:r w:rsidR="00A27DAB">
        <w:t>,</w:t>
      </w:r>
      <w:r w:rsidR="00306655">
        <w:t xml:space="preserve"> improvement</w:t>
      </w:r>
      <w:r w:rsidR="00A27DAB">
        <w:t>, and high school</w:t>
      </w:r>
      <w:r w:rsidR="00CC5B25" w:rsidRPr="0039271E">
        <w:t xml:space="preserve"> </w:t>
      </w:r>
      <w:r w:rsidR="00D513C9">
        <w:t>means</w:t>
      </w:r>
      <w:r w:rsidR="00D513C9" w:rsidRPr="0039271E">
        <w:t xml:space="preserve"> </w:t>
      </w:r>
      <w:r w:rsidR="00CC5B25" w:rsidRPr="0039271E">
        <w:t xml:space="preserve">within each </w:t>
      </w:r>
      <w:r w:rsidR="008868C8">
        <w:t>school type category</w:t>
      </w:r>
      <w:r w:rsidR="00CC5B25" w:rsidRPr="0039271E">
        <w:t xml:space="preserve"> </w:t>
      </w:r>
      <w:r w:rsidR="00D513C9">
        <w:t xml:space="preserve">so that they are comparable, and (D) combines these means, with </w:t>
      </w:r>
      <w:r w:rsidR="00306655">
        <w:t xml:space="preserve">the </w:t>
      </w:r>
      <w:r w:rsidR="00CC5B25" w:rsidRPr="0039271E">
        <w:t xml:space="preserve">achievement </w:t>
      </w:r>
      <w:r w:rsidR="00306655">
        <w:lastRenderedPageBreak/>
        <w:t xml:space="preserve">mean </w:t>
      </w:r>
      <w:r w:rsidR="00D513C9">
        <w:t xml:space="preserve">weighted </w:t>
      </w:r>
      <w:r w:rsidR="00CC5B25">
        <w:t xml:space="preserve">more </w:t>
      </w:r>
      <w:r w:rsidR="00306655">
        <w:t xml:space="preserve">heavily </w:t>
      </w:r>
      <w:r w:rsidR="00CC5B25">
        <w:t xml:space="preserve">than </w:t>
      </w:r>
      <w:r w:rsidR="00306655">
        <w:t xml:space="preserve">the </w:t>
      </w:r>
      <w:r w:rsidR="00CC5B25">
        <w:t>improvement</w:t>
      </w:r>
      <w:r w:rsidR="00306655">
        <w:t xml:space="preserve"> and high school means</w:t>
      </w:r>
      <w:r w:rsidR="00CC5B25">
        <w:rPr>
          <w:rFonts w:cs="Calibri"/>
        </w:rPr>
        <w:t>.</w:t>
      </w:r>
      <w:r w:rsidR="00C97878" w:rsidRPr="00C97878">
        <w:rPr>
          <w:rFonts w:cs="Calibri"/>
        </w:rPr>
        <w:t xml:space="preserve"> </w:t>
      </w:r>
      <w:r w:rsidR="001A29F9">
        <w:rPr>
          <w:rFonts w:cs="Calibri"/>
        </w:rPr>
        <w:t xml:space="preserve">A more detailed description of the school percentile calculation can be found in </w:t>
      </w:r>
      <w:hyperlink w:anchor="_Appendix_C:_Methodology" w:history="1">
        <w:r w:rsidR="00167D7B">
          <w:rPr>
            <w:rStyle w:val="Hyperlink"/>
            <w:rFonts w:cs="Calibri"/>
          </w:rPr>
          <w:t>Appendix B</w:t>
        </w:r>
      </w:hyperlink>
      <w:r w:rsidR="001A29F9">
        <w:rPr>
          <w:rFonts w:cs="Calibri"/>
        </w:rPr>
        <w:t xml:space="preserve"> of this document. </w:t>
      </w:r>
    </w:p>
    <w:p w:rsidR="0031590E" w:rsidRDefault="00CC5B25" w:rsidP="00AD1FFE">
      <w:pPr>
        <w:pStyle w:val="Heading4"/>
      </w:pPr>
      <w:bookmarkStart w:id="42" w:name="_Toc435178313"/>
      <w:bookmarkStart w:id="43" w:name="_Toc435178519"/>
      <w:r w:rsidRPr="009E3A2E">
        <w:t xml:space="preserve">Comparing </w:t>
      </w:r>
      <w:r w:rsidR="00690677" w:rsidRPr="009E3A2E">
        <w:t>c</w:t>
      </w:r>
      <w:r w:rsidRPr="009E3A2E">
        <w:t xml:space="preserve">umulative PPIs and </w:t>
      </w:r>
      <w:r w:rsidR="00690677" w:rsidRPr="009E3A2E">
        <w:t>school p</w:t>
      </w:r>
      <w:r w:rsidRPr="009E3A2E">
        <w:t>ercentiles</w:t>
      </w:r>
      <w:bookmarkEnd w:id="42"/>
      <w:bookmarkEnd w:id="43"/>
    </w:p>
    <w:p w:rsidR="0031590E" w:rsidRDefault="00CC5B25">
      <w:pPr>
        <w:rPr>
          <w:rFonts w:cs="Calibri"/>
        </w:rPr>
      </w:pPr>
      <w:r>
        <w:t xml:space="preserve">While </w:t>
      </w:r>
      <w:r w:rsidR="00E84B34">
        <w:t>they</w:t>
      </w:r>
      <w:r>
        <w:t xml:space="preserve"> share the same indicators (i.e., CPI, growth, graduation and dropout rates, and percent </w:t>
      </w:r>
      <w:r w:rsidRPr="00703313">
        <w:rPr>
          <w:i/>
        </w:rPr>
        <w:t>Warning/Failing</w:t>
      </w:r>
      <w:r>
        <w:t xml:space="preserve"> and </w:t>
      </w:r>
      <w:r w:rsidRPr="00703313">
        <w:rPr>
          <w:i/>
        </w:rPr>
        <w:t>Advanced</w:t>
      </w:r>
      <w:r>
        <w:t xml:space="preserve">), school percentiles and cumulative PPIs are calculated differently because they are used for different purposes. The cumulative PPI is used to measure whether a school is on track towards reducing </w:t>
      </w:r>
      <w:r w:rsidR="00B07ADA">
        <w:t xml:space="preserve">its </w:t>
      </w:r>
      <w:r>
        <w:t xml:space="preserve">proficiency gaps. Accordingly, PPI points are awarded to a school based on its </w:t>
      </w:r>
      <w:r w:rsidRPr="00703313">
        <w:rPr>
          <w:i/>
        </w:rPr>
        <w:t>own</w:t>
      </w:r>
      <w:r>
        <w:t xml:space="preserve"> improvement toward its </w:t>
      </w:r>
      <w:r w:rsidRPr="00703313">
        <w:rPr>
          <w:i/>
        </w:rPr>
        <w:t>own</w:t>
      </w:r>
      <w:r>
        <w:t xml:space="preserve"> </w:t>
      </w:r>
      <w:r w:rsidR="00124F13">
        <w:t xml:space="preserve">state-set </w:t>
      </w:r>
      <w:r>
        <w:t xml:space="preserve">targets </w:t>
      </w:r>
      <w:r w:rsidR="00B07ADA">
        <w:t>on each of the PPI indicators. On the other hand, p</w:t>
      </w:r>
      <w:r>
        <w:t xml:space="preserve">ercentiles are used to compare schools to other schools serving the same or similar grades. </w:t>
      </w:r>
      <w:r w:rsidR="001F690C">
        <w:t>As such</w:t>
      </w:r>
      <w:r>
        <w:t xml:space="preserve">, percentiles are calculated by comparing each of these components for a school to other schools </w:t>
      </w:r>
      <w:r w:rsidR="008868C8">
        <w:t>of</w:t>
      </w:r>
      <w:r>
        <w:t xml:space="preserve"> the same </w:t>
      </w:r>
      <w:r w:rsidR="008868C8">
        <w:t>school type</w:t>
      </w:r>
      <w:r>
        <w:t>.</w:t>
      </w:r>
      <w:r w:rsidR="00B801F9">
        <w:t xml:space="preserve"> </w:t>
      </w:r>
      <w:r w:rsidR="00B801F9">
        <w:rPr>
          <w:rFonts w:cs="Calibri"/>
        </w:rPr>
        <w:t xml:space="preserve">Because </w:t>
      </w:r>
      <w:r w:rsidR="00B85DBC">
        <w:rPr>
          <w:rFonts w:cs="Calibri"/>
        </w:rPr>
        <w:t xml:space="preserve">high </w:t>
      </w:r>
      <w:r w:rsidR="00B801F9">
        <w:rPr>
          <w:rFonts w:cs="Calibri"/>
        </w:rPr>
        <w:t xml:space="preserve">schools are only being compared to other schools within the same </w:t>
      </w:r>
      <w:r w:rsidR="008868C8">
        <w:rPr>
          <w:rFonts w:cs="Calibri"/>
        </w:rPr>
        <w:t>school type category</w:t>
      </w:r>
      <w:r w:rsidR="00B801F9">
        <w:rPr>
          <w:rFonts w:cs="Calibri"/>
        </w:rPr>
        <w:t xml:space="preserve">, it would not be accurate to use a school percentile to determine where a school falls relative to all other schools in the state. </w:t>
      </w:r>
    </w:p>
    <w:p w:rsidR="0031590E" w:rsidRDefault="00124F13">
      <w:r>
        <w:t xml:space="preserve">Every school’s percentile and PPI tell a different story. For example, </w:t>
      </w:r>
      <w:r w:rsidR="00B426F3">
        <w:t xml:space="preserve">high </w:t>
      </w:r>
      <w:r>
        <w:t>schools with lower percentiles but higher PPIs for all student groups are showing improvement over time. Schools with higher percentiles but lower PPIs are high performing in relation to other schools, but have more work to do to support student success.</w:t>
      </w:r>
    </w:p>
    <w:p w:rsidR="002859A6" w:rsidRDefault="002859A6" w:rsidP="00ED2BC2">
      <w:pPr>
        <w:pStyle w:val="Heading3"/>
      </w:pPr>
      <w:bookmarkStart w:id="44" w:name="_Toc435178314"/>
      <w:bookmarkStart w:id="45" w:name="_Toc435178520"/>
      <w:bookmarkStart w:id="46" w:name="_Toc490741855"/>
      <w:r>
        <w:t>Subgroup percentiles</w:t>
      </w:r>
      <w:bookmarkEnd w:id="44"/>
      <w:bookmarkEnd w:id="45"/>
      <w:bookmarkEnd w:id="46"/>
    </w:p>
    <w:p w:rsidR="002859A6" w:rsidRDefault="002859A6" w:rsidP="002859A6">
      <w:r>
        <w:t xml:space="preserve">Subgroup percentiles are used to determine a group’s overall performance relative to groups in other schools that serve the same or similar grades. There are two kinds of subgroup percentiles, and both are calculated using the same methodology used to calculate school percentiles. The “in-group” percentile measures a group’s overall performance relative to the performance of the same subgroup statewide within the same school type category (e.g., comparing the </w:t>
      </w:r>
      <w:r w:rsidR="008C1A74">
        <w:t>students with disabilities</w:t>
      </w:r>
      <w:r>
        <w:t xml:space="preserve"> subgroup in one </w:t>
      </w:r>
      <w:r w:rsidR="001A6ED7">
        <w:t xml:space="preserve">high </w:t>
      </w:r>
      <w:r>
        <w:t xml:space="preserve">school to all other </w:t>
      </w:r>
      <w:r w:rsidR="008C1A74">
        <w:t xml:space="preserve">students with disabilities </w:t>
      </w:r>
      <w:r>
        <w:t xml:space="preserve">subgroups in </w:t>
      </w:r>
      <w:r w:rsidR="001A6ED7">
        <w:t xml:space="preserve">high </w:t>
      </w:r>
      <w:r>
        <w:t xml:space="preserve">schools statewide). The “all-subgroup” percentile measures a group’s overall performance relative to the performance of all subgroups statewide within the same school type category (e.g., comparing the </w:t>
      </w:r>
      <w:r w:rsidR="008C1A74">
        <w:t xml:space="preserve">students with disabilities </w:t>
      </w:r>
      <w:r>
        <w:t xml:space="preserve">subgroup in one </w:t>
      </w:r>
      <w:r w:rsidR="001A6ED7">
        <w:t xml:space="preserve">high </w:t>
      </w:r>
      <w:r>
        <w:t xml:space="preserve">school to all other subgroups in </w:t>
      </w:r>
      <w:r w:rsidR="001A6ED7">
        <w:t xml:space="preserve">high </w:t>
      </w:r>
      <w:r>
        <w:t xml:space="preserve">schools statewide). Any school with one or more groups having both in-group and all-subgroup percentiles of 20 or lower are eligible for classification as a Level 3 </w:t>
      </w:r>
      <w:r w:rsidRPr="00257957">
        <w:rPr>
          <w:i/>
        </w:rPr>
        <w:t>focus</w:t>
      </w:r>
      <w:r>
        <w:t xml:space="preserve"> school.</w:t>
      </w:r>
    </w:p>
    <w:p w:rsidR="00DD1C01" w:rsidRPr="003902AC" w:rsidRDefault="00DD1C01" w:rsidP="00ED2BC2">
      <w:pPr>
        <w:pStyle w:val="Heading2"/>
      </w:pPr>
      <w:bookmarkStart w:id="47" w:name="_Toc435178315"/>
      <w:bookmarkStart w:id="48" w:name="_Toc435178521"/>
      <w:bookmarkStart w:id="49" w:name="_Toc490741856"/>
      <w:r w:rsidRPr="003902AC">
        <w:t>Framework for accountability and assistance</w:t>
      </w:r>
      <w:bookmarkEnd w:id="47"/>
      <w:bookmarkEnd w:id="48"/>
      <w:bookmarkEnd w:id="49"/>
    </w:p>
    <w:p w:rsidR="007831C5" w:rsidRDefault="007831C5" w:rsidP="005E67E6">
      <w:r>
        <w:t xml:space="preserve">The state’s framework for accountability and assistance is a coherent structure for linking the state’s accountability and assistance activities with districts based on their level of need. </w:t>
      </w:r>
    </w:p>
    <w:p w:rsidR="00881A46" w:rsidRPr="009E3A2E" w:rsidRDefault="00881A46" w:rsidP="00ED2BC2">
      <w:pPr>
        <w:pStyle w:val="Heading3"/>
      </w:pPr>
      <w:bookmarkStart w:id="50" w:name="_Toc435178316"/>
      <w:bookmarkStart w:id="51" w:name="_Toc435178522"/>
      <w:bookmarkStart w:id="52" w:name="_Toc490741857"/>
      <w:r w:rsidRPr="009E3A2E">
        <w:t xml:space="preserve">Classification of </w:t>
      </w:r>
      <w:r w:rsidR="00A706D9">
        <w:t xml:space="preserve">high </w:t>
      </w:r>
      <w:r w:rsidRPr="003902AC">
        <w:t>schools</w:t>
      </w:r>
      <w:bookmarkEnd w:id="50"/>
      <w:bookmarkEnd w:id="51"/>
      <w:bookmarkEnd w:id="52"/>
    </w:p>
    <w:p w:rsidR="0031590E" w:rsidRDefault="00881A46">
      <w:r w:rsidRPr="006717DB">
        <w:t xml:space="preserve">All </w:t>
      </w:r>
      <w:r w:rsidR="001A6ED7">
        <w:t xml:space="preserve">high </w:t>
      </w:r>
      <w:r w:rsidRPr="006717DB">
        <w:t>schools with sufficient data</w:t>
      </w:r>
      <w:r w:rsidR="00B20DD8">
        <w:t>, including charter schools,</w:t>
      </w:r>
      <w:r>
        <w:t xml:space="preserve"> are classified into Levels 1-5, with</w:t>
      </w:r>
      <w:r w:rsidRPr="0066479A">
        <w:t xml:space="preserve"> </w:t>
      </w:r>
      <w:r w:rsidR="00C031B3">
        <w:t xml:space="preserve">schools that are meeting their gap-narrowing goals </w:t>
      </w:r>
      <w:r w:rsidR="0067530E">
        <w:t>i</w:t>
      </w:r>
      <w:r w:rsidR="00C031B3">
        <w:t xml:space="preserve">n Level 1 and those that require the most intervention and </w:t>
      </w:r>
      <w:r w:rsidR="00C031B3">
        <w:lastRenderedPageBreak/>
        <w:t xml:space="preserve">assistance in Levels 3, 4, and 5. </w:t>
      </w:r>
      <w:r>
        <w:t xml:space="preserve">“Sufficient data” means that, at a minimum, at least 20 students in a school </w:t>
      </w:r>
      <w:r w:rsidR="001071C0">
        <w:t>were assessed on ELA and m</w:t>
      </w:r>
      <w:r>
        <w:t>athematics MCAS</w:t>
      </w:r>
      <w:r w:rsidR="001B3BFD">
        <w:t xml:space="preserve"> </w:t>
      </w:r>
      <w:r>
        <w:t>tests.</w:t>
      </w:r>
    </w:p>
    <w:p w:rsidR="0031590E" w:rsidRDefault="004B28D3" w:rsidP="00AD1FFE">
      <w:pPr>
        <w:pStyle w:val="Heading4"/>
      </w:pPr>
      <w:bookmarkStart w:id="53" w:name="_Toc435178317"/>
      <w:bookmarkStart w:id="54" w:name="_Toc435178523"/>
      <w:r>
        <w:t>Performance</w:t>
      </w:r>
      <w:bookmarkEnd w:id="53"/>
      <w:bookmarkEnd w:id="54"/>
    </w:p>
    <w:p w:rsidR="0031590E" w:rsidRDefault="00881A46">
      <w:r>
        <w:t>Approximately e</w:t>
      </w:r>
      <w:r w:rsidRPr="006717DB">
        <w:t xml:space="preserve">ighty percent of </w:t>
      </w:r>
      <w:r w:rsidR="001A6ED7">
        <w:t xml:space="preserve">high </w:t>
      </w:r>
      <w:r w:rsidRPr="006717DB">
        <w:t xml:space="preserve">schools are classified into Level 1 or 2 based on the cumulative </w:t>
      </w:r>
      <w:r>
        <w:t xml:space="preserve">PPI </w:t>
      </w:r>
      <w:r w:rsidR="00B07ADA">
        <w:t>for</w:t>
      </w:r>
      <w:r w:rsidRPr="006717DB">
        <w:t xml:space="preserve"> </w:t>
      </w:r>
      <w:r>
        <w:t xml:space="preserve">all students </w:t>
      </w:r>
      <w:r w:rsidR="00065AC5">
        <w:t xml:space="preserve">and </w:t>
      </w:r>
      <w:r w:rsidRPr="006717DB">
        <w:t xml:space="preserve">high needs </w:t>
      </w:r>
      <w:r>
        <w:t xml:space="preserve">students. </w:t>
      </w:r>
      <w:r w:rsidRPr="00436103">
        <w:t xml:space="preserve">For a school to be </w:t>
      </w:r>
      <w:r w:rsidRPr="006717DB">
        <w:t xml:space="preserve">classified into </w:t>
      </w:r>
      <w:r>
        <w:t>Level 1</w:t>
      </w:r>
      <w:r w:rsidRPr="00436103">
        <w:t xml:space="preserve">, the cumulative PPI for </w:t>
      </w:r>
      <w:r>
        <w:t>all students and</w:t>
      </w:r>
      <w:r w:rsidRPr="006717DB">
        <w:t xml:space="preserve"> high needs </w:t>
      </w:r>
      <w:r>
        <w:t>students must b</w:t>
      </w:r>
      <w:r w:rsidR="00846B2F">
        <w:t>e 75 or higher</w:t>
      </w:r>
      <w:r w:rsidR="008A354D">
        <w:t xml:space="preserve">. </w:t>
      </w:r>
      <w:r>
        <w:t>If either</w:t>
      </w:r>
      <w:r w:rsidR="00997F24">
        <w:t xml:space="preserve"> or both of these two groups </w:t>
      </w:r>
      <w:r w:rsidR="003720EB">
        <w:t>have</w:t>
      </w:r>
      <w:r w:rsidR="00997F24">
        <w:t xml:space="preserve"> a cumulative PPI of less than 75</w:t>
      </w:r>
      <w:r>
        <w:t>, the school is classified into Level 2.</w:t>
      </w:r>
    </w:p>
    <w:p w:rsidR="0031590E" w:rsidRDefault="0067530E">
      <w:r>
        <w:t xml:space="preserve">A </w:t>
      </w:r>
      <w:r w:rsidR="001A6ED7">
        <w:t xml:space="preserve">high </w:t>
      </w:r>
      <w:r>
        <w:t>s</w:t>
      </w:r>
      <w:r w:rsidR="00881A46" w:rsidRPr="006717DB">
        <w:t xml:space="preserve">chool </w:t>
      </w:r>
      <w:r>
        <w:t>is</w:t>
      </w:r>
      <w:r w:rsidRPr="006717DB">
        <w:t xml:space="preserve"> </w:t>
      </w:r>
      <w:r w:rsidR="00881A46" w:rsidRPr="006717DB">
        <w:t xml:space="preserve">classified into Level 3 if </w:t>
      </w:r>
      <w:r>
        <w:t>it is</w:t>
      </w:r>
      <w:r w:rsidR="00881A46" w:rsidRPr="006717DB">
        <w:t xml:space="preserve"> among the lowest </w:t>
      </w:r>
      <w:r w:rsidR="00881A46">
        <w:t xml:space="preserve">performing </w:t>
      </w:r>
      <w:r w:rsidR="00881A46" w:rsidRPr="006717DB">
        <w:t xml:space="preserve">20 percent relative to other schools in </w:t>
      </w:r>
      <w:r w:rsidR="00B07ADA">
        <w:t>its</w:t>
      </w:r>
      <w:r w:rsidR="00881A46" w:rsidRPr="006717DB">
        <w:t xml:space="preserve"> </w:t>
      </w:r>
      <w:r w:rsidR="008868C8">
        <w:t>school type category</w:t>
      </w:r>
      <w:r w:rsidR="00881A46" w:rsidRPr="006717DB">
        <w:t xml:space="preserve"> statewide</w:t>
      </w:r>
      <w:r>
        <w:t xml:space="preserve"> as measured by the school percentile</w:t>
      </w:r>
      <w:r w:rsidR="00997F24">
        <w:t xml:space="preserve">, or if </w:t>
      </w:r>
      <w:r w:rsidR="00881A46">
        <w:t>one or more subgroups in the school are among the lowest performing 20 percent of subgroups relative to all subgroups statewide</w:t>
      </w:r>
      <w:r w:rsidR="00997F24">
        <w:t>.</w:t>
      </w:r>
      <w:r w:rsidR="00AB5139">
        <w:t xml:space="preserve"> A </w:t>
      </w:r>
      <w:r w:rsidR="001A6ED7">
        <w:t xml:space="preserve">high </w:t>
      </w:r>
      <w:r w:rsidR="00AB5139">
        <w:t xml:space="preserve">school with one or more very low performing subgroups is referred to as a Level 3 </w:t>
      </w:r>
      <w:r w:rsidR="00401B05" w:rsidRPr="00401B05">
        <w:rPr>
          <w:i/>
        </w:rPr>
        <w:t>f</w:t>
      </w:r>
      <w:r w:rsidR="00AB5139" w:rsidRPr="00401B05">
        <w:rPr>
          <w:i/>
        </w:rPr>
        <w:t>ocus</w:t>
      </w:r>
      <w:r w:rsidR="00AB5139">
        <w:t xml:space="preserve"> school.</w:t>
      </w:r>
      <w:r w:rsidR="00881A46" w:rsidRPr="006717DB">
        <w:t xml:space="preserve"> The lowest achieving, least improving Level 3 schools are candidates for classification into Levels 4 and 5, the most serious designations in Massac</w:t>
      </w:r>
      <w:r w:rsidR="00881A46">
        <w:t xml:space="preserve">husetts’ accountability system. </w:t>
      </w:r>
      <w:r w:rsidR="009B3ED5">
        <w:t>The d</w:t>
      </w:r>
      <w:r w:rsidR="0028163D">
        <w:t xml:space="preserve">ecision </w:t>
      </w:r>
      <w:r w:rsidR="009B3ED5">
        <w:t>to</w:t>
      </w:r>
      <w:r w:rsidR="0028163D">
        <w:t xml:space="preserve"> classif</w:t>
      </w:r>
      <w:r w:rsidR="009B3ED5">
        <w:t xml:space="preserve">y </w:t>
      </w:r>
      <w:r w:rsidR="0028163D">
        <w:t xml:space="preserve">a school into Level 4 or 5 </w:t>
      </w:r>
      <w:r w:rsidR="00BE2B00">
        <w:t>is</w:t>
      </w:r>
      <w:r w:rsidR="00B07ADA">
        <w:t xml:space="preserve"> made by the C</w:t>
      </w:r>
      <w:r w:rsidR="0028163D">
        <w:t>ommissioner of Elementary and Secondary Education.</w:t>
      </w:r>
    </w:p>
    <w:p w:rsidR="0031590E" w:rsidRDefault="00881A46">
      <w:r w:rsidRPr="006717DB">
        <w:t xml:space="preserve">A small number of </w:t>
      </w:r>
      <w:r w:rsidR="00B426F3">
        <w:t xml:space="preserve">high </w:t>
      </w:r>
      <w:r w:rsidRPr="006717DB">
        <w:t xml:space="preserve">schools each year </w:t>
      </w:r>
      <w:r w:rsidR="0067530E">
        <w:t>are not</w:t>
      </w:r>
      <w:r w:rsidRPr="006717DB">
        <w:t xml:space="preserve"> classified into a level</w:t>
      </w:r>
      <w:r w:rsidR="00B426F3">
        <w:t xml:space="preserve">, including </w:t>
      </w:r>
      <w:r w:rsidR="0067530E">
        <w:t xml:space="preserve">very </w:t>
      </w:r>
      <w:r w:rsidRPr="006717DB">
        <w:t>small schools</w:t>
      </w:r>
      <w:r w:rsidR="00B426F3">
        <w:t xml:space="preserve"> </w:t>
      </w:r>
      <w:r>
        <w:t>and schools without four years of sufficient data</w:t>
      </w:r>
      <w:r w:rsidRPr="006717DB">
        <w:t>.</w:t>
      </w:r>
    </w:p>
    <w:p w:rsidR="0031590E" w:rsidRDefault="00997F24" w:rsidP="00AD1FFE">
      <w:pPr>
        <w:pStyle w:val="Heading4"/>
      </w:pPr>
      <w:bookmarkStart w:id="55" w:name="_Toc435178318"/>
      <w:bookmarkStart w:id="56" w:name="_Toc435178524"/>
      <w:r>
        <w:t>Graduation rates</w:t>
      </w:r>
      <w:bookmarkEnd w:id="55"/>
      <w:bookmarkEnd w:id="56"/>
    </w:p>
    <w:p w:rsidR="0031590E" w:rsidRDefault="00997F24">
      <w:r>
        <w:t>Beyond the performance-based reasons for classifying schools into Levels 1-5, a</w:t>
      </w:r>
      <w:r w:rsidR="001A6ED7">
        <w:t>ny</w:t>
      </w:r>
      <w:r>
        <w:t xml:space="preserve"> school</w:t>
      </w:r>
      <w:r w:rsidR="001A6ED7">
        <w:t xml:space="preserve"> serving grade 12</w:t>
      </w:r>
      <w:r>
        <w:t xml:space="preserve"> may also be automatically placed into Level 3 if it has </w:t>
      </w:r>
      <w:r w:rsidRPr="006717DB">
        <w:t>pe</w:t>
      </w:r>
      <w:r>
        <w:t xml:space="preserve">rsistently low graduation rates for any student group. “Persistently low” is defined as a </w:t>
      </w:r>
      <w:r w:rsidR="00390C60">
        <w:t xml:space="preserve">2016 </w:t>
      </w:r>
      <w:r>
        <w:t xml:space="preserve">four-year cohort graduation of less than </w:t>
      </w:r>
      <w:r w:rsidR="001B3BFD">
        <w:t xml:space="preserve">67 </w:t>
      </w:r>
      <w:r>
        <w:t xml:space="preserve">percent and </w:t>
      </w:r>
      <w:r w:rsidR="00390C60">
        <w:t>2015, 2014, and 2013</w:t>
      </w:r>
      <w:r w:rsidR="006237EE">
        <w:t xml:space="preserve"> </w:t>
      </w:r>
      <w:r>
        <w:t xml:space="preserve">five-year cohort graduation rates of less than </w:t>
      </w:r>
      <w:r w:rsidR="001B3BFD">
        <w:t xml:space="preserve">70 </w:t>
      </w:r>
      <w:r>
        <w:t xml:space="preserve">percent. </w:t>
      </w:r>
    </w:p>
    <w:p w:rsidR="0031590E" w:rsidRDefault="00997F24" w:rsidP="00AD1FFE">
      <w:pPr>
        <w:pStyle w:val="Heading4"/>
      </w:pPr>
      <w:bookmarkStart w:id="57" w:name="_Toc435178319"/>
      <w:bookmarkStart w:id="58" w:name="_Toc435178525"/>
      <w:r>
        <w:t>Assessment participation</w:t>
      </w:r>
      <w:bookmarkEnd w:id="57"/>
      <w:bookmarkEnd w:id="58"/>
    </w:p>
    <w:p w:rsidR="00D16ED7" w:rsidRDefault="00D16ED7">
      <w:r>
        <w:t xml:space="preserve">In </w:t>
      </w:r>
      <w:r w:rsidR="00390C60">
        <w:t>2017</w:t>
      </w:r>
      <w:r>
        <w:t xml:space="preserve">, assessment participation </w:t>
      </w:r>
      <w:r w:rsidR="00A451B9">
        <w:t>is</w:t>
      </w:r>
      <w:r>
        <w:t xml:space="preserve"> calculated two ways for use in </w:t>
      </w:r>
      <w:r w:rsidR="001A6ED7">
        <w:t>high</w:t>
      </w:r>
      <w:r w:rsidR="00A848EC">
        <w:t xml:space="preserve"> school</w:t>
      </w:r>
      <w:r w:rsidR="004C63D6">
        <w:t xml:space="preserve"> </w:t>
      </w:r>
      <w:r>
        <w:t xml:space="preserve">accountability determinations. First, the </w:t>
      </w:r>
      <w:r w:rsidR="00390C60">
        <w:t xml:space="preserve">2017 </w:t>
      </w:r>
      <w:r>
        <w:t xml:space="preserve">participation rate for each subgroup in each subject area test </w:t>
      </w:r>
      <w:r w:rsidR="00A451B9">
        <w:t>is</w:t>
      </w:r>
      <w:r>
        <w:t xml:space="preserve"> calculated. If the actual </w:t>
      </w:r>
      <w:r w:rsidR="00390C60">
        <w:t xml:space="preserve">2017 </w:t>
      </w:r>
      <w:r w:rsidR="004C63D6">
        <w:t xml:space="preserve">participation rate is lower than 95 percent for any group in any subject, that rate </w:t>
      </w:r>
      <w:r w:rsidR="00A451B9">
        <w:t>is</w:t>
      </w:r>
      <w:r w:rsidR="004C63D6">
        <w:t xml:space="preserve"> compared to the average of the most recent two years of assessment participation data for that group and subject. The higher of the two resulting rates </w:t>
      </w:r>
      <w:r w:rsidR="00A451B9">
        <w:t>is</w:t>
      </w:r>
      <w:r w:rsidR="004C63D6">
        <w:t xml:space="preserve"> factored into the assignment of the </w:t>
      </w:r>
      <w:r w:rsidR="001A6ED7">
        <w:t xml:space="preserve">high </w:t>
      </w:r>
      <w:r w:rsidR="004C63D6">
        <w:t>school</w:t>
      </w:r>
      <w:r w:rsidR="001A6ED7">
        <w:t>’s</w:t>
      </w:r>
      <w:r w:rsidR="004C63D6">
        <w:t xml:space="preserve"> </w:t>
      </w:r>
      <w:r w:rsidR="00390C60">
        <w:t xml:space="preserve">2017 </w:t>
      </w:r>
      <w:r w:rsidR="004C63D6">
        <w:t>accountability and assistance level according to the rules below.</w:t>
      </w:r>
    </w:p>
    <w:p w:rsidR="0031590E" w:rsidRDefault="00B8449E">
      <w:r w:rsidRPr="00CD4B4E">
        <w:t xml:space="preserve">Any </w:t>
      </w:r>
      <w:r w:rsidR="001A6ED7">
        <w:t>high</w:t>
      </w:r>
      <w:r>
        <w:t xml:space="preserve"> </w:t>
      </w:r>
      <w:r w:rsidRPr="00CD4B4E">
        <w:t xml:space="preserve">school with less than 95 percent participation for any student group on any </w:t>
      </w:r>
      <w:r>
        <w:t xml:space="preserve">of the assessments </w:t>
      </w:r>
      <w:r w:rsidRPr="00CD4B4E">
        <w:t xml:space="preserve">is ineligible for classification into Level 1 and is, at a minimum, classified into Level 2. Any </w:t>
      </w:r>
      <w:r w:rsidR="001A6ED7">
        <w:t>high</w:t>
      </w:r>
      <w:r>
        <w:t xml:space="preserve"> </w:t>
      </w:r>
      <w:r w:rsidRPr="00CD4B4E">
        <w:t xml:space="preserve">school with less than 90 percent participation for any student group is </w:t>
      </w:r>
      <w:r>
        <w:t>ineligible for classification into Levels 1 and 2</w:t>
      </w:r>
      <w:r w:rsidRPr="00CD4B4E">
        <w:t>.</w:t>
      </w:r>
      <w:r>
        <w:t xml:space="preserve"> </w:t>
      </w:r>
      <w:r w:rsidR="00CD4B4E">
        <w:t>For accountability purposes, participation calculations include school and subgroup participation in MCAS</w:t>
      </w:r>
      <w:r w:rsidR="003D4DC9">
        <w:t xml:space="preserve"> </w:t>
      </w:r>
      <w:r w:rsidR="00EC6765">
        <w:t>and</w:t>
      </w:r>
      <w:r w:rsidR="00CD4B4E">
        <w:t xml:space="preserve"> ACCESS for E</w:t>
      </w:r>
      <w:r w:rsidR="00762D7D">
        <w:t>nglish language learners (ELLs)</w:t>
      </w:r>
      <w:r>
        <w:t xml:space="preserve"> tests</w:t>
      </w:r>
      <w:r w:rsidR="007D1ADF">
        <w:t>.</w:t>
      </w:r>
    </w:p>
    <w:p w:rsidR="005D2C34" w:rsidRDefault="003720EB" w:rsidP="005E67E6">
      <w:r>
        <w:t>Participation requirements for each of the assessments are as follows:</w:t>
      </w:r>
    </w:p>
    <w:p w:rsidR="003F55D2" w:rsidRDefault="00CD7C8F" w:rsidP="003F55D2">
      <w:pPr>
        <w:pStyle w:val="ListParagraph"/>
      </w:pPr>
      <w:r>
        <w:t xml:space="preserve">Legacy and Next-Generation </w:t>
      </w:r>
      <w:r w:rsidR="00CD4B4E" w:rsidRPr="00CD4B4E">
        <w:t xml:space="preserve">MCAS: </w:t>
      </w:r>
    </w:p>
    <w:p w:rsidR="003F55D2" w:rsidRDefault="00214243" w:rsidP="003668C4">
      <w:pPr>
        <w:ind w:left="360"/>
      </w:pPr>
      <w:r>
        <w:rPr>
          <w:lang w:bidi="ar-SA"/>
        </w:rPr>
        <w:lastRenderedPageBreak/>
        <w:t>State law requires</w:t>
      </w:r>
      <w:r w:rsidR="00CD4B4E" w:rsidRPr="00CD4B4E">
        <w:rPr>
          <w:lang w:bidi="ar-SA"/>
        </w:rPr>
        <w:t xml:space="preserve"> that all students</w:t>
      </w:r>
      <w:r>
        <w:rPr>
          <w:lang w:bidi="ar-SA"/>
        </w:rPr>
        <w:t xml:space="preserve"> in </w:t>
      </w:r>
      <w:r w:rsidR="00CD4B4E" w:rsidRPr="00CD4B4E">
        <w:rPr>
          <w:lang w:bidi="ar-SA"/>
        </w:rPr>
        <w:t xml:space="preserve">the tested grades who are educated with Massachusetts public funds participate in grade-level </w:t>
      </w:r>
      <w:r w:rsidR="00CD4B4E">
        <w:rPr>
          <w:lang w:bidi="ar-SA"/>
        </w:rPr>
        <w:t>MCAS</w:t>
      </w:r>
      <w:r w:rsidR="000F191E">
        <w:rPr>
          <w:lang w:bidi="ar-SA"/>
        </w:rPr>
        <w:t xml:space="preserve"> </w:t>
      </w:r>
      <w:r w:rsidR="00CD4B4E" w:rsidRPr="00CD4B4E">
        <w:rPr>
          <w:lang w:bidi="ar-SA"/>
        </w:rPr>
        <w:t xml:space="preserve">tests that correspond with the grade in which they are reported to the Department’s Student Information Management System (SIMS). </w:t>
      </w:r>
      <w:r>
        <w:rPr>
          <w:lang w:bidi="ar-SA"/>
        </w:rPr>
        <w:t>This includes students with disabilities, English language learners (ELLs), and out-placed students. A</w:t>
      </w:r>
      <w:r w:rsidR="00CD4B4E" w:rsidRPr="00CD4B4E">
        <w:rPr>
          <w:lang w:bidi="ar-SA"/>
        </w:rPr>
        <w:t>s such, any student who is absent for one or more test sessions will be reported as a nonparticipant and will count against the participation calculation in the aggregate and in any subgroup of which the student is a member</w:t>
      </w:r>
      <w:r w:rsidR="00C83A8F">
        <w:rPr>
          <w:lang w:bidi="ar-SA"/>
        </w:rPr>
        <w:t xml:space="preserve">, with </w:t>
      </w:r>
      <w:r w:rsidR="000F191E">
        <w:rPr>
          <w:lang w:bidi="ar-SA"/>
        </w:rPr>
        <w:t xml:space="preserve">one </w:t>
      </w:r>
      <w:r w:rsidR="00C83A8F">
        <w:rPr>
          <w:lang w:bidi="ar-SA"/>
        </w:rPr>
        <w:t xml:space="preserve">exception: </w:t>
      </w:r>
      <w:r w:rsidR="003668C4">
        <w:t xml:space="preserve">for </w:t>
      </w:r>
      <w:r w:rsidR="00C83A8F">
        <w:t xml:space="preserve">students who are </w:t>
      </w:r>
      <w:r>
        <w:t>in their first year of U.S. schooling, s</w:t>
      </w:r>
      <w:r w:rsidRPr="00CD4B4E">
        <w:t xml:space="preserve">chools have the option of administering </w:t>
      </w:r>
      <w:r>
        <w:t>ELA MCAS</w:t>
      </w:r>
      <w:r w:rsidR="000F191E">
        <w:t xml:space="preserve"> </w:t>
      </w:r>
      <w:r>
        <w:t>tests to first-year ELL students</w:t>
      </w:r>
      <w:r w:rsidRPr="00CD4B4E">
        <w:t xml:space="preserve">. However, first-year ELL students </w:t>
      </w:r>
      <w:r w:rsidRPr="00CD4B4E">
        <w:rPr>
          <w:bCs/>
        </w:rPr>
        <w:t>must</w:t>
      </w:r>
      <w:r w:rsidRPr="00CD4B4E">
        <w:rPr>
          <w:b/>
          <w:bCs/>
        </w:rPr>
        <w:t xml:space="preserve"> </w:t>
      </w:r>
      <w:r w:rsidRPr="00CD4B4E">
        <w:t xml:space="preserve">participate in mathematics and science </w:t>
      </w:r>
      <w:r w:rsidR="008F5174">
        <w:t xml:space="preserve">MCAS </w:t>
      </w:r>
      <w:r w:rsidRPr="00CD4B4E">
        <w:t xml:space="preserve">tests for diagnostic purposes. Their </w:t>
      </w:r>
      <w:r w:rsidR="00786F27">
        <w:t xml:space="preserve">achievement </w:t>
      </w:r>
      <w:r w:rsidRPr="00CD4B4E">
        <w:t xml:space="preserve">results are not included in accountability calculations. </w:t>
      </w:r>
    </w:p>
    <w:p w:rsidR="003F55D2" w:rsidRDefault="00762D7D" w:rsidP="003F55D2">
      <w:pPr>
        <w:pStyle w:val="ListParagraph"/>
      </w:pPr>
      <w:r>
        <w:t>ACCESS</w:t>
      </w:r>
      <w:r w:rsidR="003D4DC9">
        <w:t xml:space="preserve"> for ELLs</w:t>
      </w:r>
      <w:r w:rsidR="00CD4B4E" w:rsidRPr="00CD4B4E">
        <w:t xml:space="preserve">: </w:t>
      </w:r>
    </w:p>
    <w:p w:rsidR="003F55D2" w:rsidRDefault="00CD4B4E" w:rsidP="003668C4">
      <w:pPr>
        <w:ind w:left="360"/>
      </w:pPr>
      <w:r w:rsidRPr="00796FE8">
        <w:t>To comply with federal and state laws, all ELL students are required to participate in the ACCESS for ELLs English language acquisition assessment. ACCESS participation is required for all ELL students in addition to each of the MCAS</w:t>
      </w:r>
      <w:r w:rsidR="000F191E">
        <w:t xml:space="preserve"> </w:t>
      </w:r>
      <w:r w:rsidRPr="00796FE8">
        <w:t>tests scheduled for their grades</w:t>
      </w:r>
      <w:r w:rsidR="00C83A8F">
        <w:t xml:space="preserve">, </w:t>
      </w:r>
      <w:r w:rsidR="00C83A8F" w:rsidRPr="00CD4B4E">
        <w:t>regardless of the program and services they are receiving</w:t>
      </w:r>
      <w:r w:rsidRPr="00796FE8">
        <w:t>. This includes first-year ELL students, who may be exempt from ELA MCAS</w:t>
      </w:r>
      <w:r w:rsidR="000F191E">
        <w:t xml:space="preserve"> </w:t>
      </w:r>
      <w:r w:rsidRPr="00796FE8">
        <w:t xml:space="preserve">testing in their first year of U.S. schooling. </w:t>
      </w:r>
      <w:r w:rsidR="00397180">
        <w:rPr>
          <w:lang w:bidi="ar-SA"/>
        </w:rPr>
        <w:t>A</w:t>
      </w:r>
      <w:r w:rsidR="00397180" w:rsidRPr="00CD4B4E">
        <w:rPr>
          <w:lang w:bidi="ar-SA"/>
        </w:rPr>
        <w:t xml:space="preserve">ny </w:t>
      </w:r>
      <w:r w:rsidR="00397180">
        <w:rPr>
          <w:lang w:bidi="ar-SA"/>
        </w:rPr>
        <w:t>students designated in SIMS as an ELL or first-year ELL student that does not take ACCESS</w:t>
      </w:r>
      <w:r w:rsidR="00397180" w:rsidRPr="00CD4B4E">
        <w:rPr>
          <w:lang w:bidi="ar-SA"/>
        </w:rPr>
        <w:t xml:space="preserve"> will be reported as a nonparticipant and will count against the participation calculation in the aggregate and in any subgroup of which the student is a member</w:t>
      </w:r>
      <w:r w:rsidR="00397180">
        <w:rPr>
          <w:lang w:bidi="ar-SA"/>
        </w:rPr>
        <w:t>.</w:t>
      </w:r>
    </w:p>
    <w:p w:rsidR="00401B05" w:rsidRDefault="00401B05">
      <w:pPr>
        <w:spacing w:after="200"/>
        <w:rPr>
          <w:b/>
          <w:bCs/>
          <w:szCs w:val="18"/>
        </w:rPr>
      </w:pPr>
      <w:r>
        <w:br w:type="page"/>
      </w:r>
    </w:p>
    <w:p w:rsidR="00E81004" w:rsidRDefault="00E81004" w:rsidP="005E67E6">
      <w:pPr>
        <w:pStyle w:val="Caption"/>
      </w:pPr>
      <w:r>
        <w:lastRenderedPageBreak/>
        <w:t xml:space="preserve">Table </w:t>
      </w:r>
      <w:r w:rsidR="008644AE" w:rsidRPr="008644AE">
        <w:rPr>
          <w:bCs w:val="0"/>
        </w:rPr>
        <w:t>10</w:t>
      </w:r>
      <w:r>
        <w:t xml:space="preserve">: </w:t>
      </w:r>
      <w:r w:rsidR="00CD7C8F">
        <w:t xml:space="preserve">High school </w:t>
      </w:r>
      <w:r>
        <w:t>classifications and potential reasons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2612"/>
        <w:gridCol w:w="5238"/>
      </w:tblGrid>
      <w:tr w:rsidR="00BB6A2C" w:rsidRPr="009C3327" w:rsidTr="00CA3D3B">
        <w:trPr>
          <w:trHeight w:val="288"/>
          <w:tblHeader/>
        </w:trPr>
        <w:tc>
          <w:tcPr>
            <w:tcW w:w="855" w:type="pct"/>
            <w:tcBorders>
              <w:bottom w:val="single" w:sz="4" w:space="0" w:color="auto"/>
            </w:tcBorders>
            <w:shd w:val="clear" w:color="auto" w:fill="C6D9F1" w:themeFill="text2" w:themeFillTint="33"/>
            <w:vAlign w:val="center"/>
          </w:tcPr>
          <w:p w:rsidR="00BB6A2C" w:rsidRPr="009C3327" w:rsidRDefault="00BB6A2C" w:rsidP="000846C9">
            <w:pPr>
              <w:pStyle w:val="NoSpacing"/>
              <w:rPr>
                <w:b/>
              </w:rPr>
            </w:pPr>
            <w:r w:rsidRPr="009C3327">
              <w:rPr>
                <w:b/>
              </w:rPr>
              <w:t>Level</w:t>
            </w:r>
          </w:p>
        </w:tc>
        <w:tc>
          <w:tcPr>
            <w:tcW w:w="1379" w:type="pct"/>
            <w:tcBorders>
              <w:bottom w:val="single" w:sz="4" w:space="0" w:color="auto"/>
            </w:tcBorders>
            <w:shd w:val="clear" w:color="auto" w:fill="C6D9F1" w:themeFill="text2" w:themeFillTint="33"/>
            <w:vAlign w:val="center"/>
          </w:tcPr>
          <w:p w:rsidR="00BB6A2C" w:rsidRPr="009C3327" w:rsidRDefault="00BB6A2C" w:rsidP="000846C9">
            <w:pPr>
              <w:pStyle w:val="NoSpacing"/>
              <w:rPr>
                <w:b/>
              </w:rPr>
            </w:pPr>
            <w:r w:rsidRPr="009C3327">
              <w:rPr>
                <w:b/>
              </w:rPr>
              <w:t>Reason</w:t>
            </w:r>
          </w:p>
        </w:tc>
        <w:tc>
          <w:tcPr>
            <w:tcW w:w="2766" w:type="pct"/>
            <w:tcBorders>
              <w:bottom w:val="single" w:sz="4" w:space="0" w:color="auto"/>
            </w:tcBorders>
            <w:shd w:val="clear" w:color="auto" w:fill="C6D9F1" w:themeFill="text2" w:themeFillTint="33"/>
            <w:vAlign w:val="center"/>
          </w:tcPr>
          <w:p w:rsidR="00BB6A2C" w:rsidRPr="009C3327" w:rsidRDefault="0067530E" w:rsidP="000846C9">
            <w:pPr>
              <w:pStyle w:val="NoSpacing"/>
              <w:rPr>
                <w:b/>
              </w:rPr>
            </w:pPr>
            <w:r>
              <w:rPr>
                <w:b/>
              </w:rPr>
              <w:t>Description</w:t>
            </w:r>
          </w:p>
        </w:tc>
      </w:tr>
      <w:tr w:rsidR="00BB6A2C" w:rsidRPr="000846C9" w:rsidTr="00A214CA">
        <w:trPr>
          <w:trHeight w:val="233"/>
        </w:trPr>
        <w:tc>
          <w:tcPr>
            <w:tcW w:w="855" w:type="pct"/>
            <w:tcBorders>
              <w:bottom w:val="dotted" w:sz="4" w:space="0" w:color="auto"/>
            </w:tcBorders>
            <w:shd w:val="clear" w:color="auto" w:fill="auto"/>
          </w:tcPr>
          <w:p w:rsidR="00BB6A2C" w:rsidRPr="000846C9" w:rsidRDefault="00BB6A2C" w:rsidP="000846C9">
            <w:pPr>
              <w:pStyle w:val="NoSpacing"/>
            </w:pPr>
            <w:r w:rsidRPr="000846C9">
              <w:t>Insufficient data</w:t>
            </w:r>
          </w:p>
        </w:tc>
        <w:tc>
          <w:tcPr>
            <w:tcW w:w="1379" w:type="pct"/>
            <w:tcBorders>
              <w:bottom w:val="dotted" w:sz="4" w:space="0" w:color="auto"/>
            </w:tcBorders>
            <w:shd w:val="clear" w:color="auto" w:fill="auto"/>
          </w:tcPr>
          <w:p w:rsidR="00BB6A2C" w:rsidRPr="009C3327" w:rsidRDefault="00BB6A2C" w:rsidP="000846C9">
            <w:pPr>
              <w:pStyle w:val="NoSpacing"/>
              <w:rPr>
                <w:i/>
              </w:rPr>
            </w:pPr>
            <w:r w:rsidRPr="009C3327">
              <w:rPr>
                <w:i/>
              </w:rPr>
              <w:t xml:space="preserve">Insufficient data </w:t>
            </w:r>
          </w:p>
        </w:tc>
        <w:tc>
          <w:tcPr>
            <w:tcW w:w="2766" w:type="pct"/>
            <w:tcBorders>
              <w:bottom w:val="dotted" w:sz="4" w:space="0" w:color="auto"/>
            </w:tcBorders>
            <w:shd w:val="clear" w:color="auto" w:fill="auto"/>
          </w:tcPr>
          <w:p w:rsidR="00BB6A2C" w:rsidRPr="000846C9" w:rsidRDefault="00BB6A2C" w:rsidP="006B7E82">
            <w:pPr>
              <w:pStyle w:val="NoSpacing"/>
            </w:pPr>
            <w:r w:rsidRPr="000846C9">
              <w:t>Very small schools</w:t>
            </w:r>
            <w:r w:rsidR="00E40849">
              <w:t xml:space="preserve"> </w:t>
            </w:r>
            <w:r w:rsidR="006B7E82">
              <w:t xml:space="preserve">or </w:t>
            </w:r>
            <w:r w:rsidRPr="000846C9">
              <w:t>new schools</w:t>
            </w:r>
          </w:p>
        </w:tc>
      </w:tr>
      <w:tr w:rsidR="00BB6A2C" w:rsidRPr="000846C9" w:rsidTr="00CA3D3B">
        <w:trPr>
          <w:trHeight w:val="288"/>
        </w:trPr>
        <w:tc>
          <w:tcPr>
            <w:tcW w:w="855" w:type="pct"/>
            <w:tcBorders>
              <w:top w:val="dotted" w:sz="4" w:space="0" w:color="auto"/>
              <w:bottom w:val="dotted" w:sz="4" w:space="0" w:color="auto"/>
            </w:tcBorders>
            <w:shd w:val="clear" w:color="auto" w:fill="auto"/>
          </w:tcPr>
          <w:p w:rsidR="00BB6A2C" w:rsidRPr="000846C9" w:rsidRDefault="00BB6A2C" w:rsidP="000846C9">
            <w:pPr>
              <w:pStyle w:val="NoSpacing"/>
            </w:pPr>
            <w:r w:rsidRPr="000846C9">
              <w:t>Level 1</w:t>
            </w:r>
          </w:p>
        </w:tc>
        <w:tc>
          <w:tcPr>
            <w:tcW w:w="1379" w:type="pct"/>
            <w:tcBorders>
              <w:top w:val="dotted" w:sz="4" w:space="0" w:color="auto"/>
              <w:bottom w:val="dotted" w:sz="4" w:space="0" w:color="auto"/>
            </w:tcBorders>
            <w:shd w:val="clear" w:color="auto" w:fill="auto"/>
          </w:tcPr>
          <w:p w:rsidR="00BB6A2C" w:rsidRPr="009C3327" w:rsidRDefault="00BB6A2C" w:rsidP="000846C9">
            <w:pPr>
              <w:pStyle w:val="NoSpacing"/>
              <w:rPr>
                <w:i/>
              </w:rPr>
            </w:pPr>
            <w:r w:rsidRPr="009C3327">
              <w:rPr>
                <w:i/>
              </w:rPr>
              <w:t xml:space="preserve">Meeting gap narrowing goals </w:t>
            </w:r>
          </w:p>
        </w:tc>
        <w:tc>
          <w:tcPr>
            <w:tcW w:w="2766" w:type="pct"/>
            <w:tcBorders>
              <w:top w:val="dotted" w:sz="4" w:space="0" w:color="auto"/>
              <w:bottom w:val="dotted" w:sz="4" w:space="0" w:color="auto"/>
            </w:tcBorders>
            <w:shd w:val="clear" w:color="auto" w:fill="auto"/>
          </w:tcPr>
          <w:p w:rsidR="00BB6A2C" w:rsidRPr="000846C9" w:rsidRDefault="00BB6A2C" w:rsidP="000846C9">
            <w:pPr>
              <w:pStyle w:val="NoSpacing"/>
            </w:pPr>
            <w:r w:rsidRPr="000846C9">
              <w:t>Schools for which the cumulative PPI for all students and high needs students is 75 or higher that do not otherwise meet the criteria for classification into Levels 2-5</w:t>
            </w:r>
          </w:p>
        </w:tc>
      </w:tr>
      <w:tr w:rsidR="00BB6A2C" w:rsidRPr="000846C9" w:rsidTr="00CA3D3B">
        <w:trPr>
          <w:trHeight w:val="288"/>
        </w:trPr>
        <w:tc>
          <w:tcPr>
            <w:tcW w:w="855" w:type="pct"/>
            <w:vMerge w:val="restart"/>
            <w:tcBorders>
              <w:top w:val="dotted" w:sz="4" w:space="0" w:color="auto"/>
              <w:bottom w:val="dotted" w:sz="4" w:space="0" w:color="auto"/>
            </w:tcBorders>
            <w:shd w:val="clear" w:color="auto" w:fill="auto"/>
          </w:tcPr>
          <w:p w:rsidR="00BB6A2C" w:rsidRPr="000846C9" w:rsidRDefault="00BB6A2C" w:rsidP="000846C9">
            <w:pPr>
              <w:pStyle w:val="NoSpacing"/>
            </w:pPr>
            <w:r w:rsidRPr="000846C9">
              <w:t>Level 2</w:t>
            </w:r>
          </w:p>
        </w:tc>
        <w:tc>
          <w:tcPr>
            <w:tcW w:w="1379" w:type="pct"/>
            <w:tcBorders>
              <w:top w:val="dotted" w:sz="4" w:space="0" w:color="auto"/>
              <w:bottom w:val="dotted" w:sz="4" w:space="0" w:color="auto"/>
            </w:tcBorders>
            <w:shd w:val="clear" w:color="auto" w:fill="auto"/>
          </w:tcPr>
          <w:p w:rsidR="00BB6A2C" w:rsidRPr="009C3327" w:rsidRDefault="00BB6A2C" w:rsidP="000846C9">
            <w:pPr>
              <w:pStyle w:val="NoSpacing"/>
              <w:rPr>
                <w:i/>
              </w:rPr>
            </w:pPr>
            <w:r w:rsidRPr="009C3327">
              <w:rPr>
                <w:i/>
              </w:rPr>
              <w:t xml:space="preserve">Not meeting gap narrowing goals </w:t>
            </w:r>
          </w:p>
        </w:tc>
        <w:tc>
          <w:tcPr>
            <w:tcW w:w="2766" w:type="pct"/>
            <w:tcBorders>
              <w:top w:val="dotted" w:sz="4" w:space="0" w:color="auto"/>
              <w:bottom w:val="dotted" w:sz="4" w:space="0" w:color="auto"/>
            </w:tcBorders>
            <w:shd w:val="clear" w:color="auto" w:fill="auto"/>
          </w:tcPr>
          <w:p w:rsidR="00BB6A2C" w:rsidRPr="000846C9" w:rsidRDefault="00BB6A2C" w:rsidP="000846C9">
            <w:pPr>
              <w:pStyle w:val="NoSpacing"/>
            </w:pPr>
            <w:r w:rsidRPr="000846C9">
              <w:t>Schools for which the cumulative PPI for all students and/or high needs students is 74 or lower that do not otherwise meet the criteria for classification into Levels 3</w:t>
            </w:r>
            <w:r w:rsidR="00967710" w:rsidRPr="000846C9">
              <w:t>-5</w:t>
            </w:r>
          </w:p>
        </w:tc>
      </w:tr>
      <w:tr w:rsidR="00BB6A2C" w:rsidRPr="000846C9" w:rsidTr="00CA3D3B">
        <w:trPr>
          <w:trHeight w:val="288"/>
        </w:trPr>
        <w:tc>
          <w:tcPr>
            <w:tcW w:w="855" w:type="pct"/>
            <w:vMerge/>
            <w:tcBorders>
              <w:top w:val="dotted" w:sz="4" w:space="0" w:color="auto"/>
              <w:bottom w:val="dotted" w:sz="4" w:space="0" w:color="auto"/>
            </w:tcBorders>
            <w:shd w:val="clear" w:color="auto" w:fill="auto"/>
          </w:tcPr>
          <w:p w:rsidR="00BB6A2C" w:rsidRPr="000846C9" w:rsidRDefault="00BB6A2C" w:rsidP="000846C9">
            <w:pPr>
              <w:pStyle w:val="NoSpacing"/>
            </w:pPr>
          </w:p>
        </w:tc>
        <w:tc>
          <w:tcPr>
            <w:tcW w:w="1379" w:type="pct"/>
            <w:tcBorders>
              <w:top w:val="dotted" w:sz="4" w:space="0" w:color="auto"/>
              <w:bottom w:val="dotted" w:sz="4" w:space="0" w:color="auto"/>
            </w:tcBorders>
            <w:shd w:val="clear" w:color="auto" w:fill="auto"/>
          </w:tcPr>
          <w:p w:rsidR="00BB6A2C" w:rsidRPr="009C3327" w:rsidRDefault="00BB6A2C" w:rsidP="001249FB">
            <w:pPr>
              <w:pStyle w:val="NoSpacing"/>
              <w:rPr>
                <w:i/>
              </w:rPr>
            </w:pPr>
            <w:r w:rsidRPr="009C3327">
              <w:rPr>
                <w:i/>
              </w:rPr>
              <w:t xml:space="preserve">Low </w:t>
            </w:r>
            <w:r w:rsidR="001249FB">
              <w:rPr>
                <w:i/>
              </w:rPr>
              <w:t>assessment</w:t>
            </w:r>
            <w:r w:rsidR="001249FB" w:rsidRPr="009C3327">
              <w:rPr>
                <w:i/>
              </w:rPr>
              <w:t xml:space="preserve"> </w:t>
            </w:r>
            <w:r w:rsidRPr="009C3327">
              <w:rPr>
                <w:i/>
              </w:rPr>
              <w:t>participation (less than 95%)</w:t>
            </w:r>
          </w:p>
        </w:tc>
        <w:tc>
          <w:tcPr>
            <w:tcW w:w="2766" w:type="pct"/>
            <w:tcBorders>
              <w:top w:val="dotted" w:sz="4" w:space="0" w:color="auto"/>
              <w:bottom w:val="dotted" w:sz="4" w:space="0" w:color="auto"/>
            </w:tcBorders>
            <w:shd w:val="clear" w:color="auto" w:fill="auto"/>
          </w:tcPr>
          <w:p w:rsidR="00BB6A2C" w:rsidRPr="000846C9" w:rsidRDefault="00BB6A2C" w:rsidP="000846C9">
            <w:pPr>
              <w:pStyle w:val="NoSpacing"/>
            </w:pPr>
            <w:r w:rsidRPr="000846C9">
              <w:t xml:space="preserve">Schools with less than 95 percent participation for any group </w:t>
            </w:r>
            <w:r w:rsidR="009C24B4">
              <w:t xml:space="preserve">in any subject </w:t>
            </w:r>
            <w:r w:rsidRPr="000846C9">
              <w:t>that do not otherwise meet the criteria for classification into Levels 3-5</w:t>
            </w:r>
          </w:p>
        </w:tc>
      </w:tr>
      <w:tr w:rsidR="00BB6A2C" w:rsidRPr="000846C9" w:rsidTr="00CA3D3B">
        <w:trPr>
          <w:trHeight w:val="288"/>
        </w:trPr>
        <w:tc>
          <w:tcPr>
            <w:tcW w:w="855" w:type="pct"/>
            <w:vMerge w:val="restart"/>
            <w:tcBorders>
              <w:top w:val="dotted" w:sz="4" w:space="0" w:color="auto"/>
              <w:bottom w:val="dotted" w:sz="4" w:space="0" w:color="auto"/>
            </w:tcBorders>
            <w:shd w:val="clear" w:color="auto" w:fill="auto"/>
          </w:tcPr>
          <w:p w:rsidR="00BB6A2C" w:rsidRPr="000846C9" w:rsidRDefault="00BB6A2C" w:rsidP="000846C9">
            <w:pPr>
              <w:pStyle w:val="NoSpacing"/>
            </w:pPr>
            <w:r w:rsidRPr="000846C9">
              <w:t>Level 3</w:t>
            </w:r>
          </w:p>
        </w:tc>
        <w:tc>
          <w:tcPr>
            <w:tcW w:w="1379" w:type="pct"/>
            <w:tcBorders>
              <w:top w:val="dotted" w:sz="4" w:space="0" w:color="auto"/>
              <w:bottom w:val="dotted" w:sz="4" w:space="0" w:color="auto"/>
            </w:tcBorders>
            <w:shd w:val="clear" w:color="auto" w:fill="auto"/>
          </w:tcPr>
          <w:p w:rsidR="00BB6A2C" w:rsidRPr="009C3327" w:rsidRDefault="00BB6A2C" w:rsidP="000846C9">
            <w:pPr>
              <w:pStyle w:val="NoSpacing"/>
              <w:rPr>
                <w:i/>
              </w:rPr>
            </w:pPr>
            <w:r w:rsidRPr="009C3327">
              <w:rPr>
                <w:i/>
              </w:rPr>
              <w:t xml:space="preserve">Among lowest performing 20% of schools </w:t>
            </w:r>
          </w:p>
        </w:tc>
        <w:tc>
          <w:tcPr>
            <w:tcW w:w="2766" w:type="pct"/>
            <w:tcBorders>
              <w:top w:val="dotted" w:sz="4" w:space="0" w:color="auto"/>
              <w:bottom w:val="dotted" w:sz="4" w:space="0" w:color="auto"/>
            </w:tcBorders>
            <w:shd w:val="clear" w:color="auto" w:fill="auto"/>
          </w:tcPr>
          <w:p w:rsidR="00211855" w:rsidRDefault="00BB6A2C">
            <w:pPr>
              <w:pStyle w:val="NoSpacing"/>
            </w:pPr>
            <w:r w:rsidRPr="000846C9">
              <w:t xml:space="preserve">Schools </w:t>
            </w:r>
            <w:r w:rsidR="0067530E">
              <w:t>with school percentiles between 1 and 20</w:t>
            </w:r>
            <w:r w:rsidRPr="000846C9">
              <w:t xml:space="preserve"> that do not otherwise meet the criteria for classification into Levels 4-5</w:t>
            </w:r>
          </w:p>
        </w:tc>
      </w:tr>
      <w:tr w:rsidR="00BB6A2C" w:rsidRPr="000846C9" w:rsidTr="00CA3D3B">
        <w:trPr>
          <w:trHeight w:val="288"/>
        </w:trPr>
        <w:tc>
          <w:tcPr>
            <w:tcW w:w="855" w:type="pct"/>
            <w:vMerge/>
            <w:tcBorders>
              <w:top w:val="dotted" w:sz="4" w:space="0" w:color="auto"/>
              <w:bottom w:val="dotted" w:sz="4" w:space="0" w:color="auto"/>
            </w:tcBorders>
            <w:shd w:val="clear" w:color="auto" w:fill="auto"/>
          </w:tcPr>
          <w:p w:rsidR="00BB6A2C" w:rsidRPr="000846C9" w:rsidRDefault="00BB6A2C" w:rsidP="000846C9">
            <w:pPr>
              <w:pStyle w:val="NoSpacing"/>
            </w:pPr>
            <w:bookmarkStart w:id="59" w:name="_Hlk334612874"/>
          </w:p>
        </w:tc>
        <w:tc>
          <w:tcPr>
            <w:tcW w:w="1379" w:type="pct"/>
            <w:tcBorders>
              <w:top w:val="dotted" w:sz="4" w:space="0" w:color="auto"/>
              <w:bottom w:val="dotted" w:sz="4" w:space="0" w:color="auto"/>
            </w:tcBorders>
            <w:shd w:val="clear" w:color="auto" w:fill="auto"/>
          </w:tcPr>
          <w:p w:rsidR="00BB6A2C" w:rsidRPr="009C3327" w:rsidRDefault="00BB6A2C" w:rsidP="000846C9">
            <w:pPr>
              <w:pStyle w:val="NoSpacing"/>
              <w:rPr>
                <w:i/>
              </w:rPr>
            </w:pPr>
            <w:r w:rsidRPr="009C3327">
              <w:rPr>
                <w:i/>
              </w:rPr>
              <w:t xml:space="preserve">Among lowest performing 20% of subgroups </w:t>
            </w:r>
          </w:p>
        </w:tc>
        <w:tc>
          <w:tcPr>
            <w:tcW w:w="2766" w:type="pct"/>
            <w:tcBorders>
              <w:top w:val="dotted" w:sz="4" w:space="0" w:color="auto"/>
              <w:bottom w:val="dotted" w:sz="4" w:space="0" w:color="auto"/>
            </w:tcBorders>
            <w:shd w:val="clear" w:color="auto" w:fill="auto"/>
          </w:tcPr>
          <w:p w:rsidR="00BB6A2C" w:rsidRPr="000846C9" w:rsidRDefault="00BB6A2C" w:rsidP="008868C8">
            <w:pPr>
              <w:pStyle w:val="NoSpacing"/>
            </w:pPr>
            <w:r w:rsidRPr="000846C9">
              <w:t xml:space="preserve">Schools with one or more student subgroups (A) placing in the 20th percentile or lower relative to all subgroups in the state, and (B) placing in the 20th percentile or lower relative to that particular subgroup within the </w:t>
            </w:r>
            <w:r w:rsidR="008868C8">
              <w:t>school type category</w:t>
            </w:r>
            <w:r w:rsidRPr="000846C9">
              <w:t>, that do not otherwise meet the criteria for classificati</w:t>
            </w:r>
            <w:r w:rsidR="00B07ADA">
              <w:t xml:space="preserve">on into Levels 4-5; designated </w:t>
            </w:r>
            <w:r w:rsidRPr="000846C9">
              <w:t xml:space="preserve"> </w:t>
            </w:r>
            <w:r w:rsidR="00076ECE" w:rsidRPr="00076ECE">
              <w:rPr>
                <w:i/>
              </w:rPr>
              <w:t>focus school</w:t>
            </w:r>
            <w:r w:rsidR="00B07ADA">
              <w:rPr>
                <w:i/>
              </w:rPr>
              <w:t>s</w:t>
            </w:r>
          </w:p>
        </w:tc>
      </w:tr>
      <w:tr w:rsidR="00BB6A2C" w:rsidRPr="000846C9" w:rsidTr="00CA3D3B">
        <w:trPr>
          <w:trHeight w:val="288"/>
        </w:trPr>
        <w:tc>
          <w:tcPr>
            <w:tcW w:w="855" w:type="pct"/>
            <w:vMerge/>
            <w:tcBorders>
              <w:top w:val="dotted" w:sz="4" w:space="0" w:color="auto"/>
              <w:bottom w:val="dotted" w:sz="4" w:space="0" w:color="auto"/>
            </w:tcBorders>
            <w:shd w:val="clear" w:color="auto" w:fill="auto"/>
          </w:tcPr>
          <w:p w:rsidR="00BB6A2C" w:rsidRPr="000846C9" w:rsidRDefault="00BB6A2C" w:rsidP="000846C9">
            <w:pPr>
              <w:pStyle w:val="NoSpacing"/>
            </w:pPr>
          </w:p>
        </w:tc>
        <w:tc>
          <w:tcPr>
            <w:tcW w:w="1379" w:type="pct"/>
            <w:tcBorders>
              <w:top w:val="dotted" w:sz="4" w:space="0" w:color="auto"/>
              <w:bottom w:val="dotted" w:sz="4" w:space="0" w:color="auto"/>
            </w:tcBorders>
            <w:shd w:val="clear" w:color="auto" w:fill="auto"/>
          </w:tcPr>
          <w:p w:rsidR="00BB6A2C" w:rsidRPr="009C3327" w:rsidRDefault="00BB6A2C" w:rsidP="000846C9">
            <w:pPr>
              <w:pStyle w:val="NoSpacing"/>
              <w:rPr>
                <w:i/>
              </w:rPr>
            </w:pPr>
            <w:r w:rsidRPr="009C3327">
              <w:rPr>
                <w:i/>
              </w:rPr>
              <w:t>Among lowest performing 20% of schools and subgroups</w:t>
            </w:r>
          </w:p>
        </w:tc>
        <w:tc>
          <w:tcPr>
            <w:tcW w:w="2766" w:type="pct"/>
            <w:tcBorders>
              <w:top w:val="dotted" w:sz="4" w:space="0" w:color="auto"/>
              <w:bottom w:val="dotted" w:sz="4" w:space="0" w:color="auto"/>
            </w:tcBorders>
            <w:shd w:val="clear" w:color="auto" w:fill="auto"/>
          </w:tcPr>
          <w:p w:rsidR="00BB6A2C" w:rsidRPr="000846C9" w:rsidRDefault="00BB6A2C" w:rsidP="000846C9">
            <w:pPr>
              <w:pStyle w:val="NoSpacing"/>
            </w:pPr>
            <w:r w:rsidRPr="000846C9">
              <w:t>Schools meeting both of the above criteria that do not otherwise meet the criteria for classificati</w:t>
            </w:r>
            <w:r w:rsidR="00B07ADA">
              <w:t xml:space="preserve">on into Levels 4-5; designated </w:t>
            </w:r>
            <w:r w:rsidRPr="000846C9">
              <w:t xml:space="preserve"> </w:t>
            </w:r>
            <w:r w:rsidR="00076ECE" w:rsidRPr="00076ECE">
              <w:rPr>
                <w:i/>
              </w:rPr>
              <w:t>focus school</w:t>
            </w:r>
            <w:r w:rsidR="00B07ADA">
              <w:rPr>
                <w:i/>
              </w:rPr>
              <w:t>s</w:t>
            </w:r>
          </w:p>
        </w:tc>
      </w:tr>
      <w:tr w:rsidR="00BB6A2C" w:rsidRPr="000846C9" w:rsidTr="00CA3D3B">
        <w:trPr>
          <w:trHeight w:val="288"/>
        </w:trPr>
        <w:tc>
          <w:tcPr>
            <w:tcW w:w="855" w:type="pct"/>
            <w:vMerge/>
            <w:tcBorders>
              <w:top w:val="dotted" w:sz="4" w:space="0" w:color="auto"/>
              <w:bottom w:val="dotted" w:sz="4" w:space="0" w:color="auto"/>
            </w:tcBorders>
            <w:shd w:val="clear" w:color="auto" w:fill="auto"/>
          </w:tcPr>
          <w:p w:rsidR="00BB6A2C" w:rsidRPr="000846C9" w:rsidRDefault="00BB6A2C" w:rsidP="000846C9">
            <w:pPr>
              <w:pStyle w:val="NoSpacing"/>
            </w:pPr>
          </w:p>
        </w:tc>
        <w:tc>
          <w:tcPr>
            <w:tcW w:w="1379" w:type="pct"/>
            <w:tcBorders>
              <w:top w:val="dotted" w:sz="4" w:space="0" w:color="auto"/>
              <w:bottom w:val="dotted" w:sz="4" w:space="0" w:color="auto"/>
            </w:tcBorders>
            <w:shd w:val="clear" w:color="auto" w:fill="auto"/>
          </w:tcPr>
          <w:p w:rsidR="00211855" w:rsidRDefault="00BB6A2C">
            <w:pPr>
              <w:pStyle w:val="NoSpacing"/>
              <w:rPr>
                <w:i/>
              </w:rPr>
            </w:pPr>
            <w:r w:rsidRPr="009C3327">
              <w:rPr>
                <w:i/>
              </w:rPr>
              <w:t>Persistently low graduation rate for one or more groups</w:t>
            </w:r>
          </w:p>
        </w:tc>
        <w:tc>
          <w:tcPr>
            <w:tcW w:w="2766" w:type="pct"/>
            <w:tcBorders>
              <w:top w:val="dotted" w:sz="4" w:space="0" w:color="auto"/>
              <w:bottom w:val="dotted" w:sz="4" w:space="0" w:color="auto"/>
            </w:tcBorders>
            <w:shd w:val="clear" w:color="auto" w:fill="auto"/>
          </w:tcPr>
          <w:p w:rsidR="00211855" w:rsidRDefault="00BB6A2C" w:rsidP="00965B5B">
            <w:pPr>
              <w:pStyle w:val="NoSpacing"/>
            </w:pPr>
            <w:r w:rsidRPr="000846C9">
              <w:t xml:space="preserve">Schools in which one or more groups in the school has a </w:t>
            </w:r>
            <w:r w:rsidR="00965B5B">
              <w:t>2016</w:t>
            </w:r>
            <w:r w:rsidR="00965B5B" w:rsidRPr="000846C9">
              <w:t xml:space="preserve"> </w:t>
            </w:r>
            <w:r w:rsidRPr="000846C9">
              <w:t xml:space="preserve">four-year cohort graduation of less than </w:t>
            </w:r>
            <w:r w:rsidR="00D200CC">
              <w:t>67</w:t>
            </w:r>
            <w:r w:rsidR="00D200CC" w:rsidRPr="000846C9">
              <w:t xml:space="preserve"> </w:t>
            </w:r>
            <w:r w:rsidRPr="000846C9">
              <w:t xml:space="preserve">percent and </w:t>
            </w:r>
            <w:r w:rsidR="00965B5B">
              <w:t>2015</w:t>
            </w:r>
            <w:r w:rsidR="007E2DA8" w:rsidRPr="000846C9">
              <w:t xml:space="preserve">, </w:t>
            </w:r>
            <w:r w:rsidR="00965B5B">
              <w:t>2014</w:t>
            </w:r>
            <w:r w:rsidRPr="000846C9">
              <w:t xml:space="preserve">, and </w:t>
            </w:r>
            <w:r w:rsidR="00965B5B">
              <w:t>2013</w:t>
            </w:r>
            <w:r w:rsidR="00965B5B" w:rsidRPr="000846C9">
              <w:t xml:space="preserve"> </w:t>
            </w:r>
            <w:r w:rsidRPr="000846C9">
              <w:t xml:space="preserve">five-year cohort graduation rates of less than </w:t>
            </w:r>
            <w:r w:rsidR="00D200CC">
              <w:t>70</w:t>
            </w:r>
            <w:r w:rsidR="00D200CC" w:rsidRPr="000846C9">
              <w:t xml:space="preserve"> </w:t>
            </w:r>
            <w:r w:rsidRPr="000846C9">
              <w:t>percent that do not otherwise meet the criteria for classification into Levels 4-5</w:t>
            </w:r>
          </w:p>
        </w:tc>
      </w:tr>
      <w:bookmarkEnd w:id="59"/>
      <w:tr w:rsidR="00BB6A2C" w:rsidRPr="000846C9" w:rsidTr="00CA3D3B">
        <w:trPr>
          <w:trHeight w:val="288"/>
        </w:trPr>
        <w:tc>
          <w:tcPr>
            <w:tcW w:w="855" w:type="pct"/>
            <w:vMerge/>
            <w:tcBorders>
              <w:top w:val="dotted" w:sz="4" w:space="0" w:color="auto"/>
              <w:bottom w:val="dotted" w:sz="4" w:space="0" w:color="auto"/>
            </w:tcBorders>
            <w:shd w:val="clear" w:color="auto" w:fill="auto"/>
          </w:tcPr>
          <w:p w:rsidR="00BB6A2C" w:rsidRPr="000846C9" w:rsidRDefault="00BB6A2C" w:rsidP="000846C9">
            <w:pPr>
              <w:pStyle w:val="NoSpacing"/>
            </w:pPr>
          </w:p>
        </w:tc>
        <w:tc>
          <w:tcPr>
            <w:tcW w:w="1379" w:type="pct"/>
            <w:tcBorders>
              <w:top w:val="dotted" w:sz="4" w:space="0" w:color="auto"/>
              <w:bottom w:val="dotted" w:sz="4" w:space="0" w:color="auto"/>
            </w:tcBorders>
            <w:shd w:val="clear" w:color="auto" w:fill="auto"/>
          </w:tcPr>
          <w:p w:rsidR="00BB6A2C" w:rsidRPr="009C3327" w:rsidRDefault="00BB6A2C" w:rsidP="001249FB">
            <w:pPr>
              <w:pStyle w:val="NoSpacing"/>
              <w:rPr>
                <w:i/>
              </w:rPr>
            </w:pPr>
            <w:r w:rsidRPr="009C3327">
              <w:rPr>
                <w:i/>
              </w:rPr>
              <w:t xml:space="preserve">Very low </w:t>
            </w:r>
            <w:r w:rsidR="001249FB">
              <w:rPr>
                <w:i/>
              </w:rPr>
              <w:t>assessment</w:t>
            </w:r>
            <w:r w:rsidR="001249FB" w:rsidRPr="009C3327">
              <w:rPr>
                <w:i/>
              </w:rPr>
              <w:t xml:space="preserve"> </w:t>
            </w:r>
            <w:r w:rsidRPr="009C3327">
              <w:rPr>
                <w:i/>
              </w:rPr>
              <w:t>participation (less than 90%)</w:t>
            </w:r>
          </w:p>
        </w:tc>
        <w:tc>
          <w:tcPr>
            <w:tcW w:w="2766" w:type="pct"/>
            <w:tcBorders>
              <w:top w:val="dotted" w:sz="4" w:space="0" w:color="auto"/>
              <w:bottom w:val="dotted" w:sz="4" w:space="0" w:color="auto"/>
            </w:tcBorders>
            <w:shd w:val="clear" w:color="auto" w:fill="auto"/>
          </w:tcPr>
          <w:p w:rsidR="00BB6A2C" w:rsidRPr="000846C9" w:rsidRDefault="00BB6A2C" w:rsidP="000846C9">
            <w:pPr>
              <w:pStyle w:val="NoSpacing"/>
            </w:pPr>
            <w:r w:rsidRPr="000846C9">
              <w:t xml:space="preserve">Schools with less than 90 percent participation for any group </w:t>
            </w:r>
            <w:r w:rsidR="009C24B4">
              <w:t xml:space="preserve">in any subject </w:t>
            </w:r>
            <w:r w:rsidRPr="000846C9">
              <w:t>that do not otherwise meet the criteria for classification into Levels 4-5</w:t>
            </w:r>
          </w:p>
        </w:tc>
      </w:tr>
      <w:tr w:rsidR="00BB6A2C" w:rsidRPr="000846C9" w:rsidTr="00CA3D3B">
        <w:trPr>
          <w:trHeight w:val="288"/>
        </w:trPr>
        <w:tc>
          <w:tcPr>
            <w:tcW w:w="855" w:type="pct"/>
            <w:tcBorders>
              <w:top w:val="dotted" w:sz="4" w:space="0" w:color="auto"/>
              <w:bottom w:val="dotted" w:sz="4" w:space="0" w:color="auto"/>
            </w:tcBorders>
            <w:shd w:val="clear" w:color="auto" w:fill="auto"/>
          </w:tcPr>
          <w:p w:rsidR="00BB6A2C" w:rsidRPr="000846C9" w:rsidRDefault="00BB6A2C" w:rsidP="000846C9">
            <w:pPr>
              <w:pStyle w:val="NoSpacing"/>
            </w:pPr>
            <w:r w:rsidRPr="000846C9">
              <w:t>Level 4</w:t>
            </w:r>
          </w:p>
        </w:tc>
        <w:tc>
          <w:tcPr>
            <w:tcW w:w="1379" w:type="pct"/>
            <w:tcBorders>
              <w:top w:val="dotted" w:sz="4" w:space="0" w:color="auto"/>
              <w:bottom w:val="dotted" w:sz="4" w:space="0" w:color="auto"/>
            </w:tcBorders>
            <w:shd w:val="clear" w:color="auto" w:fill="auto"/>
          </w:tcPr>
          <w:p w:rsidR="00BB6A2C" w:rsidRPr="009C3327" w:rsidRDefault="00BB6A2C" w:rsidP="000846C9">
            <w:pPr>
              <w:pStyle w:val="NoSpacing"/>
              <w:rPr>
                <w:i/>
              </w:rPr>
            </w:pPr>
            <w:r w:rsidRPr="009C3327">
              <w:rPr>
                <w:i/>
              </w:rPr>
              <w:t>Among lowest achieving and least improving schools</w:t>
            </w:r>
          </w:p>
        </w:tc>
        <w:tc>
          <w:tcPr>
            <w:tcW w:w="2766" w:type="pct"/>
            <w:tcBorders>
              <w:top w:val="dotted" w:sz="4" w:space="0" w:color="auto"/>
              <w:bottom w:val="dotted" w:sz="4" w:space="0" w:color="auto"/>
            </w:tcBorders>
            <w:shd w:val="clear" w:color="auto" w:fill="auto"/>
          </w:tcPr>
          <w:p w:rsidR="00BB6A2C" w:rsidRPr="000846C9" w:rsidRDefault="00BB6A2C" w:rsidP="000846C9">
            <w:pPr>
              <w:pStyle w:val="NoSpacing"/>
            </w:pPr>
            <w:r w:rsidRPr="000846C9">
              <w:t xml:space="preserve">Level 3 schools </w:t>
            </w:r>
            <w:r w:rsidR="00404366">
              <w:t>classified into Level 4 by the C</w:t>
            </w:r>
            <w:r w:rsidRPr="000846C9">
              <w:t>ommissioner</w:t>
            </w:r>
          </w:p>
        </w:tc>
      </w:tr>
      <w:tr w:rsidR="00BB6A2C" w:rsidRPr="000846C9" w:rsidTr="00071453">
        <w:trPr>
          <w:trHeight w:val="233"/>
        </w:trPr>
        <w:tc>
          <w:tcPr>
            <w:tcW w:w="855" w:type="pct"/>
            <w:tcBorders>
              <w:top w:val="dotted" w:sz="4" w:space="0" w:color="auto"/>
            </w:tcBorders>
            <w:shd w:val="clear" w:color="auto" w:fill="auto"/>
          </w:tcPr>
          <w:p w:rsidR="00BB6A2C" w:rsidRPr="000846C9" w:rsidRDefault="00BB6A2C" w:rsidP="000846C9">
            <w:pPr>
              <w:pStyle w:val="NoSpacing"/>
            </w:pPr>
            <w:r w:rsidRPr="000846C9">
              <w:t>Level 5</w:t>
            </w:r>
          </w:p>
        </w:tc>
        <w:tc>
          <w:tcPr>
            <w:tcW w:w="1379" w:type="pct"/>
            <w:tcBorders>
              <w:top w:val="dotted" w:sz="4" w:space="0" w:color="auto"/>
            </w:tcBorders>
            <w:shd w:val="clear" w:color="auto" w:fill="auto"/>
          </w:tcPr>
          <w:p w:rsidR="00BB6A2C" w:rsidRPr="009C3327" w:rsidRDefault="00BB6A2C" w:rsidP="000846C9">
            <w:pPr>
              <w:pStyle w:val="NoSpacing"/>
              <w:rPr>
                <w:i/>
              </w:rPr>
            </w:pPr>
            <w:r w:rsidRPr="009C3327">
              <w:rPr>
                <w:i/>
              </w:rPr>
              <w:t>Chronically underperforming school</w:t>
            </w:r>
          </w:p>
        </w:tc>
        <w:tc>
          <w:tcPr>
            <w:tcW w:w="2766" w:type="pct"/>
            <w:tcBorders>
              <w:top w:val="dotted" w:sz="4" w:space="0" w:color="auto"/>
            </w:tcBorders>
            <w:shd w:val="clear" w:color="auto" w:fill="auto"/>
          </w:tcPr>
          <w:p w:rsidR="00BB6A2C" w:rsidRPr="000846C9" w:rsidRDefault="00BB6A2C" w:rsidP="000846C9">
            <w:pPr>
              <w:pStyle w:val="NoSpacing"/>
            </w:pPr>
            <w:r w:rsidRPr="000846C9">
              <w:t xml:space="preserve">Level 4 schools </w:t>
            </w:r>
            <w:r w:rsidR="00404366">
              <w:t>classified into Level 5 by the C</w:t>
            </w:r>
            <w:r w:rsidRPr="000846C9">
              <w:t>ommissioner</w:t>
            </w:r>
          </w:p>
        </w:tc>
      </w:tr>
    </w:tbl>
    <w:p w:rsidR="00E05552" w:rsidRDefault="00E05552" w:rsidP="00DE29E0">
      <w:pPr>
        <w:pStyle w:val="Heading4"/>
        <w:spacing w:before="0" w:after="0"/>
      </w:pPr>
    </w:p>
    <w:p w:rsidR="004A3F08" w:rsidRPr="00AD1FFE" w:rsidRDefault="004A3F08" w:rsidP="00AD1FFE">
      <w:pPr>
        <w:pStyle w:val="Heading4"/>
      </w:pPr>
      <w:bookmarkStart w:id="60" w:name="_Toc435178320"/>
      <w:bookmarkStart w:id="61" w:name="_Toc435178526"/>
      <w:r w:rsidRPr="00AD1FFE">
        <w:t>Commendation schools</w:t>
      </w:r>
      <w:bookmarkEnd w:id="60"/>
      <w:bookmarkEnd w:id="61"/>
    </w:p>
    <w:p w:rsidR="00E40849" w:rsidRDefault="004A3F08" w:rsidP="00E40849">
      <w:r>
        <w:t xml:space="preserve">A </w:t>
      </w:r>
      <w:r w:rsidRPr="00531F9B">
        <w:t xml:space="preserve">subset of Level 1 </w:t>
      </w:r>
      <w:r w:rsidR="003D4DC9">
        <w:t xml:space="preserve">high </w:t>
      </w:r>
      <w:r w:rsidRPr="00531F9B">
        <w:t xml:space="preserve">schools </w:t>
      </w:r>
      <w:r>
        <w:t xml:space="preserve">are </w:t>
      </w:r>
      <w:r w:rsidR="00F24703">
        <w:t>recognized as</w:t>
      </w:r>
      <w:r>
        <w:t xml:space="preserve"> </w:t>
      </w:r>
      <w:r w:rsidR="00F24703">
        <w:rPr>
          <w:i/>
        </w:rPr>
        <w:t>Commendation s</w:t>
      </w:r>
      <w:r>
        <w:rPr>
          <w:i/>
        </w:rPr>
        <w:t>chools</w:t>
      </w:r>
      <w:r w:rsidR="00F24703">
        <w:rPr>
          <w:i/>
        </w:rPr>
        <w:t xml:space="preserve"> </w:t>
      </w:r>
      <w:r w:rsidR="00F24703" w:rsidRPr="00F24703">
        <w:t xml:space="preserve">for their </w:t>
      </w:r>
      <w:r w:rsidR="00F24703">
        <w:t xml:space="preserve">academic </w:t>
      </w:r>
      <w:r w:rsidR="00F24703" w:rsidRPr="00F24703">
        <w:t>accomplishments.</w:t>
      </w:r>
      <w:r w:rsidRPr="00531F9B">
        <w:t xml:space="preserve"> </w:t>
      </w:r>
      <w:r w:rsidR="00F24703">
        <w:t xml:space="preserve">Commendation schools are identified </w:t>
      </w:r>
      <w:r>
        <w:t xml:space="preserve">for </w:t>
      </w:r>
      <w:r w:rsidR="006B7E82">
        <w:t xml:space="preserve">high achievement, high progress, and narrowing proficiency gaps. Schools that administered Next-Generation MCAS tests in grades 3-8 or reconfigured in any of the last four school years are not eligible for a commendation. </w:t>
      </w:r>
      <w:r w:rsidR="000E44CF">
        <w:t xml:space="preserve">Commendation schools are identified each fall when official district and school accountability results are released to the public. </w:t>
      </w:r>
      <w:bookmarkStart w:id="62" w:name="_Toc435178322"/>
      <w:bookmarkStart w:id="63" w:name="_Toc435178528"/>
    </w:p>
    <w:p w:rsidR="00A37331" w:rsidRPr="009E3A2E" w:rsidRDefault="00BA71DF" w:rsidP="00E40849">
      <w:pPr>
        <w:pStyle w:val="Heading3"/>
      </w:pPr>
      <w:bookmarkStart w:id="64" w:name="_Toc490741858"/>
      <w:r w:rsidRPr="009E3A2E">
        <w:t>Movement between l</w:t>
      </w:r>
      <w:r w:rsidR="00A37331" w:rsidRPr="009E3A2E">
        <w:t>evels</w:t>
      </w:r>
      <w:bookmarkEnd w:id="62"/>
      <w:bookmarkEnd w:id="63"/>
      <w:bookmarkEnd w:id="64"/>
    </w:p>
    <w:p w:rsidR="00004E76" w:rsidRDefault="00BE2112" w:rsidP="0032199D">
      <w:r>
        <w:t xml:space="preserve">In general, </w:t>
      </w:r>
      <w:r w:rsidR="00371FFC">
        <w:t xml:space="preserve">high </w:t>
      </w:r>
      <w:r>
        <w:t xml:space="preserve">schools can move between levels from year to year based on their PPIs for all students and high needs students, and their school percentile. </w:t>
      </w:r>
      <w:r w:rsidR="00A37331">
        <w:t xml:space="preserve">A Level 4 or 5 school </w:t>
      </w:r>
      <w:r w:rsidR="000C17F2">
        <w:t xml:space="preserve">is designated as such by the </w:t>
      </w:r>
      <w:r w:rsidR="000C17F2">
        <w:lastRenderedPageBreak/>
        <w:t xml:space="preserve">Commissioner of Elementary and Secondary Education, and can only be removed from Level 4 or 5 by the </w:t>
      </w:r>
      <w:r w:rsidR="00F60C5C">
        <w:t>C</w:t>
      </w:r>
      <w:r w:rsidR="000C17F2">
        <w:t>ommissioner</w:t>
      </w:r>
      <w:r w:rsidR="00A37331">
        <w:t xml:space="preserve">. A Level 3 school can move to </w:t>
      </w:r>
      <w:r w:rsidR="00BF073A">
        <w:t>Level 2 or 1</w:t>
      </w:r>
      <w:r w:rsidR="002C2E2C">
        <w:t xml:space="preserve"> </w:t>
      </w:r>
      <w:r w:rsidR="00A37331">
        <w:t>if it</w:t>
      </w:r>
      <w:r w:rsidR="005E26ED">
        <w:t xml:space="preserve">s school percentile is greater than 20, unless it is a Level 3 focus school. A Level 3 focus school, identified for the low performance of student subgroups, </w:t>
      </w:r>
      <w:r w:rsidR="00004E76">
        <w:t>must meet the following criteria in order to exit Level 3:</w:t>
      </w:r>
    </w:p>
    <w:p w:rsidR="0032199D" w:rsidRDefault="0032199D" w:rsidP="0032199D">
      <w:pPr>
        <w:pStyle w:val="ListParagraph"/>
        <w:numPr>
          <w:ilvl w:val="0"/>
          <w:numId w:val="9"/>
        </w:numPr>
        <w:spacing w:after="0"/>
        <w:ind w:left="720"/>
        <w:rPr>
          <w:rFonts w:ascii="Calibri" w:hAnsi="Calibri"/>
          <w:i w:val="0"/>
        </w:rPr>
      </w:pPr>
      <w:r w:rsidRPr="00627857">
        <w:rPr>
          <w:rFonts w:ascii="Calibri" w:hAnsi="Calibri"/>
          <w:i w:val="0"/>
        </w:rPr>
        <w:t xml:space="preserve">the school’s aggregate percentile </w:t>
      </w:r>
      <w:r>
        <w:rPr>
          <w:rFonts w:ascii="Calibri" w:hAnsi="Calibri"/>
          <w:i w:val="0"/>
        </w:rPr>
        <w:t>is</w:t>
      </w:r>
      <w:r w:rsidRPr="00627857">
        <w:rPr>
          <w:rFonts w:ascii="Calibri" w:hAnsi="Calibri"/>
          <w:i w:val="0"/>
        </w:rPr>
        <w:t xml:space="preserve"> higher than 20</w:t>
      </w:r>
      <w:r>
        <w:rPr>
          <w:rFonts w:ascii="Calibri" w:hAnsi="Calibri"/>
          <w:i w:val="0"/>
        </w:rPr>
        <w:t>;</w:t>
      </w:r>
    </w:p>
    <w:p w:rsidR="00627857" w:rsidRDefault="0032199D" w:rsidP="0032199D">
      <w:pPr>
        <w:pStyle w:val="ListParagraph"/>
        <w:numPr>
          <w:ilvl w:val="0"/>
          <w:numId w:val="9"/>
        </w:numPr>
        <w:spacing w:after="0"/>
        <w:ind w:left="720"/>
        <w:rPr>
          <w:rFonts w:ascii="Calibri" w:hAnsi="Calibri"/>
          <w:i w:val="0"/>
        </w:rPr>
      </w:pPr>
      <w:r>
        <w:rPr>
          <w:rFonts w:ascii="Calibri" w:hAnsi="Calibri"/>
          <w:i w:val="0"/>
        </w:rPr>
        <w:t>identified subgroups</w:t>
      </w:r>
      <w:r w:rsidR="00627857">
        <w:rPr>
          <w:rFonts w:ascii="Calibri" w:hAnsi="Calibri"/>
          <w:i w:val="0"/>
        </w:rPr>
        <w:t xml:space="preserve"> have a</w:t>
      </w:r>
      <w:r w:rsidR="006F074D">
        <w:rPr>
          <w:rFonts w:ascii="Calibri" w:hAnsi="Calibri"/>
          <w:i w:val="0"/>
        </w:rPr>
        <w:t>n</w:t>
      </w:r>
      <w:r w:rsidR="00061E17">
        <w:rPr>
          <w:rFonts w:ascii="Calibri" w:hAnsi="Calibri"/>
          <w:i w:val="0"/>
        </w:rPr>
        <w:t xml:space="preserve"> </w:t>
      </w:r>
      <w:r w:rsidR="00627857">
        <w:rPr>
          <w:rFonts w:ascii="Calibri" w:hAnsi="Calibri"/>
          <w:i w:val="0"/>
        </w:rPr>
        <w:t>annual PPI</w:t>
      </w:r>
      <w:r w:rsidR="00627857" w:rsidRPr="00627857">
        <w:rPr>
          <w:rFonts w:ascii="Calibri" w:hAnsi="Calibri"/>
          <w:i w:val="0"/>
        </w:rPr>
        <w:t xml:space="preserve"> </w:t>
      </w:r>
      <w:r>
        <w:rPr>
          <w:rFonts w:ascii="Calibri" w:hAnsi="Calibri"/>
          <w:i w:val="0"/>
        </w:rPr>
        <w:t xml:space="preserve">of </w:t>
      </w:r>
      <w:r w:rsidR="00627857" w:rsidRPr="00627857">
        <w:rPr>
          <w:rFonts w:ascii="Calibri" w:hAnsi="Calibri"/>
          <w:i w:val="0"/>
        </w:rPr>
        <w:t>75 or higher</w:t>
      </w:r>
      <w:r w:rsidR="006F074D">
        <w:rPr>
          <w:rFonts w:ascii="Calibri" w:hAnsi="Calibri"/>
          <w:i w:val="0"/>
        </w:rPr>
        <w:t xml:space="preserve"> for the current year</w:t>
      </w:r>
      <w:r w:rsidR="00627857" w:rsidRPr="00627857">
        <w:rPr>
          <w:rFonts w:ascii="Calibri" w:hAnsi="Calibri"/>
          <w:i w:val="0"/>
        </w:rPr>
        <w:t xml:space="preserve">; </w:t>
      </w:r>
    </w:p>
    <w:p w:rsidR="0032199D" w:rsidRDefault="0032199D" w:rsidP="0032199D">
      <w:pPr>
        <w:pStyle w:val="ListParagraph"/>
        <w:numPr>
          <w:ilvl w:val="0"/>
          <w:numId w:val="9"/>
        </w:numPr>
        <w:spacing w:after="0"/>
        <w:ind w:left="720"/>
        <w:rPr>
          <w:rFonts w:ascii="Calibri" w:hAnsi="Calibri"/>
          <w:i w:val="0"/>
        </w:rPr>
      </w:pPr>
      <w:r>
        <w:rPr>
          <w:rFonts w:ascii="Calibri" w:hAnsi="Calibri"/>
          <w:i w:val="0"/>
        </w:rPr>
        <w:t>identified subgroups</w:t>
      </w:r>
      <w:r w:rsidR="00AD1937">
        <w:rPr>
          <w:rFonts w:ascii="Calibri" w:hAnsi="Calibri"/>
          <w:i w:val="0"/>
        </w:rPr>
        <w:t xml:space="preserve"> have an in-group percentile of 21 or higher for the current year; </w:t>
      </w:r>
      <w:r w:rsidRPr="0032199D">
        <w:rPr>
          <w:rFonts w:ascii="Calibri" w:hAnsi="Calibri"/>
        </w:rPr>
        <w:t>and</w:t>
      </w:r>
    </w:p>
    <w:p w:rsidR="00061E17" w:rsidRPr="0032199D" w:rsidRDefault="00627857" w:rsidP="0032199D">
      <w:pPr>
        <w:pStyle w:val="ListParagraph"/>
        <w:numPr>
          <w:ilvl w:val="0"/>
          <w:numId w:val="9"/>
        </w:numPr>
        <w:ind w:left="720"/>
        <w:contextualSpacing w:val="0"/>
        <w:rPr>
          <w:rFonts w:ascii="Calibri" w:hAnsi="Calibri"/>
          <w:i w:val="0"/>
        </w:rPr>
      </w:pPr>
      <w:r w:rsidRPr="0032199D">
        <w:rPr>
          <w:rFonts w:ascii="Calibri" w:hAnsi="Calibri"/>
          <w:i w:val="0"/>
        </w:rPr>
        <w:t xml:space="preserve">no other groups in the school have been </w:t>
      </w:r>
      <w:r w:rsidR="0032199D" w:rsidRPr="0032199D">
        <w:rPr>
          <w:rFonts w:ascii="Calibri" w:hAnsi="Calibri"/>
          <w:i w:val="0"/>
        </w:rPr>
        <w:t xml:space="preserve">newly </w:t>
      </w:r>
      <w:r w:rsidRPr="0032199D">
        <w:rPr>
          <w:rFonts w:ascii="Calibri" w:hAnsi="Calibri"/>
          <w:i w:val="0"/>
        </w:rPr>
        <w:t>identified as focus groups</w:t>
      </w:r>
      <w:r w:rsidR="0032199D" w:rsidRPr="0032199D">
        <w:rPr>
          <w:rFonts w:ascii="Calibri" w:hAnsi="Calibri"/>
        </w:rPr>
        <w:t>.</w:t>
      </w:r>
    </w:p>
    <w:p w:rsidR="00B801F9" w:rsidRPr="003902AC" w:rsidRDefault="00B801F9" w:rsidP="005E67E6">
      <w:pPr>
        <w:pStyle w:val="Heading1"/>
      </w:pPr>
      <w:bookmarkStart w:id="65" w:name="_Toc435178326"/>
      <w:bookmarkStart w:id="66" w:name="_Toc435178532"/>
      <w:bookmarkStart w:id="67" w:name="_Toc490741859"/>
      <w:r w:rsidRPr="00A861A6">
        <w:t xml:space="preserve">Understanding </w:t>
      </w:r>
      <w:r w:rsidR="00A848EC">
        <w:t>district and school</w:t>
      </w:r>
      <w:r w:rsidRPr="00A861A6">
        <w:t xml:space="preserve"> accountability reports</w:t>
      </w:r>
      <w:bookmarkEnd w:id="65"/>
      <w:bookmarkEnd w:id="66"/>
      <w:bookmarkEnd w:id="67"/>
    </w:p>
    <w:p w:rsidR="009B4021" w:rsidRPr="009B4021" w:rsidRDefault="00CF0AE3" w:rsidP="005E67E6">
      <w:r>
        <w:t>Accountability reports for the state and its districts and schools are update</w:t>
      </w:r>
      <w:r w:rsidR="00076B9D">
        <w:t>d</w:t>
      </w:r>
      <w:r>
        <w:t xml:space="preserve"> annual</w:t>
      </w:r>
      <w:r w:rsidR="00076B9D">
        <w:t>ly</w:t>
      </w:r>
      <w:r>
        <w:t>. They can be found on</w:t>
      </w:r>
      <w:r w:rsidR="009B4021">
        <w:t xml:space="preserve"> ESE’s </w:t>
      </w:r>
      <w:hyperlink r:id="rId19" w:history="1">
        <w:r w:rsidR="00A848EC">
          <w:rPr>
            <w:rStyle w:val="Hyperlink"/>
          </w:rPr>
          <w:t xml:space="preserve">District and </w:t>
        </w:r>
        <w:r w:rsidR="00167D7B">
          <w:rPr>
            <w:rStyle w:val="Hyperlink"/>
          </w:rPr>
          <w:t>S</w:t>
        </w:r>
        <w:r w:rsidR="00A848EC">
          <w:rPr>
            <w:rStyle w:val="Hyperlink"/>
          </w:rPr>
          <w:t>chool</w:t>
        </w:r>
        <w:r w:rsidR="009B4021" w:rsidRPr="00846B2F">
          <w:rPr>
            <w:rStyle w:val="Hyperlink"/>
          </w:rPr>
          <w:t xml:space="preserve"> </w:t>
        </w:r>
        <w:r w:rsidR="00846B2F" w:rsidRPr="00846B2F">
          <w:rPr>
            <w:rStyle w:val="Hyperlink"/>
          </w:rPr>
          <w:t>P</w:t>
        </w:r>
        <w:r w:rsidR="009B4021" w:rsidRPr="00846B2F">
          <w:rPr>
            <w:rStyle w:val="Hyperlink"/>
          </w:rPr>
          <w:t>rofiles</w:t>
        </w:r>
      </w:hyperlink>
      <w:r w:rsidR="009B4021">
        <w:t xml:space="preserve"> website</w:t>
      </w:r>
      <w:r w:rsidR="00846B2F">
        <w:t>.</w:t>
      </w:r>
    </w:p>
    <w:p w:rsidR="00EC160B" w:rsidRPr="009E3A2E" w:rsidRDefault="00EC160B" w:rsidP="005E67E6">
      <w:pPr>
        <w:pStyle w:val="Heading2"/>
      </w:pPr>
      <w:bookmarkStart w:id="68" w:name="_Toc435178327"/>
      <w:bookmarkStart w:id="69" w:name="_Toc435178533"/>
      <w:bookmarkStart w:id="70" w:name="_Toc490741860"/>
      <w:r w:rsidRPr="009E3A2E">
        <w:t>School accountability reports</w:t>
      </w:r>
      <w:bookmarkEnd w:id="68"/>
      <w:bookmarkEnd w:id="69"/>
      <w:bookmarkEnd w:id="70"/>
    </w:p>
    <w:p w:rsidR="00270989" w:rsidRPr="00BB2F16" w:rsidRDefault="00270989" w:rsidP="00270989">
      <w:pPr>
        <w:rPr>
          <w:i/>
        </w:rPr>
      </w:pPr>
      <w:r>
        <w:t xml:space="preserve">Accountability results for schools that administered 2017 Next-Generation MCAS tests in grades 3-8 are reported on a single page. The report </w:t>
      </w:r>
      <w:r w:rsidRPr="00270989">
        <w:t>gives general information about the school, including: the type of school (e.g., elementary), region, grades served, and Title I status;</w:t>
      </w:r>
      <w:r>
        <w:t xml:space="preserve"> </w:t>
      </w:r>
      <w:r w:rsidR="004978F9">
        <w:t>t</w:t>
      </w:r>
      <w:r w:rsidRPr="00270989">
        <w:t>he school’s accountability and assistance level</w:t>
      </w:r>
      <w:r>
        <w:t>;</w:t>
      </w:r>
      <w:r w:rsidRPr="00270989">
        <w:t xml:space="preserve"> and the reason for the level classification</w:t>
      </w:r>
      <w:r>
        <w:t xml:space="preserve">. Detailed assessment participation rate data are also included for each subgroup and in each subject. School percentiles and cumulative PPI data are not reported for these schools. </w:t>
      </w:r>
      <w:r w:rsidR="004978F9">
        <w:t xml:space="preserve">Once published, data related to the schools’ MCAS results can be found on the school’s assessment reports on the </w:t>
      </w:r>
      <w:hyperlink r:id="rId20" w:history="1">
        <w:r w:rsidR="004978F9" w:rsidRPr="004978F9">
          <w:rPr>
            <w:rStyle w:val="Hyperlink"/>
          </w:rPr>
          <w:t>School and District Profiles</w:t>
        </w:r>
      </w:hyperlink>
      <w:r w:rsidR="004978F9">
        <w:t xml:space="preserve"> website. </w:t>
      </w:r>
    </w:p>
    <w:p w:rsidR="0031590E" w:rsidRDefault="00EC160B">
      <w:r>
        <w:t xml:space="preserve">Accountability results for </w:t>
      </w:r>
      <w:r w:rsidR="00270989">
        <w:t xml:space="preserve">high </w:t>
      </w:r>
      <w:r>
        <w:t xml:space="preserve">schools </w:t>
      </w:r>
      <w:r w:rsidR="00B013A7">
        <w:t>are</w:t>
      </w:r>
      <w:r>
        <w:t xml:space="preserve"> reported in three layers:</w:t>
      </w:r>
    </w:p>
    <w:p w:rsidR="0031590E" w:rsidRPr="00BB2F16" w:rsidRDefault="001E4AB9">
      <w:pPr>
        <w:pStyle w:val="ListParagraph"/>
        <w:rPr>
          <w:i w:val="0"/>
        </w:rPr>
      </w:pPr>
      <w:r w:rsidRPr="001E4AB9">
        <w:rPr>
          <w:i w:val="0"/>
        </w:rPr>
        <w:t xml:space="preserve">The first layer gives general information about the school, including: the type of school (e.g., </w:t>
      </w:r>
      <w:r w:rsidR="00E40849">
        <w:rPr>
          <w:i w:val="0"/>
        </w:rPr>
        <w:t>high school</w:t>
      </w:r>
      <w:r w:rsidRPr="001E4AB9">
        <w:rPr>
          <w:i w:val="0"/>
        </w:rPr>
        <w:t>), region, grades served, and Title I status; the school’s accountability and assistance level and the reason for the level classification; a percentile from 1-99 indicating the school’s overall performance relative to other schools that serve the same or similar grades; the cumulative PPI for each group served by the school; and a notation indicating whether the group met or did not meet its PPI target.</w:t>
      </w:r>
    </w:p>
    <w:p w:rsidR="0031590E" w:rsidRPr="00BB2F16" w:rsidRDefault="001E4AB9">
      <w:pPr>
        <w:pStyle w:val="ListParagraph"/>
        <w:rPr>
          <w:i w:val="0"/>
        </w:rPr>
      </w:pPr>
      <w:r w:rsidRPr="001E4AB9">
        <w:rPr>
          <w:i w:val="0"/>
        </w:rPr>
        <w:t xml:space="preserve">The second layer shows how the annual and cumulative PPIs for a particular group in the school were calculated, </w:t>
      </w:r>
      <w:r w:rsidR="000F4721">
        <w:rPr>
          <w:i w:val="0"/>
        </w:rPr>
        <w:t xml:space="preserve">the subgroup percentiles for the selected group, </w:t>
      </w:r>
      <w:r w:rsidRPr="001E4AB9">
        <w:rPr>
          <w:i w:val="0"/>
        </w:rPr>
        <w:t xml:space="preserve">and a summary of the group’s ELA, mathematics, and science </w:t>
      </w:r>
      <w:r w:rsidR="00371B1E">
        <w:rPr>
          <w:i w:val="0"/>
        </w:rPr>
        <w:t>assessment</w:t>
      </w:r>
      <w:r w:rsidR="00371B1E" w:rsidRPr="001E4AB9">
        <w:rPr>
          <w:i w:val="0"/>
        </w:rPr>
        <w:t xml:space="preserve"> </w:t>
      </w:r>
      <w:r w:rsidRPr="001E4AB9">
        <w:rPr>
          <w:i w:val="0"/>
        </w:rPr>
        <w:t>participation rates over the last four years. This information can be accessed by</w:t>
      </w:r>
      <w:r w:rsidRPr="001E4AB9">
        <w:rPr>
          <w:rFonts w:cs="Calibri"/>
          <w:i w:val="0"/>
        </w:rPr>
        <w:t xml:space="preserve"> clicking the name of a particular group on the first page of the report. </w:t>
      </w:r>
    </w:p>
    <w:p w:rsidR="0031590E" w:rsidRPr="00BB2F16" w:rsidRDefault="001E4AB9">
      <w:pPr>
        <w:pStyle w:val="ListParagraph"/>
        <w:rPr>
          <w:i w:val="0"/>
        </w:rPr>
      </w:pPr>
      <w:r w:rsidRPr="001E4AB9">
        <w:rPr>
          <w:i w:val="0"/>
        </w:rPr>
        <w:t>The third layer shows detailed data for each indicator that comprises the PPI: narrowing proficiency gaps (ELA, mathematics, and science); growth (ELA and mathematics); the annual dropout rate; the cohort graduation rate; and extra credit (ELA, mathematics, and science</w:t>
      </w:r>
      <w:r w:rsidR="00371B1E">
        <w:rPr>
          <w:i w:val="0"/>
        </w:rPr>
        <w:t xml:space="preserve"> achievement, dropout reengagement, and English language acquisition</w:t>
      </w:r>
      <w:r w:rsidRPr="001E4AB9">
        <w:rPr>
          <w:i w:val="0"/>
        </w:rPr>
        <w:t xml:space="preserve">). The third layer also shows detailed ELA, mathematics, and science </w:t>
      </w:r>
      <w:r w:rsidR="004B48E2">
        <w:rPr>
          <w:i w:val="0"/>
        </w:rPr>
        <w:t>assessment</w:t>
      </w:r>
      <w:r w:rsidRPr="001E4AB9">
        <w:rPr>
          <w:i w:val="0"/>
        </w:rPr>
        <w:t xml:space="preserve"> participation rates for all groups in the school</w:t>
      </w:r>
      <w:r w:rsidR="00493F69" w:rsidRPr="001E4AB9">
        <w:rPr>
          <w:i w:val="0"/>
        </w:rPr>
        <w:t xml:space="preserve">. </w:t>
      </w:r>
      <w:r w:rsidRPr="001E4AB9">
        <w:rPr>
          <w:i w:val="0"/>
        </w:rPr>
        <w:t>To view this layer of the report</w:t>
      </w:r>
      <w:r w:rsidRPr="001E4AB9">
        <w:rPr>
          <w:rFonts w:cs="Calibri"/>
          <w:i w:val="0"/>
        </w:rPr>
        <w:t xml:space="preserve">, click the link titled “View Detailed </w:t>
      </w:r>
      <w:r w:rsidR="00A5725C">
        <w:rPr>
          <w:rFonts w:cs="Calibri"/>
          <w:i w:val="0"/>
        </w:rPr>
        <w:t>2017</w:t>
      </w:r>
      <w:r w:rsidR="00A5725C" w:rsidRPr="001E4AB9">
        <w:rPr>
          <w:rFonts w:cs="Calibri"/>
          <w:i w:val="0"/>
        </w:rPr>
        <w:t xml:space="preserve"> </w:t>
      </w:r>
      <w:r w:rsidRPr="001E4AB9">
        <w:rPr>
          <w:rFonts w:cs="Calibri"/>
          <w:i w:val="0"/>
        </w:rPr>
        <w:t xml:space="preserve">Data” from the first layer, the link titled “View Detailed </w:t>
      </w:r>
      <w:r w:rsidR="00A5725C">
        <w:rPr>
          <w:rFonts w:cs="Calibri"/>
          <w:i w:val="0"/>
        </w:rPr>
        <w:t>2017</w:t>
      </w:r>
      <w:r w:rsidR="00A5725C" w:rsidRPr="001E4AB9">
        <w:rPr>
          <w:rFonts w:cs="Calibri"/>
          <w:i w:val="0"/>
        </w:rPr>
        <w:t xml:space="preserve"> </w:t>
      </w:r>
      <w:r w:rsidRPr="001E4AB9">
        <w:rPr>
          <w:rFonts w:cs="Calibri"/>
          <w:i w:val="0"/>
        </w:rPr>
        <w:t xml:space="preserve">Data for Each Indicator” from the second layer, or the column heading for </w:t>
      </w:r>
      <w:r w:rsidR="00A5725C">
        <w:rPr>
          <w:rFonts w:cs="Calibri"/>
          <w:i w:val="0"/>
        </w:rPr>
        <w:t>2017</w:t>
      </w:r>
      <w:r w:rsidR="00A5725C" w:rsidRPr="001E4AB9">
        <w:rPr>
          <w:rFonts w:cs="Calibri"/>
          <w:i w:val="0"/>
        </w:rPr>
        <w:t xml:space="preserve"> </w:t>
      </w:r>
      <w:r w:rsidRPr="001E4AB9">
        <w:rPr>
          <w:rFonts w:cs="Calibri"/>
          <w:i w:val="0"/>
        </w:rPr>
        <w:lastRenderedPageBreak/>
        <w:t xml:space="preserve">from the second layer. Detailed </w:t>
      </w:r>
      <w:r w:rsidR="00A5725C">
        <w:rPr>
          <w:rFonts w:cs="Calibri"/>
          <w:i w:val="0"/>
        </w:rPr>
        <w:t>2014, 2015, and 2016</w:t>
      </w:r>
      <w:r w:rsidR="00A861A6" w:rsidRPr="001E4AB9">
        <w:rPr>
          <w:rFonts w:cs="Calibri"/>
          <w:i w:val="0"/>
        </w:rPr>
        <w:t xml:space="preserve"> </w:t>
      </w:r>
      <w:r w:rsidRPr="001E4AB9">
        <w:rPr>
          <w:rFonts w:cs="Calibri"/>
          <w:i w:val="0"/>
        </w:rPr>
        <w:t xml:space="preserve">data can also be accessed by clicking on the </w:t>
      </w:r>
      <w:r w:rsidR="00371B1E">
        <w:rPr>
          <w:rFonts w:cs="Calibri"/>
          <w:i w:val="0"/>
        </w:rPr>
        <w:t>individual</w:t>
      </w:r>
      <w:r w:rsidRPr="001E4AB9">
        <w:rPr>
          <w:rFonts w:cs="Calibri"/>
          <w:i w:val="0"/>
        </w:rPr>
        <w:t xml:space="preserve"> column headings on the second layer of the report. </w:t>
      </w:r>
    </w:p>
    <w:p w:rsidR="0031590E" w:rsidRDefault="00EC160B">
      <w:pPr>
        <w:pStyle w:val="Heading2"/>
      </w:pPr>
      <w:bookmarkStart w:id="71" w:name="_Toc435178328"/>
      <w:bookmarkStart w:id="72" w:name="_Toc435178534"/>
      <w:bookmarkStart w:id="73" w:name="_Toc490741861"/>
      <w:r w:rsidRPr="009E3A2E">
        <w:t>District accountability reports</w:t>
      </w:r>
      <w:bookmarkEnd w:id="71"/>
      <w:bookmarkEnd w:id="72"/>
      <w:bookmarkEnd w:id="73"/>
    </w:p>
    <w:p w:rsidR="0031590E" w:rsidRDefault="00EC160B">
      <w:r>
        <w:t>Accountability results for districts will be reported the same way as for schools</w:t>
      </w:r>
      <w:r w:rsidR="00E96006">
        <w:t xml:space="preserve"> that administered Next-Generation MCAS tests</w:t>
      </w:r>
      <w:r>
        <w:t xml:space="preserve">, with three important differences: </w:t>
      </w:r>
    </w:p>
    <w:p w:rsidR="0031590E" w:rsidRPr="00BB2F16" w:rsidRDefault="00785A9C">
      <w:pPr>
        <w:pStyle w:val="ListParagraph"/>
        <w:rPr>
          <w:i w:val="0"/>
        </w:rPr>
      </w:pPr>
      <w:r w:rsidRPr="00DD5C74">
        <w:t>Each district’s report display</w:t>
      </w:r>
      <w:r w:rsidR="00493F69">
        <w:t>s</w:t>
      </w:r>
      <w:r w:rsidRPr="00DD5C74">
        <w:t xml:space="preserve"> the</w:t>
      </w:r>
      <w:r w:rsidR="00EC160B" w:rsidRPr="00DD5C74">
        <w:t xml:space="preserve"> district’s determination of need for special education techni</w:t>
      </w:r>
      <w:r w:rsidRPr="00DD5C74">
        <w:t xml:space="preserve">cal assistance or intervention. </w:t>
      </w:r>
      <w:r w:rsidR="001E4AB9" w:rsidRPr="001E4AB9">
        <w:rPr>
          <w:i w:val="0"/>
        </w:rPr>
        <w:t>The U.S. Department of Education requires Massachusetts to determine which districts (including single school districts) have specific needs for technical assistance or intervention in the area of special education. A district’s determination is based on six categories</w:t>
      </w:r>
      <w:r w:rsidRPr="00BB2F16">
        <w:t xml:space="preserve">: </w:t>
      </w:r>
      <w:r w:rsidR="00F305AD" w:rsidRPr="00BB2F16">
        <w:t>Meets Requirements</w:t>
      </w:r>
      <w:r w:rsidR="00AB0CAC">
        <w:t xml:space="preserve"> – </w:t>
      </w:r>
      <w:r w:rsidR="00F305AD" w:rsidRPr="00BB2F16">
        <w:t xml:space="preserve">Provisional (MRP); </w:t>
      </w:r>
      <w:r w:rsidRPr="00BB2F16">
        <w:t>Meets Requir</w:t>
      </w:r>
      <w:r w:rsidR="00846B2F" w:rsidRPr="00BB2F16">
        <w:t>ements (MR)</w:t>
      </w:r>
      <w:r w:rsidR="001E4AB9" w:rsidRPr="001E4AB9">
        <w:t>; Meets Requirements</w:t>
      </w:r>
      <w:r w:rsidR="00AB0CAC">
        <w:t xml:space="preserve"> – At </w:t>
      </w:r>
      <w:r w:rsidR="001E4AB9" w:rsidRPr="001E4AB9">
        <w:t>Risk (MRAR); Needs Technical Assistance (NTA); Needs Intervention (NI); and Needs Substantial Intervention (NSI)</w:t>
      </w:r>
      <w:r w:rsidR="001E4AB9" w:rsidRPr="001E4AB9">
        <w:rPr>
          <w:i w:val="0"/>
        </w:rPr>
        <w:t xml:space="preserve">. </w:t>
      </w:r>
      <w:r w:rsidR="00A5725C">
        <w:rPr>
          <w:i w:val="0"/>
        </w:rPr>
        <w:t>For 2017 reporting, each district’</w:t>
      </w:r>
      <w:r w:rsidR="00074667">
        <w:rPr>
          <w:i w:val="0"/>
        </w:rPr>
        <w:t>s</w:t>
      </w:r>
      <w:r w:rsidR="00A5725C">
        <w:rPr>
          <w:i w:val="0"/>
        </w:rPr>
        <w:t xml:space="preserve"> special education determination </w:t>
      </w:r>
      <w:r w:rsidR="00E40849">
        <w:rPr>
          <w:i w:val="0"/>
        </w:rPr>
        <w:t>has been</w:t>
      </w:r>
      <w:r w:rsidR="00A5725C">
        <w:rPr>
          <w:i w:val="0"/>
        </w:rPr>
        <w:t xml:space="preserve"> held constant from 2016. </w:t>
      </w:r>
      <w:r w:rsidR="001E4AB9" w:rsidRPr="001E4AB9">
        <w:rPr>
          <w:i w:val="0"/>
        </w:rPr>
        <w:t xml:space="preserve">This designation helps signal whether outcomes for all students in the district indicate progress, including that of students with disabilities, or whether technical assistance and/or intervention is needed to improve outcomes for all children, especially students with disabilities. </w:t>
      </w:r>
    </w:p>
    <w:p w:rsidR="0031590E" w:rsidRDefault="00C53F6D">
      <w:pPr>
        <w:pStyle w:val="ListParagraph"/>
      </w:pPr>
      <w:r w:rsidRPr="00DD5C74">
        <w:t xml:space="preserve">A percentile </w:t>
      </w:r>
      <w:r w:rsidR="00493F69">
        <w:t>is</w:t>
      </w:r>
      <w:r w:rsidRPr="00DD5C74">
        <w:t xml:space="preserve"> not displayed</w:t>
      </w:r>
      <w:r w:rsidR="009351DF">
        <w:t>.</w:t>
      </w:r>
      <w:r w:rsidR="00DD5C74">
        <w:t xml:space="preserve"> </w:t>
      </w:r>
      <w:r w:rsidR="001E4AB9" w:rsidRPr="001E4AB9">
        <w:rPr>
          <w:i w:val="0"/>
        </w:rPr>
        <w:t xml:space="preserve">ESE currently does not report district percentiles. </w:t>
      </w:r>
    </w:p>
    <w:p w:rsidR="0031590E" w:rsidRDefault="00C53F6D">
      <w:pPr>
        <w:pStyle w:val="ListParagraph"/>
      </w:pPr>
      <w:r w:rsidRPr="009C3327">
        <w:t>S</w:t>
      </w:r>
      <w:r w:rsidR="00EC160B" w:rsidRPr="009C3327">
        <w:t>ummary information for each school in the district</w:t>
      </w:r>
      <w:r w:rsidRPr="009C3327">
        <w:t xml:space="preserve"> </w:t>
      </w:r>
      <w:r w:rsidR="00493F69">
        <w:t>is</w:t>
      </w:r>
      <w:r w:rsidRPr="009C3327">
        <w:t xml:space="preserve"> l</w:t>
      </w:r>
      <w:r w:rsidR="00DD5C74" w:rsidRPr="009C3327">
        <w:t xml:space="preserve">isted at the bottom of the page. </w:t>
      </w:r>
      <w:r w:rsidR="001E4AB9" w:rsidRPr="001E4AB9">
        <w:rPr>
          <w:i w:val="0"/>
        </w:rPr>
        <w:t>The inclusion of this information allows interested parties to quickly access individual school reports.</w:t>
      </w:r>
      <w:r w:rsidR="00DD5C74" w:rsidRPr="009C3327">
        <w:t xml:space="preserve">  </w:t>
      </w:r>
    </w:p>
    <w:p w:rsidR="0031590E" w:rsidRDefault="003759EB">
      <w:r>
        <w:t xml:space="preserve">In addition, there may also be a difference in some of the figures displayed in the district accountability report from those in the school accountability report(s). </w:t>
      </w:r>
      <w:r w:rsidRPr="00C20FAB">
        <w:t xml:space="preserve">District accountability reports </w:t>
      </w:r>
      <w:r w:rsidR="002C2E2C">
        <w:t>typically</w:t>
      </w:r>
      <w:r w:rsidRPr="00C20FAB">
        <w:t xml:space="preserve"> include data for more students than school reports:</w:t>
      </w:r>
    </w:p>
    <w:p w:rsidR="0031590E" w:rsidRPr="00BB2F16" w:rsidRDefault="001E4AB9">
      <w:pPr>
        <w:pStyle w:val="ListParagraph"/>
        <w:rPr>
          <w:i w:val="0"/>
        </w:rPr>
      </w:pPr>
      <w:r w:rsidRPr="001E4AB9">
        <w:rPr>
          <w:i w:val="0"/>
        </w:rPr>
        <w:t xml:space="preserve">District reports include the </w:t>
      </w:r>
      <w:r w:rsidR="00AB0CAC">
        <w:rPr>
          <w:i w:val="0"/>
        </w:rPr>
        <w:t>assessment</w:t>
      </w:r>
      <w:r w:rsidR="00AB0CAC" w:rsidRPr="001E4AB9">
        <w:rPr>
          <w:i w:val="0"/>
        </w:rPr>
        <w:t xml:space="preserve"> </w:t>
      </w:r>
      <w:r w:rsidRPr="001E4AB9">
        <w:rPr>
          <w:i w:val="0"/>
        </w:rPr>
        <w:t xml:space="preserve">results of all students in the district, including those who are placed in private settings and educational collaboratives for the purpose of receiving special education or other services, while school reports only include students enrolled in the school. </w:t>
      </w:r>
    </w:p>
    <w:p w:rsidR="0031590E" w:rsidRPr="00BB2F16" w:rsidRDefault="001E4AB9">
      <w:pPr>
        <w:pStyle w:val="ListParagraph"/>
        <w:rPr>
          <w:i w:val="0"/>
        </w:rPr>
      </w:pPr>
      <w:r w:rsidRPr="001E4AB9">
        <w:rPr>
          <w:i w:val="0"/>
        </w:rPr>
        <w:t xml:space="preserve">In some cases, a subgroup in a school may not qualify for an accountability determination because fewer than </w:t>
      </w:r>
      <w:r w:rsidR="00A861A6">
        <w:rPr>
          <w:i w:val="0"/>
        </w:rPr>
        <w:t>20</w:t>
      </w:r>
      <w:r w:rsidR="00A861A6" w:rsidRPr="001E4AB9">
        <w:rPr>
          <w:i w:val="0"/>
        </w:rPr>
        <w:t xml:space="preserve"> </w:t>
      </w:r>
      <w:r w:rsidRPr="001E4AB9">
        <w:rPr>
          <w:i w:val="0"/>
        </w:rPr>
        <w:t xml:space="preserve">students in the group were assessed on ELA, mathematics, or science tests, but when the </w:t>
      </w:r>
      <w:r w:rsidR="006962F2">
        <w:rPr>
          <w:i w:val="0"/>
        </w:rPr>
        <w:t>assessment</w:t>
      </w:r>
      <w:r w:rsidR="006962F2" w:rsidRPr="001E4AB9">
        <w:rPr>
          <w:i w:val="0"/>
        </w:rPr>
        <w:t xml:space="preserve"> </w:t>
      </w:r>
      <w:r w:rsidRPr="001E4AB9">
        <w:rPr>
          <w:i w:val="0"/>
        </w:rPr>
        <w:t xml:space="preserve">results for all of the students in the group across the district are combined, the group is large enough to be included on the district’s report. </w:t>
      </w:r>
    </w:p>
    <w:p w:rsidR="0031590E" w:rsidRPr="00BB2F16" w:rsidRDefault="001E4AB9">
      <w:pPr>
        <w:pStyle w:val="ListParagraph"/>
        <w:rPr>
          <w:rFonts w:ascii="Arial" w:hAnsi="Arial" w:cs="Arial"/>
          <w:b/>
          <w:bCs/>
          <w:i w:val="0"/>
          <w:color w:val="365F91"/>
          <w:szCs w:val="24"/>
        </w:rPr>
      </w:pPr>
      <w:r w:rsidRPr="001E4AB9">
        <w:rPr>
          <w:i w:val="0"/>
        </w:rPr>
        <w:t>District reports include all students enrolled in the district during the testing window, while calculations for an individual school only include students enrolled in the school as of</w:t>
      </w:r>
      <w:r w:rsidRPr="001E4AB9">
        <w:rPr>
          <w:rFonts w:cs="Calibri"/>
          <w:i w:val="0"/>
        </w:rPr>
        <w:t xml:space="preserve"> October 1, </w:t>
      </w:r>
      <w:r w:rsidR="00A5725C">
        <w:rPr>
          <w:rFonts w:cs="Calibri"/>
          <w:i w:val="0"/>
        </w:rPr>
        <w:t>2016</w:t>
      </w:r>
      <w:r w:rsidR="00A5725C" w:rsidRPr="001E4AB9">
        <w:rPr>
          <w:rFonts w:cs="Calibri"/>
          <w:i w:val="0"/>
        </w:rPr>
        <w:t xml:space="preserve"> </w:t>
      </w:r>
      <w:r w:rsidRPr="001E4AB9">
        <w:rPr>
          <w:rFonts w:cs="Calibri"/>
          <w:i w:val="0"/>
        </w:rPr>
        <w:t>and tested in the same school during the testing window (the period between the March and June SIMS submissions).</w:t>
      </w:r>
    </w:p>
    <w:p w:rsidR="0031590E" w:rsidRDefault="00A848EC">
      <w:pPr>
        <w:pStyle w:val="Heading1"/>
      </w:pPr>
      <w:bookmarkStart w:id="74" w:name="_Toc435178329"/>
      <w:bookmarkStart w:id="75" w:name="_Toc435178535"/>
      <w:bookmarkStart w:id="76" w:name="_Toc490741862"/>
      <w:r>
        <w:t>District and school</w:t>
      </w:r>
      <w:r w:rsidR="00A41C4E" w:rsidRPr="00852326">
        <w:t xml:space="preserve"> reconfigurations and accountability determinations</w:t>
      </w:r>
      <w:bookmarkEnd w:id="74"/>
      <w:bookmarkEnd w:id="75"/>
      <w:bookmarkEnd w:id="76"/>
    </w:p>
    <w:p w:rsidR="0031590E" w:rsidRDefault="00852326">
      <w:r>
        <w:t xml:space="preserve">Each year a number of Massachusetts schools open, close, merge, split, and otherwise change the grades they serve, the typical student populations they serve, and/or their teaching staffs. With less frequency, districts may merge or be newly created. ESE has established business rules that govern how </w:t>
      </w:r>
      <w:r w:rsidR="00A848EC">
        <w:t>districts and schools</w:t>
      </w:r>
      <w:r>
        <w:t xml:space="preserve"> that are new or have reconfigured grades are included in the state’s accountability </w:t>
      </w:r>
      <w:r>
        <w:lastRenderedPageBreak/>
        <w:t xml:space="preserve">system. In general, ESE aims to ensure that accountability data accurately represent the past and present performance of an organization, and to report accountability data for as many </w:t>
      </w:r>
      <w:r w:rsidR="00A848EC">
        <w:t>districts and schools</w:t>
      </w:r>
      <w:r>
        <w:t xml:space="preserve"> as possible in a given year.</w:t>
      </w:r>
    </w:p>
    <w:p w:rsidR="0031590E" w:rsidRDefault="00852326">
      <w:r>
        <w:t xml:space="preserve">ESE uses data from pre-existing </w:t>
      </w:r>
      <w:r w:rsidR="00A848EC">
        <w:t>districts and schools</w:t>
      </w:r>
      <w:r>
        <w:t xml:space="preserve"> wherever possible to establish baselines upon which to measure performance and issue accountability determinations. When there is no valid and reliable way to establish baseline data, as in the case of a new Commonwealth charter school, a school </w:t>
      </w:r>
      <w:r w:rsidR="00433FFD">
        <w:t>is</w:t>
      </w:r>
      <w:r>
        <w:t xml:space="preserve"> as having “</w:t>
      </w:r>
      <w:r w:rsidR="00523FCE">
        <w:t>i</w:t>
      </w:r>
      <w:r>
        <w:t xml:space="preserve">nsufficient </w:t>
      </w:r>
      <w:r w:rsidR="00523FCE">
        <w:t>d</w:t>
      </w:r>
      <w:r>
        <w:t>ata” in accountability reporting until such time that sufficient data exist.</w:t>
      </w:r>
    </w:p>
    <w:p w:rsidR="0031590E" w:rsidRDefault="00DD260E">
      <w:pPr>
        <w:pStyle w:val="Heading1"/>
      </w:pPr>
      <w:bookmarkStart w:id="77" w:name="_Toc435178330"/>
      <w:bookmarkStart w:id="78" w:name="_Toc435178536"/>
      <w:bookmarkStart w:id="79" w:name="_Toc490741863"/>
      <w:r w:rsidRPr="003902AC">
        <w:t>Discrepancies and appeals</w:t>
      </w:r>
      <w:bookmarkEnd w:id="77"/>
      <w:bookmarkEnd w:id="78"/>
      <w:bookmarkEnd w:id="79"/>
    </w:p>
    <w:p w:rsidR="0031590E" w:rsidRDefault="00413804">
      <w:r>
        <w:t>ESE has a discrepancy reporting system in place which allow</w:t>
      </w:r>
      <w:r w:rsidR="00AB0CAC">
        <w:t>s</w:t>
      </w:r>
      <w:r>
        <w:t xml:space="preserve"> districts the opportunity to review their </w:t>
      </w:r>
      <w:r w:rsidR="002B36AD">
        <w:t>preliminary</w:t>
      </w:r>
      <w:r w:rsidR="00A861A6">
        <w:t xml:space="preserve"> assessment</w:t>
      </w:r>
      <w:r w:rsidR="002B36AD">
        <w:t xml:space="preserve"> </w:t>
      </w:r>
      <w:r>
        <w:t xml:space="preserve">data for accuracy before it is </w:t>
      </w:r>
      <w:r w:rsidR="002B36AD">
        <w:t xml:space="preserve">included in official accountability reports and </w:t>
      </w:r>
      <w:r>
        <w:t>released to the general public. In certain circumstances, ESE will also consider a school or district’s appeal of their accountability determination</w:t>
      </w:r>
      <w:r w:rsidR="009F3D97">
        <w:t xml:space="preserve">. </w:t>
      </w:r>
    </w:p>
    <w:p w:rsidR="0031590E" w:rsidRDefault="00FC4EA0">
      <w:pPr>
        <w:pStyle w:val="Heading2"/>
      </w:pPr>
      <w:bookmarkStart w:id="80" w:name="_Toc435178331"/>
      <w:bookmarkStart w:id="81" w:name="_Toc435178537"/>
      <w:bookmarkStart w:id="82" w:name="_Toc490741864"/>
      <w:r w:rsidRPr="009E3A2E">
        <w:t>Discrepancies</w:t>
      </w:r>
      <w:bookmarkEnd w:id="80"/>
      <w:bookmarkEnd w:id="81"/>
      <w:bookmarkEnd w:id="82"/>
      <w:r w:rsidRPr="009E3A2E">
        <w:t xml:space="preserve"> </w:t>
      </w:r>
    </w:p>
    <w:p w:rsidR="00AF7103" w:rsidRDefault="00AF7103" w:rsidP="00AF7103">
      <w:r>
        <w:t>Upon the release of the preliminary MCAS and accountability data, principals and schools leaders have the opportunity to review their schools’ data and report potential discrepancies to ESE. Accountability calculations are performed using MCAS data aggregated by ESE’s Student Assessment office. District and school leaders should review their preliminary accountability data with their MCAS and MCAS-Alt data. If a potential MCAS discrepancy is identified and is believed to negatively impact accountability results, it should be reported directly to ESE</w:t>
      </w:r>
      <w:r w:rsidR="00E40849">
        <w:t>’s Student Assessment Office</w:t>
      </w:r>
      <w:r>
        <w:t xml:space="preserve"> and Measured Progress</w:t>
      </w:r>
      <w:r w:rsidR="00E40849">
        <w:t xml:space="preserve"> (ESE’s assessment contractor)</w:t>
      </w:r>
      <w:r>
        <w:t xml:space="preserve"> </w:t>
      </w:r>
      <w:r w:rsidRPr="0007217A">
        <w:t xml:space="preserve">using the online MCAS discrepancy reporting tool available </w:t>
      </w:r>
      <w:r>
        <w:t>on</w:t>
      </w:r>
      <w:r w:rsidRPr="0007217A">
        <w:t xml:space="preserve"> the </w:t>
      </w:r>
      <w:hyperlink r:id="rId21" w:history="1">
        <w:r w:rsidRPr="0007217A">
          <w:rPr>
            <w:rStyle w:val="Hyperlink"/>
          </w:rPr>
          <w:t>MCAS Service Center website</w:t>
        </w:r>
      </w:hyperlink>
      <w:r w:rsidRPr="0007217A">
        <w:t>.</w:t>
      </w:r>
      <w:r>
        <w:t xml:space="preserve"> </w:t>
      </w:r>
      <w:r w:rsidRPr="00FC1618">
        <w:t xml:space="preserve">Before reporting any apparent discrepancies, </w:t>
      </w:r>
      <w:r w:rsidR="004911C9">
        <w:t>district and school</w:t>
      </w:r>
      <w:r>
        <w:t xml:space="preserve"> staff should </w:t>
      </w:r>
      <w:r w:rsidRPr="00FC1618">
        <w:t>carefully review the</w:t>
      </w:r>
      <w:r>
        <w:t xml:space="preserve"> guidance materials posted on </w:t>
      </w:r>
      <w:r w:rsidRPr="0007217A">
        <w:t xml:space="preserve">ESE’s </w:t>
      </w:r>
      <w:hyperlink r:id="rId22" w:history="1">
        <w:r w:rsidRPr="00AB42CF">
          <w:rPr>
            <w:rStyle w:val="Hyperlink"/>
          </w:rPr>
          <w:t>accountability</w:t>
        </w:r>
      </w:hyperlink>
      <w:r w:rsidRPr="0007217A">
        <w:t xml:space="preserve"> </w:t>
      </w:r>
      <w:r>
        <w:t xml:space="preserve">and </w:t>
      </w:r>
      <w:hyperlink r:id="rId23" w:history="1">
        <w:r w:rsidRPr="0007217A">
          <w:rPr>
            <w:rStyle w:val="Hyperlink"/>
          </w:rPr>
          <w:t>assessment</w:t>
        </w:r>
      </w:hyperlink>
      <w:r>
        <w:t xml:space="preserve"> </w:t>
      </w:r>
      <w:r w:rsidR="00D36BFE" w:rsidRPr="0007217A">
        <w:t>web pag</w:t>
      </w:r>
      <w:r w:rsidR="00D36BFE">
        <w:t>es</w:t>
      </w:r>
      <w:r>
        <w:t xml:space="preserve">. The following information is </w:t>
      </w:r>
      <w:r>
        <w:rPr>
          <w:i/>
        </w:rPr>
        <w:t>not</w:t>
      </w:r>
      <w:r>
        <w:t xml:space="preserve"> reportable via the MCAS discrepancy reporting tool:</w:t>
      </w:r>
    </w:p>
    <w:p w:rsidR="001B047E" w:rsidRDefault="001B047E" w:rsidP="001B047E">
      <w:pPr>
        <w:pStyle w:val="ListParagraph"/>
        <w:rPr>
          <w:i w:val="0"/>
        </w:rPr>
      </w:pPr>
      <w:r w:rsidRPr="00AB0CAC">
        <w:t>ACCESS for ELLs data</w:t>
      </w:r>
      <w:r>
        <w:rPr>
          <w:i w:val="0"/>
        </w:rPr>
        <w:t xml:space="preserve">. </w:t>
      </w:r>
      <w:r w:rsidRPr="001E4AB9">
        <w:rPr>
          <w:i w:val="0"/>
        </w:rPr>
        <w:t xml:space="preserve">The reporting windows for these data closed in </w:t>
      </w:r>
      <w:r>
        <w:rPr>
          <w:i w:val="0"/>
        </w:rPr>
        <w:t>spring</w:t>
      </w:r>
      <w:r w:rsidRPr="001E4AB9">
        <w:rPr>
          <w:i w:val="0"/>
        </w:rPr>
        <w:t xml:space="preserve"> </w:t>
      </w:r>
      <w:r w:rsidR="008662A3">
        <w:rPr>
          <w:i w:val="0"/>
        </w:rPr>
        <w:t>2017</w:t>
      </w:r>
      <w:r w:rsidRPr="001E4AB9">
        <w:rPr>
          <w:i w:val="0"/>
        </w:rPr>
        <w:t xml:space="preserve">; further corrections to these data will not be accepted. </w:t>
      </w:r>
    </w:p>
    <w:p w:rsidR="001B047E" w:rsidRPr="00BB2F16" w:rsidRDefault="001B047E" w:rsidP="001B047E">
      <w:pPr>
        <w:pStyle w:val="ListParagraph"/>
        <w:rPr>
          <w:i w:val="0"/>
        </w:rPr>
      </w:pPr>
      <w:r w:rsidRPr="00AB0CAC">
        <w:t>Cohort graduation rate data and annual dropout rate data.</w:t>
      </w:r>
      <w:r w:rsidRPr="001E4AB9">
        <w:rPr>
          <w:i w:val="0"/>
        </w:rPr>
        <w:t xml:space="preserve"> The reporting windows for these data closed in winter </w:t>
      </w:r>
      <w:r w:rsidR="008662A3">
        <w:rPr>
          <w:i w:val="0"/>
        </w:rPr>
        <w:t>2016</w:t>
      </w:r>
      <w:r w:rsidRPr="001E4AB9">
        <w:rPr>
          <w:i w:val="0"/>
        </w:rPr>
        <w:t xml:space="preserve">; further corrections to these data will not be accepted. </w:t>
      </w:r>
    </w:p>
    <w:p w:rsidR="00AB0CAC" w:rsidRDefault="00D36798">
      <w:r>
        <w:t xml:space="preserve">The deadline for reporting assessment discrepancies </w:t>
      </w:r>
      <w:r w:rsidR="00AF7103">
        <w:t>is Thursday</w:t>
      </w:r>
      <w:r>
        <w:t xml:space="preserve">, August </w:t>
      </w:r>
      <w:r w:rsidR="00AF7103">
        <w:t>24</w:t>
      </w:r>
      <w:r>
        <w:t xml:space="preserve">, </w:t>
      </w:r>
      <w:r w:rsidR="00AF7103">
        <w:t>2017</w:t>
      </w:r>
      <w:r>
        <w:t xml:space="preserve">. Questions regarding MCAS should be directed to ESE’s Student Assessment office at </w:t>
      </w:r>
      <w:hyperlink r:id="rId24" w:history="1">
        <w:r w:rsidRPr="001E30BE">
          <w:rPr>
            <w:rStyle w:val="Hyperlink"/>
          </w:rPr>
          <w:t>mcas@doe.mass.edu</w:t>
        </w:r>
      </w:hyperlink>
      <w:r>
        <w:t xml:space="preserve">. </w:t>
      </w:r>
      <w:r w:rsidR="004907DB">
        <w:t>Que</w:t>
      </w:r>
      <w:r w:rsidR="001B047E">
        <w:t xml:space="preserve">stions or concerns regarding preliminary accountability data should be directed to ESE’s accountability reporting staff at </w:t>
      </w:r>
      <w:hyperlink r:id="rId25" w:history="1">
        <w:r w:rsidR="001B047E" w:rsidRPr="00A356B8">
          <w:rPr>
            <w:rStyle w:val="Hyperlink"/>
          </w:rPr>
          <w:t>esea@doe.mass.edu</w:t>
        </w:r>
      </w:hyperlink>
      <w:r w:rsidR="001B047E">
        <w:t xml:space="preserve">. </w:t>
      </w:r>
    </w:p>
    <w:p w:rsidR="0031590E" w:rsidRDefault="00FC4EA0">
      <w:pPr>
        <w:pStyle w:val="Heading2"/>
      </w:pPr>
      <w:bookmarkStart w:id="83" w:name="_Toc435178332"/>
      <w:bookmarkStart w:id="84" w:name="_Toc435178538"/>
      <w:bookmarkStart w:id="85" w:name="_Toc490741865"/>
      <w:r w:rsidRPr="009E3A2E">
        <w:t>Appeals</w:t>
      </w:r>
      <w:bookmarkEnd w:id="83"/>
      <w:bookmarkEnd w:id="84"/>
      <w:bookmarkEnd w:id="85"/>
    </w:p>
    <w:p w:rsidR="0031590E" w:rsidRDefault="00FC4EA0">
      <w:r w:rsidRPr="008C1623">
        <w:t>Beyond the correction of discrepancies, ESE has established a p</w:t>
      </w:r>
      <w:r w:rsidR="00846B2F">
        <w:t>rocess for appealing a district or school’</w:t>
      </w:r>
      <w:r w:rsidRPr="008C1623">
        <w:t xml:space="preserve">s accountability determination. An appeal is a formal request to change an accountability determination that </w:t>
      </w:r>
      <w:r w:rsidR="00433FFD">
        <w:t>is</w:t>
      </w:r>
      <w:r w:rsidRPr="008C1623">
        <w:t xml:space="preserve"> based on factually correct data</w:t>
      </w:r>
      <w:r w:rsidR="000B3C5E">
        <w:t xml:space="preserve">. Appeals </w:t>
      </w:r>
      <w:r w:rsidR="00B4562D">
        <w:t xml:space="preserve">should </w:t>
      </w:r>
      <w:r w:rsidR="00B4562D" w:rsidRPr="00051090">
        <w:rPr>
          <w:i/>
        </w:rPr>
        <w:t>not</w:t>
      </w:r>
      <w:r w:rsidR="00B4562D">
        <w:t xml:space="preserve"> be filed if</w:t>
      </w:r>
      <w:r w:rsidR="000B3C5E">
        <w:t>:</w:t>
      </w:r>
    </w:p>
    <w:p w:rsidR="003F55D2" w:rsidRPr="00BB2F16" w:rsidRDefault="001E4AB9" w:rsidP="003F55D2">
      <w:pPr>
        <w:pStyle w:val="ListParagraph"/>
        <w:rPr>
          <w:i w:val="0"/>
        </w:rPr>
      </w:pPr>
      <w:r w:rsidRPr="001E4AB9">
        <w:rPr>
          <w:i w:val="0"/>
        </w:rPr>
        <w:lastRenderedPageBreak/>
        <w:t xml:space="preserve">Related </w:t>
      </w:r>
      <w:r w:rsidR="00C2734E">
        <w:rPr>
          <w:i w:val="0"/>
        </w:rPr>
        <w:t xml:space="preserve">assessment </w:t>
      </w:r>
      <w:r w:rsidRPr="001E4AB9">
        <w:rPr>
          <w:i w:val="0"/>
        </w:rPr>
        <w:t xml:space="preserve">discrepancies were </w:t>
      </w:r>
      <w:r w:rsidR="00406DF9">
        <w:rPr>
          <w:i w:val="0"/>
        </w:rPr>
        <w:t xml:space="preserve">previously reported </w:t>
      </w:r>
      <w:r w:rsidR="00B2645B">
        <w:rPr>
          <w:i w:val="0"/>
        </w:rPr>
        <w:t xml:space="preserve">to </w:t>
      </w:r>
      <w:r w:rsidRPr="001E4AB9">
        <w:rPr>
          <w:i w:val="0"/>
        </w:rPr>
        <w:t>ESE’s Student Assessment office</w:t>
      </w:r>
      <w:r w:rsidR="00B2645B">
        <w:rPr>
          <w:i w:val="0"/>
        </w:rPr>
        <w:t>,</w:t>
      </w:r>
      <w:r w:rsidR="00F3740C">
        <w:rPr>
          <w:i w:val="0"/>
        </w:rPr>
        <w:t xml:space="preserve"> </w:t>
      </w:r>
      <w:r w:rsidRPr="001E4AB9">
        <w:rPr>
          <w:i w:val="0"/>
        </w:rPr>
        <w:t>or</w:t>
      </w:r>
    </w:p>
    <w:p w:rsidR="003F55D2" w:rsidRPr="00BB2F16" w:rsidRDefault="001E4AB9" w:rsidP="003F55D2">
      <w:pPr>
        <w:pStyle w:val="ListParagraph"/>
        <w:rPr>
          <w:i w:val="0"/>
        </w:rPr>
      </w:pPr>
      <w:r w:rsidRPr="001E4AB9">
        <w:rPr>
          <w:i w:val="0"/>
        </w:rPr>
        <w:t>The acceptance of the appeal will not improve the district</w:t>
      </w:r>
      <w:r w:rsidR="008662A3">
        <w:rPr>
          <w:i w:val="0"/>
        </w:rPr>
        <w:t xml:space="preserve"> or school</w:t>
      </w:r>
      <w:r w:rsidRPr="001E4AB9">
        <w:rPr>
          <w:i w:val="0"/>
        </w:rPr>
        <w:t>’s accountability and assistance level.</w:t>
      </w:r>
    </w:p>
    <w:p w:rsidR="006304FD" w:rsidRPr="000B3C5E" w:rsidRDefault="00FC4EA0" w:rsidP="006304FD">
      <w:r w:rsidRPr="000B3C5E">
        <w:t xml:space="preserve">Appeals must be filed by the superintendent or </w:t>
      </w:r>
      <w:r w:rsidR="00B2645B">
        <w:t xml:space="preserve">a </w:t>
      </w:r>
      <w:r w:rsidRPr="000B3C5E">
        <w:t xml:space="preserve">designee via email to </w:t>
      </w:r>
      <w:hyperlink r:id="rId26" w:history="1">
        <w:r w:rsidRPr="000B3C5E">
          <w:rPr>
            <w:rStyle w:val="Hyperlink"/>
          </w:rPr>
          <w:t>esea@doe.mass.edu</w:t>
        </w:r>
      </w:hyperlink>
      <w:r w:rsidRPr="000B3C5E">
        <w:t>.</w:t>
      </w:r>
      <w:r w:rsidR="006304FD">
        <w:t xml:space="preserve"> </w:t>
      </w:r>
      <w:r w:rsidR="00DB3798">
        <w:t xml:space="preserve">The deadline for filing an accountability </w:t>
      </w:r>
      <w:r w:rsidR="00DB3798" w:rsidRPr="00071453">
        <w:t xml:space="preserve">appeal </w:t>
      </w:r>
      <w:r w:rsidR="00677F54">
        <w:t>is</w:t>
      </w:r>
      <w:r w:rsidR="00677F54" w:rsidRPr="00071453">
        <w:t xml:space="preserve"> </w:t>
      </w:r>
      <w:r w:rsidR="00DB3798" w:rsidRPr="00071453">
        <w:t xml:space="preserve">Friday, </w:t>
      </w:r>
      <w:r w:rsidR="00071453">
        <w:t xml:space="preserve">October </w:t>
      </w:r>
      <w:r w:rsidR="00677F54">
        <w:t>13</w:t>
      </w:r>
      <w:r w:rsidR="00DB3798" w:rsidRPr="00071453">
        <w:t xml:space="preserve">, </w:t>
      </w:r>
      <w:r w:rsidR="00677F54">
        <w:t>2017</w:t>
      </w:r>
      <w:r w:rsidR="00DB3798" w:rsidRPr="00071453">
        <w:t>.</w:t>
      </w:r>
    </w:p>
    <w:p w:rsidR="00635392" w:rsidRPr="003902AC" w:rsidRDefault="007906D5" w:rsidP="005E67E6">
      <w:pPr>
        <w:pStyle w:val="Heading1"/>
      </w:pPr>
      <w:bookmarkStart w:id="86" w:name="_Toc435178333"/>
      <w:bookmarkStart w:id="87" w:name="_Toc435178539"/>
      <w:bookmarkStart w:id="88" w:name="_Toc490741866"/>
      <w:r w:rsidRPr="003902AC">
        <w:t>Resources</w:t>
      </w:r>
      <w:bookmarkEnd w:id="86"/>
      <w:bookmarkEnd w:id="87"/>
      <w:bookmarkEnd w:id="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5868"/>
      </w:tblGrid>
      <w:tr w:rsidR="00171FCB" w:rsidRPr="00171FCB" w:rsidTr="00171FCB">
        <w:trPr>
          <w:trHeight w:val="288"/>
        </w:trPr>
        <w:tc>
          <w:tcPr>
            <w:tcW w:w="3708" w:type="dxa"/>
          </w:tcPr>
          <w:p w:rsidR="00171FCB" w:rsidRPr="009819E7" w:rsidRDefault="00171FCB" w:rsidP="00171FCB">
            <w:pPr>
              <w:pStyle w:val="NoSpacing"/>
              <w:spacing w:after="240"/>
              <w:rPr>
                <w:sz w:val="22"/>
              </w:rPr>
            </w:pPr>
            <w:r w:rsidRPr="009819E7">
              <w:rPr>
                <w:sz w:val="22"/>
              </w:rPr>
              <w:t xml:space="preserve">Accountability guidance, lists, </w:t>
            </w:r>
            <w:r w:rsidR="00577883">
              <w:rPr>
                <w:sz w:val="22"/>
              </w:rPr>
              <w:t>&amp; tools</w:t>
            </w:r>
          </w:p>
        </w:tc>
        <w:tc>
          <w:tcPr>
            <w:tcW w:w="5868" w:type="dxa"/>
          </w:tcPr>
          <w:p w:rsidR="00171FCB" w:rsidRPr="003457DD" w:rsidRDefault="007D735C" w:rsidP="001249FB">
            <w:pPr>
              <w:pStyle w:val="NoSpacing"/>
              <w:spacing w:after="240"/>
              <w:rPr>
                <w:sz w:val="22"/>
              </w:rPr>
            </w:pPr>
            <w:hyperlink r:id="rId27" w:history="1">
              <w:r w:rsidR="003457DD" w:rsidRPr="003457DD">
                <w:rPr>
                  <w:rStyle w:val="Hyperlink"/>
                  <w:sz w:val="22"/>
                </w:rPr>
                <w:t>http://www.mass.gov/edu/government/departments-and-boards/ese/programs/accountability/reports/school-and-district-reports.html</w:t>
              </w:r>
            </w:hyperlink>
            <w:r w:rsidR="003457DD" w:rsidRPr="003457DD">
              <w:rPr>
                <w:sz w:val="22"/>
              </w:rPr>
              <w:t xml:space="preserve"> </w:t>
            </w:r>
          </w:p>
        </w:tc>
      </w:tr>
      <w:tr w:rsidR="00171FCB" w:rsidRPr="00171FCB" w:rsidTr="00171FCB">
        <w:trPr>
          <w:trHeight w:val="288"/>
        </w:trPr>
        <w:tc>
          <w:tcPr>
            <w:tcW w:w="3708" w:type="dxa"/>
          </w:tcPr>
          <w:p w:rsidR="00171FCB" w:rsidRPr="00171FCB" w:rsidRDefault="00171FCB" w:rsidP="00171FCB">
            <w:pPr>
              <w:pStyle w:val="NoSpacing"/>
              <w:spacing w:after="240"/>
              <w:rPr>
                <w:sz w:val="22"/>
              </w:rPr>
            </w:pPr>
            <w:r w:rsidRPr="00171FCB">
              <w:rPr>
                <w:sz w:val="22"/>
              </w:rPr>
              <w:t>Accountability reports</w:t>
            </w:r>
          </w:p>
        </w:tc>
        <w:tc>
          <w:tcPr>
            <w:tcW w:w="5868" w:type="dxa"/>
          </w:tcPr>
          <w:p w:rsidR="00171FCB" w:rsidRPr="003457DD" w:rsidRDefault="007D735C" w:rsidP="00171FCB">
            <w:pPr>
              <w:pStyle w:val="NoSpacing"/>
              <w:spacing w:after="240"/>
              <w:rPr>
                <w:sz w:val="22"/>
              </w:rPr>
            </w:pPr>
            <w:hyperlink r:id="rId28" w:history="1">
              <w:r w:rsidR="00171FCB" w:rsidRPr="003457DD">
                <w:rPr>
                  <w:rStyle w:val="Hyperlink"/>
                  <w:sz w:val="22"/>
                </w:rPr>
                <w:t>http://profiles.doe.mass.edu/state_report/accountability.aspx</w:t>
              </w:r>
            </w:hyperlink>
          </w:p>
        </w:tc>
      </w:tr>
      <w:tr w:rsidR="00171FCB" w:rsidRPr="00171FCB" w:rsidTr="00171FCB">
        <w:trPr>
          <w:trHeight w:val="288"/>
        </w:trPr>
        <w:tc>
          <w:tcPr>
            <w:tcW w:w="3708" w:type="dxa"/>
          </w:tcPr>
          <w:p w:rsidR="00171FCB" w:rsidRPr="00171FCB" w:rsidRDefault="00171FCB" w:rsidP="00171FCB">
            <w:pPr>
              <w:pStyle w:val="NoSpacing"/>
              <w:spacing w:after="240"/>
              <w:rPr>
                <w:sz w:val="22"/>
              </w:rPr>
            </w:pPr>
            <w:r w:rsidRPr="00171FCB">
              <w:rPr>
                <w:sz w:val="22"/>
              </w:rPr>
              <w:t>ESE Security Portal</w:t>
            </w:r>
          </w:p>
        </w:tc>
        <w:tc>
          <w:tcPr>
            <w:tcW w:w="5868" w:type="dxa"/>
          </w:tcPr>
          <w:p w:rsidR="00171FCB" w:rsidRPr="003457DD" w:rsidRDefault="007D735C" w:rsidP="00171FCB">
            <w:pPr>
              <w:pStyle w:val="NoSpacing"/>
              <w:spacing w:after="240"/>
              <w:rPr>
                <w:sz w:val="22"/>
              </w:rPr>
            </w:pPr>
            <w:hyperlink r:id="rId29" w:history="1">
              <w:r w:rsidR="001249FB" w:rsidRPr="003457DD">
                <w:rPr>
                  <w:rStyle w:val="Hyperlink"/>
                  <w:sz w:val="22"/>
                </w:rPr>
                <w:t>https://gateway.edu.state.ma.us/</w:t>
              </w:r>
            </w:hyperlink>
            <w:r w:rsidR="001249FB" w:rsidRPr="003457DD">
              <w:rPr>
                <w:sz w:val="22"/>
              </w:rPr>
              <w:t xml:space="preserve">  </w:t>
            </w:r>
          </w:p>
        </w:tc>
      </w:tr>
      <w:tr w:rsidR="00171FCB" w:rsidRPr="00171FCB" w:rsidTr="00171FCB">
        <w:trPr>
          <w:trHeight w:val="288"/>
        </w:trPr>
        <w:tc>
          <w:tcPr>
            <w:tcW w:w="3708" w:type="dxa"/>
          </w:tcPr>
          <w:p w:rsidR="00171FCB" w:rsidRPr="00171FCB" w:rsidRDefault="00171FCB" w:rsidP="00171FCB">
            <w:pPr>
              <w:pStyle w:val="NoSpacing"/>
              <w:spacing w:after="240"/>
              <w:rPr>
                <w:sz w:val="22"/>
              </w:rPr>
            </w:pPr>
            <w:r w:rsidRPr="00171FCB">
              <w:rPr>
                <w:sz w:val="22"/>
              </w:rPr>
              <w:t>School/District Profiles</w:t>
            </w:r>
          </w:p>
        </w:tc>
        <w:tc>
          <w:tcPr>
            <w:tcW w:w="5868" w:type="dxa"/>
          </w:tcPr>
          <w:p w:rsidR="00171FCB" w:rsidRPr="00171FCB" w:rsidRDefault="007D735C" w:rsidP="00171FCB">
            <w:pPr>
              <w:pStyle w:val="NoSpacing"/>
              <w:spacing w:after="240"/>
              <w:rPr>
                <w:sz w:val="22"/>
              </w:rPr>
            </w:pPr>
            <w:hyperlink r:id="rId30" w:history="1">
              <w:r w:rsidR="00171FCB" w:rsidRPr="00171FCB">
                <w:rPr>
                  <w:rStyle w:val="Hyperlink"/>
                  <w:sz w:val="22"/>
                </w:rPr>
                <w:t>http://profiles.doe.mass.edu/</w:t>
              </w:r>
            </w:hyperlink>
          </w:p>
        </w:tc>
      </w:tr>
    </w:tbl>
    <w:p w:rsidR="00F3740C" w:rsidRDefault="00F3740C" w:rsidP="003F55D2">
      <w:pPr>
        <w:pStyle w:val="Heading1"/>
      </w:pPr>
    </w:p>
    <w:p w:rsidR="00F3740C" w:rsidRDefault="00F3740C" w:rsidP="00F3740C">
      <w:pPr>
        <w:rPr>
          <w:rFonts w:ascii="Arial" w:eastAsiaTheme="majorEastAsia" w:hAnsi="Arial" w:cs="Arial"/>
          <w:color w:val="1F497D" w:themeColor="text2"/>
          <w:sz w:val="24"/>
          <w:szCs w:val="26"/>
        </w:rPr>
      </w:pPr>
    </w:p>
    <w:p w:rsidR="00B65412" w:rsidRDefault="00B65412" w:rsidP="003F55D2">
      <w:pPr>
        <w:pStyle w:val="Heading1"/>
        <w:sectPr w:rsidR="00B65412" w:rsidSect="00E83E9C">
          <w:pgSz w:w="12240" w:h="15840" w:code="1"/>
          <w:pgMar w:top="1440" w:right="1440" w:bottom="1440" w:left="1440" w:header="432" w:footer="432" w:gutter="0"/>
          <w:cols w:space="720"/>
          <w:docGrid w:linePitch="360"/>
        </w:sectPr>
      </w:pPr>
    </w:p>
    <w:p w:rsidR="00FE6ACF" w:rsidRDefault="00FE6ACF" w:rsidP="00FF46F2">
      <w:pPr>
        <w:spacing w:after="0"/>
      </w:pPr>
      <w:bookmarkStart w:id="89" w:name="_Appendix_A:_2015"/>
      <w:bookmarkStart w:id="90" w:name="_Toc435178334"/>
      <w:bookmarkStart w:id="91" w:name="_Toc435178540"/>
      <w:bookmarkEnd w:id="89"/>
    </w:p>
    <w:p w:rsidR="00041F42" w:rsidRDefault="00041F42">
      <w:pPr>
        <w:spacing w:after="200"/>
        <w:rPr>
          <w:rFonts w:ascii="Arial" w:eastAsiaTheme="majorEastAsia" w:hAnsi="Arial" w:cs="Arial"/>
          <w:b/>
          <w:bCs/>
          <w:color w:val="1F497D" w:themeColor="text2"/>
          <w:sz w:val="24"/>
          <w:szCs w:val="26"/>
        </w:rPr>
      </w:pPr>
      <w:r>
        <w:br w:type="page"/>
      </w:r>
    </w:p>
    <w:p w:rsidR="003F55D2" w:rsidRDefault="00041F42" w:rsidP="003F55D2">
      <w:pPr>
        <w:pStyle w:val="Heading1"/>
      </w:pPr>
      <w:bookmarkStart w:id="92" w:name="_Toc490741867"/>
      <w:r>
        <w:lastRenderedPageBreak/>
        <w:t>A</w:t>
      </w:r>
      <w:r w:rsidR="00994DD6">
        <w:t xml:space="preserve">ppendix </w:t>
      </w:r>
      <w:r w:rsidR="00B74030">
        <w:t>A</w:t>
      </w:r>
      <w:r w:rsidR="004726A3" w:rsidRPr="0084177C">
        <w:t xml:space="preserve">: Criteria for awarding Progress and Performance Index (PPI) points </w:t>
      </w:r>
      <w:bookmarkEnd w:id="90"/>
      <w:bookmarkEnd w:id="91"/>
      <w:r>
        <w:t>(high schools only)</w:t>
      </w:r>
      <w:bookmarkEnd w:id="92"/>
    </w:p>
    <w:tbl>
      <w:tblPr>
        <w:tblW w:w="5000" w:type="pct"/>
        <w:jc w:val="center"/>
        <w:tblBorders>
          <w:top w:val="single" w:sz="4" w:space="0" w:color="004386"/>
          <w:left w:val="single" w:sz="4" w:space="0" w:color="004386"/>
          <w:bottom w:val="single" w:sz="4" w:space="0" w:color="004386"/>
          <w:right w:val="single" w:sz="4" w:space="0" w:color="004386"/>
          <w:insideH w:val="single" w:sz="4" w:space="0" w:color="004386"/>
          <w:insideV w:val="single" w:sz="4" w:space="0" w:color="004386"/>
        </w:tblBorders>
        <w:tblLayout w:type="fixed"/>
        <w:tblLook w:val="04A0" w:firstRow="1" w:lastRow="0" w:firstColumn="1" w:lastColumn="0" w:noHBand="0" w:noVBand="1"/>
      </w:tblPr>
      <w:tblGrid>
        <w:gridCol w:w="1155"/>
        <w:gridCol w:w="157"/>
        <w:gridCol w:w="2354"/>
        <w:gridCol w:w="1697"/>
        <w:gridCol w:w="657"/>
        <w:gridCol w:w="2354"/>
        <w:gridCol w:w="2354"/>
      </w:tblGrid>
      <w:tr w:rsidR="004726A3" w:rsidRPr="00A92A00" w:rsidTr="00A17F18">
        <w:trPr>
          <w:trHeight w:val="64"/>
          <w:jc w:val="center"/>
        </w:trPr>
        <w:tc>
          <w:tcPr>
            <w:tcW w:w="5000" w:type="pct"/>
            <w:gridSpan w:val="7"/>
            <w:tcBorders>
              <w:top w:val="nil"/>
              <w:left w:val="nil"/>
              <w:bottom w:val="nil"/>
              <w:right w:val="nil"/>
            </w:tcBorders>
            <w:shd w:val="clear" w:color="auto" w:fill="auto"/>
            <w:vAlign w:val="center"/>
          </w:tcPr>
          <w:p w:rsidR="003F55D2" w:rsidRPr="00A92A00" w:rsidRDefault="003F55D2" w:rsidP="00A17F18">
            <w:pPr>
              <w:spacing w:after="0" w:line="240" w:lineRule="auto"/>
              <w:jc w:val="center"/>
              <w:rPr>
                <w:b/>
                <w:sz w:val="19"/>
                <w:szCs w:val="19"/>
              </w:rPr>
            </w:pPr>
            <w:r w:rsidRPr="00A92A00">
              <w:rPr>
                <w:b/>
                <w:sz w:val="19"/>
                <w:szCs w:val="19"/>
              </w:rPr>
              <w:t>Core Indicators (up to 7)</w:t>
            </w:r>
          </w:p>
        </w:tc>
      </w:tr>
      <w:tr w:rsidR="004726A3" w:rsidRPr="00A92A00" w:rsidTr="00A17F18">
        <w:trPr>
          <w:trHeight w:val="143"/>
          <w:jc w:val="center"/>
        </w:trPr>
        <w:tc>
          <w:tcPr>
            <w:tcW w:w="539" w:type="pct"/>
            <w:vMerge w:val="restart"/>
            <w:tcBorders>
              <w:top w:val="nil"/>
              <w:left w:val="nil"/>
              <w:bottom w:val="single" w:sz="4" w:space="0" w:color="auto"/>
              <w:right w:val="single" w:sz="4" w:space="0" w:color="auto"/>
            </w:tcBorders>
            <w:shd w:val="clear" w:color="auto" w:fill="auto"/>
            <w:vAlign w:val="bottom"/>
          </w:tcPr>
          <w:p w:rsidR="003F55D2" w:rsidRPr="00A92A00" w:rsidRDefault="003F55D2" w:rsidP="00A17F18">
            <w:pPr>
              <w:spacing w:after="0" w:line="240" w:lineRule="auto"/>
              <w:rPr>
                <w:sz w:val="19"/>
                <w:szCs w:val="19"/>
              </w:rPr>
            </w:pPr>
          </w:p>
        </w:tc>
        <w:tc>
          <w:tcPr>
            <w:tcW w:w="1170" w:type="pct"/>
            <w:gridSpan w:val="2"/>
            <w:tcBorders>
              <w:top w:val="single" w:sz="4" w:space="0" w:color="auto"/>
              <w:left w:val="single" w:sz="4" w:space="0" w:color="auto"/>
              <w:bottom w:val="single" w:sz="4" w:space="0" w:color="auto"/>
              <w:right w:val="single" w:sz="4" w:space="0" w:color="auto"/>
            </w:tcBorders>
            <w:shd w:val="clear" w:color="auto" w:fill="E2EAF6"/>
            <w:vAlign w:val="center"/>
          </w:tcPr>
          <w:p w:rsidR="003F55D2" w:rsidRPr="00A92A00" w:rsidRDefault="003F55D2" w:rsidP="00A17F18">
            <w:pPr>
              <w:spacing w:after="0" w:line="240" w:lineRule="auto"/>
              <w:jc w:val="center"/>
              <w:rPr>
                <w:b/>
                <w:sz w:val="19"/>
                <w:szCs w:val="19"/>
              </w:rPr>
            </w:pPr>
            <w:r w:rsidRPr="00A92A00">
              <w:rPr>
                <w:b/>
                <w:sz w:val="19"/>
                <w:szCs w:val="19"/>
              </w:rPr>
              <w:t xml:space="preserve">(A) </w:t>
            </w:r>
          </w:p>
          <w:p w:rsidR="003F55D2" w:rsidRPr="00A92A00" w:rsidRDefault="003F55D2" w:rsidP="00A17F18">
            <w:pPr>
              <w:spacing w:after="0" w:line="240" w:lineRule="auto"/>
              <w:jc w:val="center"/>
              <w:rPr>
                <w:b/>
                <w:sz w:val="19"/>
                <w:szCs w:val="19"/>
              </w:rPr>
            </w:pPr>
            <w:r w:rsidRPr="00A92A00">
              <w:rPr>
                <w:b/>
                <w:sz w:val="19"/>
                <w:szCs w:val="19"/>
              </w:rPr>
              <w:t>Achievement</w:t>
            </w:r>
          </w:p>
        </w:tc>
        <w:tc>
          <w:tcPr>
            <w:tcW w:w="1097" w:type="pct"/>
            <w:gridSpan w:val="2"/>
            <w:tcBorders>
              <w:top w:val="single" w:sz="4" w:space="0" w:color="auto"/>
              <w:left w:val="single" w:sz="4" w:space="0" w:color="auto"/>
              <w:bottom w:val="single" w:sz="4" w:space="0" w:color="auto"/>
              <w:right w:val="single" w:sz="4" w:space="0" w:color="auto"/>
            </w:tcBorders>
            <w:shd w:val="clear" w:color="auto" w:fill="E2EAF6"/>
            <w:vAlign w:val="center"/>
          </w:tcPr>
          <w:p w:rsidR="003F55D2" w:rsidRPr="00A92A00" w:rsidRDefault="003F55D2" w:rsidP="00A17F18">
            <w:pPr>
              <w:spacing w:after="0" w:line="240" w:lineRule="auto"/>
              <w:jc w:val="center"/>
              <w:rPr>
                <w:b/>
                <w:sz w:val="19"/>
                <w:szCs w:val="19"/>
              </w:rPr>
            </w:pPr>
            <w:r w:rsidRPr="00A92A00">
              <w:rPr>
                <w:b/>
                <w:sz w:val="19"/>
                <w:szCs w:val="19"/>
              </w:rPr>
              <w:t xml:space="preserve">(B) </w:t>
            </w:r>
          </w:p>
          <w:p w:rsidR="003F55D2" w:rsidRPr="00A92A00" w:rsidRDefault="003F55D2" w:rsidP="00A17F18">
            <w:pPr>
              <w:spacing w:after="0" w:line="240" w:lineRule="auto"/>
              <w:jc w:val="center"/>
              <w:rPr>
                <w:b/>
                <w:sz w:val="19"/>
                <w:szCs w:val="19"/>
              </w:rPr>
            </w:pPr>
            <w:r w:rsidRPr="00A92A00">
              <w:rPr>
                <w:b/>
                <w:sz w:val="19"/>
                <w:szCs w:val="19"/>
              </w:rPr>
              <w:t>Growth/Improvement</w:t>
            </w:r>
          </w:p>
        </w:tc>
        <w:tc>
          <w:tcPr>
            <w:tcW w:w="1097" w:type="pct"/>
            <w:tcBorders>
              <w:top w:val="single" w:sz="4" w:space="0" w:color="auto"/>
              <w:left w:val="single" w:sz="4" w:space="0" w:color="auto"/>
              <w:bottom w:val="single" w:sz="4" w:space="0" w:color="auto"/>
              <w:right w:val="single" w:sz="4" w:space="0" w:color="auto"/>
            </w:tcBorders>
            <w:shd w:val="clear" w:color="auto" w:fill="E2EAF6"/>
            <w:vAlign w:val="center"/>
          </w:tcPr>
          <w:p w:rsidR="003F55D2" w:rsidRPr="00A92A00" w:rsidRDefault="003F55D2" w:rsidP="00A17F18">
            <w:pPr>
              <w:spacing w:after="0" w:line="240" w:lineRule="auto"/>
              <w:jc w:val="center"/>
              <w:rPr>
                <w:b/>
                <w:sz w:val="19"/>
                <w:szCs w:val="19"/>
              </w:rPr>
            </w:pPr>
            <w:r w:rsidRPr="00A92A00">
              <w:rPr>
                <w:b/>
                <w:sz w:val="19"/>
                <w:szCs w:val="19"/>
              </w:rPr>
              <w:t xml:space="preserve">(C) </w:t>
            </w:r>
          </w:p>
          <w:p w:rsidR="003F55D2" w:rsidRPr="00A92A00" w:rsidRDefault="003F55D2" w:rsidP="00A17F18">
            <w:pPr>
              <w:spacing w:after="0" w:line="240" w:lineRule="auto"/>
              <w:jc w:val="center"/>
              <w:rPr>
                <w:b/>
                <w:sz w:val="19"/>
                <w:szCs w:val="19"/>
              </w:rPr>
            </w:pPr>
            <w:r w:rsidRPr="00A92A00">
              <w:rPr>
                <w:b/>
                <w:sz w:val="19"/>
                <w:szCs w:val="19"/>
              </w:rPr>
              <w:t>Cohort Graduation Rate</w:t>
            </w:r>
          </w:p>
        </w:tc>
        <w:tc>
          <w:tcPr>
            <w:tcW w:w="1097" w:type="pct"/>
            <w:tcBorders>
              <w:top w:val="single" w:sz="4" w:space="0" w:color="auto"/>
              <w:left w:val="single" w:sz="4" w:space="0" w:color="auto"/>
              <w:bottom w:val="single" w:sz="4" w:space="0" w:color="auto"/>
              <w:right w:val="single" w:sz="4" w:space="0" w:color="auto"/>
            </w:tcBorders>
            <w:shd w:val="clear" w:color="auto" w:fill="E2EAF6"/>
            <w:vAlign w:val="center"/>
          </w:tcPr>
          <w:p w:rsidR="003F55D2" w:rsidRPr="00A92A00" w:rsidRDefault="003F55D2" w:rsidP="00A17F18">
            <w:pPr>
              <w:spacing w:after="0" w:line="240" w:lineRule="auto"/>
              <w:jc w:val="center"/>
              <w:rPr>
                <w:b/>
                <w:sz w:val="19"/>
                <w:szCs w:val="19"/>
              </w:rPr>
            </w:pPr>
            <w:r w:rsidRPr="00A92A00">
              <w:rPr>
                <w:b/>
                <w:sz w:val="19"/>
                <w:szCs w:val="19"/>
              </w:rPr>
              <w:t xml:space="preserve">(D) </w:t>
            </w:r>
          </w:p>
          <w:p w:rsidR="003F55D2" w:rsidRPr="00A92A00" w:rsidRDefault="003F55D2" w:rsidP="00A17F18">
            <w:pPr>
              <w:spacing w:after="0" w:line="240" w:lineRule="auto"/>
              <w:jc w:val="center"/>
              <w:rPr>
                <w:b/>
                <w:sz w:val="19"/>
                <w:szCs w:val="19"/>
              </w:rPr>
            </w:pPr>
            <w:r w:rsidRPr="00A92A00">
              <w:rPr>
                <w:b/>
                <w:sz w:val="19"/>
                <w:szCs w:val="19"/>
              </w:rPr>
              <w:t>Annual Dropout Rate</w:t>
            </w:r>
          </w:p>
        </w:tc>
      </w:tr>
      <w:tr w:rsidR="004726A3" w:rsidRPr="00A92A00" w:rsidTr="00A17F18">
        <w:trPr>
          <w:trHeight w:val="54"/>
          <w:jc w:val="center"/>
        </w:trPr>
        <w:tc>
          <w:tcPr>
            <w:tcW w:w="539" w:type="pct"/>
            <w:vMerge/>
            <w:tcBorders>
              <w:top w:val="nil"/>
              <w:left w:val="nil"/>
              <w:bottom w:val="single" w:sz="4" w:space="0" w:color="auto"/>
              <w:right w:val="single" w:sz="4" w:space="0" w:color="auto"/>
            </w:tcBorders>
            <w:shd w:val="clear" w:color="auto" w:fill="auto"/>
          </w:tcPr>
          <w:p w:rsidR="00C079CF" w:rsidRDefault="00C079CF" w:rsidP="00A17F18">
            <w:pPr>
              <w:spacing w:after="0" w:line="240" w:lineRule="auto"/>
              <w:rPr>
                <w:sz w:val="19"/>
                <w:szCs w:val="19"/>
              </w:rPr>
            </w:pPr>
          </w:p>
        </w:tc>
        <w:tc>
          <w:tcPr>
            <w:tcW w:w="11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55D2" w:rsidRPr="00A92A00" w:rsidRDefault="003F55D2" w:rsidP="00A17F18">
            <w:pPr>
              <w:spacing w:after="0" w:line="240" w:lineRule="auto"/>
              <w:jc w:val="center"/>
              <w:rPr>
                <w:b/>
                <w:sz w:val="19"/>
                <w:szCs w:val="19"/>
              </w:rPr>
            </w:pPr>
            <w:r w:rsidRPr="00A92A00">
              <w:rPr>
                <w:b/>
                <w:sz w:val="19"/>
                <w:szCs w:val="19"/>
              </w:rPr>
              <w:t xml:space="preserve">A1, A2, A3 </w:t>
            </w:r>
          </w:p>
          <w:p w:rsidR="003F55D2" w:rsidRPr="00A92A00" w:rsidRDefault="003F55D2" w:rsidP="00A17F18">
            <w:pPr>
              <w:spacing w:after="0" w:line="240" w:lineRule="auto"/>
              <w:jc w:val="center"/>
              <w:rPr>
                <w:b/>
                <w:sz w:val="19"/>
                <w:szCs w:val="19"/>
              </w:rPr>
            </w:pPr>
            <w:r w:rsidRPr="00A92A00">
              <w:rPr>
                <w:b/>
                <w:sz w:val="19"/>
                <w:szCs w:val="19"/>
              </w:rPr>
              <w:t>(ELA, Math, Science)</w:t>
            </w: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55D2" w:rsidRPr="00A92A00" w:rsidRDefault="003F55D2" w:rsidP="00A17F18">
            <w:pPr>
              <w:spacing w:after="0" w:line="240" w:lineRule="auto"/>
              <w:jc w:val="center"/>
              <w:rPr>
                <w:b/>
                <w:sz w:val="19"/>
                <w:szCs w:val="19"/>
              </w:rPr>
            </w:pPr>
            <w:r w:rsidRPr="00A92A00">
              <w:rPr>
                <w:b/>
                <w:sz w:val="19"/>
                <w:szCs w:val="19"/>
              </w:rPr>
              <w:t xml:space="preserve">B1, B2 </w:t>
            </w:r>
          </w:p>
          <w:p w:rsidR="003F55D2" w:rsidRPr="00A92A00" w:rsidRDefault="003F55D2" w:rsidP="00A17F18">
            <w:pPr>
              <w:spacing w:after="0" w:line="240" w:lineRule="auto"/>
              <w:jc w:val="center"/>
              <w:rPr>
                <w:b/>
                <w:sz w:val="19"/>
                <w:szCs w:val="19"/>
              </w:rPr>
            </w:pPr>
            <w:r w:rsidRPr="00A92A00">
              <w:rPr>
                <w:b/>
                <w:sz w:val="19"/>
                <w:szCs w:val="19"/>
              </w:rPr>
              <w:t>(ELA, Math)</w:t>
            </w:r>
          </w:p>
        </w:tc>
        <w:tc>
          <w:tcPr>
            <w:tcW w:w="2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55D2" w:rsidRPr="00A92A00" w:rsidRDefault="003F55D2" w:rsidP="00A17F18">
            <w:pPr>
              <w:spacing w:after="0" w:line="240" w:lineRule="auto"/>
              <w:jc w:val="center"/>
              <w:rPr>
                <w:b/>
                <w:sz w:val="19"/>
                <w:szCs w:val="19"/>
              </w:rPr>
            </w:pPr>
            <w:r w:rsidRPr="00A92A00">
              <w:rPr>
                <w:b/>
                <w:sz w:val="19"/>
                <w:szCs w:val="19"/>
              </w:rPr>
              <w:t>High Schools</w:t>
            </w:r>
          </w:p>
        </w:tc>
      </w:tr>
      <w:tr w:rsidR="004726A3" w:rsidRPr="00A92A00" w:rsidTr="00A17F18">
        <w:trPr>
          <w:trHeight w:val="1439"/>
          <w:jc w:val="center"/>
        </w:trPr>
        <w:tc>
          <w:tcPr>
            <w:tcW w:w="539"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i/>
                <w:sz w:val="19"/>
                <w:szCs w:val="19"/>
              </w:rPr>
            </w:pPr>
            <w:r w:rsidRPr="00A92A00">
              <w:rPr>
                <w:i/>
                <w:sz w:val="19"/>
                <w:szCs w:val="19"/>
              </w:rPr>
              <w:t>Above Target</w:t>
            </w:r>
          </w:p>
          <w:p w:rsidR="003F55D2" w:rsidRPr="00A92A00" w:rsidRDefault="003F55D2" w:rsidP="00A17F18">
            <w:pPr>
              <w:spacing w:after="0" w:line="240" w:lineRule="auto"/>
              <w:rPr>
                <w:i/>
                <w:sz w:val="19"/>
                <w:szCs w:val="19"/>
              </w:rPr>
            </w:pPr>
            <w:r w:rsidRPr="00A92A00">
              <w:rPr>
                <w:i/>
                <w:sz w:val="19"/>
                <w:szCs w:val="19"/>
              </w:rPr>
              <w:t>(100 Points)</w:t>
            </w:r>
          </w:p>
        </w:tc>
        <w:tc>
          <w:tcPr>
            <w:tcW w:w="1170" w:type="pct"/>
            <w:gridSpan w:val="2"/>
            <w:tcBorders>
              <w:top w:val="single" w:sz="4" w:space="0" w:color="auto"/>
              <w:left w:val="single" w:sz="4" w:space="0" w:color="auto"/>
              <w:bottom w:val="single" w:sz="4" w:space="0" w:color="auto"/>
              <w:right w:val="single" w:sz="4" w:space="0" w:color="auto"/>
            </w:tcBorders>
          </w:tcPr>
          <w:p w:rsidR="004726A3" w:rsidRPr="00A92A00" w:rsidRDefault="003F55D2" w:rsidP="00A17F18">
            <w:pPr>
              <w:pStyle w:val="ListParagraph"/>
              <w:numPr>
                <w:ilvl w:val="0"/>
                <w:numId w:val="4"/>
              </w:numPr>
              <w:spacing w:after="0" w:line="240" w:lineRule="auto"/>
              <w:ind w:left="163" w:hanging="163"/>
              <w:rPr>
                <w:i w:val="0"/>
                <w:sz w:val="19"/>
                <w:szCs w:val="19"/>
                <w:u w:val="single"/>
              </w:rPr>
            </w:pPr>
            <w:r w:rsidRPr="00A92A00">
              <w:rPr>
                <w:i w:val="0"/>
                <w:sz w:val="19"/>
                <w:szCs w:val="19"/>
              </w:rPr>
              <w:t xml:space="preserve">CPI of 97.5 or higher; or </w:t>
            </w:r>
          </w:p>
          <w:p w:rsidR="004726A3" w:rsidRPr="00A92A00" w:rsidRDefault="003F55D2" w:rsidP="00A17F18">
            <w:pPr>
              <w:pStyle w:val="ListParagraph"/>
              <w:numPr>
                <w:ilvl w:val="0"/>
                <w:numId w:val="4"/>
              </w:numPr>
              <w:spacing w:after="0" w:line="240" w:lineRule="auto"/>
              <w:ind w:left="163" w:hanging="163"/>
              <w:rPr>
                <w:i w:val="0"/>
                <w:sz w:val="19"/>
                <w:szCs w:val="19"/>
                <w:u w:val="single"/>
              </w:rPr>
            </w:pPr>
            <w:r w:rsidRPr="00A92A00">
              <w:rPr>
                <w:i w:val="0"/>
                <w:sz w:val="19"/>
                <w:szCs w:val="19"/>
              </w:rPr>
              <w:t>Met CPI of 90</w:t>
            </w:r>
            <w:r w:rsidRPr="00A92A00">
              <w:rPr>
                <w:i w:val="0"/>
                <w:sz w:val="19"/>
                <w:szCs w:val="19"/>
                <w:vertAlign w:val="superscript"/>
              </w:rPr>
              <w:t>th</w:t>
            </w:r>
            <w:r w:rsidRPr="00A92A00">
              <w:rPr>
                <w:i w:val="0"/>
                <w:sz w:val="19"/>
                <w:szCs w:val="19"/>
              </w:rPr>
              <w:t xml:space="preserve"> percentile for all students in the school type category statewide; or</w:t>
            </w:r>
          </w:p>
          <w:p w:rsidR="0031590E" w:rsidRPr="00A92A00" w:rsidRDefault="003F55D2" w:rsidP="00A17F18">
            <w:pPr>
              <w:pStyle w:val="ListParagraph"/>
              <w:numPr>
                <w:ilvl w:val="0"/>
                <w:numId w:val="4"/>
              </w:numPr>
              <w:spacing w:after="0" w:line="240" w:lineRule="auto"/>
              <w:ind w:left="163" w:hanging="163"/>
              <w:rPr>
                <w:i w:val="0"/>
                <w:sz w:val="19"/>
                <w:szCs w:val="19"/>
                <w:u w:val="single"/>
              </w:rPr>
            </w:pPr>
            <w:r w:rsidRPr="00A92A00">
              <w:rPr>
                <w:i w:val="0"/>
                <w:sz w:val="19"/>
                <w:szCs w:val="19"/>
              </w:rPr>
              <w:t>Exceeded CPI target by more than 1.25 points</w:t>
            </w:r>
          </w:p>
        </w:tc>
        <w:tc>
          <w:tcPr>
            <w:tcW w:w="1097" w:type="pct"/>
            <w:gridSpan w:val="2"/>
            <w:tcBorders>
              <w:top w:val="single" w:sz="4" w:space="0" w:color="auto"/>
              <w:left w:val="single" w:sz="4" w:space="0" w:color="auto"/>
              <w:bottom w:val="single" w:sz="4" w:space="0" w:color="auto"/>
              <w:right w:val="single" w:sz="4" w:space="0" w:color="auto"/>
            </w:tcBorders>
          </w:tcPr>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 xml:space="preserve">Median SGP of 60 points or higher; or </w:t>
            </w:r>
          </w:p>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Median SGP improvement of 15 or more points from prior year</w:t>
            </w:r>
          </w:p>
        </w:tc>
        <w:tc>
          <w:tcPr>
            <w:tcW w:w="1097"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sz w:val="19"/>
                <w:szCs w:val="19"/>
              </w:rPr>
            </w:pPr>
            <w:r w:rsidRPr="00A92A00">
              <w:rPr>
                <w:sz w:val="19"/>
                <w:szCs w:val="19"/>
              </w:rPr>
              <w:t xml:space="preserve">Four-or five-year rate of 95 </w:t>
            </w:r>
            <w:r w:rsidRPr="00A92A00">
              <w:rPr>
                <w:color w:val="000000"/>
                <w:sz w:val="19"/>
                <w:szCs w:val="19"/>
              </w:rPr>
              <w:t>percent</w:t>
            </w:r>
            <w:r w:rsidRPr="00A92A00">
              <w:rPr>
                <w:sz w:val="19"/>
                <w:szCs w:val="19"/>
              </w:rPr>
              <w:t xml:space="preserve"> or higher</w:t>
            </w:r>
          </w:p>
        </w:tc>
        <w:tc>
          <w:tcPr>
            <w:tcW w:w="1097" w:type="pct"/>
            <w:tcBorders>
              <w:top w:val="single" w:sz="4" w:space="0" w:color="auto"/>
              <w:left w:val="single" w:sz="4" w:space="0" w:color="auto"/>
              <w:bottom w:val="single" w:sz="4" w:space="0" w:color="auto"/>
              <w:right w:val="single" w:sz="4" w:space="0" w:color="auto"/>
            </w:tcBorders>
          </w:tcPr>
          <w:p w:rsidR="004726A3"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Dropout rate of 0 percent; or</w:t>
            </w:r>
          </w:p>
          <w:p w:rsidR="004726A3"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Met dropout rate of 90th percentile for all students in the school type category statewide; or</w:t>
            </w:r>
          </w:p>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Dropout rate of 3 or more percentage points below annual gap-halving target</w:t>
            </w:r>
          </w:p>
        </w:tc>
      </w:tr>
      <w:tr w:rsidR="004726A3" w:rsidRPr="00A92A00" w:rsidTr="00A17F18">
        <w:trPr>
          <w:trHeight w:val="1736"/>
          <w:jc w:val="center"/>
        </w:trPr>
        <w:tc>
          <w:tcPr>
            <w:tcW w:w="539"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i/>
                <w:sz w:val="19"/>
                <w:szCs w:val="19"/>
              </w:rPr>
            </w:pPr>
            <w:r w:rsidRPr="00A92A00">
              <w:rPr>
                <w:i/>
                <w:sz w:val="19"/>
                <w:szCs w:val="19"/>
              </w:rPr>
              <w:t>On Target</w:t>
            </w:r>
          </w:p>
          <w:p w:rsidR="003F55D2" w:rsidRPr="00A92A00" w:rsidRDefault="003F55D2" w:rsidP="00A17F18">
            <w:pPr>
              <w:spacing w:after="0" w:line="240" w:lineRule="auto"/>
              <w:rPr>
                <w:i/>
                <w:sz w:val="19"/>
                <w:szCs w:val="19"/>
              </w:rPr>
            </w:pPr>
            <w:r w:rsidRPr="00A92A00">
              <w:rPr>
                <w:i/>
                <w:sz w:val="19"/>
                <w:szCs w:val="19"/>
              </w:rPr>
              <w:t>(75 Points)</w:t>
            </w:r>
          </w:p>
        </w:tc>
        <w:tc>
          <w:tcPr>
            <w:tcW w:w="1170" w:type="pct"/>
            <w:gridSpan w:val="2"/>
            <w:tcBorders>
              <w:top w:val="single" w:sz="4" w:space="0" w:color="auto"/>
              <w:left w:val="single" w:sz="4" w:space="0" w:color="auto"/>
              <w:bottom w:val="single" w:sz="4" w:space="0" w:color="auto"/>
              <w:right w:val="single" w:sz="4" w:space="0" w:color="auto"/>
            </w:tcBorders>
          </w:tcPr>
          <w:p w:rsidR="004726A3"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 xml:space="preserve">Within +/- 1.25 points of CPI target; or </w:t>
            </w:r>
          </w:p>
          <w:p w:rsidR="004726A3"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 xml:space="preserve">Met CPI of 90th percentile for the group in the school type category statewide; or </w:t>
            </w:r>
          </w:p>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Met CPI of 80th percentile for all students in the school type category statewide</w:t>
            </w:r>
          </w:p>
        </w:tc>
        <w:tc>
          <w:tcPr>
            <w:tcW w:w="1097" w:type="pct"/>
            <w:gridSpan w:val="2"/>
            <w:tcBorders>
              <w:top w:val="single" w:sz="4" w:space="0" w:color="auto"/>
              <w:left w:val="single" w:sz="4" w:space="0" w:color="auto"/>
              <w:bottom w:val="single" w:sz="4" w:space="0" w:color="auto"/>
              <w:right w:val="single" w:sz="4" w:space="0" w:color="auto"/>
            </w:tcBorders>
          </w:tcPr>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Median SGP between 51-59; or</w:t>
            </w:r>
          </w:p>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10-14 median SGP point improvement; or</w:t>
            </w:r>
          </w:p>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Decreased non-proficient percent by 10 percent or more from prior year</w:t>
            </w:r>
          </w:p>
        </w:tc>
        <w:tc>
          <w:tcPr>
            <w:tcW w:w="1097" w:type="pct"/>
            <w:tcBorders>
              <w:top w:val="single" w:sz="4" w:space="0" w:color="auto"/>
              <w:left w:val="single" w:sz="4" w:space="0" w:color="auto"/>
              <w:bottom w:val="single" w:sz="4" w:space="0" w:color="auto"/>
              <w:right w:val="single" w:sz="4" w:space="0" w:color="auto"/>
            </w:tcBorders>
          </w:tcPr>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Met four-year rate target of 80 percent but was below 95 percent; or</w:t>
            </w:r>
          </w:p>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Met five-year rate target of 85 percent but was below 95 percent</w:t>
            </w:r>
          </w:p>
        </w:tc>
        <w:tc>
          <w:tcPr>
            <w:tcW w:w="1097" w:type="pct"/>
            <w:tcBorders>
              <w:top w:val="single" w:sz="4" w:space="0" w:color="auto"/>
              <w:left w:val="single" w:sz="4" w:space="0" w:color="auto"/>
              <w:bottom w:val="single" w:sz="4" w:space="0" w:color="auto"/>
              <w:right w:val="single" w:sz="4" w:space="0" w:color="auto"/>
            </w:tcBorders>
          </w:tcPr>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Met annual gap-halving target; or</w:t>
            </w:r>
          </w:p>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Met dropout rate of 90th percentile for the group in the school type category statewide; or</w:t>
            </w:r>
          </w:p>
          <w:p w:rsidR="0031590E"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Met dropout rate of 80th percentile for all students in the school type category statewide</w:t>
            </w:r>
          </w:p>
        </w:tc>
      </w:tr>
      <w:tr w:rsidR="004726A3" w:rsidRPr="00A92A00" w:rsidTr="00A17F18">
        <w:trPr>
          <w:trHeight w:val="638"/>
          <w:jc w:val="center"/>
        </w:trPr>
        <w:tc>
          <w:tcPr>
            <w:tcW w:w="539"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i/>
                <w:sz w:val="19"/>
                <w:szCs w:val="19"/>
              </w:rPr>
            </w:pPr>
            <w:r w:rsidRPr="00A92A00">
              <w:rPr>
                <w:i/>
                <w:sz w:val="19"/>
                <w:szCs w:val="19"/>
              </w:rPr>
              <w:t>Improved Below Target</w:t>
            </w:r>
          </w:p>
          <w:p w:rsidR="003F55D2" w:rsidRPr="00A92A00" w:rsidRDefault="003F55D2" w:rsidP="00A17F18">
            <w:pPr>
              <w:spacing w:after="0" w:line="240" w:lineRule="auto"/>
              <w:rPr>
                <w:i/>
                <w:sz w:val="19"/>
                <w:szCs w:val="19"/>
              </w:rPr>
            </w:pPr>
            <w:r w:rsidRPr="00A92A00">
              <w:rPr>
                <w:i/>
                <w:sz w:val="19"/>
                <w:szCs w:val="19"/>
              </w:rPr>
              <w:t>(50 Points)</w:t>
            </w:r>
          </w:p>
        </w:tc>
        <w:tc>
          <w:tcPr>
            <w:tcW w:w="1170" w:type="pct"/>
            <w:gridSpan w:val="2"/>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sz w:val="19"/>
                <w:szCs w:val="19"/>
              </w:rPr>
            </w:pPr>
            <w:r w:rsidRPr="00A92A00">
              <w:rPr>
                <w:sz w:val="19"/>
                <w:szCs w:val="19"/>
              </w:rPr>
              <w:t>Improved from prior year but below CPI target minus 1.25 points</w:t>
            </w:r>
          </w:p>
        </w:tc>
        <w:tc>
          <w:tcPr>
            <w:tcW w:w="1097" w:type="pct"/>
            <w:gridSpan w:val="2"/>
            <w:tcBorders>
              <w:top w:val="single" w:sz="4" w:space="0" w:color="auto"/>
              <w:left w:val="single" w:sz="4" w:space="0" w:color="auto"/>
              <w:bottom w:val="single" w:sz="4" w:space="0" w:color="auto"/>
              <w:right w:val="single" w:sz="4" w:space="0" w:color="auto"/>
            </w:tcBorders>
          </w:tcPr>
          <w:p w:rsidR="004726A3"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Median SGP of 41-50; or</w:t>
            </w:r>
          </w:p>
          <w:p w:rsidR="003F55D2" w:rsidRPr="00A92A00" w:rsidRDefault="003F55D2" w:rsidP="00A17F18">
            <w:pPr>
              <w:pStyle w:val="ListParagraph"/>
              <w:numPr>
                <w:ilvl w:val="0"/>
                <w:numId w:val="4"/>
              </w:numPr>
              <w:spacing w:after="0" w:line="240" w:lineRule="auto"/>
              <w:ind w:left="163" w:hanging="163"/>
              <w:rPr>
                <w:sz w:val="19"/>
                <w:szCs w:val="19"/>
              </w:rPr>
            </w:pPr>
            <w:r w:rsidRPr="00A92A00">
              <w:rPr>
                <w:i w:val="0"/>
                <w:sz w:val="19"/>
                <w:szCs w:val="19"/>
              </w:rPr>
              <w:t xml:space="preserve"> 1-9 point median SGP improvement from prior year</w:t>
            </w:r>
            <w:r w:rsidR="00E605BD">
              <w:rPr>
                <w:i w:val="0"/>
                <w:sz w:val="19"/>
                <w:szCs w:val="19"/>
              </w:rPr>
              <w:t xml:space="preserve"> </w:t>
            </w:r>
            <w:r w:rsidRPr="00E605BD">
              <w:rPr>
                <w:i w:val="0"/>
                <w:sz w:val="19"/>
                <w:szCs w:val="19"/>
              </w:rPr>
              <w:t>(reported as Below Target)</w:t>
            </w:r>
          </w:p>
        </w:tc>
        <w:tc>
          <w:tcPr>
            <w:tcW w:w="1097"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sz w:val="19"/>
                <w:szCs w:val="19"/>
              </w:rPr>
            </w:pPr>
            <w:r w:rsidRPr="00A92A00">
              <w:rPr>
                <w:sz w:val="19"/>
                <w:szCs w:val="19"/>
              </w:rPr>
              <w:t>Improvement in the four-year or five</w:t>
            </w:r>
            <w:r w:rsidR="00A17F18">
              <w:rPr>
                <w:sz w:val="19"/>
                <w:szCs w:val="19"/>
              </w:rPr>
              <w:t>-</w:t>
            </w:r>
            <w:r w:rsidRPr="00A92A00">
              <w:rPr>
                <w:sz w:val="19"/>
                <w:szCs w:val="19"/>
              </w:rPr>
              <w:t>year rate of 2.5 percentage points or more from prior year, but below target</w:t>
            </w:r>
          </w:p>
        </w:tc>
        <w:tc>
          <w:tcPr>
            <w:tcW w:w="1097"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sz w:val="19"/>
                <w:szCs w:val="19"/>
              </w:rPr>
            </w:pPr>
            <w:r w:rsidRPr="00A92A00">
              <w:rPr>
                <w:sz w:val="19"/>
                <w:szCs w:val="19"/>
              </w:rPr>
              <w:t>Decrease of more than 0.5 percentage points from prior year, but below annual gap-halving target</w:t>
            </w:r>
          </w:p>
        </w:tc>
      </w:tr>
      <w:tr w:rsidR="004726A3" w:rsidRPr="00A92A00" w:rsidTr="00A17F18">
        <w:trPr>
          <w:trHeight w:val="260"/>
          <w:jc w:val="center"/>
        </w:trPr>
        <w:tc>
          <w:tcPr>
            <w:tcW w:w="539"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i/>
                <w:sz w:val="19"/>
                <w:szCs w:val="19"/>
              </w:rPr>
            </w:pPr>
            <w:r w:rsidRPr="00A92A00">
              <w:rPr>
                <w:i/>
                <w:sz w:val="19"/>
                <w:szCs w:val="19"/>
              </w:rPr>
              <w:t>No Change</w:t>
            </w:r>
          </w:p>
          <w:p w:rsidR="003F55D2" w:rsidRPr="00A92A00" w:rsidRDefault="003F55D2" w:rsidP="00A17F18">
            <w:pPr>
              <w:spacing w:after="0" w:line="240" w:lineRule="auto"/>
              <w:rPr>
                <w:i/>
                <w:sz w:val="19"/>
                <w:szCs w:val="19"/>
              </w:rPr>
            </w:pPr>
            <w:r w:rsidRPr="00A92A00">
              <w:rPr>
                <w:i/>
                <w:sz w:val="19"/>
                <w:szCs w:val="19"/>
              </w:rPr>
              <w:t>(25 Points)</w:t>
            </w:r>
          </w:p>
        </w:tc>
        <w:tc>
          <w:tcPr>
            <w:tcW w:w="1170" w:type="pct"/>
            <w:gridSpan w:val="2"/>
            <w:tcBorders>
              <w:top w:val="single" w:sz="4" w:space="0" w:color="auto"/>
              <w:left w:val="single" w:sz="4" w:space="0" w:color="auto"/>
              <w:bottom w:val="single" w:sz="4" w:space="0" w:color="auto"/>
              <w:right w:val="single" w:sz="4" w:space="0" w:color="auto"/>
            </w:tcBorders>
          </w:tcPr>
          <w:p w:rsidR="004726A3"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No change from prior year; or</w:t>
            </w:r>
          </w:p>
          <w:p w:rsidR="004726A3" w:rsidRPr="00A92A00" w:rsidRDefault="003F55D2" w:rsidP="00A17F18">
            <w:pPr>
              <w:pStyle w:val="ListParagraph"/>
              <w:numPr>
                <w:ilvl w:val="0"/>
                <w:numId w:val="4"/>
              </w:numPr>
              <w:spacing w:after="0" w:line="240" w:lineRule="auto"/>
              <w:ind w:left="163" w:hanging="163"/>
              <w:rPr>
                <w:i w:val="0"/>
                <w:sz w:val="19"/>
                <w:szCs w:val="19"/>
              </w:rPr>
            </w:pPr>
            <w:r w:rsidRPr="00A92A00">
              <w:rPr>
                <w:i w:val="0"/>
                <w:sz w:val="19"/>
                <w:szCs w:val="19"/>
              </w:rPr>
              <w:t>Up to 2.5 CPI point decline from prior year</w:t>
            </w:r>
          </w:p>
        </w:tc>
        <w:tc>
          <w:tcPr>
            <w:tcW w:w="1097" w:type="pct"/>
            <w:gridSpan w:val="2"/>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sz w:val="19"/>
                <w:szCs w:val="19"/>
              </w:rPr>
            </w:pPr>
            <w:r w:rsidRPr="00A92A00">
              <w:rPr>
                <w:sz w:val="19"/>
                <w:szCs w:val="19"/>
              </w:rPr>
              <w:t>Median SGP of 31-40 (reported as Below Target)</w:t>
            </w:r>
          </w:p>
        </w:tc>
        <w:tc>
          <w:tcPr>
            <w:tcW w:w="1097"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sz w:val="19"/>
                <w:szCs w:val="19"/>
              </w:rPr>
            </w:pPr>
            <w:r w:rsidRPr="00A92A00">
              <w:rPr>
                <w:sz w:val="19"/>
                <w:szCs w:val="19"/>
              </w:rPr>
              <w:t>Within +/- 2.5 percentage points of prior four-year or five year rate</w:t>
            </w:r>
          </w:p>
        </w:tc>
        <w:tc>
          <w:tcPr>
            <w:tcW w:w="1097"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sz w:val="19"/>
                <w:szCs w:val="19"/>
              </w:rPr>
            </w:pPr>
            <w:r w:rsidRPr="00A92A00">
              <w:rPr>
                <w:sz w:val="19"/>
                <w:szCs w:val="19"/>
              </w:rPr>
              <w:t>Within +/- 0.5 percentage points of prior year rate</w:t>
            </w:r>
          </w:p>
        </w:tc>
      </w:tr>
      <w:tr w:rsidR="004726A3" w:rsidRPr="00A92A00" w:rsidTr="00A17F18">
        <w:trPr>
          <w:trHeight w:val="197"/>
          <w:jc w:val="center"/>
        </w:trPr>
        <w:tc>
          <w:tcPr>
            <w:tcW w:w="539"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i/>
                <w:sz w:val="19"/>
                <w:szCs w:val="19"/>
              </w:rPr>
            </w:pPr>
            <w:r w:rsidRPr="00A92A00">
              <w:rPr>
                <w:i/>
                <w:sz w:val="19"/>
                <w:szCs w:val="19"/>
              </w:rPr>
              <w:t>Declined</w:t>
            </w:r>
          </w:p>
          <w:p w:rsidR="003F55D2" w:rsidRPr="00A92A00" w:rsidRDefault="003F55D2" w:rsidP="00A17F18">
            <w:pPr>
              <w:spacing w:after="0" w:line="240" w:lineRule="auto"/>
              <w:rPr>
                <w:i/>
                <w:sz w:val="19"/>
                <w:szCs w:val="19"/>
              </w:rPr>
            </w:pPr>
            <w:r w:rsidRPr="00A92A00">
              <w:rPr>
                <w:i/>
                <w:sz w:val="19"/>
                <w:szCs w:val="19"/>
              </w:rPr>
              <w:t>(0 Points)</w:t>
            </w:r>
          </w:p>
        </w:tc>
        <w:tc>
          <w:tcPr>
            <w:tcW w:w="1170" w:type="pct"/>
            <w:gridSpan w:val="2"/>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sz w:val="19"/>
                <w:szCs w:val="19"/>
              </w:rPr>
            </w:pPr>
            <w:r w:rsidRPr="00A92A00">
              <w:rPr>
                <w:sz w:val="19"/>
                <w:szCs w:val="19"/>
              </w:rPr>
              <w:t>Decline of more than 2.5 CPI points from prior year</w:t>
            </w:r>
          </w:p>
        </w:tc>
        <w:tc>
          <w:tcPr>
            <w:tcW w:w="1097" w:type="pct"/>
            <w:gridSpan w:val="2"/>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sz w:val="19"/>
                <w:szCs w:val="19"/>
              </w:rPr>
            </w:pPr>
            <w:r w:rsidRPr="00A92A00">
              <w:rPr>
                <w:sz w:val="19"/>
                <w:szCs w:val="19"/>
              </w:rPr>
              <w:t>Median SGP of 1-30 (reported as Below Target)</w:t>
            </w:r>
          </w:p>
        </w:tc>
        <w:tc>
          <w:tcPr>
            <w:tcW w:w="1097"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sz w:val="19"/>
                <w:szCs w:val="19"/>
              </w:rPr>
            </w:pPr>
            <w:r w:rsidRPr="00A92A00">
              <w:rPr>
                <w:sz w:val="19"/>
                <w:szCs w:val="19"/>
              </w:rPr>
              <w:t>Decline of more than 2.5 percentage points from prior year</w:t>
            </w:r>
          </w:p>
        </w:tc>
        <w:tc>
          <w:tcPr>
            <w:tcW w:w="1097" w:type="pct"/>
            <w:tcBorders>
              <w:top w:val="single" w:sz="4" w:space="0" w:color="auto"/>
              <w:left w:val="single" w:sz="4" w:space="0" w:color="auto"/>
              <w:bottom w:val="single" w:sz="4" w:space="0" w:color="auto"/>
              <w:right w:val="single" w:sz="4" w:space="0" w:color="auto"/>
            </w:tcBorders>
          </w:tcPr>
          <w:p w:rsidR="003F55D2" w:rsidRPr="00A92A00" w:rsidRDefault="003F55D2" w:rsidP="00A17F18">
            <w:pPr>
              <w:spacing w:after="0" w:line="240" w:lineRule="auto"/>
              <w:rPr>
                <w:sz w:val="19"/>
                <w:szCs w:val="19"/>
              </w:rPr>
            </w:pPr>
            <w:r w:rsidRPr="00A92A00">
              <w:rPr>
                <w:sz w:val="19"/>
                <w:szCs w:val="19"/>
              </w:rPr>
              <w:t>Increase of greater than 0.5 percentage points</w:t>
            </w:r>
          </w:p>
        </w:tc>
      </w:tr>
      <w:tr w:rsidR="004726A3" w:rsidRPr="00A92A00" w:rsidTr="00B65412">
        <w:trPr>
          <w:trHeight w:val="341"/>
          <w:jc w:val="center"/>
        </w:trPr>
        <w:tc>
          <w:tcPr>
            <w:tcW w:w="5000" w:type="pct"/>
            <w:gridSpan w:val="7"/>
            <w:tcBorders>
              <w:top w:val="single" w:sz="4" w:space="0" w:color="auto"/>
              <w:left w:val="nil"/>
              <w:bottom w:val="nil"/>
              <w:right w:val="nil"/>
            </w:tcBorders>
            <w:vAlign w:val="center"/>
          </w:tcPr>
          <w:p w:rsidR="003F55D2" w:rsidRPr="00A92A00" w:rsidRDefault="003F55D2" w:rsidP="00A17F18">
            <w:pPr>
              <w:spacing w:after="0" w:line="240" w:lineRule="auto"/>
              <w:jc w:val="center"/>
              <w:rPr>
                <w:b/>
                <w:sz w:val="19"/>
                <w:szCs w:val="19"/>
              </w:rPr>
            </w:pPr>
            <w:r w:rsidRPr="00A92A00">
              <w:rPr>
                <w:b/>
                <w:sz w:val="19"/>
                <w:szCs w:val="19"/>
              </w:rPr>
              <w:t>Extra Credit Indicators (up to 7)</w:t>
            </w:r>
          </w:p>
        </w:tc>
      </w:tr>
      <w:tr w:rsidR="002A0176" w:rsidRPr="00A92A00" w:rsidTr="00A17F18">
        <w:trPr>
          <w:trHeight w:val="404"/>
          <w:jc w:val="center"/>
        </w:trPr>
        <w:tc>
          <w:tcPr>
            <w:tcW w:w="612" w:type="pct"/>
            <w:gridSpan w:val="2"/>
            <w:vMerge w:val="restart"/>
            <w:tcBorders>
              <w:top w:val="nil"/>
              <w:left w:val="nil"/>
              <w:bottom w:val="single" w:sz="4" w:space="0" w:color="auto"/>
              <w:right w:val="single" w:sz="4" w:space="0" w:color="auto"/>
            </w:tcBorders>
            <w:shd w:val="clear" w:color="auto" w:fill="auto"/>
          </w:tcPr>
          <w:p w:rsidR="002A0176" w:rsidRPr="00A92A00" w:rsidRDefault="002A0176" w:rsidP="00A17F18">
            <w:pPr>
              <w:spacing w:after="0" w:line="240" w:lineRule="auto"/>
              <w:rPr>
                <w:sz w:val="19"/>
                <w:szCs w:val="19"/>
              </w:rPr>
            </w:pPr>
          </w:p>
        </w:tc>
        <w:tc>
          <w:tcPr>
            <w:tcW w:w="1097" w:type="pct"/>
            <w:tcBorders>
              <w:top w:val="single" w:sz="4" w:space="0" w:color="auto"/>
              <w:left w:val="single" w:sz="4" w:space="0" w:color="auto"/>
              <w:bottom w:val="single" w:sz="4" w:space="0" w:color="auto"/>
              <w:right w:val="single" w:sz="4" w:space="0" w:color="auto"/>
            </w:tcBorders>
            <w:shd w:val="clear" w:color="auto" w:fill="E2EAF6"/>
          </w:tcPr>
          <w:p w:rsidR="002A0176" w:rsidRPr="00A92A00" w:rsidRDefault="002A0176" w:rsidP="00A17F18">
            <w:pPr>
              <w:spacing w:after="0" w:line="240" w:lineRule="auto"/>
              <w:jc w:val="center"/>
              <w:rPr>
                <w:b/>
                <w:sz w:val="19"/>
                <w:szCs w:val="19"/>
              </w:rPr>
            </w:pPr>
            <w:r w:rsidRPr="00A92A00">
              <w:rPr>
                <w:b/>
                <w:sz w:val="19"/>
                <w:szCs w:val="19"/>
              </w:rPr>
              <w:t xml:space="preserve">(E) </w:t>
            </w:r>
          </w:p>
          <w:p w:rsidR="002A0176" w:rsidRPr="00A92A00" w:rsidRDefault="002A0176" w:rsidP="00A17F18">
            <w:pPr>
              <w:spacing w:after="0" w:line="240" w:lineRule="auto"/>
              <w:jc w:val="center"/>
              <w:rPr>
                <w:b/>
                <w:sz w:val="19"/>
                <w:szCs w:val="19"/>
              </w:rPr>
            </w:pPr>
            <w:r w:rsidRPr="00A92A00">
              <w:rPr>
                <w:b/>
                <w:sz w:val="19"/>
                <w:szCs w:val="19"/>
              </w:rPr>
              <w:t xml:space="preserve">Progress at the Warning/Failing Level </w:t>
            </w:r>
          </w:p>
        </w:tc>
        <w:tc>
          <w:tcPr>
            <w:tcW w:w="1097" w:type="pct"/>
            <w:gridSpan w:val="2"/>
            <w:tcBorders>
              <w:top w:val="single" w:sz="4" w:space="0" w:color="auto"/>
              <w:left w:val="single" w:sz="4" w:space="0" w:color="auto"/>
              <w:bottom w:val="single" w:sz="4" w:space="0" w:color="auto"/>
              <w:right w:val="single" w:sz="4" w:space="0" w:color="auto"/>
            </w:tcBorders>
            <w:shd w:val="clear" w:color="auto" w:fill="E2EAF6"/>
          </w:tcPr>
          <w:p w:rsidR="002A0176" w:rsidRPr="00A92A00" w:rsidRDefault="002A0176" w:rsidP="00A17F18">
            <w:pPr>
              <w:spacing w:after="0" w:line="240" w:lineRule="auto"/>
              <w:jc w:val="center"/>
              <w:rPr>
                <w:b/>
                <w:sz w:val="19"/>
                <w:szCs w:val="19"/>
              </w:rPr>
            </w:pPr>
            <w:r w:rsidRPr="00A92A00">
              <w:rPr>
                <w:b/>
                <w:sz w:val="19"/>
                <w:szCs w:val="19"/>
              </w:rPr>
              <w:t xml:space="preserve">(F) </w:t>
            </w:r>
          </w:p>
          <w:p w:rsidR="002A0176" w:rsidRPr="00A92A00" w:rsidRDefault="002A0176" w:rsidP="00A17F18">
            <w:pPr>
              <w:spacing w:after="0" w:line="240" w:lineRule="auto"/>
              <w:jc w:val="center"/>
              <w:rPr>
                <w:b/>
                <w:sz w:val="19"/>
                <w:szCs w:val="19"/>
              </w:rPr>
            </w:pPr>
            <w:r w:rsidRPr="00A92A00">
              <w:rPr>
                <w:b/>
                <w:sz w:val="19"/>
                <w:szCs w:val="19"/>
              </w:rPr>
              <w:t xml:space="preserve">Progress at the Advanced Level </w:t>
            </w:r>
          </w:p>
        </w:tc>
        <w:tc>
          <w:tcPr>
            <w:tcW w:w="1097" w:type="pct"/>
            <w:tcBorders>
              <w:top w:val="single" w:sz="4" w:space="0" w:color="auto"/>
              <w:left w:val="single" w:sz="4" w:space="0" w:color="auto"/>
              <w:bottom w:val="single" w:sz="4" w:space="0" w:color="auto"/>
              <w:right w:val="single" w:sz="4" w:space="0" w:color="auto"/>
            </w:tcBorders>
            <w:shd w:val="clear" w:color="auto" w:fill="E2EAF6"/>
          </w:tcPr>
          <w:p w:rsidR="002A0176" w:rsidRPr="00A92A00" w:rsidRDefault="002A0176" w:rsidP="00A17F18">
            <w:pPr>
              <w:spacing w:after="0" w:line="240" w:lineRule="auto"/>
              <w:jc w:val="center"/>
              <w:rPr>
                <w:b/>
                <w:sz w:val="19"/>
                <w:szCs w:val="19"/>
              </w:rPr>
            </w:pPr>
            <w:r w:rsidRPr="00A92A00">
              <w:rPr>
                <w:b/>
                <w:sz w:val="19"/>
                <w:szCs w:val="19"/>
              </w:rPr>
              <w:t>(G)</w:t>
            </w:r>
          </w:p>
          <w:p w:rsidR="0026564B" w:rsidRDefault="002A0176" w:rsidP="00A17F18">
            <w:pPr>
              <w:spacing w:after="0" w:line="240" w:lineRule="auto"/>
              <w:jc w:val="center"/>
              <w:rPr>
                <w:sz w:val="19"/>
                <w:szCs w:val="19"/>
              </w:rPr>
            </w:pPr>
            <w:r>
              <w:rPr>
                <w:b/>
                <w:sz w:val="19"/>
                <w:szCs w:val="19"/>
              </w:rPr>
              <w:t>English Language Proficiency</w:t>
            </w:r>
          </w:p>
        </w:tc>
        <w:tc>
          <w:tcPr>
            <w:tcW w:w="1097" w:type="pct"/>
            <w:tcBorders>
              <w:top w:val="single" w:sz="4" w:space="0" w:color="auto"/>
              <w:left w:val="single" w:sz="4" w:space="0" w:color="auto"/>
              <w:bottom w:val="single" w:sz="4" w:space="0" w:color="auto"/>
              <w:right w:val="single" w:sz="4" w:space="0" w:color="auto"/>
            </w:tcBorders>
            <w:shd w:val="clear" w:color="auto" w:fill="E2EAF6"/>
          </w:tcPr>
          <w:p w:rsidR="002A0176" w:rsidRPr="00A92A00" w:rsidRDefault="002A0176" w:rsidP="00A17F18">
            <w:pPr>
              <w:spacing w:after="0" w:line="240" w:lineRule="auto"/>
              <w:jc w:val="center"/>
              <w:rPr>
                <w:b/>
                <w:sz w:val="19"/>
                <w:szCs w:val="19"/>
              </w:rPr>
            </w:pPr>
            <w:r>
              <w:rPr>
                <w:b/>
                <w:sz w:val="19"/>
                <w:szCs w:val="19"/>
              </w:rPr>
              <w:t>(H</w:t>
            </w:r>
            <w:r w:rsidRPr="00A92A00">
              <w:rPr>
                <w:b/>
                <w:sz w:val="19"/>
                <w:szCs w:val="19"/>
              </w:rPr>
              <w:t>)</w:t>
            </w:r>
          </w:p>
          <w:p w:rsidR="00A17F18" w:rsidRDefault="002A0176" w:rsidP="00A17F18">
            <w:pPr>
              <w:spacing w:after="0" w:line="240" w:lineRule="auto"/>
              <w:jc w:val="center"/>
              <w:rPr>
                <w:b/>
                <w:sz w:val="19"/>
                <w:szCs w:val="19"/>
              </w:rPr>
            </w:pPr>
            <w:r w:rsidRPr="00A92A00">
              <w:rPr>
                <w:b/>
                <w:sz w:val="19"/>
                <w:szCs w:val="19"/>
              </w:rPr>
              <w:t xml:space="preserve">Dropout </w:t>
            </w:r>
          </w:p>
          <w:p w:rsidR="0026564B" w:rsidRDefault="002A0176" w:rsidP="00A17F18">
            <w:pPr>
              <w:spacing w:after="0" w:line="240" w:lineRule="auto"/>
              <w:jc w:val="center"/>
              <w:rPr>
                <w:b/>
                <w:sz w:val="19"/>
                <w:szCs w:val="19"/>
              </w:rPr>
            </w:pPr>
            <w:r w:rsidRPr="00A92A00">
              <w:rPr>
                <w:b/>
                <w:sz w:val="19"/>
                <w:szCs w:val="19"/>
              </w:rPr>
              <w:t>Reengagement</w:t>
            </w:r>
          </w:p>
        </w:tc>
      </w:tr>
      <w:tr w:rsidR="002A0176" w:rsidRPr="00A92A00" w:rsidTr="00A17F18">
        <w:trPr>
          <w:trHeight w:val="503"/>
          <w:jc w:val="center"/>
        </w:trPr>
        <w:tc>
          <w:tcPr>
            <w:tcW w:w="612" w:type="pct"/>
            <w:gridSpan w:val="2"/>
            <w:vMerge/>
            <w:tcBorders>
              <w:top w:val="nil"/>
              <w:left w:val="nil"/>
              <w:bottom w:val="single" w:sz="4" w:space="0" w:color="auto"/>
              <w:right w:val="single" w:sz="4" w:space="0" w:color="auto"/>
            </w:tcBorders>
          </w:tcPr>
          <w:p w:rsidR="002A0176" w:rsidRDefault="002A0176" w:rsidP="00A17F18">
            <w:pPr>
              <w:spacing w:after="0" w:line="240" w:lineRule="auto"/>
              <w:rPr>
                <w:sz w:val="19"/>
                <w:szCs w:val="19"/>
              </w:rPr>
            </w:pPr>
          </w:p>
        </w:tc>
        <w:tc>
          <w:tcPr>
            <w:tcW w:w="1097" w:type="pct"/>
            <w:tcBorders>
              <w:top w:val="single" w:sz="4" w:space="0" w:color="auto"/>
              <w:left w:val="single" w:sz="4" w:space="0" w:color="auto"/>
              <w:bottom w:val="single" w:sz="4" w:space="0" w:color="auto"/>
              <w:right w:val="single" w:sz="4" w:space="0" w:color="auto"/>
            </w:tcBorders>
          </w:tcPr>
          <w:p w:rsidR="002A0176" w:rsidRPr="00A92A00" w:rsidRDefault="002A0176" w:rsidP="00A17F18">
            <w:pPr>
              <w:spacing w:after="0" w:line="240" w:lineRule="auto"/>
              <w:jc w:val="center"/>
              <w:rPr>
                <w:b/>
                <w:sz w:val="19"/>
                <w:szCs w:val="19"/>
              </w:rPr>
            </w:pPr>
            <w:r w:rsidRPr="00A92A00">
              <w:rPr>
                <w:b/>
                <w:sz w:val="19"/>
                <w:szCs w:val="19"/>
              </w:rPr>
              <w:t xml:space="preserve">E1, E2, E3 </w:t>
            </w:r>
          </w:p>
          <w:p w:rsidR="002A0176" w:rsidRPr="00A92A00" w:rsidRDefault="002A0176" w:rsidP="00A17F18">
            <w:pPr>
              <w:spacing w:after="0" w:line="240" w:lineRule="auto"/>
              <w:jc w:val="center"/>
              <w:rPr>
                <w:b/>
                <w:sz w:val="19"/>
                <w:szCs w:val="19"/>
              </w:rPr>
            </w:pPr>
            <w:r w:rsidRPr="00A92A00">
              <w:rPr>
                <w:b/>
                <w:sz w:val="19"/>
                <w:szCs w:val="19"/>
              </w:rPr>
              <w:t>(ELA, Math, Science)</w:t>
            </w:r>
          </w:p>
        </w:tc>
        <w:tc>
          <w:tcPr>
            <w:tcW w:w="1097" w:type="pct"/>
            <w:gridSpan w:val="2"/>
            <w:tcBorders>
              <w:top w:val="single" w:sz="4" w:space="0" w:color="auto"/>
              <w:left w:val="single" w:sz="4" w:space="0" w:color="auto"/>
              <w:bottom w:val="single" w:sz="4" w:space="0" w:color="auto"/>
              <w:right w:val="single" w:sz="4" w:space="0" w:color="auto"/>
            </w:tcBorders>
          </w:tcPr>
          <w:p w:rsidR="002A0176" w:rsidRPr="00A92A00" w:rsidRDefault="002A0176" w:rsidP="00A17F18">
            <w:pPr>
              <w:spacing w:after="0" w:line="240" w:lineRule="auto"/>
              <w:jc w:val="center"/>
              <w:rPr>
                <w:b/>
                <w:sz w:val="19"/>
                <w:szCs w:val="19"/>
              </w:rPr>
            </w:pPr>
            <w:r w:rsidRPr="00A92A00">
              <w:rPr>
                <w:b/>
                <w:sz w:val="19"/>
                <w:szCs w:val="19"/>
              </w:rPr>
              <w:t xml:space="preserve">F1, F2, F3 </w:t>
            </w:r>
          </w:p>
          <w:p w:rsidR="002A0176" w:rsidRPr="00A92A00" w:rsidRDefault="002A0176" w:rsidP="00A17F18">
            <w:pPr>
              <w:spacing w:after="0" w:line="240" w:lineRule="auto"/>
              <w:jc w:val="center"/>
              <w:rPr>
                <w:b/>
                <w:sz w:val="19"/>
                <w:szCs w:val="19"/>
              </w:rPr>
            </w:pPr>
            <w:r w:rsidRPr="00A92A00">
              <w:rPr>
                <w:b/>
                <w:sz w:val="19"/>
                <w:szCs w:val="19"/>
              </w:rPr>
              <w:t>(ELA, Math, Science)</w:t>
            </w:r>
          </w:p>
        </w:tc>
        <w:tc>
          <w:tcPr>
            <w:tcW w:w="1097" w:type="pct"/>
            <w:tcBorders>
              <w:top w:val="single" w:sz="4" w:space="0" w:color="auto"/>
              <w:left w:val="single" w:sz="4" w:space="0" w:color="auto"/>
              <w:bottom w:val="single" w:sz="4" w:space="0" w:color="auto"/>
              <w:right w:val="single" w:sz="4" w:space="0" w:color="auto"/>
            </w:tcBorders>
          </w:tcPr>
          <w:p w:rsidR="002A0176" w:rsidRPr="00A92A00" w:rsidRDefault="002A0176" w:rsidP="00A17F18">
            <w:pPr>
              <w:spacing w:after="0" w:line="240" w:lineRule="auto"/>
              <w:jc w:val="center"/>
              <w:rPr>
                <w:b/>
                <w:sz w:val="19"/>
                <w:szCs w:val="19"/>
              </w:rPr>
            </w:pPr>
            <w:r w:rsidRPr="00A92A00">
              <w:rPr>
                <w:b/>
                <w:sz w:val="19"/>
                <w:szCs w:val="19"/>
              </w:rPr>
              <w:t xml:space="preserve">(All </w:t>
            </w:r>
            <w:r w:rsidR="00BA107D">
              <w:rPr>
                <w:b/>
                <w:sz w:val="19"/>
                <w:szCs w:val="19"/>
              </w:rPr>
              <w:t>s</w:t>
            </w:r>
            <w:r w:rsidRPr="00A92A00">
              <w:rPr>
                <w:b/>
                <w:sz w:val="19"/>
                <w:szCs w:val="19"/>
              </w:rPr>
              <w:t>tudents</w:t>
            </w:r>
            <w:r>
              <w:rPr>
                <w:b/>
                <w:sz w:val="19"/>
                <w:szCs w:val="19"/>
              </w:rPr>
              <w:t>,</w:t>
            </w:r>
            <w:r w:rsidRPr="00A92A00">
              <w:rPr>
                <w:b/>
                <w:sz w:val="19"/>
                <w:szCs w:val="19"/>
              </w:rPr>
              <w:t xml:space="preserve"> </w:t>
            </w:r>
            <w:r w:rsidR="00BA107D">
              <w:rPr>
                <w:b/>
                <w:sz w:val="19"/>
                <w:szCs w:val="19"/>
              </w:rPr>
              <w:t>h</w:t>
            </w:r>
            <w:r w:rsidRPr="00A92A00">
              <w:rPr>
                <w:b/>
                <w:sz w:val="19"/>
                <w:szCs w:val="19"/>
              </w:rPr>
              <w:t xml:space="preserve">igh </w:t>
            </w:r>
            <w:r w:rsidR="00BA107D">
              <w:rPr>
                <w:b/>
                <w:sz w:val="19"/>
                <w:szCs w:val="19"/>
              </w:rPr>
              <w:t>n</w:t>
            </w:r>
            <w:r w:rsidRPr="00A92A00">
              <w:rPr>
                <w:b/>
                <w:sz w:val="19"/>
                <w:szCs w:val="19"/>
              </w:rPr>
              <w:t>eeds</w:t>
            </w:r>
            <w:r>
              <w:rPr>
                <w:b/>
                <w:sz w:val="19"/>
                <w:szCs w:val="19"/>
              </w:rPr>
              <w:t>, and ELL/Former ELL</w:t>
            </w:r>
            <w:r w:rsidRPr="00A92A00">
              <w:rPr>
                <w:b/>
                <w:sz w:val="19"/>
                <w:szCs w:val="19"/>
              </w:rPr>
              <w:t xml:space="preserve"> only)</w:t>
            </w:r>
          </w:p>
        </w:tc>
        <w:tc>
          <w:tcPr>
            <w:tcW w:w="1097" w:type="pct"/>
            <w:tcBorders>
              <w:top w:val="single" w:sz="4" w:space="0" w:color="auto"/>
              <w:left w:val="single" w:sz="4" w:space="0" w:color="auto"/>
              <w:bottom w:val="single" w:sz="4" w:space="0" w:color="auto"/>
              <w:right w:val="single" w:sz="4" w:space="0" w:color="auto"/>
            </w:tcBorders>
            <w:vAlign w:val="center"/>
          </w:tcPr>
          <w:p w:rsidR="002A0176" w:rsidRPr="00A92A00" w:rsidRDefault="002A0176" w:rsidP="00A17F18">
            <w:pPr>
              <w:spacing w:after="0" w:line="240" w:lineRule="auto"/>
              <w:jc w:val="center"/>
              <w:rPr>
                <w:b/>
                <w:sz w:val="19"/>
                <w:szCs w:val="19"/>
              </w:rPr>
            </w:pPr>
            <w:r w:rsidRPr="00A92A00">
              <w:rPr>
                <w:b/>
                <w:sz w:val="19"/>
                <w:szCs w:val="19"/>
              </w:rPr>
              <w:t>High Schools</w:t>
            </w:r>
          </w:p>
          <w:p w:rsidR="002A0176" w:rsidRPr="00A92A00" w:rsidRDefault="00BA107D" w:rsidP="00A17F18">
            <w:pPr>
              <w:spacing w:after="0" w:line="240" w:lineRule="auto"/>
              <w:jc w:val="center"/>
              <w:rPr>
                <w:b/>
                <w:sz w:val="19"/>
                <w:szCs w:val="19"/>
              </w:rPr>
            </w:pPr>
            <w:r>
              <w:rPr>
                <w:b/>
                <w:sz w:val="19"/>
                <w:szCs w:val="19"/>
              </w:rPr>
              <w:t>(All students and high n</w:t>
            </w:r>
            <w:r w:rsidR="002A0176" w:rsidRPr="00A92A00">
              <w:rPr>
                <w:b/>
                <w:sz w:val="19"/>
                <w:szCs w:val="19"/>
              </w:rPr>
              <w:t>eeds only)</w:t>
            </w:r>
          </w:p>
        </w:tc>
      </w:tr>
      <w:tr w:rsidR="002A0176" w:rsidRPr="00A92A00" w:rsidTr="00A17F18">
        <w:trPr>
          <w:trHeight w:val="602"/>
          <w:jc w:val="center"/>
        </w:trPr>
        <w:tc>
          <w:tcPr>
            <w:tcW w:w="612" w:type="pct"/>
            <w:gridSpan w:val="2"/>
            <w:tcBorders>
              <w:top w:val="single" w:sz="4" w:space="0" w:color="auto"/>
              <w:left w:val="single" w:sz="4" w:space="0" w:color="auto"/>
              <w:bottom w:val="single" w:sz="4" w:space="0" w:color="auto"/>
              <w:right w:val="single" w:sz="4" w:space="0" w:color="auto"/>
            </w:tcBorders>
            <w:vAlign w:val="center"/>
          </w:tcPr>
          <w:p w:rsidR="002A0176" w:rsidRPr="00A92A00" w:rsidRDefault="002A0176" w:rsidP="00A17F18">
            <w:pPr>
              <w:spacing w:after="0" w:line="240" w:lineRule="auto"/>
              <w:rPr>
                <w:i/>
                <w:sz w:val="19"/>
                <w:szCs w:val="19"/>
              </w:rPr>
            </w:pPr>
            <w:r w:rsidRPr="00A92A00">
              <w:rPr>
                <w:i/>
                <w:sz w:val="19"/>
                <w:szCs w:val="19"/>
              </w:rPr>
              <w:t>Met Criteria</w:t>
            </w:r>
          </w:p>
          <w:p w:rsidR="002A0176" w:rsidRPr="00A92A00" w:rsidRDefault="002A0176" w:rsidP="00A17F18">
            <w:pPr>
              <w:spacing w:after="0" w:line="240" w:lineRule="auto"/>
              <w:rPr>
                <w:sz w:val="19"/>
                <w:szCs w:val="19"/>
              </w:rPr>
            </w:pPr>
            <w:r w:rsidRPr="00A92A00">
              <w:rPr>
                <w:i/>
                <w:sz w:val="19"/>
                <w:szCs w:val="19"/>
              </w:rPr>
              <w:t>(+25 Points)</w:t>
            </w:r>
          </w:p>
        </w:tc>
        <w:tc>
          <w:tcPr>
            <w:tcW w:w="1097" w:type="pct"/>
            <w:tcBorders>
              <w:top w:val="single" w:sz="4" w:space="0" w:color="auto"/>
              <w:left w:val="single" w:sz="4" w:space="0" w:color="auto"/>
              <w:bottom w:val="single" w:sz="4" w:space="0" w:color="auto"/>
              <w:right w:val="single" w:sz="4" w:space="0" w:color="auto"/>
            </w:tcBorders>
          </w:tcPr>
          <w:p w:rsidR="002A0176" w:rsidRPr="00A92A00" w:rsidRDefault="002A0176" w:rsidP="00A17F18">
            <w:pPr>
              <w:spacing w:after="0" w:line="240" w:lineRule="auto"/>
              <w:rPr>
                <w:sz w:val="19"/>
                <w:szCs w:val="19"/>
              </w:rPr>
            </w:pPr>
            <w:r w:rsidRPr="00A92A00">
              <w:rPr>
                <w:sz w:val="19"/>
                <w:szCs w:val="19"/>
              </w:rPr>
              <w:t>Decrease the percent of students scoring Warning/Failing by 10 percent or more from the prior year</w:t>
            </w:r>
          </w:p>
        </w:tc>
        <w:tc>
          <w:tcPr>
            <w:tcW w:w="1097" w:type="pct"/>
            <w:gridSpan w:val="2"/>
            <w:tcBorders>
              <w:top w:val="single" w:sz="4" w:space="0" w:color="auto"/>
              <w:left w:val="single" w:sz="4" w:space="0" w:color="auto"/>
              <w:bottom w:val="single" w:sz="4" w:space="0" w:color="auto"/>
              <w:right w:val="single" w:sz="4" w:space="0" w:color="auto"/>
            </w:tcBorders>
          </w:tcPr>
          <w:p w:rsidR="002A0176" w:rsidRPr="00A92A00" w:rsidRDefault="002A0176" w:rsidP="00A17F18">
            <w:pPr>
              <w:spacing w:after="0" w:line="240" w:lineRule="auto"/>
              <w:rPr>
                <w:sz w:val="19"/>
                <w:szCs w:val="19"/>
              </w:rPr>
            </w:pPr>
            <w:r w:rsidRPr="00A92A00">
              <w:rPr>
                <w:sz w:val="19"/>
                <w:szCs w:val="19"/>
              </w:rPr>
              <w:t>Increase the percent of students scoring Advanced by 10 percent or more from the prior year</w:t>
            </w:r>
          </w:p>
        </w:tc>
        <w:tc>
          <w:tcPr>
            <w:tcW w:w="1097" w:type="pct"/>
            <w:tcBorders>
              <w:top w:val="single" w:sz="4" w:space="0" w:color="auto"/>
              <w:left w:val="single" w:sz="4" w:space="0" w:color="auto"/>
              <w:bottom w:val="single" w:sz="4" w:space="0" w:color="auto"/>
              <w:right w:val="single" w:sz="4" w:space="0" w:color="auto"/>
            </w:tcBorders>
          </w:tcPr>
          <w:p w:rsidR="002A0176" w:rsidRPr="00A92A00" w:rsidRDefault="00E57787" w:rsidP="00A17F18">
            <w:pPr>
              <w:spacing w:after="0" w:line="240" w:lineRule="auto"/>
              <w:rPr>
                <w:sz w:val="19"/>
                <w:szCs w:val="19"/>
              </w:rPr>
            </w:pPr>
            <w:r>
              <w:rPr>
                <w:sz w:val="19"/>
                <w:szCs w:val="19"/>
              </w:rPr>
              <w:t>Demonstrate high growth on ACCESS for ELLs (SGPA of 60 or higher)</w:t>
            </w:r>
          </w:p>
        </w:tc>
        <w:tc>
          <w:tcPr>
            <w:tcW w:w="1097" w:type="pct"/>
            <w:tcBorders>
              <w:top w:val="single" w:sz="4" w:space="0" w:color="auto"/>
              <w:left w:val="single" w:sz="4" w:space="0" w:color="auto"/>
              <w:bottom w:val="single" w:sz="4" w:space="0" w:color="auto"/>
              <w:right w:val="single" w:sz="4" w:space="0" w:color="auto"/>
            </w:tcBorders>
          </w:tcPr>
          <w:p w:rsidR="002A0176" w:rsidRPr="00A92A00" w:rsidRDefault="002A0176" w:rsidP="00A17F18">
            <w:pPr>
              <w:spacing w:after="0" w:line="240" w:lineRule="auto"/>
              <w:rPr>
                <w:sz w:val="19"/>
                <w:szCs w:val="19"/>
              </w:rPr>
            </w:pPr>
            <w:r w:rsidRPr="00A92A00">
              <w:rPr>
                <w:sz w:val="19"/>
                <w:szCs w:val="19"/>
              </w:rPr>
              <w:t>Reengage 2 or more students who dropped out of school in any of the previous four years</w:t>
            </w:r>
          </w:p>
        </w:tc>
      </w:tr>
      <w:tr w:rsidR="004726A3" w:rsidRPr="00A92A00" w:rsidTr="00A17F18">
        <w:trPr>
          <w:trHeight w:val="332"/>
          <w:jc w:val="center"/>
        </w:trPr>
        <w:tc>
          <w:tcPr>
            <w:tcW w:w="5000" w:type="pct"/>
            <w:gridSpan w:val="7"/>
            <w:tcBorders>
              <w:left w:val="nil"/>
              <w:bottom w:val="single" w:sz="4" w:space="0" w:color="auto"/>
              <w:right w:val="nil"/>
            </w:tcBorders>
            <w:vAlign w:val="center"/>
          </w:tcPr>
          <w:p w:rsidR="003F55D2" w:rsidRPr="00A92A00" w:rsidRDefault="003F55D2" w:rsidP="00A17F18">
            <w:pPr>
              <w:spacing w:after="0" w:line="240" w:lineRule="auto"/>
              <w:jc w:val="center"/>
              <w:rPr>
                <w:b/>
                <w:sz w:val="19"/>
                <w:szCs w:val="19"/>
              </w:rPr>
            </w:pPr>
            <w:r w:rsidRPr="00A92A00">
              <w:rPr>
                <w:b/>
                <w:sz w:val="19"/>
                <w:szCs w:val="19"/>
              </w:rPr>
              <w:t>Calculating the Annual and Cumulative PPI</w:t>
            </w:r>
          </w:p>
        </w:tc>
      </w:tr>
      <w:tr w:rsidR="004726A3" w:rsidRPr="00A92A00" w:rsidTr="00A17F18">
        <w:trPr>
          <w:trHeight w:val="54"/>
          <w:jc w:val="center"/>
        </w:trPr>
        <w:tc>
          <w:tcPr>
            <w:tcW w:w="2500" w:type="pct"/>
            <w:gridSpan w:val="4"/>
            <w:tcBorders>
              <w:top w:val="single" w:sz="4" w:space="0" w:color="auto"/>
              <w:left w:val="single" w:sz="4" w:space="0" w:color="auto"/>
              <w:bottom w:val="single" w:sz="4" w:space="0" w:color="auto"/>
              <w:right w:val="single" w:sz="4" w:space="0" w:color="auto"/>
            </w:tcBorders>
            <w:shd w:val="clear" w:color="auto" w:fill="E2EAF6"/>
            <w:vAlign w:val="center"/>
          </w:tcPr>
          <w:p w:rsidR="003F55D2" w:rsidRPr="00A92A00" w:rsidRDefault="003F55D2" w:rsidP="00A17F18">
            <w:pPr>
              <w:spacing w:after="0" w:line="240" w:lineRule="auto"/>
              <w:jc w:val="center"/>
              <w:rPr>
                <w:b/>
                <w:color w:val="004386"/>
                <w:sz w:val="19"/>
                <w:szCs w:val="19"/>
              </w:rPr>
            </w:pPr>
            <w:r w:rsidRPr="00A92A00">
              <w:rPr>
                <w:b/>
                <w:sz w:val="19"/>
                <w:szCs w:val="19"/>
              </w:rPr>
              <w:t>Annual PPI Formula:</w:t>
            </w:r>
          </w:p>
        </w:tc>
        <w:tc>
          <w:tcPr>
            <w:tcW w:w="2500" w:type="pct"/>
            <w:gridSpan w:val="3"/>
            <w:tcBorders>
              <w:top w:val="single" w:sz="4" w:space="0" w:color="auto"/>
              <w:left w:val="single" w:sz="4" w:space="0" w:color="auto"/>
              <w:bottom w:val="single" w:sz="4" w:space="0" w:color="auto"/>
              <w:right w:val="single" w:sz="4" w:space="0" w:color="auto"/>
            </w:tcBorders>
            <w:shd w:val="clear" w:color="auto" w:fill="E2EAF6"/>
            <w:vAlign w:val="center"/>
          </w:tcPr>
          <w:p w:rsidR="003F55D2" w:rsidRPr="00A92A00" w:rsidRDefault="003F55D2" w:rsidP="00A17F18">
            <w:pPr>
              <w:spacing w:after="0" w:line="240" w:lineRule="auto"/>
              <w:jc w:val="center"/>
              <w:rPr>
                <w:b/>
                <w:color w:val="004386"/>
                <w:sz w:val="19"/>
                <w:szCs w:val="19"/>
              </w:rPr>
            </w:pPr>
            <w:r w:rsidRPr="00A92A00">
              <w:rPr>
                <w:b/>
                <w:sz w:val="19"/>
                <w:szCs w:val="19"/>
              </w:rPr>
              <w:t>Cumulative PPI Formula:</w:t>
            </w:r>
          </w:p>
        </w:tc>
      </w:tr>
      <w:tr w:rsidR="004726A3" w:rsidRPr="00A92A00" w:rsidTr="00A17F18">
        <w:trPr>
          <w:trHeight w:val="54"/>
          <w:jc w:val="center"/>
        </w:trPr>
        <w:tc>
          <w:tcPr>
            <w:tcW w:w="25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3F55D2" w:rsidRPr="00A92A00" w:rsidRDefault="0067716C" w:rsidP="00A17F18">
            <w:pPr>
              <w:spacing w:after="0" w:line="240" w:lineRule="auto"/>
              <w:rPr>
                <w:sz w:val="19"/>
                <w:szCs w:val="19"/>
              </w:rPr>
            </w:pPr>
            <w:r>
              <w:rPr>
                <w:sz w:val="19"/>
                <w:szCs w:val="19"/>
              </w:rPr>
              <w:t>Sum of points earned A-H</w:t>
            </w:r>
            <w:r w:rsidR="003F55D2" w:rsidRPr="00A92A00">
              <w:rPr>
                <w:sz w:val="19"/>
                <w:szCs w:val="19"/>
              </w:rPr>
              <w:t xml:space="preserve"> divided by the number of indicators A-D</w:t>
            </w:r>
          </w:p>
        </w:tc>
        <w:tc>
          <w:tcPr>
            <w:tcW w:w="25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F55D2" w:rsidRPr="00A92A00" w:rsidRDefault="003F55D2" w:rsidP="00A17F18">
            <w:pPr>
              <w:spacing w:after="0" w:line="240" w:lineRule="auto"/>
              <w:rPr>
                <w:sz w:val="19"/>
                <w:szCs w:val="19"/>
              </w:rPr>
            </w:pPr>
            <w:r w:rsidRPr="00A92A00">
              <w:rPr>
                <w:sz w:val="19"/>
                <w:szCs w:val="19"/>
              </w:rPr>
              <w:t>(Year 1 PPI + Year 2 PPI*2 + Year 3 PPI *3 + Year 4 PPI *4) / 10</w:t>
            </w:r>
          </w:p>
        </w:tc>
      </w:tr>
    </w:tbl>
    <w:p w:rsidR="00A17F18" w:rsidRDefault="00A17F18" w:rsidP="00A17F18">
      <w:bookmarkStart w:id="93" w:name="_Appendix_B:_Methodology"/>
      <w:bookmarkEnd w:id="93"/>
    </w:p>
    <w:p w:rsidR="00A17F18" w:rsidRDefault="00A17F18" w:rsidP="00A17F18">
      <w:pPr>
        <w:pStyle w:val="Heading1"/>
        <w:sectPr w:rsidR="00A17F18" w:rsidSect="004F74FF">
          <w:footerReference w:type="default" r:id="rId31"/>
          <w:type w:val="continuous"/>
          <w:pgSz w:w="12240" w:h="15840" w:code="1"/>
          <w:pgMar w:top="864" w:right="864" w:bottom="720" w:left="864" w:header="432" w:footer="432" w:gutter="0"/>
          <w:cols w:space="720"/>
          <w:docGrid w:linePitch="360"/>
        </w:sectPr>
      </w:pPr>
    </w:p>
    <w:p w:rsidR="0031590E" w:rsidRPr="00C94B80" w:rsidRDefault="00B74030" w:rsidP="00A17F18">
      <w:pPr>
        <w:pStyle w:val="Heading1"/>
      </w:pPr>
      <w:bookmarkStart w:id="94" w:name="_Appendix_C:_Methodology"/>
      <w:bookmarkStart w:id="95" w:name="_Toc435178335"/>
      <w:bookmarkStart w:id="96" w:name="_Toc435178541"/>
      <w:bookmarkStart w:id="97" w:name="_Toc490741868"/>
      <w:bookmarkEnd w:id="94"/>
      <w:r>
        <w:lastRenderedPageBreak/>
        <w:t>Appendix B</w:t>
      </w:r>
      <w:r w:rsidR="0084177C" w:rsidRPr="00C94B80">
        <w:t xml:space="preserve">: Methodology for identifying Level 3, 4, and 5 </w:t>
      </w:r>
      <w:r w:rsidR="00D36BFE">
        <w:t xml:space="preserve">high </w:t>
      </w:r>
      <w:r w:rsidR="0084177C" w:rsidRPr="00C94B80">
        <w:t>schools</w:t>
      </w:r>
      <w:bookmarkEnd w:id="95"/>
      <w:bookmarkEnd w:id="96"/>
      <w:bookmarkEnd w:id="97"/>
    </w:p>
    <w:p w:rsidR="0031590E" w:rsidRPr="00C4200D" w:rsidRDefault="0084177C" w:rsidP="0027092A">
      <w:pPr>
        <w:spacing w:before="240"/>
        <w:rPr>
          <w:b/>
          <w:color w:val="4F81BD" w:themeColor="accent1"/>
          <w:sz w:val="24"/>
        </w:rPr>
      </w:pPr>
      <w:r w:rsidRPr="00C4200D">
        <w:rPr>
          <w:b/>
          <w:color w:val="4F81BD" w:themeColor="accent1"/>
          <w:sz w:val="24"/>
        </w:rPr>
        <w:t>State context</w:t>
      </w:r>
    </w:p>
    <w:p w:rsidR="00C079CF" w:rsidRDefault="0084177C">
      <w:r w:rsidRPr="00AD45AA">
        <w:t>In accordance with state law, the Department of Elementary and Secondary Education (ESE) annually classifies the lowest performing 20 percent of schools into Level 3. The lowest achieving, least improving Level 3 schools are candidates for classification into Level 4 or 5, the most serious levels in the state’s accountability system.</w:t>
      </w:r>
      <w:r w:rsidRPr="00AD45AA">
        <w:rPr>
          <w:rStyle w:val="FootnoteReference"/>
        </w:rPr>
        <w:footnoteReference w:id="5"/>
      </w:r>
      <w:r w:rsidRPr="00AD45AA">
        <w:t xml:space="preserve"> </w:t>
      </w:r>
    </w:p>
    <w:p w:rsidR="00C079CF" w:rsidRDefault="001E4AB9">
      <w:r w:rsidRPr="001E4AB9">
        <w:rPr>
          <w:b/>
          <w:color w:val="4F81BD" w:themeColor="accent1"/>
          <w:sz w:val="24"/>
        </w:rPr>
        <w:t>Federal context</w:t>
      </w:r>
    </w:p>
    <w:p w:rsidR="003F55D2" w:rsidRDefault="0084177C" w:rsidP="003F55D2">
      <w:r w:rsidRPr="00AD45AA">
        <w:t>Some schools are also classified into Level 3 for low subgroup performance</w:t>
      </w:r>
      <w:r w:rsidR="001A68BF">
        <w:t xml:space="preserve"> or persistently low graduation rates</w:t>
      </w:r>
      <w:r w:rsidRPr="00AD45AA">
        <w:t>. As a condition of Massachusetts’ flexibility from certain No Child Left Behind (NCLB) requirements, ESE must identify schools with low subgroup performance over four years as well as schools with persistently low graduation rates. The U.S. Department of Education refers to these schools as “focus schools.” Massachusetts schools meeting the federal definition of focus schools are classified into Level 3</w:t>
      </w:r>
      <w:r w:rsidR="001A68BF">
        <w:t xml:space="preserve"> and are known as Level 3 focus schools</w:t>
      </w:r>
      <w:r w:rsidRPr="00AD45AA">
        <w:t>.</w:t>
      </w:r>
    </w:p>
    <w:p w:rsidR="00C079CF" w:rsidRDefault="001E4AB9">
      <w:pPr>
        <w:spacing w:before="240"/>
      </w:pPr>
      <w:r w:rsidRPr="001E4AB9">
        <w:rPr>
          <w:b/>
          <w:color w:val="4F81BD" w:themeColor="accent1"/>
          <w:sz w:val="24"/>
        </w:rPr>
        <w:t>1. Identifying the pool of schools eligible for Level 3</w:t>
      </w:r>
    </w:p>
    <w:p w:rsidR="003F55D2" w:rsidRDefault="0084177C" w:rsidP="00C94B80">
      <w:pPr>
        <w:ind w:left="270"/>
      </w:pPr>
      <w:r w:rsidRPr="00F3079F">
        <w:t>In general, a school is included in the Level 3 eligibility pool if it has four years of sufficient achievement and improvement data in English language arts (ELA) and mathematics, including the most recent year, and serves one or more tested grades (3-8</w:t>
      </w:r>
      <w:r w:rsidR="00520C6A">
        <w:t xml:space="preserve"> and</w:t>
      </w:r>
      <w:r w:rsidR="001B047E">
        <w:t xml:space="preserve"> </w:t>
      </w:r>
      <w:r w:rsidRPr="00F3079F">
        <w:t>10). Schools ending in grades PK, K, 1, 2, or 3 and schools without four years of data are excluded from the pool.</w:t>
      </w:r>
      <w:r w:rsidR="00DA06C2" w:rsidRPr="00F3079F">
        <w:t xml:space="preserve"> </w:t>
      </w:r>
      <w:r w:rsidRPr="00F3079F">
        <w:t xml:space="preserve">Twenty percent of the pool of eligible schools in a given year are classified into Level 3 for the low performance of students in the aggregate. In </w:t>
      </w:r>
      <w:r w:rsidR="00ED77E4">
        <w:t>2016</w:t>
      </w:r>
      <w:r w:rsidRPr="00F3079F">
        <w:t xml:space="preserve"> that number was </w:t>
      </w:r>
      <w:r w:rsidR="00B90F38">
        <w:t>31</w:t>
      </w:r>
      <w:r w:rsidR="00BB67DC">
        <w:t>2</w:t>
      </w:r>
      <w:r w:rsidRPr="00F3079F">
        <w:t>:</w:t>
      </w:r>
    </w:p>
    <w:tbl>
      <w:tblPr>
        <w:tblW w:w="0" w:type="auto"/>
        <w:jc w:val="center"/>
        <w:tblBorders>
          <w:top w:val="single" w:sz="8" w:space="0" w:color="4F81BD"/>
          <w:bottom w:val="single" w:sz="8" w:space="0" w:color="4F81BD"/>
        </w:tblBorders>
        <w:tblLook w:val="0440" w:firstRow="0" w:lastRow="1" w:firstColumn="0" w:lastColumn="0" w:noHBand="0" w:noVBand="1"/>
      </w:tblPr>
      <w:tblGrid>
        <w:gridCol w:w="333"/>
        <w:gridCol w:w="4321"/>
        <w:gridCol w:w="2006"/>
        <w:gridCol w:w="1027"/>
      </w:tblGrid>
      <w:tr w:rsidR="0084177C" w:rsidRPr="005610B9" w:rsidTr="00253B97">
        <w:trPr>
          <w:trHeight w:val="360"/>
          <w:jc w:val="center"/>
        </w:trPr>
        <w:tc>
          <w:tcPr>
            <w:tcW w:w="4654" w:type="dxa"/>
            <w:gridSpan w:val="2"/>
            <w:tcBorders>
              <w:top w:val="single" w:sz="8" w:space="0" w:color="auto"/>
              <w:left w:val="nil"/>
              <w:bottom w:val="nil"/>
              <w:right w:val="nil"/>
            </w:tcBorders>
            <w:vAlign w:val="center"/>
            <w:hideMark/>
          </w:tcPr>
          <w:p w:rsidR="003F55D2" w:rsidRPr="005610B9" w:rsidRDefault="0084177C" w:rsidP="00BB67DC">
            <w:pPr>
              <w:spacing w:after="0" w:line="240" w:lineRule="auto"/>
              <w:rPr>
                <w:sz w:val="20"/>
                <w:szCs w:val="20"/>
              </w:rPr>
            </w:pPr>
            <w:r w:rsidRPr="005610B9">
              <w:rPr>
                <w:sz w:val="20"/>
                <w:szCs w:val="20"/>
              </w:rPr>
              <w:t xml:space="preserve">Total schools open in </w:t>
            </w:r>
            <w:r w:rsidR="001F6E32" w:rsidRPr="005610B9">
              <w:rPr>
                <w:sz w:val="20"/>
                <w:szCs w:val="20"/>
              </w:rPr>
              <w:t>201</w:t>
            </w:r>
            <w:r w:rsidR="00BB67DC">
              <w:rPr>
                <w:sz w:val="20"/>
                <w:szCs w:val="20"/>
              </w:rPr>
              <w:t>5</w:t>
            </w:r>
            <w:r w:rsidR="001F6E32" w:rsidRPr="005610B9">
              <w:rPr>
                <w:sz w:val="20"/>
                <w:szCs w:val="20"/>
              </w:rPr>
              <w:t>-</w:t>
            </w:r>
            <w:r w:rsidR="007942B3" w:rsidRPr="005610B9">
              <w:rPr>
                <w:sz w:val="20"/>
                <w:szCs w:val="20"/>
              </w:rPr>
              <w:t>20</w:t>
            </w:r>
            <w:r w:rsidR="001F6E32" w:rsidRPr="005610B9">
              <w:rPr>
                <w:sz w:val="20"/>
                <w:szCs w:val="20"/>
              </w:rPr>
              <w:t>1</w:t>
            </w:r>
            <w:r w:rsidR="00BB67DC">
              <w:rPr>
                <w:sz w:val="20"/>
                <w:szCs w:val="20"/>
              </w:rPr>
              <w:t>6</w:t>
            </w:r>
          </w:p>
        </w:tc>
        <w:tc>
          <w:tcPr>
            <w:tcW w:w="2006" w:type="dxa"/>
            <w:tcBorders>
              <w:top w:val="single" w:sz="8" w:space="0" w:color="auto"/>
              <w:left w:val="nil"/>
              <w:bottom w:val="nil"/>
              <w:right w:val="nil"/>
            </w:tcBorders>
            <w:vAlign w:val="center"/>
            <w:hideMark/>
          </w:tcPr>
          <w:p w:rsidR="003F55D2" w:rsidRPr="005610B9" w:rsidRDefault="0084177C" w:rsidP="00A21ED8">
            <w:pPr>
              <w:spacing w:after="0" w:line="240" w:lineRule="auto"/>
              <w:rPr>
                <w:sz w:val="20"/>
                <w:szCs w:val="20"/>
              </w:rPr>
            </w:pPr>
            <w:r w:rsidRPr="005610B9">
              <w:rPr>
                <w:sz w:val="20"/>
                <w:szCs w:val="20"/>
              </w:rPr>
              <w:t>=</w:t>
            </w:r>
          </w:p>
        </w:tc>
        <w:tc>
          <w:tcPr>
            <w:tcW w:w="1027" w:type="dxa"/>
            <w:tcBorders>
              <w:top w:val="single" w:sz="8" w:space="0" w:color="auto"/>
              <w:left w:val="nil"/>
              <w:bottom w:val="nil"/>
              <w:right w:val="nil"/>
            </w:tcBorders>
            <w:shd w:val="clear" w:color="auto" w:fill="auto"/>
            <w:vAlign w:val="center"/>
            <w:hideMark/>
          </w:tcPr>
          <w:p w:rsidR="003F55D2" w:rsidRPr="005610B9" w:rsidRDefault="00BB67DC" w:rsidP="00A21ED8">
            <w:pPr>
              <w:spacing w:after="0" w:line="240" w:lineRule="auto"/>
              <w:jc w:val="right"/>
              <w:rPr>
                <w:sz w:val="20"/>
                <w:szCs w:val="20"/>
              </w:rPr>
            </w:pPr>
            <w:r>
              <w:rPr>
                <w:sz w:val="20"/>
                <w:szCs w:val="20"/>
              </w:rPr>
              <w:t>1854</w:t>
            </w:r>
          </w:p>
        </w:tc>
      </w:tr>
      <w:tr w:rsidR="00C341F2" w:rsidRPr="005610B9" w:rsidTr="00253B97">
        <w:trPr>
          <w:trHeight w:val="360"/>
          <w:jc w:val="center"/>
        </w:trPr>
        <w:tc>
          <w:tcPr>
            <w:tcW w:w="333" w:type="dxa"/>
            <w:tcBorders>
              <w:top w:val="nil"/>
              <w:left w:val="nil"/>
              <w:bottom w:val="nil"/>
              <w:right w:val="nil"/>
            </w:tcBorders>
            <w:vAlign w:val="center"/>
            <w:hideMark/>
          </w:tcPr>
          <w:p w:rsidR="00C341F2" w:rsidRPr="005610B9" w:rsidRDefault="00C341F2" w:rsidP="00A21ED8">
            <w:pPr>
              <w:spacing w:after="0" w:line="240" w:lineRule="auto"/>
              <w:rPr>
                <w:sz w:val="20"/>
                <w:szCs w:val="20"/>
              </w:rPr>
            </w:pPr>
          </w:p>
        </w:tc>
        <w:tc>
          <w:tcPr>
            <w:tcW w:w="4321" w:type="dxa"/>
            <w:tcBorders>
              <w:top w:val="nil"/>
              <w:left w:val="nil"/>
              <w:bottom w:val="nil"/>
              <w:right w:val="nil"/>
            </w:tcBorders>
            <w:vAlign w:val="center"/>
          </w:tcPr>
          <w:p w:rsidR="00C341F2" w:rsidRPr="005610B9" w:rsidRDefault="00C341F2" w:rsidP="00BB67DC">
            <w:pPr>
              <w:spacing w:after="0" w:line="240" w:lineRule="auto"/>
              <w:rPr>
                <w:sz w:val="20"/>
                <w:szCs w:val="20"/>
              </w:rPr>
            </w:pPr>
            <w:r w:rsidRPr="005610B9">
              <w:rPr>
                <w:sz w:val="20"/>
                <w:szCs w:val="20"/>
              </w:rPr>
              <w:t xml:space="preserve">Less </w:t>
            </w:r>
            <w:r w:rsidR="00BB67DC">
              <w:rPr>
                <w:sz w:val="20"/>
                <w:szCs w:val="20"/>
              </w:rPr>
              <w:t>161</w:t>
            </w:r>
            <w:r w:rsidR="00EC6765" w:rsidRPr="005610B9">
              <w:rPr>
                <w:sz w:val="20"/>
                <w:szCs w:val="20"/>
              </w:rPr>
              <w:t xml:space="preserve"> </w:t>
            </w:r>
            <w:r w:rsidRPr="005610B9">
              <w:rPr>
                <w:sz w:val="20"/>
                <w:szCs w:val="20"/>
              </w:rPr>
              <w:t>early elementary schools</w:t>
            </w:r>
          </w:p>
        </w:tc>
        <w:tc>
          <w:tcPr>
            <w:tcW w:w="2006" w:type="dxa"/>
            <w:tcBorders>
              <w:top w:val="nil"/>
              <w:left w:val="nil"/>
              <w:bottom w:val="nil"/>
              <w:right w:val="nil"/>
            </w:tcBorders>
            <w:vAlign w:val="center"/>
            <w:hideMark/>
          </w:tcPr>
          <w:p w:rsidR="00C341F2" w:rsidRPr="005610B9" w:rsidRDefault="00C341F2" w:rsidP="00A21ED8">
            <w:pPr>
              <w:spacing w:after="0" w:line="240" w:lineRule="auto"/>
              <w:rPr>
                <w:sz w:val="20"/>
                <w:szCs w:val="20"/>
              </w:rPr>
            </w:pPr>
            <w:r w:rsidRPr="005610B9">
              <w:rPr>
                <w:sz w:val="20"/>
                <w:szCs w:val="20"/>
              </w:rPr>
              <w:t>=</w:t>
            </w:r>
          </w:p>
        </w:tc>
        <w:tc>
          <w:tcPr>
            <w:tcW w:w="1027" w:type="dxa"/>
            <w:tcBorders>
              <w:top w:val="nil"/>
              <w:left w:val="nil"/>
              <w:bottom w:val="nil"/>
              <w:right w:val="nil"/>
            </w:tcBorders>
            <w:shd w:val="clear" w:color="auto" w:fill="auto"/>
            <w:vAlign w:val="center"/>
            <w:hideMark/>
          </w:tcPr>
          <w:p w:rsidR="00C341F2" w:rsidRPr="005610B9" w:rsidRDefault="00BB67DC" w:rsidP="00A21ED8">
            <w:pPr>
              <w:spacing w:after="0" w:line="240" w:lineRule="auto"/>
              <w:jc w:val="right"/>
              <w:rPr>
                <w:sz w:val="20"/>
                <w:szCs w:val="20"/>
              </w:rPr>
            </w:pPr>
            <w:r>
              <w:rPr>
                <w:sz w:val="20"/>
                <w:szCs w:val="20"/>
              </w:rPr>
              <w:t>1693</w:t>
            </w:r>
          </w:p>
        </w:tc>
      </w:tr>
      <w:tr w:rsidR="00C341F2" w:rsidRPr="005610B9" w:rsidTr="00253B97">
        <w:trPr>
          <w:trHeight w:val="360"/>
          <w:jc w:val="center"/>
        </w:trPr>
        <w:tc>
          <w:tcPr>
            <w:tcW w:w="333" w:type="dxa"/>
            <w:tcBorders>
              <w:top w:val="nil"/>
              <w:left w:val="nil"/>
              <w:bottom w:val="single" w:sz="8" w:space="0" w:color="auto"/>
              <w:right w:val="nil"/>
            </w:tcBorders>
            <w:vAlign w:val="center"/>
            <w:hideMark/>
          </w:tcPr>
          <w:p w:rsidR="00C341F2" w:rsidRPr="005610B9" w:rsidRDefault="00C341F2" w:rsidP="00A21ED8">
            <w:pPr>
              <w:spacing w:after="0" w:line="240" w:lineRule="auto"/>
              <w:rPr>
                <w:sz w:val="20"/>
                <w:szCs w:val="20"/>
              </w:rPr>
            </w:pPr>
          </w:p>
        </w:tc>
        <w:tc>
          <w:tcPr>
            <w:tcW w:w="4321" w:type="dxa"/>
            <w:tcBorders>
              <w:top w:val="nil"/>
              <w:left w:val="nil"/>
              <w:bottom w:val="single" w:sz="8" w:space="0" w:color="auto"/>
              <w:right w:val="nil"/>
            </w:tcBorders>
            <w:vAlign w:val="center"/>
          </w:tcPr>
          <w:p w:rsidR="00C341F2" w:rsidRPr="005610B9" w:rsidRDefault="00C341F2" w:rsidP="00BB67DC">
            <w:pPr>
              <w:spacing w:after="0" w:line="240" w:lineRule="auto"/>
              <w:rPr>
                <w:sz w:val="20"/>
                <w:szCs w:val="20"/>
              </w:rPr>
            </w:pPr>
            <w:r w:rsidRPr="005610B9">
              <w:rPr>
                <w:sz w:val="20"/>
                <w:szCs w:val="20"/>
              </w:rPr>
              <w:t xml:space="preserve">Less </w:t>
            </w:r>
            <w:r w:rsidR="00BB67DC">
              <w:rPr>
                <w:sz w:val="20"/>
                <w:szCs w:val="20"/>
              </w:rPr>
              <w:t>133</w:t>
            </w:r>
            <w:r w:rsidR="00EC6765" w:rsidRPr="005610B9">
              <w:rPr>
                <w:sz w:val="20"/>
                <w:szCs w:val="20"/>
              </w:rPr>
              <w:t xml:space="preserve"> </w:t>
            </w:r>
            <w:r w:rsidRPr="005610B9">
              <w:rPr>
                <w:sz w:val="20"/>
                <w:szCs w:val="20"/>
              </w:rPr>
              <w:t>small</w:t>
            </w:r>
            <w:r w:rsidR="001F6E32" w:rsidRPr="005610B9">
              <w:rPr>
                <w:sz w:val="20"/>
                <w:szCs w:val="20"/>
              </w:rPr>
              <w:t xml:space="preserve"> or </w:t>
            </w:r>
            <w:r w:rsidRPr="005610B9">
              <w:rPr>
                <w:sz w:val="20"/>
                <w:szCs w:val="20"/>
              </w:rPr>
              <w:t xml:space="preserve">new schools </w:t>
            </w:r>
          </w:p>
        </w:tc>
        <w:tc>
          <w:tcPr>
            <w:tcW w:w="2006" w:type="dxa"/>
            <w:tcBorders>
              <w:top w:val="nil"/>
              <w:left w:val="nil"/>
              <w:bottom w:val="single" w:sz="8" w:space="0" w:color="auto"/>
              <w:right w:val="nil"/>
            </w:tcBorders>
            <w:vAlign w:val="center"/>
            <w:hideMark/>
          </w:tcPr>
          <w:p w:rsidR="00C341F2" w:rsidRPr="005610B9" w:rsidRDefault="00C341F2" w:rsidP="00A21ED8">
            <w:pPr>
              <w:spacing w:after="0" w:line="240" w:lineRule="auto"/>
              <w:rPr>
                <w:sz w:val="20"/>
                <w:szCs w:val="20"/>
              </w:rPr>
            </w:pPr>
            <w:r w:rsidRPr="005610B9">
              <w:rPr>
                <w:sz w:val="20"/>
                <w:szCs w:val="20"/>
              </w:rPr>
              <w:t>=</w:t>
            </w:r>
          </w:p>
        </w:tc>
        <w:tc>
          <w:tcPr>
            <w:tcW w:w="1027" w:type="dxa"/>
            <w:tcBorders>
              <w:top w:val="nil"/>
              <w:left w:val="nil"/>
              <w:bottom w:val="single" w:sz="8" w:space="0" w:color="auto"/>
              <w:right w:val="nil"/>
            </w:tcBorders>
            <w:shd w:val="clear" w:color="auto" w:fill="auto"/>
            <w:vAlign w:val="center"/>
            <w:hideMark/>
          </w:tcPr>
          <w:p w:rsidR="00C341F2" w:rsidRPr="005610B9" w:rsidRDefault="00BB67DC" w:rsidP="00A21ED8">
            <w:pPr>
              <w:spacing w:after="0" w:line="240" w:lineRule="auto"/>
              <w:jc w:val="right"/>
              <w:rPr>
                <w:sz w:val="20"/>
                <w:szCs w:val="20"/>
              </w:rPr>
            </w:pPr>
            <w:r>
              <w:rPr>
                <w:sz w:val="20"/>
                <w:szCs w:val="20"/>
              </w:rPr>
              <w:t>1560</w:t>
            </w:r>
          </w:p>
        </w:tc>
      </w:tr>
      <w:tr w:rsidR="0084177C" w:rsidRPr="00C34B7F" w:rsidTr="00253B97">
        <w:trPr>
          <w:trHeight w:val="360"/>
          <w:jc w:val="center"/>
        </w:trPr>
        <w:tc>
          <w:tcPr>
            <w:tcW w:w="4654" w:type="dxa"/>
            <w:gridSpan w:val="2"/>
            <w:tcBorders>
              <w:top w:val="single" w:sz="8" w:space="0" w:color="auto"/>
              <w:left w:val="nil"/>
              <w:bottom w:val="single" w:sz="8" w:space="0" w:color="auto"/>
              <w:right w:val="nil"/>
            </w:tcBorders>
            <w:vAlign w:val="center"/>
            <w:hideMark/>
          </w:tcPr>
          <w:p w:rsidR="003F55D2" w:rsidRPr="005610B9" w:rsidRDefault="0084177C" w:rsidP="00BB67DC">
            <w:pPr>
              <w:pStyle w:val="PlainText"/>
              <w:rPr>
                <w:rFonts w:asciiTheme="minorHAnsi" w:hAnsiTheme="minorHAnsi"/>
                <w:b/>
                <w:sz w:val="20"/>
                <w:szCs w:val="20"/>
              </w:rPr>
            </w:pPr>
            <w:r w:rsidRPr="005610B9">
              <w:rPr>
                <w:rFonts w:asciiTheme="minorHAnsi" w:hAnsiTheme="minorHAnsi"/>
                <w:b/>
                <w:sz w:val="20"/>
                <w:szCs w:val="20"/>
              </w:rPr>
              <w:t xml:space="preserve">20 percent of </w:t>
            </w:r>
            <w:r w:rsidR="00BB67DC">
              <w:rPr>
                <w:rFonts w:asciiTheme="minorHAnsi" w:hAnsiTheme="minorHAnsi"/>
                <w:b/>
                <w:sz w:val="20"/>
                <w:szCs w:val="20"/>
              </w:rPr>
              <w:t>1560</w:t>
            </w:r>
            <w:r w:rsidRPr="005610B9">
              <w:rPr>
                <w:rFonts w:asciiTheme="minorHAnsi" w:hAnsiTheme="minorHAnsi"/>
                <w:b/>
                <w:sz w:val="20"/>
                <w:szCs w:val="20"/>
              </w:rPr>
              <w:t xml:space="preserve"> (rounded)</w:t>
            </w:r>
          </w:p>
        </w:tc>
        <w:tc>
          <w:tcPr>
            <w:tcW w:w="2006" w:type="dxa"/>
            <w:tcBorders>
              <w:top w:val="single" w:sz="8" w:space="0" w:color="auto"/>
              <w:left w:val="nil"/>
              <w:bottom w:val="single" w:sz="8" w:space="0" w:color="auto"/>
              <w:right w:val="nil"/>
            </w:tcBorders>
            <w:vAlign w:val="center"/>
            <w:hideMark/>
          </w:tcPr>
          <w:p w:rsidR="003F55D2" w:rsidRPr="005610B9" w:rsidRDefault="0084177C" w:rsidP="00A21ED8">
            <w:pPr>
              <w:pStyle w:val="PlainText"/>
              <w:rPr>
                <w:rFonts w:asciiTheme="minorHAnsi" w:hAnsiTheme="minorHAnsi"/>
                <w:b/>
                <w:sz w:val="20"/>
                <w:szCs w:val="20"/>
              </w:rPr>
            </w:pPr>
            <w:r w:rsidRPr="005610B9">
              <w:rPr>
                <w:rFonts w:asciiTheme="minorHAnsi" w:hAnsiTheme="minorHAnsi"/>
                <w:b/>
                <w:sz w:val="20"/>
                <w:szCs w:val="20"/>
              </w:rPr>
              <w:t>=</w:t>
            </w:r>
          </w:p>
        </w:tc>
        <w:tc>
          <w:tcPr>
            <w:tcW w:w="1027" w:type="dxa"/>
            <w:tcBorders>
              <w:top w:val="single" w:sz="8" w:space="0" w:color="auto"/>
              <w:left w:val="nil"/>
              <w:bottom w:val="single" w:sz="8" w:space="0" w:color="auto"/>
              <w:right w:val="nil"/>
            </w:tcBorders>
            <w:shd w:val="clear" w:color="auto" w:fill="auto"/>
            <w:vAlign w:val="center"/>
            <w:hideMark/>
          </w:tcPr>
          <w:p w:rsidR="003F55D2" w:rsidRPr="005610B9" w:rsidRDefault="00BB67DC" w:rsidP="00A21ED8">
            <w:pPr>
              <w:pStyle w:val="PlainText"/>
              <w:jc w:val="right"/>
              <w:rPr>
                <w:rFonts w:asciiTheme="minorHAnsi" w:hAnsiTheme="minorHAnsi"/>
                <w:b/>
                <w:sz w:val="20"/>
                <w:szCs w:val="20"/>
              </w:rPr>
            </w:pPr>
            <w:r>
              <w:rPr>
                <w:rFonts w:asciiTheme="minorHAnsi" w:hAnsiTheme="minorHAnsi"/>
                <w:b/>
                <w:sz w:val="20"/>
                <w:szCs w:val="20"/>
              </w:rPr>
              <w:t>312</w:t>
            </w:r>
          </w:p>
        </w:tc>
      </w:tr>
    </w:tbl>
    <w:p w:rsidR="0037358C" w:rsidRDefault="0037358C" w:rsidP="00C05124">
      <w:pPr>
        <w:spacing w:after="0"/>
        <w:ind w:left="270"/>
      </w:pPr>
    </w:p>
    <w:p w:rsidR="003F55D2" w:rsidRDefault="0084177C" w:rsidP="00C94B80">
      <w:pPr>
        <w:ind w:left="270"/>
      </w:pPr>
      <w:r>
        <w:t xml:space="preserve">Because schools may also be classified into Level 3 for: </w:t>
      </w:r>
      <w:r w:rsidRPr="00E96295">
        <w:rPr>
          <w:i/>
        </w:rPr>
        <w:t>(a)</w:t>
      </w:r>
      <w:r>
        <w:t xml:space="preserve"> low performance of one or more student subgroups; </w:t>
      </w:r>
      <w:r w:rsidRPr="00E96295">
        <w:rPr>
          <w:i/>
        </w:rPr>
        <w:t>(b)</w:t>
      </w:r>
      <w:r>
        <w:t xml:space="preserve"> persistently low graduation rates; or </w:t>
      </w:r>
      <w:r w:rsidRPr="00E96295">
        <w:rPr>
          <w:i/>
        </w:rPr>
        <w:t>(c)</w:t>
      </w:r>
      <w:r>
        <w:t xml:space="preserve"> very low </w:t>
      </w:r>
      <w:r w:rsidR="00925D7F">
        <w:t>assessment</w:t>
      </w:r>
      <w:r>
        <w:t xml:space="preserve"> participation rates, the total number of Level 3 schools in a given year may exceed 20 percent of all eligible schools. See section 5 below.</w:t>
      </w:r>
    </w:p>
    <w:p w:rsidR="00C079CF" w:rsidRDefault="001E4AB9">
      <w:pPr>
        <w:spacing w:before="240"/>
      </w:pPr>
      <w:r w:rsidRPr="001E4AB9">
        <w:rPr>
          <w:b/>
          <w:color w:val="4F81BD" w:themeColor="accent1"/>
          <w:sz w:val="24"/>
        </w:rPr>
        <w:t>2. Classifying the pool of eligible Level 3 schools into school types</w:t>
      </w:r>
    </w:p>
    <w:p w:rsidR="003F55D2" w:rsidRDefault="0084177C" w:rsidP="00C94B80">
      <w:pPr>
        <w:ind w:left="270"/>
      </w:pPr>
      <w:r w:rsidRPr="00E459AA">
        <w:t xml:space="preserve">ESE classifies all eligible schools into one of </w:t>
      </w:r>
      <w:r w:rsidR="00281A6C">
        <w:t>six</w:t>
      </w:r>
      <w:r w:rsidR="00281A6C" w:rsidRPr="00E459AA">
        <w:t xml:space="preserve"> </w:t>
      </w:r>
      <w:r w:rsidRPr="00E459AA">
        <w:t>school type categories:</w:t>
      </w:r>
    </w:p>
    <w:p w:rsidR="00281A6C" w:rsidRPr="00281A6C" w:rsidRDefault="001E4AB9" w:rsidP="00C94B80">
      <w:pPr>
        <w:pStyle w:val="ListParagraph"/>
        <w:ind w:left="900"/>
        <w:rPr>
          <w:bCs/>
          <w:i w:val="0"/>
        </w:rPr>
      </w:pPr>
      <w:r w:rsidRPr="001E4AB9">
        <w:rPr>
          <w:bCs/>
        </w:rPr>
        <w:lastRenderedPageBreak/>
        <w:t>Early Elementary</w:t>
      </w:r>
      <w:r w:rsidR="00281A6C">
        <w:rPr>
          <w:bCs/>
          <w:i w:val="0"/>
        </w:rPr>
        <w:t xml:space="preserve"> (usually schools ending in grades 1 or 2)</w:t>
      </w:r>
    </w:p>
    <w:p w:rsidR="003F55D2" w:rsidRPr="00281A6C" w:rsidRDefault="0084177C" w:rsidP="00C94B80">
      <w:pPr>
        <w:pStyle w:val="ListParagraph"/>
        <w:ind w:left="900"/>
        <w:rPr>
          <w:bCs/>
          <w:i w:val="0"/>
        </w:rPr>
      </w:pPr>
      <w:r w:rsidRPr="00E240F7">
        <w:t>Elementary</w:t>
      </w:r>
      <w:r w:rsidRPr="00E459AA">
        <w:t xml:space="preserve"> </w:t>
      </w:r>
      <w:r w:rsidR="001E4AB9" w:rsidRPr="001E4AB9">
        <w:rPr>
          <w:i w:val="0"/>
        </w:rPr>
        <w:t>(usually schools serving grades K-5 or K-6)</w:t>
      </w:r>
    </w:p>
    <w:p w:rsidR="003F55D2" w:rsidRDefault="0084177C" w:rsidP="00C94B80">
      <w:pPr>
        <w:pStyle w:val="ListParagraph"/>
        <w:ind w:left="900"/>
        <w:rPr>
          <w:bCs/>
        </w:rPr>
      </w:pPr>
      <w:r w:rsidRPr="00E459AA">
        <w:t xml:space="preserve">Elementary/Middle </w:t>
      </w:r>
      <w:r w:rsidR="001E4AB9" w:rsidRPr="001E4AB9">
        <w:rPr>
          <w:i w:val="0"/>
        </w:rPr>
        <w:t>(usually schools serving grades K-8)</w:t>
      </w:r>
    </w:p>
    <w:p w:rsidR="003F55D2" w:rsidRDefault="0084177C" w:rsidP="00C94B80">
      <w:pPr>
        <w:pStyle w:val="ListParagraph"/>
        <w:ind w:left="900"/>
        <w:rPr>
          <w:bCs/>
        </w:rPr>
      </w:pPr>
      <w:r w:rsidRPr="00E459AA">
        <w:t xml:space="preserve">Middle </w:t>
      </w:r>
      <w:r w:rsidR="001E4AB9" w:rsidRPr="001E4AB9">
        <w:rPr>
          <w:i w:val="0"/>
        </w:rPr>
        <w:t>(usually schools serving grades 6-8 or 7-8)</w:t>
      </w:r>
    </w:p>
    <w:p w:rsidR="003F55D2" w:rsidRDefault="0084177C" w:rsidP="00C94B80">
      <w:pPr>
        <w:pStyle w:val="ListParagraph"/>
        <w:ind w:left="900"/>
        <w:rPr>
          <w:bCs/>
        </w:rPr>
      </w:pPr>
      <w:r w:rsidRPr="00E459AA">
        <w:t>Middle/High</w:t>
      </w:r>
      <w:r w:rsidRPr="00E459AA">
        <w:rPr>
          <w:bCs/>
        </w:rPr>
        <w:t>/K-12</w:t>
      </w:r>
      <w:r w:rsidRPr="00E459AA">
        <w:t xml:space="preserve"> </w:t>
      </w:r>
      <w:r w:rsidR="001E4AB9" w:rsidRPr="001E4AB9">
        <w:rPr>
          <w:i w:val="0"/>
        </w:rPr>
        <w:t>(usually schools serving grades 7-12 or K-12)</w:t>
      </w:r>
    </w:p>
    <w:p w:rsidR="003F55D2" w:rsidRDefault="0084177C" w:rsidP="00C94B80">
      <w:pPr>
        <w:pStyle w:val="ListParagraph"/>
        <w:ind w:left="900"/>
        <w:rPr>
          <w:bCs/>
        </w:rPr>
      </w:pPr>
      <w:r w:rsidRPr="00E459AA">
        <w:t xml:space="preserve">High </w:t>
      </w:r>
      <w:r w:rsidR="001E4AB9" w:rsidRPr="001E4AB9">
        <w:rPr>
          <w:i w:val="0"/>
        </w:rPr>
        <w:t>(usually schools serving grades 9-12)</w:t>
      </w:r>
    </w:p>
    <w:p w:rsidR="003F55D2" w:rsidRDefault="0084177C" w:rsidP="00C94B80">
      <w:pPr>
        <w:ind w:left="270"/>
      </w:pPr>
      <w:r w:rsidRPr="00732495">
        <w:t>The figures show</w:t>
      </w:r>
      <w:r>
        <w:t>n</w:t>
      </w:r>
      <w:r w:rsidRPr="00732495">
        <w:t xml:space="preserve"> </w:t>
      </w:r>
      <w:r>
        <w:t xml:space="preserve">in the table below represent </w:t>
      </w:r>
      <w:r w:rsidRPr="00732495">
        <w:t xml:space="preserve">the number of schools that could be classified into Level 3 </w:t>
      </w:r>
      <w:r>
        <w:t>for low aggregate performance</w:t>
      </w:r>
      <w:r w:rsidRPr="00732495">
        <w:t xml:space="preserve"> by </w:t>
      </w:r>
      <w:r>
        <w:t xml:space="preserve">school type in </w:t>
      </w:r>
      <w:r w:rsidR="00ED77E4">
        <w:t>2016</w:t>
      </w:r>
      <w:r w:rsidRPr="00732495">
        <w:t xml:space="preserve">. </w:t>
      </w:r>
      <w:r>
        <w:t>Level 4 and 5 schools within the lowest performing 20 percent of schools are counted toward the total.</w:t>
      </w:r>
      <w:r w:rsidR="00BF4C1B">
        <w:t xml:space="preserve"> Note that in 2017, only high schools are eligible for </w:t>
      </w:r>
      <w:r w:rsidR="00886F2E">
        <w:t xml:space="preserve">a Level 3 classification based on performance. </w:t>
      </w:r>
    </w:p>
    <w:tbl>
      <w:tblPr>
        <w:tblW w:w="0" w:type="auto"/>
        <w:jc w:val="center"/>
        <w:tblBorders>
          <w:top w:val="single" w:sz="8" w:space="0" w:color="4F81BD"/>
          <w:bottom w:val="single" w:sz="8" w:space="0" w:color="4F81BD"/>
        </w:tblBorders>
        <w:tblLook w:val="0440" w:firstRow="0" w:lastRow="1" w:firstColumn="0" w:lastColumn="0" w:noHBand="0" w:noVBand="1"/>
      </w:tblPr>
      <w:tblGrid>
        <w:gridCol w:w="4050"/>
        <w:gridCol w:w="1380"/>
        <w:gridCol w:w="1380"/>
        <w:gridCol w:w="1380"/>
      </w:tblGrid>
      <w:tr w:rsidR="0084177C" w:rsidRPr="00455447" w:rsidTr="00E121C3">
        <w:trPr>
          <w:trHeight w:val="288"/>
          <w:jc w:val="center"/>
        </w:trPr>
        <w:tc>
          <w:tcPr>
            <w:tcW w:w="4050" w:type="dxa"/>
            <w:tcBorders>
              <w:top w:val="nil"/>
              <w:left w:val="nil"/>
              <w:bottom w:val="single" w:sz="8" w:space="0" w:color="auto"/>
              <w:right w:val="nil"/>
            </w:tcBorders>
            <w:vAlign w:val="center"/>
            <w:hideMark/>
          </w:tcPr>
          <w:p w:rsidR="0084177C" w:rsidRPr="00455447" w:rsidRDefault="0084177C" w:rsidP="00515ED6">
            <w:pPr>
              <w:pStyle w:val="PlainText"/>
              <w:rPr>
                <w:rFonts w:asciiTheme="minorHAnsi" w:hAnsiTheme="minorHAnsi"/>
                <w:b/>
                <w:sz w:val="20"/>
              </w:rPr>
            </w:pPr>
            <w:r w:rsidRPr="00455447">
              <w:rPr>
                <w:rFonts w:asciiTheme="minorHAnsi" w:hAnsiTheme="minorHAnsi"/>
                <w:b/>
                <w:sz w:val="20"/>
              </w:rPr>
              <w:t>School type</w:t>
            </w:r>
          </w:p>
        </w:tc>
        <w:tc>
          <w:tcPr>
            <w:tcW w:w="1380" w:type="dxa"/>
            <w:tcBorders>
              <w:top w:val="nil"/>
              <w:left w:val="nil"/>
              <w:bottom w:val="single" w:sz="8" w:space="0" w:color="auto"/>
              <w:right w:val="nil"/>
            </w:tcBorders>
            <w:vAlign w:val="center"/>
            <w:hideMark/>
          </w:tcPr>
          <w:p w:rsidR="003F55D2" w:rsidRPr="00455447" w:rsidRDefault="0084177C" w:rsidP="00F3079F">
            <w:pPr>
              <w:pStyle w:val="PlainText"/>
              <w:jc w:val="right"/>
              <w:rPr>
                <w:rFonts w:asciiTheme="minorHAnsi" w:hAnsiTheme="minorHAnsi"/>
                <w:b/>
                <w:sz w:val="20"/>
              </w:rPr>
            </w:pPr>
            <w:r w:rsidRPr="00455447">
              <w:rPr>
                <w:rFonts w:asciiTheme="minorHAnsi" w:hAnsiTheme="minorHAnsi"/>
                <w:b/>
                <w:sz w:val="20"/>
              </w:rPr>
              <w:t># Schools</w:t>
            </w:r>
          </w:p>
        </w:tc>
        <w:tc>
          <w:tcPr>
            <w:tcW w:w="1380" w:type="dxa"/>
            <w:tcBorders>
              <w:top w:val="nil"/>
              <w:left w:val="nil"/>
              <w:bottom w:val="single" w:sz="8" w:space="0" w:color="auto"/>
              <w:right w:val="nil"/>
            </w:tcBorders>
            <w:vAlign w:val="center"/>
            <w:hideMark/>
          </w:tcPr>
          <w:p w:rsidR="003F55D2" w:rsidRPr="00455447" w:rsidRDefault="0084177C" w:rsidP="00F3079F">
            <w:pPr>
              <w:pStyle w:val="PlainText"/>
              <w:jc w:val="right"/>
              <w:rPr>
                <w:rFonts w:asciiTheme="minorHAnsi" w:hAnsiTheme="minorHAnsi"/>
                <w:b/>
                <w:sz w:val="20"/>
              </w:rPr>
            </w:pPr>
            <w:r w:rsidRPr="00455447">
              <w:rPr>
                <w:rFonts w:asciiTheme="minorHAnsi" w:hAnsiTheme="minorHAnsi"/>
                <w:b/>
                <w:sz w:val="20"/>
              </w:rPr>
              <w:t>Percent</w:t>
            </w:r>
          </w:p>
        </w:tc>
        <w:tc>
          <w:tcPr>
            <w:tcW w:w="1380" w:type="dxa"/>
            <w:tcBorders>
              <w:top w:val="nil"/>
              <w:left w:val="nil"/>
              <w:bottom w:val="single" w:sz="8" w:space="0" w:color="auto"/>
              <w:right w:val="nil"/>
            </w:tcBorders>
            <w:vAlign w:val="center"/>
            <w:hideMark/>
          </w:tcPr>
          <w:p w:rsidR="003F55D2" w:rsidRPr="00455447" w:rsidRDefault="0084177C" w:rsidP="00F3079F">
            <w:pPr>
              <w:pStyle w:val="PlainText"/>
              <w:jc w:val="right"/>
              <w:rPr>
                <w:rFonts w:asciiTheme="minorHAnsi" w:hAnsiTheme="minorHAnsi"/>
                <w:b/>
                <w:sz w:val="20"/>
              </w:rPr>
            </w:pPr>
            <w:r w:rsidRPr="00455447">
              <w:rPr>
                <w:rFonts w:asciiTheme="minorHAnsi" w:hAnsiTheme="minorHAnsi"/>
                <w:b/>
                <w:sz w:val="20"/>
              </w:rPr>
              <w:t>20 Percent</w:t>
            </w:r>
          </w:p>
        </w:tc>
      </w:tr>
      <w:tr w:rsidR="0084177C" w:rsidRPr="00455447" w:rsidTr="00F3079F">
        <w:trPr>
          <w:trHeight w:val="288"/>
          <w:jc w:val="center"/>
        </w:trPr>
        <w:tc>
          <w:tcPr>
            <w:tcW w:w="4050" w:type="dxa"/>
            <w:tcBorders>
              <w:top w:val="single" w:sz="8" w:space="0" w:color="auto"/>
              <w:left w:val="nil"/>
              <w:bottom w:val="nil"/>
              <w:right w:val="nil"/>
            </w:tcBorders>
            <w:vAlign w:val="center"/>
            <w:hideMark/>
          </w:tcPr>
          <w:p w:rsidR="0084177C" w:rsidRPr="00455447" w:rsidRDefault="0084177C" w:rsidP="00515ED6">
            <w:pPr>
              <w:pStyle w:val="PlainText"/>
              <w:rPr>
                <w:rFonts w:asciiTheme="minorHAnsi" w:hAnsiTheme="minorHAnsi"/>
                <w:sz w:val="20"/>
              </w:rPr>
            </w:pPr>
            <w:r w:rsidRPr="00455447">
              <w:rPr>
                <w:rFonts w:asciiTheme="minorHAnsi" w:hAnsiTheme="minorHAnsi"/>
                <w:sz w:val="20"/>
              </w:rPr>
              <w:t>Elementary (ES</w:t>
            </w:r>
            <w:r w:rsidR="004A1221" w:rsidRPr="00455447">
              <w:rPr>
                <w:rFonts w:asciiTheme="minorHAnsi" w:hAnsiTheme="minorHAnsi"/>
                <w:sz w:val="20"/>
              </w:rPr>
              <w:t>)</w:t>
            </w:r>
          </w:p>
        </w:tc>
        <w:tc>
          <w:tcPr>
            <w:tcW w:w="1380" w:type="dxa"/>
            <w:tcBorders>
              <w:top w:val="single" w:sz="8" w:space="0" w:color="auto"/>
              <w:left w:val="nil"/>
              <w:bottom w:val="nil"/>
              <w:right w:val="nil"/>
            </w:tcBorders>
            <w:shd w:val="clear" w:color="auto" w:fill="auto"/>
            <w:vAlign w:val="center"/>
            <w:hideMark/>
          </w:tcPr>
          <w:p w:rsidR="003F55D2" w:rsidRPr="00455447" w:rsidRDefault="00B90F38" w:rsidP="00F3079F">
            <w:pPr>
              <w:pStyle w:val="PlainText"/>
              <w:jc w:val="right"/>
              <w:rPr>
                <w:rFonts w:asciiTheme="minorHAnsi" w:hAnsiTheme="minorHAnsi"/>
                <w:sz w:val="20"/>
              </w:rPr>
            </w:pPr>
            <w:r w:rsidRPr="00455447">
              <w:rPr>
                <w:rFonts w:asciiTheme="minorHAnsi" w:hAnsiTheme="minorHAnsi"/>
                <w:sz w:val="20"/>
              </w:rPr>
              <w:t>808</w:t>
            </w:r>
          </w:p>
        </w:tc>
        <w:tc>
          <w:tcPr>
            <w:tcW w:w="1380" w:type="dxa"/>
            <w:tcBorders>
              <w:top w:val="single" w:sz="8" w:space="0" w:color="auto"/>
              <w:left w:val="nil"/>
              <w:bottom w:val="nil"/>
              <w:right w:val="nil"/>
            </w:tcBorders>
            <w:shd w:val="clear" w:color="auto" w:fill="auto"/>
            <w:vAlign w:val="center"/>
            <w:hideMark/>
          </w:tcPr>
          <w:p w:rsidR="003F55D2" w:rsidRPr="00455447" w:rsidRDefault="00B90F38" w:rsidP="00F3079F">
            <w:pPr>
              <w:pStyle w:val="PlainText"/>
              <w:jc w:val="right"/>
              <w:rPr>
                <w:rFonts w:asciiTheme="minorHAnsi" w:hAnsiTheme="minorHAnsi"/>
                <w:sz w:val="20"/>
              </w:rPr>
            </w:pPr>
            <w:r w:rsidRPr="00455447">
              <w:rPr>
                <w:rFonts w:asciiTheme="minorHAnsi" w:hAnsiTheme="minorHAnsi"/>
                <w:sz w:val="20"/>
              </w:rPr>
              <w:t>52</w:t>
            </w:r>
          </w:p>
        </w:tc>
        <w:tc>
          <w:tcPr>
            <w:tcW w:w="1380" w:type="dxa"/>
            <w:tcBorders>
              <w:top w:val="single" w:sz="8" w:space="0" w:color="auto"/>
              <w:left w:val="nil"/>
              <w:bottom w:val="nil"/>
              <w:right w:val="nil"/>
            </w:tcBorders>
            <w:shd w:val="clear" w:color="auto" w:fill="auto"/>
            <w:vAlign w:val="center"/>
            <w:hideMark/>
          </w:tcPr>
          <w:p w:rsidR="003F55D2" w:rsidRPr="00455447" w:rsidRDefault="00BB67DC" w:rsidP="00F3079F">
            <w:pPr>
              <w:pStyle w:val="PlainText"/>
              <w:jc w:val="right"/>
              <w:rPr>
                <w:rFonts w:asciiTheme="minorHAnsi" w:hAnsiTheme="minorHAnsi"/>
                <w:sz w:val="20"/>
              </w:rPr>
            </w:pPr>
            <w:r>
              <w:rPr>
                <w:rFonts w:asciiTheme="minorHAnsi" w:hAnsiTheme="minorHAnsi"/>
                <w:sz w:val="20"/>
              </w:rPr>
              <w:t>162</w:t>
            </w:r>
          </w:p>
        </w:tc>
      </w:tr>
      <w:tr w:rsidR="0084177C" w:rsidRPr="00455447" w:rsidTr="00F3079F">
        <w:trPr>
          <w:trHeight w:val="288"/>
          <w:jc w:val="center"/>
        </w:trPr>
        <w:tc>
          <w:tcPr>
            <w:tcW w:w="4050" w:type="dxa"/>
            <w:tcBorders>
              <w:top w:val="nil"/>
              <w:left w:val="nil"/>
              <w:bottom w:val="nil"/>
              <w:right w:val="nil"/>
            </w:tcBorders>
            <w:vAlign w:val="center"/>
            <w:hideMark/>
          </w:tcPr>
          <w:p w:rsidR="0084177C" w:rsidRPr="00455447" w:rsidRDefault="0084177C" w:rsidP="00515ED6">
            <w:pPr>
              <w:pStyle w:val="PlainText"/>
              <w:rPr>
                <w:rFonts w:asciiTheme="minorHAnsi" w:hAnsiTheme="minorHAnsi"/>
                <w:sz w:val="20"/>
              </w:rPr>
            </w:pPr>
            <w:r w:rsidRPr="00455447">
              <w:rPr>
                <w:rFonts w:asciiTheme="minorHAnsi" w:hAnsiTheme="minorHAnsi"/>
                <w:sz w:val="20"/>
              </w:rPr>
              <w:t>Elementary/Middle (ESMS)</w:t>
            </w:r>
          </w:p>
        </w:tc>
        <w:tc>
          <w:tcPr>
            <w:tcW w:w="1380" w:type="dxa"/>
            <w:tcBorders>
              <w:top w:val="nil"/>
              <w:left w:val="nil"/>
              <w:bottom w:val="nil"/>
              <w:right w:val="nil"/>
            </w:tcBorders>
            <w:shd w:val="clear" w:color="auto" w:fill="auto"/>
            <w:vAlign w:val="center"/>
            <w:hideMark/>
          </w:tcPr>
          <w:p w:rsidR="003F55D2" w:rsidRPr="00455447" w:rsidRDefault="00BC0A08" w:rsidP="00F3079F">
            <w:pPr>
              <w:pStyle w:val="PlainText"/>
              <w:jc w:val="right"/>
              <w:rPr>
                <w:rFonts w:asciiTheme="minorHAnsi" w:hAnsiTheme="minorHAnsi"/>
                <w:sz w:val="20"/>
              </w:rPr>
            </w:pPr>
            <w:r>
              <w:rPr>
                <w:rFonts w:asciiTheme="minorHAnsi" w:hAnsiTheme="minorHAnsi"/>
                <w:sz w:val="20"/>
              </w:rPr>
              <w:t>117</w:t>
            </w:r>
          </w:p>
        </w:tc>
        <w:tc>
          <w:tcPr>
            <w:tcW w:w="1380" w:type="dxa"/>
            <w:tcBorders>
              <w:top w:val="nil"/>
              <w:left w:val="nil"/>
              <w:bottom w:val="nil"/>
              <w:right w:val="nil"/>
            </w:tcBorders>
            <w:shd w:val="clear" w:color="auto" w:fill="auto"/>
            <w:vAlign w:val="center"/>
            <w:hideMark/>
          </w:tcPr>
          <w:p w:rsidR="00BB67DC" w:rsidRPr="00455447" w:rsidRDefault="00BB67DC" w:rsidP="00BB67DC">
            <w:pPr>
              <w:pStyle w:val="PlainText"/>
              <w:jc w:val="right"/>
              <w:rPr>
                <w:rFonts w:asciiTheme="minorHAnsi" w:hAnsiTheme="minorHAnsi"/>
                <w:sz w:val="20"/>
              </w:rPr>
            </w:pPr>
            <w:r>
              <w:rPr>
                <w:rFonts w:asciiTheme="minorHAnsi" w:hAnsiTheme="minorHAnsi"/>
                <w:sz w:val="20"/>
              </w:rPr>
              <w:t>7</w:t>
            </w:r>
          </w:p>
        </w:tc>
        <w:tc>
          <w:tcPr>
            <w:tcW w:w="1380" w:type="dxa"/>
            <w:tcBorders>
              <w:top w:val="nil"/>
              <w:left w:val="nil"/>
              <w:bottom w:val="nil"/>
              <w:right w:val="nil"/>
            </w:tcBorders>
            <w:shd w:val="clear" w:color="auto" w:fill="auto"/>
            <w:vAlign w:val="center"/>
            <w:hideMark/>
          </w:tcPr>
          <w:p w:rsidR="003F55D2" w:rsidRPr="00455447" w:rsidRDefault="00BB67DC" w:rsidP="00F3079F">
            <w:pPr>
              <w:pStyle w:val="PlainText"/>
              <w:jc w:val="right"/>
              <w:rPr>
                <w:rFonts w:asciiTheme="minorHAnsi" w:hAnsiTheme="minorHAnsi"/>
                <w:sz w:val="20"/>
              </w:rPr>
            </w:pPr>
            <w:r>
              <w:rPr>
                <w:rFonts w:asciiTheme="minorHAnsi" w:hAnsiTheme="minorHAnsi"/>
                <w:sz w:val="20"/>
              </w:rPr>
              <w:t>23</w:t>
            </w:r>
          </w:p>
        </w:tc>
      </w:tr>
      <w:tr w:rsidR="0084177C" w:rsidRPr="00455447" w:rsidTr="00F3079F">
        <w:trPr>
          <w:trHeight w:val="288"/>
          <w:jc w:val="center"/>
        </w:trPr>
        <w:tc>
          <w:tcPr>
            <w:tcW w:w="4050" w:type="dxa"/>
            <w:tcBorders>
              <w:top w:val="nil"/>
              <w:left w:val="nil"/>
              <w:bottom w:val="nil"/>
              <w:right w:val="nil"/>
            </w:tcBorders>
            <w:vAlign w:val="center"/>
            <w:hideMark/>
          </w:tcPr>
          <w:p w:rsidR="0084177C" w:rsidRPr="00455447" w:rsidRDefault="0084177C" w:rsidP="00515ED6">
            <w:pPr>
              <w:pStyle w:val="PlainText"/>
              <w:rPr>
                <w:rFonts w:asciiTheme="minorHAnsi" w:hAnsiTheme="minorHAnsi"/>
                <w:sz w:val="20"/>
              </w:rPr>
            </w:pPr>
            <w:r w:rsidRPr="00455447">
              <w:rPr>
                <w:rFonts w:asciiTheme="minorHAnsi" w:hAnsiTheme="minorHAnsi"/>
                <w:sz w:val="20"/>
              </w:rPr>
              <w:t>Middle (MS)</w:t>
            </w:r>
          </w:p>
        </w:tc>
        <w:tc>
          <w:tcPr>
            <w:tcW w:w="1380" w:type="dxa"/>
            <w:tcBorders>
              <w:top w:val="nil"/>
              <w:left w:val="nil"/>
              <w:bottom w:val="nil"/>
              <w:right w:val="nil"/>
            </w:tcBorders>
            <w:shd w:val="clear" w:color="auto" w:fill="auto"/>
            <w:vAlign w:val="center"/>
            <w:hideMark/>
          </w:tcPr>
          <w:p w:rsidR="003F55D2" w:rsidRPr="00455447" w:rsidRDefault="00BC0A08" w:rsidP="00F3079F">
            <w:pPr>
              <w:pStyle w:val="PlainText"/>
              <w:jc w:val="right"/>
              <w:rPr>
                <w:rFonts w:asciiTheme="minorHAnsi" w:hAnsiTheme="minorHAnsi"/>
                <w:sz w:val="20"/>
              </w:rPr>
            </w:pPr>
            <w:r>
              <w:rPr>
                <w:rFonts w:asciiTheme="minorHAnsi" w:hAnsiTheme="minorHAnsi"/>
                <w:sz w:val="20"/>
              </w:rPr>
              <w:t>290</w:t>
            </w:r>
          </w:p>
        </w:tc>
        <w:tc>
          <w:tcPr>
            <w:tcW w:w="1380" w:type="dxa"/>
            <w:tcBorders>
              <w:top w:val="nil"/>
              <w:left w:val="nil"/>
              <w:bottom w:val="nil"/>
              <w:right w:val="nil"/>
            </w:tcBorders>
            <w:shd w:val="clear" w:color="auto" w:fill="auto"/>
            <w:vAlign w:val="center"/>
            <w:hideMark/>
          </w:tcPr>
          <w:p w:rsidR="003F55D2" w:rsidRPr="00455447" w:rsidRDefault="00B90F38" w:rsidP="00F3079F">
            <w:pPr>
              <w:pStyle w:val="PlainText"/>
              <w:jc w:val="right"/>
              <w:rPr>
                <w:rFonts w:asciiTheme="minorHAnsi" w:hAnsiTheme="minorHAnsi"/>
                <w:sz w:val="20"/>
              </w:rPr>
            </w:pPr>
            <w:r w:rsidRPr="00455447">
              <w:rPr>
                <w:rFonts w:asciiTheme="minorHAnsi" w:hAnsiTheme="minorHAnsi"/>
                <w:sz w:val="20"/>
              </w:rPr>
              <w:t>19</w:t>
            </w:r>
          </w:p>
        </w:tc>
        <w:tc>
          <w:tcPr>
            <w:tcW w:w="1380" w:type="dxa"/>
            <w:tcBorders>
              <w:top w:val="nil"/>
              <w:left w:val="nil"/>
              <w:bottom w:val="nil"/>
              <w:right w:val="nil"/>
            </w:tcBorders>
            <w:shd w:val="clear" w:color="auto" w:fill="auto"/>
            <w:vAlign w:val="center"/>
            <w:hideMark/>
          </w:tcPr>
          <w:p w:rsidR="003F55D2" w:rsidRPr="00455447" w:rsidRDefault="00BB67DC" w:rsidP="00F3079F">
            <w:pPr>
              <w:pStyle w:val="PlainText"/>
              <w:jc w:val="right"/>
              <w:rPr>
                <w:rFonts w:asciiTheme="minorHAnsi" w:hAnsiTheme="minorHAnsi"/>
                <w:sz w:val="20"/>
              </w:rPr>
            </w:pPr>
            <w:r>
              <w:rPr>
                <w:rFonts w:asciiTheme="minorHAnsi" w:hAnsiTheme="minorHAnsi"/>
                <w:sz w:val="20"/>
              </w:rPr>
              <w:t>58</w:t>
            </w:r>
          </w:p>
        </w:tc>
      </w:tr>
      <w:tr w:rsidR="0084177C" w:rsidRPr="00455447" w:rsidTr="00F3079F">
        <w:trPr>
          <w:trHeight w:val="288"/>
          <w:jc w:val="center"/>
        </w:trPr>
        <w:tc>
          <w:tcPr>
            <w:tcW w:w="4050" w:type="dxa"/>
            <w:tcBorders>
              <w:top w:val="nil"/>
              <w:left w:val="nil"/>
              <w:bottom w:val="nil"/>
              <w:right w:val="nil"/>
            </w:tcBorders>
            <w:vAlign w:val="center"/>
            <w:hideMark/>
          </w:tcPr>
          <w:p w:rsidR="0084177C" w:rsidRPr="00455447" w:rsidRDefault="0084177C" w:rsidP="00515ED6">
            <w:pPr>
              <w:pStyle w:val="PlainText"/>
              <w:rPr>
                <w:rFonts w:asciiTheme="minorHAnsi" w:hAnsiTheme="minorHAnsi"/>
                <w:sz w:val="20"/>
              </w:rPr>
            </w:pPr>
            <w:r w:rsidRPr="00455447">
              <w:rPr>
                <w:rFonts w:asciiTheme="minorHAnsi" w:hAnsiTheme="minorHAnsi"/>
                <w:sz w:val="20"/>
              </w:rPr>
              <w:t>Middle/High/K-12 (MSHS/K-12)</w:t>
            </w:r>
          </w:p>
        </w:tc>
        <w:tc>
          <w:tcPr>
            <w:tcW w:w="1380" w:type="dxa"/>
            <w:tcBorders>
              <w:top w:val="nil"/>
              <w:left w:val="nil"/>
              <w:bottom w:val="nil"/>
              <w:right w:val="nil"/>
            </w:tcBorders>
            <w:shd w:val="clear" w:color="auto" w:fill="auto"/>
            <w:vAlign w:val="center"/>
            <w:hideMark/>
          </w:tcPr>
          <w:p w:rsidR="003F55D2" w:rsidRPr="00455447" w:rsidRDefault="00BC0A08" w:rsidP="00F3079F">
            <w:pPr>
              <w:pStyle w:val="PlainText"/>
              <w:jc w:val="right"/>
              <w:rPr>
                <w:rFonts w:asciiTheme="minorHAnsi" w:hAnsiTheme="minorHAnsi"/>
                <w:sz w:val="20"/>
              </w:rPr>
            </w:pPr>
            <w:r>
              <w:rPr>
                <w:rFonts w:asciiTheme="minorHAnsi" w:hAnsiTheme="minorHAnsi"/>
                <w:sz w:val="20"/>
              </w:rPr>
              <w:t>87</w:t>
            </w:r>
          </w:p>
        </w:tc>
        <w:tc>
          <w:tcPr>
            <w:tcW w:w="1380" w:type="dxa"/>
            <w:tcBorders>
              <w:top w:val="nil"/>
              <w:left w:val="nil"/>
              <w:bottom w:val="nil"/>
              <w:right w:val="nil"/>
            </w:tcBorders>
            <w:shd w:val="clear" w:color="auto" w:fill="auto"/>
            <w:vAlign w:val="center"/>
            <w:hideMark/>
          </w:tcPr>
          <w:p w:rsidR="003F55D2" w:rsidRPr="00455447" w:rsidRDefault="00BC0A08" w:rsidP="00F3079F">
            <w:pPr>
              <w:pStyle w:val="PlainText"/>
              <w:jc w:val="right"/>
              <w:rPr>
                <w:rFonts w:asciiTheme="minorHAnsi" w:hAnsiTheme="minorHAnsi"/>
                <w:sz w:val="20"/>
              </w:rPr>
            </w:pPr>
            <w:r>
              <w:rPr>
                <w:rFonts w:asciiTheme="minorHAnsi" w:hAnsiTheme="minorHAnsi"/>
                <w:sz w:val="20"/>
              </w:rPr>
              <w:t>6</w:t>
            </w:r>
          </w:p>
        </w:tc>
        <w:tc>
          <w:tcPr>
            <w:tcW w:w="1380" w:type="dxa"/>
            <w:tcBorders>
              <w:top w:val="nil"/>
              <w:left w:val="nil"/>
              <w:bottom w:val="nil"/>
              <w:right w:val="nil"/>
            </w:tcBorders>
            <w:shd w:val="clear" w:color="auto" w:fill="auto"/>
            <w:vAlign w:val="center"/>
            <w:hideMark/>
          </w:tcPr>
          <w:p w:rsidR="003F55D2" w:rsidRPr="00455447" w:rsidRDefault="00BC0A08" w:rsidP="00F3079F">
            <w:pPr>
              <w:pStyle w:val="PlainText"/>
              <w:jc w:val="right"/>
              <w:rPr>
                <w:rFonts w:asciiTheme="minorHAnsi" w:hAnsiTheme="minorHAnsi"/>
                <w:sz w:val="20"/>
              </w:rPr>
            </w:pPr>
            <w:r>
              <w:rPr>
                <w:rFonts w:asciiTheme="minorHAnsi" w:hAnsiTheme="minorHAnsi"/>
                <w:sz w:val="20"/>
              </w:rPr>
              <w:t>17</w:t>
            </w:r>
          </w:p>
        </w:tc>
      </w:tr>
      <w:tr w:rsidR="0084177C" w:rsidRPr="00455447" w:rsidTr="00F3079F">
        <w:trPr>
          <w:trHeight w:val="288"/>
          <w:jc w:val="center"/>
        </w:trPr>
        <w:tc>
          <w:tcPr>
            <w:tcW w:w="4050" w:type="dxa"/>
            <w:tcBorders>
              <w:top w:val="nil"/>
              <w:left w:val="nil"/>
              <w:bottom w:val="single" w:sz="8" w:space="0" w:color="auto"/>
              <w:right w:val="nil"/>
            </w:tcBorders>
            <w:vAlign w:val="center"/>
            <w:hideMark/>
          </w:tcPr>
          <w:p w:rsidR="0084177C" w:rsidRPr="00455447" w:rsidRDefault="0084177C" w:rsidP="00515ED6">
            <w:pPr>
              <w:pStyle w:val="PlainText"/>
              <w:rPr>
                <w:rFonts w:asciiTheme="minorHAnsi" w:hAnsiTheme="minorHAnsi"/>
                <w:sz w:val="20"/>
              </w:rPr>
            </w:pPr>
            <w:r w:rsidRPr="00455447">
              <w:rPr>
                <w:rFonts w:asciiTheme="minorHAnsi" w:hAnsiTheme="minorHAnsi"/>
                <w:sz w:val="20"/>
              </w:rPr>
              <w:t>High (HS)</w:t>
            </w:r>
          </w:p>
        </w:tc>
        <w:tc>
          <w:tcPr>
            <w:tcW w:w="1380" w:type="dxa"/>
            <w:tcBorders>
              <w:top w:val="nil"/>
              <w:left w:val="nil"/>
              <w:bottom w:val="single" w:sz="8" w:space="0" w:color="auto"/>
              <w:right w:val="nil"/>
            </w:tcBorders>
            <w:shd w:val="clear" w:color="auto" w:fill="auto"/>
            <w:vAlign w:val="center"/>
          </w:tcPr>
          <w:p w:rsidR="003F55D2" w:rsidRPr="00455447" w:rsidRDefault="00B90F38" w:rsidP="00F3079F">
            <w:pPr>
              <w:pStyle w:val="PlainText"/>
              <w:jc w:val="right"/>
              <w:rPr>
                <w:rFonts w:asciiTheme="minorHAnsi" w:hAnsiTheme="minorHAnsi"/>
                <w:sz w:val="20"/>
              </w:rPr>
            </w:pPr>
            <w:r w:rsidRPr="00455447">
              <w:rPr>
                <w:rFonts w:asciiTheme="minorHAnsi" w:hAnsiTheme="minorHAnsi"/>
                <w:sz w:val="20"/>
              </w:rPr>
              <w:t>25</w:t>
            </w:r>
            <w:r w:rsidR="00BC0A08">
              <w:rPr>
                <w:rFonts w:asciiTheme="minorHAnsi" w:hAnsiTheme="minorHAnsi"/>
                <w:sz w:val="20"/>
              </w:rPr>
              <w:t>8</w:t>
            </w:r>
          </w:p>
        </w:tc>
        <w:tc>
          <w:tcPr>
            <w:tcW w:w="1380" w:type="dxa"/>
            <w:tcBorders>
              <w:top w:val="nil"/>
              <w:left w:val="nil"/>
              <w:bottom w:val="single" w:sz="8" w:space="0" w:color="auto"/>
              <w:right w:val="nil"/>
            </w:tcBorders>
            <w:shd w:val="clear" w:color="auto" w:fill="auto"/>
            <w:vAlign w:val="center"/>
          </w:tcPr>
          <w:p w:rsidR="003F55D2" w:rsidRPr="00455447" w:rsidRDefault="00B90F38" w:rsidP="00BB67DC">
            <w:pPr>
              <w:pStyle w:val="PlainText"/>
              <w:jc w:val="right"/>
              <w:rPr>
                <w:rFonts w:asciiTheme="minorHAnsi" w:hAnsiTheme="minorHAnsi"/>
                <w:sz w:val="20"/>
              </w:rPr>
            </w:pPr>
            <w:r w:rsidRPr="00455447">
              <w:rPr>
                <w:rFonts w:asciiTheme="minorHAnsi" w:hAnsiTheme="minorHAnsi"/>
                <w:sz w:val="20"/>
              </w:rPr>
              <w:t>1</w:t>
            </w:r>
            <w:r w:rsidR="00BB67DC">
              <w:rPr>
                <w:rFonts w:asciiTheme="minorHAnsi" w:hAnsiTheme="minorHAnsi"/>
                <w:sz w:val="20"/>
              </w:rPr>
              <w:t>6</w:t>
            </w:r>
          </w:p>
        </w:tc>
        <w:tc>
          <w:tcPr>
            <w:tcW w:w="1380" w:type="dxa"/>
            <w:tcBorders>
              <w:top w:val="nil"/>
              <w:left w:val="nil"/>
              <w:bottom w:val="single" w:sz="8" w:space="0" w:color="auto"/>
              <w:right w:val="nil"/>
            </w:tcBorders>
            <w:shd w:val="clear" w:color="auto" w:fill="auto"/>
            <w:vAlign w:val="center"/>
          </w:tcPr>
          <w:p w:rsidR="003F55D2" w:rsidRPr="00455447" w:rsidRDefault="00BB67DC" w:rsidP="00F3079F">
            <w:pPr>
              <w:pStyle w:val="PlainText"/>
              <w:jc w:val="right"/>
              <w:rPr>
                <w:rFonts w:asciiTheme="minorHAnsi" w:hAnsiTheme="minorHAnsi"/>
                <w:sz w:val="20"/>
              </w:rPr>
            </w:pPr>
            <w:r>
              <w:rPr>
                <w:rFonts w:asciiTheme="minorHAnsi" w:hAnsiTheme="minorHAnsi"/>
                <w:sz w:val="20"/>
              </w:rPr>
              <w:t>52</w:t>
            </w:r>
          </w:p>
        </w:tc>
      </w:tr>
      <w:tr w:rsidR="0084177C" w:rsidRPr="00455447" w:rsidTr="00F3079F">
        <w:trPr>
          <w:trHeight w:val="288"/>
          <w:jc w:val="center"/>
        </w:trPr>
        <w:tc>
          <w:tcPr>
            <w:tcW w:w="4050" w:type="dxa"/>
            <w:tcBorders>
              <w:top w:val="single" w:sz="8" w:space="0" w:color="auto"/>
              <w:left w:val="nil"/>
              <w:bottom w:val="single" w:sz="8" w:space="0" w:color="auto"/>
              <w:right w:val="nil"/>
            </w:tcBorders>
            <w:vAlign w:val="center"/>
            <w:hideMark/>
          </w:tcPr>
          <w:p w:rsidR="0084177C" w:rsidRPr="00455447" w:rsidRDefault="0084177C" w:rsidP="00515ED6">
            <w:pPr>
              <w:pStyle w:val="PlainText"/>
              <w:rPr>
                <w:rFonts w:asciiTheme="minorHAnsi" w:hAnsiTheme="minorHAnsi"/>
                <w:b/>
                <w:i/>
                <w:sz w:val="20"/>
              </w:rPr>
            </w:pPr>
            <w:r w:rsidRPr="00455447">
              <w:rPr>
                <w:rFonts w:asciiTheme="minorHAnsi" w:hAnsiTheme="minorHAnsi"/>
                <w:b/>
                <w:i/>
                <w:sz w:val="20"/>
              </w:rPr>
              <w:t>Total</w:t>
            </w:r>
          </w:p>
        </w:tc>
        <w:tc>
          <w:tcPr>
            <w:tcW w:w="1380" w:type="dxa"/>
            <w:tcBorders>
              <w:top w:val="single" w:sz="8" w:space="0" w:color="auto"/>
              <w:left w:val="nil"/>
              <w:bottom w:val="single" w:sz="8" w:space="0" w:color="auto"/>
              <w:right w:val="nil"/>
            </w:tcBorders>
            <w:shd w:val="clear" w:color="auto" w:fill="auto"/>
            <w:vAlign w:val="center"/>
            <w:hideMark/>
          </w:tcPr>
          <w:p w:rsidR="003F55D2" w:rsidRPr="00455447" w:rsidRDefault="00BC0A08" w:rsidP="00F3079F">
            <w:pPr>
              <w:pStyle w:val="PlainText"/>
              <w:jc w:val="right"/>
              <w:rPr>
                <w:rFonts w:asciiTheme="minorHAnsi" w:hAnsiTheme="minorHAnsi"/>
                <w:b/>
                <w:i/>
                <w:sz w:val="20"/>
              </w:rPr>
            </w:pPr>
            <w:r>
              <w:rPr>
                <w:rFonts w:asciiTheme="minorHAnsi" w:hAnsiTheme="minorHAnsi"/>
                <w:b/>
                <w:i/>
                <w:sz w:val="20"/>
              </w:rPr>
              <w:t>1560</w:t>
            </w:r>
          </w:p>
        </w:tc>
        <w:tc>
          <w:tcPr>
            <w:tcW w:w="1380" w:type="dxa"/>
            <w:tcBorders>
              <w:top w:val="single" w:sz="8" w:space="0" w:color="auto"/>
              <w:left w:val="nil"/>
              <w:bottom w:val="single" w:sz="8" w:space="0" w:color="auto"/>
              <w:right w:val="nil"/>
            </w:tcBorders>
            <w:shd w:val="clear" w:color="auto" w:fill="auto"/>
            <w:vAlign w:val="center"/>
            <w:hideMark/>
          </w:tcPr>
          <w:p w:rsidR="003F55D2" w:rsidRPr="00455447" w:rsidRDefault="00B90F38" w:rsidP="00F3079F">
            <w:pPr>
              <w:pStyle w:val="PlainText"/>
              <w:jc w:val="right"/>
              <w:rPr>
                <w:rFonts w:asciiTheme="minorHAnsi" w:hAnsiTheme="minorHAnsi"/>
                <w:b/>
                <w:i/>
                <w:sz w:val="20"/>
              </w:rPr>
            </w:pPr>
            <w:r w:rsidRPr="00455447">
              <w:rPr>
                <w:rFonts w:asciiTheme="minorHAnsi" w:hAnsiTheme="minorHAnsi"/>
                <w:b/>
                <w:i/>
                <w:sz w:val="20"/>
              </w:rPr>
              <w:t>100</w:t>
            </w:r>
          </w:p>
        </w:tc>
        <w:tc>
          <w:tcPr>
            <w:tcW w:w="1380" w:type="dxa"/>
            <w:tcBorders>
              <w:top w:val="single" w:sz="8" w:space="0" w:color="auto"/>
              <w:left w:val="nil"/>
              <w:bottom w:val="single" w:sz="8" w:space="0" w:color="auto"/>
              <w:right w:val="nil"/>
            </w:tcBorders>
            <w:shd w:val="clear" w:color="auto" w:fill="auto"/>
            <w:vAlign w:val="center"/>
            <w:hideMark/>
          </w:tcPr>
          <w:p w:rsidR="003F55D2" w:rsidRPr="00455447" w:rsidRDefault="00BB67DC" w:rsidP="00F3079F">
            <w:pPr>
              <w:pStyle w:val="PlainText"/>
              <w:jc w:val="right"/>
              <w:rPr>
                <w:rFonts w:asciiTheme="minorHAnsi" w:hAnsiTheme="minorHAnsi"/>
                <w:b/>
                <w:i/>
                <w:sz w:val="20"/>
              </w:rPr>
            </w:pPr>
            <w:r>
              <w:rPr>
                <w:rFonts w:asciiTheme="minorHAnsi" w:hAnsiTheme="minorHAnsi"/>
                <w:b/>
                <w:i/>
                <w:sz w:val="20"/>
              </w:rPr>
              <w:t>312</w:t>
            </w:r>
          </w:p>
        </w:tc>
      </w:tr>
    </w:tbl>
    <w:p w:rsidR="00C079CF" w:rsidRDefault="001E4AB9">
      <w:pPr>
        <w:spacing w:before="240"/>
        <w:rPr>
          <w:b/>
          <w:color w:val="4F81BD" w:themeColor="accent1"/>
          <w:sz w:val="24"/>
        </w:rPr>
      </w:pPr>
      <w:r w:rsidRPr="001E4AB9">
        <w:rPr>
          <w:b/>
          <w:color w:val="4F81BD" w:themeColor="accent1"/>
          <w:sz w:val="24"/>
        </w:rPr>
        <w:t>3. Identifying achievement and improvement data included in Level 3 calculations</w:t>
      </w:r>
    </w:p>
    <w:p w:rsidR="000717AC" w:rsidRPr="004609FB" w:rsidRDefault="004609FB" w:rsidP="00ED5F5D">
      <w:r>
        <w:t>In</w:t>
      </w:r>
      <w:r w:rsidR="00E40849">
        <w:t xml:space="preserve"> </w:t>
      </w:r>
      <w:r>
        <w:t xml:space="preserve">2017, school percentiles </w:t>
      </w:r>
      <w:r w:rsidR="00BC66D5">
        <w:t xml:space="preserve">are calculated for high schools. School administering Next-Generation MCAS test in grades 3-8 </w:t>
      </w:r>
      <w:r w:rsidR="00E40849">
        <w:t>are not</w:t>
      </w:r>
      <w:r w:rsidR="00BC66D5">
        <w:t xml:space="preserve"> assigned a school percentile. </w:t>
      </w:r>
    </w:p>
    <w:p w:rsidR="00C079CF" w:rsidRDefault="0084177C" w:rsidP="00BC66D5">
      <w:r>
        <w:t>The achievement data included in Level 3 calculations are:</w:t>
      </w:r>
    </w:p>
    <w:p w:rsidR="003F55D2" w:rsidRPr="00281A6C" w:rsidRDefault="004F3740" w:rsidP="00C94B80">
      <w:pPr>
        <w:pStyle w:val="ListParagraph"/>
        <w:ind w:left="900"/>
        <w:rPr>
          <w:i w:val="0"/>
        </w:rPr>
      </w:pPr>
      <w:r>
        <w:rPr>
          <w:i w:val="0"/>
        </w:rPr>
        <w:t>2014, 2015, 2016</w:t>
      </w:r>
      <w:r w:rsidR="00BC66D5">
        <w:rPr>
          <w:i w:val="0"/>
        </w:rPr>
        <w:t>, 2017</w:t>
      </w:r>
      <w:r w:rsidR="001E4AB9" w:rsidRPr="001E4AB9">
        <w:rPr>
          <w:i w:val="0"/>
        </w:rPr>
        <w:t xml:space="preserve"> Composite Performance Index figures (ELA, mathematics, science)</w:t>
      </w:r>
    </w:p>
    <w:p w:rsidR="003F55D2" w:rsidRPr="00281A6C" w:rsidRDefault="004F3740" w:rsidP="00C94B80">
      <w:pPr>
        <w:pStyle w:val="ListParagraph"/>
        <w:ind w:left="900"/>
        <w:rPr>
          <w:i w:val="0"/>
        </w:rPr>
      </w:pPr>
      <w:r>
        <w:rPr>
          <w:i w:val="0"/>
        </w:rPr>
        <w:t>2014, 2015, 2016</w:t>
      </w:r>
      <w:r w:rsidR="00BC66D5">
        <w:rPr>
          <w:i w:val="0"/>
        </w:rPr>
        <w:t>, 2017</w:t>
      </w:r>
      <w:r w:rsidRPr="001E4AB9">
        <w:rPr>
          <w:i w:val="0"/>
        </w:rPr>
        <w:t xml:space="preserve"> </w:t>
      </w:r>
      <w:r w:rsidR="001E4AB9" w:rsidRPr="001E4AB9">
        <w:rPr>
          <w:i w:val="0"/>
        </w:rPr>
        <w:t>Percent Advanced (ELA, mathematics, science)</w:t>
      </w:r>
    </w:p>
    <w:p w:rsidR="003F55D2" w:rsidRPr="00281A6C" w:rsidRDefault="004F3740" w:rsidP="00C94B80">
      <w:pPr>
        <w:pStyle w:val="ListParagraph"/>
        <w:ind w:left="900"/>
        <w:rPr>
          <w:i w:val="0"/>
        </w:rPr>
      </w:pPr>
      <w:r>
        <w:rPr>
          <w:i w:val="0"/>
        </w:rPr>
        <w:t>2014, 2015, 2016</w:t>
      </w:r>
      <w:r w:rsidR="00BC66D5">
        <w:rPr>
          <w:i w:val="0"/>
        </w:rPr>
        <w:t>, 2017</w:t>
      </w:r>
      <w:r w:rsidRPr="001E4AB9">
        <w:rPr>
          <w:i w:val="0"/>
        </w:rPr>
        <w:t xml:space="preserve"> </w:t>
      </w:r>
      <w:r w:rsidR="001E4AB9" w:rsidRPr="001E4AB9">
        <w:rPr>
          <w:i w:val="0"/>
        </w:rPr>
        <w:t>Percent Warning/Failing (ELA, mathematics, science)</w:t>
      </w:r>
    </w:p>
    <w:p w:rsidR="003F55D2" w:rsidRDefault="0084177C" w:rsidP="00BC66D5">
      <w:r>
        <w:t>The improvement data included in Level 3 calculations are:</w:t>
      </w:r>
    </w:p>
    <w:p w:rsidR="003F55D2" w:rsidRPr="00281A6C" w:rsidRDefault="004F3740" w:rsidP="00C94B80">
      <w:pPr>
        <w:pStyle w:val="ListParagraph"/>
        <w:ind w:left="900"/>
        <w:rPr>
          <w:i w:val="0"/>
        </w:rPr>
      </w:pPr>
      <w:r>
        <w:rPr>
          <w:i w:val="0"/>
        </w:rPr>
        <w:t>2014, 2015, 2016</w:t>
      </w:r>
      <w:r w:rsidR="00BC66D5">
        <w:rPr>
          <w:i w:val="0"/>
        </w:rPr>
        <w:t>, 2017</w:t>
      </w:r>
      <w:r w:rsidRPr="001E4AB9">
        <w:rPr>
          <w:i w:val="0"/>
        </w:rPr>
        <w:t xml:space="preserve"> </w:t>
      </w:r>
      <w:r w:rsidR="001E4AB9" w:rsidRPr="001E4AB9">
        <w:rPr>
          <w:i w:val="0"/>
        </w:rPr>
        <w:t>Median Student Growth Percentiles (ELA, mathematics)</w:t>
      </w:r>
    </w:p>
    <w:p w:rsidR="003F55D2" w:rsidRDefault="0084177C" w:rsidP="00BC66D5">
      <w:r>
        <w:t>The high school data included in Level 3 calculations are:</w:t>
      </w:r>
    </w:p>
    <w:p w:rsidR="003F55D2" w:rsidRPr="00281A6C" w:rsidRDefault="004F3740" w:rsidP="00C94B80">
      <w:pPr>
        <w:pStyle w:val="ListParagraph"/>
        <w:ind w:left="900"/>
        <w:rPr>
          <w:i w:val="0"/>
        </w:rPr>
      </w:pPr>
      <w:r>
        <w:rPr>
          <w:i w:val="0"/>
        </w:rPr>
        <w:t>2013, 2014, 2015</w:t>
      </w:r>
      <w:r w:rsidR="00BC66D5">
        <w:rPr>
          <w:i w:val="0"/>
        </w:rPr>
        <w:t>, 2016</w:t>
      </w:r>
      <w:r w:rsidR="001E4AB9" w:rsidRPr="001E4AB9">
        <w:rPr>
          <w:i w:val="0"/>
        </w:rPr>
        <w:t xml:space="preserve"> Annual Dropout Rate</w:t>
      </w:r>
      <w:r w:rsidR="001E4AB9" w:rsidRPr="001E4AB9">
        <w:rPr>
          <w:i w:val="0"/>
          <w:vertAlign w:val="superscript"/>
        </w:rPr>
        <w:footnoteReference w:id="6"/>
      </w:r>
    </w:p>
    <w:p w:rsidR="003F55D2" w:rsidRPr="00281A6C" w:rsidRDefault="00BC66D5" w:rsidP="00C94B80">
      <w:pPr>
        <w:pStyle w:val="ListParagraph"/>
        <w:ind w:left="900"/>
        <w:rPr>
          <w:i w:val="0"/>
        </w:rPr>
      </w:pPr>
      <w:r>
        <w:rPr>
          <w:i w:val="0"/>
        </w:rPr>
        <w:t>2016</w:t>
      </w:r>
      <w:r w:rsidRPr="001E4AB9">
        <w:rPr>
          <w:i w:val="0"/>
        </w:rPr>
        <w:t xml:space="preserve"> </w:t>
      </w:r>
      <w:r w:rsidR="001A68BF">
        <w:rPr>
          <w:i w:val="0"/>
        </w:rPr>
        <w:t>Four</w:t>
      </w:r>
      <w:r w:rsidR="001E4AB9" w:rsidRPr="001E4AB9">
        <w:rPr>
          <w:i w:val="0"/>
        </w:rPr>
        <w:t>-Year Cohort Graduation Rate</w:t>
      </w:r>
      <w:r w:rsidR="001E4AB9" w:rsidRPr="001E4AB9">
        <w:rPr>
          <w:i w:val="0"/>
          <w:vertAlign w:val="superscript"/>
        </w:rPr>
        <w:footnoteReference w:id="7"/>
      </w:r>
    </w:p>
    <w:p w:rsidR="003F55D2" w:rsidRDefault="004F3740" w:rsidP="00C94B80">
      <w:pPr>
        <w:pStyle w:val="ListParagraph"/>
        <w:ind w:left="900"/>
        <w:rPr>
          <w:i w:val="0"/>
        </w:rPr>
      </w:pPr>
      <w:r>
        <w:rPr>
          <w:i w:val="0"/>
        </w:rPr>
        <w:t>2013, 2014</w:t>
      </w:r>
      <w:r w:rsidR="00BC66D5">
        <w:rPr>
          <w:i w:val="0"/>
        </w:rPr>
        <w:t>, 2015</w:t>
      </w:r>
      <w:r w:rsidR="001E4AB9" w:rsidRPr="001E4AB9">
        <w:rPr>
          <w:i w:val="0"/>
        </w:rPr>
        <w:t xml:space="preserve"> </w:t>
      </w:r>
      <w:r w:rsidR="001A68BF">
        <w:rPr>
          <w:i w:val="0"/>
        </w:rPr>
        <w:t>Five</w:t>
      </w:r>
      <w:r w:rsidR="001E4AB9" w:rsidRPr="001E4AB9">
        <w:rPr>
          <w:i w:val="0"/>
        </w:rPr>
        <w:t>-Year Cohort Graduation Rate</w:t>
      </w:r>
    </w:p>
    <w:p w:rsidR="00C079CF" w:rsidRDefault="001E4AB9">
      <w:pPr>
        <w:spacing w:before="240"/>
      </w:pPr>
      <w:r w:rsidRPr="001E4AB9">
        <w:rPr>
          <w:b/>
          <w:color w:val="4F81BD" w:themeColor="accent1"/>
          <w:sz w:val="24"/>
        </w:rPr>
        <w:lastRenderedPageBreak/>
        <w:t>4. Ranking achievement and improvement data by school type</w:t>
      </w:r>
    </w:p>
    <w:p w:rsidR="003F55D2" w:rsidRDefault="0084177C" w:rsidP="00C94B80">
      <w:pPr>
        <w:ind w:left="270"/>
      </w:pPr>
      <w:r>
        <w:t>For each high school</w:t>
      </w:r>
      <w:r w:rsidR="00E63828">
        <w:t>, percentile ranks (1-99) are calculated</w:t>
      </w:r>
      <w:r w:rsidR="005806E9">
        <w:t xml:space="preserve"> separately for each of the achievement and improvement indicators</w:t>
      </w:r>
      <w:r w:rsidR="00E63828">
        <w:t xml:space="preserve"> as compared to other high school</w:t>
      </w:r>
      <w:r w:rsidR="005806E9">
        <w:t>s</w:t>
      </w:r>
      <w:r w:rsidR="00E63828">
        <w:t xml:space="preserve">, with progressively more weight placed on data from more recent years (4-3-2-1). </w:t>
      </w:r>
      <w:r w:rsidR="005806E9">
        <w:t>P</w:t>
      </w:r>
      <w:r>
        <w:t xml:space="preserve">ercentile ranks (1-99) are </w:t>
      </w:r>
      <w:r w:rsidR="005806E9">
        <w:t xml:space="preserve">also </w:t>
      </w:r>
      <w:r>
        <w:t xml:space="preserve">calculated separately for each of the graduation and dropout rate indicators as compared to all other high schools </w:t>
      </w:r>
      <w:r w:rsidR="005806E9">
        <w:t>statewide</w:t>
      </w:r>
      <w:r>
        <w:t>, with progressively more weight placed on data from more recent years (4-3-2-1 for annual dropout rate indicators and 3-4-2-1 for graduation rate indicators). The averages of each school’s achievement, improvement, and high school indicator percentiles are standardized separately. To calculate the overall school percentile, these three figures are combined, with achievement weighted at 50 percent, and the improvement and combined high school indicators each weighted at 25 percent. Schools with a mean rank at or below the 20</w:t>
      </w:r>
      <w:r w:rsidRPr="00E240F7">
        <w:t>th</w:t>
      </w:r>
      <w:r>
        <w:t xml:space="preserve"> percentile (1-20) are classified into Level 3 for low aggregate performance.</w:t>
      </w:r>
    </w:p>
    <w:p w:rsidR="003F55D2" w:rsidRDefault="0084177C" w:rsidP="00C94B80">
      <w:pPr>
        <w:ind w:left="270"/>
      </w:pPr>
      <w:r>
        <w:t>The methodology described above is the same for identifying Level 3</w:t>
      </w:r>
      <w:r w:rsidR="00E73ACF">
        <w:t xml:space="preserve"> high</w:t>
      </w:r>
      <w:r>
        <w:t xml:space="preserve"> schools for low subgroup performance, with three exceptions. First, the subgroups identified must place among the lowest 20 percent of all subgroups in the school type as well as the lowest 20 percent of that particular subgroup within the school type. Second, all subgroups meeting these criteria are identified in proportion to their representation within their school type category. Third, all subgroups meeting these criteria must also be among the lowest performing 20 percent of all subgroups statewide.</w:t>
      </w:r>
    </w:p>
    <w:p w:rsidR="00C079CF" w:rsidRDefault="001E4AB9">
      <w:pPr>
        <w:spacing w:before="240"/>
      </w:pPr>
      <w:r w:rsidRPr="001E4AB9">
        <w:rPr>
          <w:b/>
          <w:color w:val="4F81BD" w:themeColor="accent1"/>
          <w:sz w:val="24"/>
        </w:rPr>
        <w:t>5. Classifying schools into Level 3, 4, and 5</w:t>
      </w:r>
    </w:p>
    <w:p w:rsidR="003F55D2" w:rsidRDefault="00E73ACF" w:rsidP="00C94B80">
      <w:pPr>
        <w:ind w:left="270"/>
      </w:pPr>
      <w:r>
        <w:t>High s</w:t>
      </w:r>
      <w:r w:rsidR="0084177C" w:rsidRPr="00B0179A">
        <w:t xml:space="preserve">chools are classified into Level 3 for low aggregate performance if they are among the lowest </w:t>
      </w:r>
      <w:r w:rsidR="0084177C">
        <w:t xml:space="preserve">performing </w:t>
      </w:r>
      <w:r w:rsidR="0084177C" w:rsidRPr="00B0179A">
        <w:t xml:space="preserve">20 percent relative to other schools </w:t>
      </w:r>
      <w:r w:rsidR="0084177C">
        <w:t>of the same school type</w:t>
      </w:r>
      <w:r w:rsidR="0084177C" w:rsidRPr="00B0179A">
        <w:t xml:space="preserve"> statewide</w:t>
      </w:r>
      <w:r w:rsidR="0084177C">
        <w:t xml:space="preserve">. In addition, </w:t>
      </w:r>
      <w:r>
        <w:t xml:space="preserve">high </w:t>
      </w:r>
      <w:r w:rsidR="0084177C">
        <w:t>schools are classified into Level 3 for low subgroup performance if one or more subgroups in the school are among the lowest 20 percent of subgroups statewide or one or more subgroups in the school has persistently low graduation rates over four consecutive years (</w:t>
      </w:r>
      <w:r w:rsidR="00E63828">
        <w:t>2016</w:t>
      </w:r>
      <w:r w:rsidR="00E63828" w:rsidRPr="00B0179A">
        <w:t xml:space="preserve"> </w:t>
      </w:r>
      <w:r w:rsidR="0084177C" w:rsidRPr="00B0179A">
        <w:t xml:space="preserve">four-year cohort graduation </w:t>
      </w:r>
      <w:r w:rsidR="0084177C">
        <w:t xml:space="preserve">rate less than </w:t>
      </w:r>
      <w:r w:rsidR="00242DED">
        <w:t xml:space="preserve">67 </w:t>
      </w:r>
      <w:r w:rsidR="0084177C">
        <w:t>percent;</w:t>
      </w:r>
      <w:r w:rsidR="0084177C" w:rsidRPr="00B0179A">
        <w:t xml:space="preserve"> </w:t>
      </w:r>
      <w:r w:rsidR="00E63828">
        <w:t>2015, 2014, and 2013</w:t>
      </w:r>
      <w:r w:rsidR="0084177C" w:rsidRPr="00B0179A">
        <w:t xml:space="preserve"> five-year cohort graduation rates </w:t>
      </w:r>
      <w:r w:rsidR="0084177C">
        <w:t xml:space="preserve">less than </w:t>
      </w:r>
      <w:r w:rsidR="00242DED">
        <w:t xml:space="preserve">70 </w:t>
      </w:r>
      <w:r w:rsidR="0084177C">
        <w:t>percent).</w:t>
      </w:r>
    </w:p>
    <w:p w:rsidR="003F55D2" w:rsidRDefault="0084177C" w:rsidP="00C94B80">
      <w:pPr>
        <w:ind w:left="270"/>
      </w:pPr>
      <w:r>
        <w:t xml:space="preserve">Schools can also be classified into Level 3 for very low participation rates on </w:t>
      </w:r>
      <w:r w:rsidR="00BD11E7">
        <w:t>statewide</w:t>
      </w:r>
      <w:r>
        <w:t xml:space="preserve"> tests. Any school that assesses </w:t>
      </w:r>
      <w:r w:rsidR="00655FE8">
        <w:t>less</w:t>
      </w:r>
      <w:r>
        <w:t xml:space="preserve"> than 90 percent of any group in the school on </w:t>
      </w:r>
      <w:r w:rsidR="00E63828">
        <w:t xml:space="preserve">the </w:t>
      </w:r>
      <w:r>
        <w:t>ELA, mathematics, or science tests</w:t>
      </w:r>
      <w:r w:rsidR="00E40849">
        <w:t xml:space="preserve"> </w:t>
      </w:r>
      <w:r>
        <w:t>cannot be classified higher than Level 3.</w:t>
      </w:r>
    </w:p>
    <w:p w:rsidR="003F55D2" w:rsidRDefault="0084177C" w:rsidP="00C94B80">
      <w:pPr>
        <w:ind w:left="270"/>
      </w:pPr>
      <w:r>
        <w:t xml:space="preserve">The state’s lowest achieving, least improving Level 3 schools are candidates for classification into Level 4 at the discretion of the Commissioner of Elementary and Secondary Education. </w:t>
      </w:r>
      <w:r w:rsidRPr="00677368">
        <w:t xml:space="preserve">A </w:t>
      </w:r>
      <w:r>
        <w:t xml:space="preserve">Level 4 </w:t>
      </w:r>
      <w:r w:rsidRPr="00677368">
        <w:t xml:space="preserve">school may be classified into Level 5 by the Commissioner on behalf of the Board </w:t>
      </w:r>
      <w:r>
        <w:t>of Elementary and Secondary Education</w:t>
      </w:r>
      <w:r w:rsidRPr="00677368">
        <w:t xml:space="preserve"> </w:t>
      </w:r>
      <w:r>
        <w:t>if it fails to improve</w:t>
      </w:r>
      <w:r w:rsidR="00E40849">
        <w:t>,</w:t>
      </w:r>
      <w:r w:rsidRPr="00677368">
        <w:t xml:space="preserve"> or if district conditions make it unlikely that the school will make significant improvement without a Level 5 designation.</w:t>
      </w:r>
    </w:p>
    <w:p w:rsidR="00F3740C" w:rsidRDefault="00F3740C">
      <w:pPr>
        <w:spacing w:after="200"/>
        <w:rPr>
          <w:rFonts w:ascii="Arial" w:eastAsiaTheme="majorEastAsia" w:hAnsi="Arial" w:cs="Arial"/>
          <w:b/>
          <w:bCs/>
          <w:color w:val="1F497D" w:themeColor="text2"/>
          <w:sz w:val="24"/>
          <w:szCs w:val="26"/>
        </w:rPr>
      </w:pPr>
      <w:r>
        <w:br w:type="page"/>
      </w:r>
    </w:p>
    <w:p w:rsidR="00AE2876" w:rsidRPr="003902AC" w:rsidRDefault="00994DD6" w:rsidP="00AE2876">
      <w:pPr>
        <w:pStyle w:val="Heading1"/>
      </w:pPr>
      <w:bookmarkStart w:id="98" w:name="_Toc435178336"/>
      <w:bookmarkStart w:id="99" w:name="_Toc435178542"/>
      <w:bookmarkStart w:id="100" w:name="_Toc490741869"/>
      <w:r>
        <w:lastRenderedPageBreak/>
        <w:t xml:space="preserve">Appendix </w:t>
      </w:r>
      <w:r w:rsidR="00B74030">
        <w:t>C</w:t>
      </w:r>
      <w:r w:rsidR="00AE2876">
        <w:t xml:space="preserve">: </w:t>
      </w:r>
      <w:r w:rsidR="00AE2876" w:rsidRPr="003902AC">
        <w:t>Accountability and assistance levels and required actions</w:t>
      </w:r>
      <w:bookmarkEnd w:id="98"/>
      <w:bookmarkEnd w:id="99"/>
      <w:bookmarkEnd w:id="100"/>
    </w:p>
    <w:p w:rsidR="00AE2876" w:rsidRDefault="00AE2876" w:rsidP="00AE2876">
      <w:r>
        <w:t xml:space="preserve">Based on their accountability and assistance level, </w:t>
      </w:r>
      <w:r w:rsidR="00A848EC">
        <w:t>districts and schools</w:t>
      </w:r>
      <w:r>
        <w:t xml:space="preserve"> must meet a number of annual planning, parent/guardian notification, and fiscal requirements. The tables below outline schools and district responsibilities at each level of the framework for district accountability and assistance. </w:t>
      </w:r>
    </w:p>
    <w:p w:rsidR="00095757" w:rsidRPr="00C4200D" w:rsidRDefault="00095757" w:rsidP="00095757">
      <w:pPr>
        <w:spacing w:after="0"/>
        <w:rPr>
          <w:b/>
          <w:color w:val="4F81BD" w:themeColor="accent1"/>
          <w:sz w:val="24"/>
        </w:rPr>
      </w:pPr>
      <w:r w:rsidRPr="00C4200D">
        <w:rPr>
          <w:b/>
          <w:color w:val="4F81BD" w:themeColor="accent1"/>
          <w:sz w:val="24"/>
        </w:rPr>
        <w:t xml:space="preserve">Required actions for districts and schools </w:t>
      </w:r>
      <w:r>
        <w:rPr>
          <w:b/>
          <w:color w:val="4F81BD" w:themeColor="accent1"/>
          <w:sz w:val="24"/>
        </w:rPr>
        <w:t>with insufficient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94"/>
        <w:gridCol w:w="2394"/>
        <w:gridCol w:w="2394"/>
        <w:gridCol w:w="2394"/>
      </w:tblGrid>
      <w:tr w:rsidR="00095757" w:rsidRPr="009C3327" w:rsidTr="00593CBA">
        <w:trPr>
          <w:trHeight w:val="288"/>
        </w:trPr>
        <w:tc>
          <w:tcPr>
            <w:tcW w:w="5000" w:type="pct"/>
            <w:gridSpan w:val="4"/>
            <w:shd w:val="clear" w:color="auto" w:fill="C6D9F1" w:themeFill="text2" w:themeFillTint="33"/>
            <w:vAlign w:val="center"/>
          </w:tcPr>
          <w:p w:rsidR="00095757" w:rsidRPr="009C3327" w:rsidRDefault="00095757" w:rsidP="00593CBA">
            <w:pPr>
              <w:pStyle w:val="NoSpacing"/>
              <w:rPr>
                <w:b/>
              </w:rPr>
            </w:pPr>
            <w:r>
              <w:rPr>
                <w:b/>
              </w:rPr>
              <w:t>Insufficient data</w:t>
            </w:r>
          </w:p>
        </w:tc>
      </w:tr>
      <w:tr w:rsidR="00095757" w:rsidRPr="009C3327" w:rsidTr="00593CBA">
        <w:trPr>
          <w:trHeight w:val="565"/>
        </w:trPr>
        <w:tc>
          <w:tcPr>
            <w:tcW w:w="1250" w:type="pct"/>
            <w:shd w:val="clear" w:color="auto" w:fill="auto"/>
            <w:vAlign w:val="center"/>
          </w:tcPr>
          <w:p w:rsidR="00095757" w:rsidRPr="009C3327" w:rsidRDefault="00095757" w:rsidP="00593CBA">
            <w:pPr>
              <w:pStyle w:val="NoSpacing"/>
              <w:jc w:val="center"/>
              <w:rPr>
                <w:b/>
              </w:rPr>
            </w:pPr>
            <w:r w:rsidRPr="009C3327">
              <w:rPr>
                <w:b/>
              </w:rPr>
              <w:t>Occurs</w:t>
            </w:r>
          </w:p>
          <w:p w:rsidR="00095757" w:rsidRPr="009C3327" w:rsidRDefault="00095757" w:rsidP="00593CBA">
            <w:pPr>
              <w:pStyle w:val="NoSpacing"/>
              <w:jc w:val="center"/>
              <w:rPr>
                <w:b/>
              </w:rPr>
            </w:pPr>
            <w:r w:rsidRPr="009C3327">
              <w:rPr>
                <w:b/>
              </w:rPr>
              <w:t>when</w:t>
            </w:r>
          </w:p>
        </w:tc>
        <w:tc>
          <w:tcPr>
            <w:tcW w:w="1250" w:type="pct"/>
            <w:shd w:val="clear" w:color="auto" w:fill="auto"/>
            <w:vAlign w:val="center"/>
          </w:tcPr>
          <w:p w:rsidR="00095757" w:rsidRPr="009C3327" w:rsidRDefault="00095757" w:rsidP="00593CBA">
            <w:pPr>
              <w:pStyle w:val="NoSpacing"/>
              <w:jc w:val="center"/>
              <w:rPr>
                <w:b/>
              </w:rPr>
            </w:pPr>
            <w:r w:rsidRPr="009C3327">
              <w:rPr>
                <w:b/>
              </w:rPr>
              <w:t>Planning</w:t>
            </w:r>
          </w:p>
          <w:p w:rsidR="00095757" w:rsidRPr="009C3327" w:rsidRDefault="00095757" w:rsidP="00593CBA">
            <w:pPr>
              <w:pStyle w:val="NoSpacing"/>
              <w:jc w:val="center"/>
              <w:rPr>
                <w:b/>
              </w:rPr>
            </w:pPr>
            <w:r w:rsidRPr="009C3327">
              <w:rPr>
                <w:b/>
              </w:rPr>
              <w:t>requirements</w:t>
            </w:r>
          </w:p>
        </w:tc>
        <w:tc>
          <w:tcPr>
            <w:tcW w:w="1250" w:type="pct"/>
            <w:shd w:val="clear" w:color="auto" w:fill="auto"/>
            <w:vAlign w:val="center"/>
          </w:tcPr>
          <w:p w:rsidR="00095757" w:rsidRPr="009C3327" w:rsidRDefault="00095757" w:rsidP="00593CBA">
            <w:pPr>
              <w:pStyle w:val="NoSpacing"/>
              <w:jc w:val="center"/>
              <w:rPr>
                <w:b/>
              </w:rPr>
            </w:pPr>
            <w:r w:rsidRPr="009C3327">
              <w:rPr>
                <w:b/>
              </w:rPr>
              <w:t>Parent/guardian notification requirements</w:t>
            </w:r>
          </w:p>
        </w:tc>
        <w:tc>
          <w:tcPr>
            <w:tcW w:w="1250" w:type="pct"/>
            <w:shd w:val="clear" w:color="auto" w:fill="auto"/>
            <w:vAlign w:val="center"/>
          </w:tcPr>
          <w:p w:rsidR="00095757" w:rsidRPr="009C3327" w:rsidRDefault="00095757" w:rsidP="00593CBA">
            <w:pPr>
              <w:pStyle w:val="NoSpacing"/>
              <w:jc w:val="center"/>
              <w:rPr>
                <w:b/>
              </w:rPr>
            </w:pPr>
            <w:r w:rsidRPr="009C3327">
              <w:rPr>
                <w:b/>
              </w:rPr>
              <w:t>Fiscal</w:t>
            </w:r>
          </w:p>
          <w:p w:rsidR="00095757" w:rsidRPr="009C3327" w:rsidRDefault="00095757" w:rsidP="00593CBA">
            <w:pPr>
              <w:pStyle w:val="NoSpacing"/>
              <w:jc w:val="center"/>
              <w:rPr>
                <w:b/>
              </w:rPr>
            </w:pPr>
            <w:r w:rsidRPr="009C3327">
              <w:rPr>
                <w:b/>
              </w:rPr>
              <w:t>requirements</w:t>
            </w:r>
          </w:p>
        </w:tc>
      </w:tr>
      <w:tr w:rsidR="00095757" w:rsidRPr="00075849" w:rsidTr="00593CBA">
        <w:trPr>
          <w:trHeight w:val="1150"/>
        </w:trPr>
        <w:tc>
          <w:tcPr>
            <w:tcW w:w="1250" w:type="pct"/>
            <w:shd w:val="clear" w:color="auto" w:fill="auto"/>
          </w:tcPr>
          <w:p w:rsidR="00095757" w:rsidRDefault="00095757" w:rsidP="00593CBA">
            <w:pPr>
              <w:pStyle w:val="NoSpacing"/>
            </w:pPr>
            <w:r w:rsidRPr="00075849">
              <w:t xml:space="preserve">A </w:t>
            </w:r>
            <w:r w:rsidRPr="00075849">
              <w:rPr>
                <w:i/>
              </w:rPr>
              <w:t xml:space="preserve">school </w:t>
            </w:r>
            <w:r w:rsidRPr="00075849">
              <w:t xml:space="preserve">is classified </w:t>
            </w:r>
            <w:r>
              <w:t>as having insufficient data</w:t>
            </w:r>
            <w:r w:rsidRPr="00075849">
              <w:t xml:space="preserve"> if </w:t>
            </w:r>
            <w:r>
              <w:t>it is s</w:t>
            </w:r>
            <w:r w:rsidRPr="000846C9">
              <w:t xml:space="preserve">mall, </w:t>
            </w:r>
            <w:r>
              <w:t>ends</w:t>
            </w:r>
            <w:r w:rsidRPr="000846C9">
              <w:t xml:space="preserve"> in grades 1 or 2</w:t>
            </w:r>
            <w:r>
              <w:t>,</w:t>
            </w:r>
            <w:r w:rsidRPr="000846C9">
              <w:t xml:space="preserve"> or </w:t>
            </w:r>
            <w:r>
              <w:t>does not have at least 4 consecutive years of assessment data</w:t>
            </w:r>
          </w:p>
          <w:p w:rsidR="00095757" w:rsidRPr="00075849" w:rsidRDefault="00095757" w:rsidP="00593CBA">
            <w:pPr>
              <w:pStyle w:val="NoSpacing"/>
            </w:pPr>
          </w:p>
          <w:p w:rsidR="00095757" w:rsidRDefault="00095757" w:rsidP="00593CBA">
            <w:pPr>
              <w:pStyle w:val="NoSpacing"/>
            </w:pPr>
            <w:r w:rsidRPr="00075849">
              <w:t xml:space="preserve">A </w:t>
            </w:r>
            <w:r w:rsidRPr="00075849">
              <w:rPr>
                <w:i/>
              </w:rPr>
              <w:t>district</w:t>
            </w:r>
            <w:r w:rsidRPr="00075849">
              <w:t xml:space="preserve"> is classified </w:t>
            </w:r>
            <w:r>
              <w:t>as having insufficient data</w:t>
            </w:r>
            <w:r w:rsidRPr="00075849">
              <w:t xml:space="preserve"> if </w:t>
            </w:r>
            <w:r>
              <w:t>it is s</w:t>
            </w:r>
            <w:r w:rsidRPr="000846C9">
              <w:t xml:space="preserve">mall, </w:t>
            </w:r>
            <w:r>
              <w:t>ends</w:t>
            </w:r>
            <w:r w:rsidRPr="000846C9">
              <w:t xml:space="preserve"> in grades 1 or 2</w:t>
            </w:r>
            <w:r>
              <w:t>,</w:t>
            </w:r>
            <w:r w:rsidRPr="000846C9">
              <w:t xml:space="preserve"> or </w:t>
            </w:r>
            <w:r>
              <w:t>does not have at least 4 consecutive years of assessment data,</w:t>
            </w:r>
            <w:r w:rsidRPr="00075849">
              <w:t xml:space="preserve"> unless the district was independently classified into Level 4 or 5 as a result of Board action.</w:t>
            </w:r>
          </w:p>
          <w:p w:rsidR="00095757" w:rsidRPr="00075849" w:rsidRDefault="00095757" w:rsidP="00593CBA">
            <w:pPr>
              <w:pStyle w:val="NoSpacing"/>
            </w:pPr>
          </w:p>
          <w:p w:rsidR="00095757" w:rsidRPr="00075849" w:rsidRDefault="00095757" w:rsidP="00F71FF4">
            <w:pPr>
              <w:pStyle w:val="NoSpacing"/>
            </w:pPr>
            <w:r w:rsidRPr="00075849">
              <w:t xml:space="preserve">Absent significant non-compliance issues, a </w:t>
            </w:r>
            <w:r>
              <w:t>district with insufficient data will have a</w:t>
            </w:r>
            <w:r w:rsidRPr="00075849">
              <w:t xml:space="preserve"> determination of need for special education technical assistance or intervention </w:t>
            </w:r>
            <w:r>
              <w:t>of</w:t>
            </w:r>
            <w:r w:rsidRPr="00075849">
              <w:t xml:space="preserve"> </w:t>
            </w:r>
            <w:r w:rsidRPr="00075849">
              <w:rPr>
                <w:i/>
              </w:rPr>
              <w:t>Meets Requirements</w:t>
            </w:r>
            <w:r>
              <w:rPr>
                <w:i/>
              </w:rPr>
              <w:t xml:space="preserve"> – Provisional</w:t>
            </w:r>
            <w:r w:rsidRPr="00075849">
              <w:rPr>
                <w:i/>
              </w:rPr>
              <w:t xml:space="preserve"> (MR</w:t>
            </w:r>
            <w:r>
              <w:rPr>
                <w:i/>
              </w:rPr>
              <w:t>P</w:t>
            </w:r>
            <w:r w:rsidRPr="00075849">
              <w:rPr>
                <w:i/>
              </w:rPr>
              <w:t>)</w:t>
            </w:r>
            <w:r w:rsidR="00F71FF4">
              <w:t>.</w:t>
            </w:r>
          </w:p>
        </w:tc>
        <w:tc>
          <w:tcPr>
            <w:tcW w:w="1250" w:type="pct"/>
            <w:shd w:val="clear" w:color="auto" w:fill="auto"/>
          </w:tcPr>
          <w:p w:rsidR="00095757" w:rsidRDefault="00095757" w:rsidP="00593CBA">
            <w:pPr>
              <w:pStyle w:val="NoSpacing"/>
            </w:pPr>
            <w:r w:rsidRPr="00075849">
              <w:t>Analyze disaggregated data for all student groups to ensure interventions and supports are appropriately aligned to address needs.</w:t>
            </w:r>
          </w:p>
          <w:p w:rsidR="00095757" w:rsidRPr="00075849" w:rsidRDefault="00095757" w:rsidP="00593CBA">
            <w:pPr>
              <w:pStyle w:val="NoSpacing"/>
            </w:pPr>
          </w:p>
          <w:p w:rsidR="00095757" w:rsidRDefault="00095757" w:rsidP="00593CBA">
            <w:pPr>
              <w:pStyle w:val="NoSpacing"/>
            </w:pPr>
            <w:r w:rsidRPr="00075849">
              <w:t xml:space="preserve">Review and revise district and school improvement plans with respect to the level of implementation of Massachusetts’ </w:t>
            </w:r>
            <w:r w:rsidRPr="00075849">
              <w:rPr>
                <w:i/>
              </w:rPr>
              <w:t>District Standards and Indicators</w:t>
            </w:r>
            <w:r w:rsidRPr="00075849">
              <w:t xml:space="preserve"> and the </w:t>
            </w:r>
            <w:r w:rsidRPr="00075849">
              <w:rPr>
                <w:i/>
              </w:rPr>
              <w:t>Conditions for School Effectiveness</w:t>
            </w:r>
            <w:r w:rsidRPr="00075849">
              <w:t>.</w:t>
            </w:r>
          </w:p>
          <w:p w:rsidR="00095757" w:rsidRPr="00075849" w:rsidRDefault="00095757" w:rsidP="00593CBA">
            <w:pPr>
              <w:pStyle w:val="NoSpacing"/>
            </w:pPr>
          </w:p>
          <w:p w:rsidR="00095757" w:rsidRPr="00075849" w:rsidRDefault="00095757" w:rsidP="00164B79">
            <w:pPr>
              <w:pStyle w:val="NoSpacing"/>
            </w:pPr>
            <w:r w:rsidRPr="00075849">
              <w:t xml:space="preserve">Consider using online district analysis, review, and assistance tools or feedback from a district review if the district was reviewed by ESE in </w:t>
            </w:r>
            <w:r w:rsidR="00164B79">
              <w:t>2016-17.</w:t>
            </w:r>
          </w:p>
        </w:tc>
        <w:tc>
          <w:tcPr>
            <w:tcW w:w="1250" w:type="pct"/>
            <w:shd w:val="clear" w:color="auto" w:fill="auto"/>
          </w:tcPr>
          <w:p w:rsidR="00095757" w:rsidRPr="00A549CF" w:rsidRDefault="00095757" w:rsidP="00B434D8">
            <w:pPr>
              <w:pStyle w:val="NoSpacing"/>
            </w:pPr>
            <w:r w:rsidRPr="00075849">
              <w:t>Disseminate</w:t>
            </w:r>
            <w:r>
              <w:t xml:space="preserve"> the</w:t>
            </w:r>
            <w:r w:rsidRPr="00075849">
              <w:t xml:space="preserve"> </w:t>
            </w:r>
            <w:r>
              <w:t>school</w:t>
            </w:r>
            <w:r w:rsidRPr="00075849">
              <w:t xml:space="preserve"> report card to parents/guardians of all children </w:t>
            </w:r>
            <w:r w:rsidR="00B434D8">
              <w:t>once available</w:t>
            </w:r>
            <w:r w:rsidRPr="00075849">
              <w:t xml:space="preserve">. The notification must include the accountability and assistance level of the child’s </w:t>
            </w:r>
            <w:r w:rsidR="00A848EC">
              <w:t>district and school</w:t>
            </w:r>
            <w:r w:rsidRPr="00075849">
              <w:t xml:space="preserve">; an explanation of what this designation means; an explanation of how parents can become involved in </w:t>
            </w:r>
            <w:r w:rsidR="00A848EC">
              <w:t>district and school</w:t>
            </w:r>
            <w:r w:rsidRPr="00075849">
              <w:t xml:space="preserve"> improvement activities; and information about teacher quality and right-to-know requirements regarding teacher qualifications.</w:t>
            </w:r>
          </w:p>
        </w:tc>
        <w:tc>
          <w:tcPr>
            <w:tcW w:w="1250" w:type="pct"/>
            <w:shd w:val="clear" w:color="auto" w:fill="auto"/>
          </w:tcPr>
          <w:p w:rsidR="00095757" w:rsidRPr="00075849" w:rsidRDefault="00095757" w:rsidP="00095757">
            <w:pPr>
              <w:pStyle w:val="NoSpacing"/>
            </w:pPr>
            <w:r w:rsidRPr="00075849">
              <w:t xml:space="preserve">The district has no specific fiscal requirements linked to </w:t>
            </w:r>
            <w:r>
              <w:t xml:space="preserve">its </w:t>
            </w:r>
            <w:r w:rsidRPr="00075849">
              <w:t xml:space="preserve">accountability and assistance level if the district </w:t>
            </w:r>
            <w:r>
              <w:t>has insufficient data.</w:t>
            </w:r>
          </w:p>
        </w:tc>
      </w:tr>
    </w:tbl>
    <w:p w:rsidR="00095757" w:rsidRDefault="00095757" w:rsidP="00095757"/>
    <w:p w:rsidR="00095757" w:rsidRDefault="00095757" w:rsidP="00095757">
      <w:r>
        <w:br w:type="page"/>
      </w:r>
    </w:p>
    <w:p w:rsidR="00AE2876" w:rsidRPr="00C4200D" w:rsidRDefault="00AE2876" w:rsidP="00C4200D">
      <w:pPr>
        <w:spacing w:after="0"/>
        <w:rPr>
          <w:b/>
          <w:color w:val="4F81BD" w:themeColor="accent1"/>
          <w:sz w:val="24"/>
        </w:rPr>
      </w:pPr>
      <w:r w:rsidRPr="00C4200D">
        <w:rPr>
          <w:b/>
          <w:color w:val="4F81BD" w:themeColor="accent1"/>
          <w:sz w:val="24"/>
        </w:rPr>
        <w:lastRenderedPageBreak/>
        <w:t>Required actions for districts and schools classified into Level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94"/>
        <w:gridCol w:w="2394"/>
        <w:gridCol w:w="2394"/>
        <w:gridCol w:w="2394"/>
      </w:tblGrid>
      <w:tr w:rsidR="00AE2876" w:rsidRPr="009C3327" w:rsidTr="00C92E2B">
        <w:trPr>
          <w:trHeight w:val="288"/>
        </w:trPr>
        <w:tc>
          <w:tcPr>
            <w:tcW w:w="5000" w:type="pct"/>
            <w:gridSpan w:val="4"/>
            <w:shd w:val="clear" w:color="auto" w:fill="C6D9F1" w:themeFill="text2" w:themeFillTint="33"/>
            <w:vAlign w:val="center"/>
          </w:tcPr>
          <w:p w:rsidR="00AE2876" w:rsidRPr="009C3327" w:rsidRDefault="00AE2876" w:rsidP="00AE2876">
            <w:pPr>
              <w:pStyle w:val="NoSpacing"/>
              <w:rPr>
                <w:b/>
              </w:rPr>
            </w:pPr>
            <w:r w:rsidRPr="009C3327">
              <w:rPr>
                <w:b/>
              </w:rPr>
              <w:t>Level 1</w:t>
            </w:r>
          </w:p>
        </w:tc>
      </w:tr>
      <w:tr w:rsidR="00AE2876" w:rsidRPr="009C3327" w:rsidTr="00C92E2B">
        <w:trPr>
          <w:trHeight w:val="565"/>
        </w:trPr>
        <w:tc>
          <w:tcPr>
            <w:tcW w:w="1250" w:type="pct"/>
            <w:shd w:val="clear" w:color="auto" w:fill="auto"/>
            <w:vAlign w:val="center"/>
          </w:tcPr>
          <w:p w:rsidR="00AE2876" w:rsidRPr="009C3327" w:rsidRDefault="00AE2876" w:rsidP="00AE2876">
            <w:pPr>
              <w:pStyle w:val="NoSpacing"/>
              <w:jc w:val="center"/>
              <w:rPr>
                <w:b/>
              </w:rPr>
            </w:pPr>
            <w:r w:rsidRPr="009C3327">
              <w:rPr>
                <w:b/>
              </w:rPr>
              <w:t>Occurs</w:t>
            </w:r>
          </w:p>
          <w:p w:rsidR="00AE2876" w:rsidRPr="009C3327" w:rsidRDefault="00AE2876" w:rsidP="00AE2876">
            <w:pPr>
              <w:pStyle w:val="NoSpacing"/>
              <w:jc w:val="center"/>
              <w:rPr>
                <w:b/>
              </w:rPr>
            </w:pPr>
            <w:r w:rsidRPr="009C3327">
              <w:rPr>
                <w:b/>
              </w:rPr>
              <w:t>when</w:t>
            </w:r>
          </w:p>
        </w:tc>
        <w:tc>
          <w:tcPr>
            <w:tcW w:w="1250" w:type="pct"/>
            <w:shd w:val="clear" w:color="auto" w:fill="auto"/>
            <w:vAlign w:val="center"/>
          </w:tcPr>
          <w:p w:rsidR="00AE2876" w:rsidRPr="009C3327" w:rsidRDefault="00AE2876" w:rsidP="00AE2876">
            <w:pPr>
              <w:pStyle w:val="NoSpacing"/>
              <w:jc w:val="center"/>
              <w:rPr>
                <w:b/>
              </w:rPr>
            </w:pPr>
            <w:r w:rsidRPr="009C3327">
              <w:rPr>
                <w:b/>
              </w:rPr>
              <w:t>Planning</w:t>
            </w:r>
          </w:p>
          <w:p w:rsidR="00AE2876" w:rsidRPr="009C3327" w:rsidRDefault="00AE2876" w:rsidP="00AE2876">
            <w:pPr>
              <w:pStyle w:val="NoSpacing"/>
              <w:jc w:val="center"/>
              <w:rPr>
                <w:b/>
              </w:rPr>
            </w:pPr>
            <w:r w:rsidRPr="009C3327">
              <w:rPr>
                <w:b/>
              </w:rPr>
              <w:t>requirements</w:t>
            </w:r>
          </w:p>
        </w:tc>
        <w:tc>
          <w:tcPr>
            <w:tcW w:w="1250" w:type="pct"/>
            <w:shd w:val="clear" w:color="auto" w:fill="auto"/>
            <w:vAlign w:val="center"/>
          </w:tcPr>
          <w:p w:rsidR="00AE2876" w:rsidRPr="009C3327" w:rsidRDefault="00AE2876" w:rsidP="00AE2876">
            <w:pPr>
              <w:pStyle w:val="NoSpacing"/>
              <w:jc w:val="center"/>
              <w:rPr>
                <w:b/>
              </w:rPr>
            </w:pPr>
            <w:r w:rsidRPr="009C3327">
              <w:rPr>
                <w:b/>
              </w:rPr>
              <w:t>Parent/guardian notification requirements</w:t>
            </w:r>
          </w:p>
        </w:tc>
        <w:tc>
          <w:tcPr>
            <w:tcW w:w="1250" w:type="pct"/>
            <w:shd w:val="clear" w:color="auto" w:fill="auto"/>
            <w:vAlign w:val="center"/>
          </w:tcPr>
          <w:p w:rsidR="00AE2876" w:rsidRPr="009C3327" w:rsidRDefault="00AE2876" w:rsidP="00AE2876">
            <w:pPr>
              <w:pStyle w:val="NoSpacing"/>
              <w:jc w:val="center"/>
              <w:rPr>
                <w:b/>
              </w:rPr>
            </w:pPr>
            <w:r w:rsidRPr="009C3327">
              <w:rPr>
                <w:b/>
              </w:rPr>
              <w:t>Fiscal</w:t>
            </w:r>
          </w:p>
          <w:p w:rsidR="00AE2876" w:rsidRPr="009C3327" w:rsidRDefault="00AE2876" w:rsidP="00AE2876">
            <w:pPr>
              <w:pStyle w:val="NoSpacing"/>
              <w:jc w:val="center"/>
              <w:rPr>
                <w:b/>
              </w:rPr>
            </w:pPr>
            <w:r w:rsidRPr="009C3327">
              <w:rPr>
                <w:b/>
              </w:rPr>
              <w:t>requirements</w:t>
            </w:r>
          </w:p>
        </w:tc>
      </w:tr>
      <w:tr w:rsidR="00AE2876" w:rsidRPr="00075849" w:rsidTr="00C92E2B">
        <w:trPr>
          <w:trHeight w:val="1150"/>
        </w:trPr>
        <w:tc>
          <w:tcPr>
            <w:tcW w:w="1250" w:type="pct"/>
            <w:shd w:val="clear" w:color="auto" w:fill="auto"/>
          </w:tcPr>
          <w:p w:rsidR="00AE2876" w:rsidRDefault="00AE2876" w:rsidP="00AE2876">
            <w:pPr>
              <w:pStyle w:val="NoSpacing"/>
            </w:pPr>
            <w:r w:rsidRPr="00075849">
              <w:t xml:space="preserve">A </w:t>
            </w:r>
            <w:r w:rsidRPr="00075849">
              <w:rPr>
                <w:i/>
              </w:rPr>
              <w:t xml:space="preserve">school </w:t>
            </w:r>
            <w:r w:rsidRPr="00075849">
              <w:t xml:space="preserve">is classified into Level 1 if the school’s aggregate </w:t>
            </w:r>
            <w:r w:rsidRPr="00075849">
              <w:rPr>
                <w:i/>
              </w:rPr>
              <w:t>and</w:t>
            </w:r>
            <w:r w:rsidRPr="00075849">
              <w:t xml:space="preserve"> high needs cumulative PPIs are 75 or higher and the </w:t>
            </w:r>
            <w:r>
              <w:t>assessment</w:t>
            </w:r>
            <w:r w:rsidRPr="00075849">
              <w:t xml:space="preserve"> participation rate for all groups in the school is 95 percent or greater.</w:t>
            </w:r>
          </w:p>
          <w:p w:rsidR="00AE2876" w:rsidRPr="00075849" w:rsidRDefault="00AE2876" w:rsidP="00AE2876">
            <w:pPr>
              <w:pStyle w:val="NoSpacing"/>
            </w:pPr>
          </w:p>
          <w:p w:rsidR="00AE2876" w:rsidRDefault="00AE2876" w:rsidP="00AE2876">
            <w:pPr>
              <w:pStyle w:val="NoSpacing"/>
            </w:pPr>
            <w:r w:rsidRPr="00075849">
              <w:t xml:space="preserve">A </w:t>
            </w:r>
            <w:r w:rsidRPr="00075849">
              <w:rPr>
                <w:i/>
              </w:rPr>
              <w:t>district</w:t>
            </w:r>
            <w:r w:rsidRPr="00075849">
              <w:t xml:space="preserve"> is classified into Level 1 if the most serious level of any school in the district is Level 1</w:t>
            </w:r>
            <w:r w:rsidR="004F3740">
              <w:t xml:space="preserve"> </w:t>
            </w:r>
            <w:r w:rsidR="004F3740" w:rsidRPr="00075849">
              <w:t xml:space="preserve">and the </w:t>
            </w:r>
            <w:r w:rsidR="004F3740">
              <w:t>assessment</w:t>
            </w:r>
            <w:r w:rsidR="004F3740" w:rsidRPr="00075849">
              <w:t xml:space="preserve"> participation rate for all groups in the </w:t>
            </w:r>
            <w:r w:rsidR="004F3740">
              <w:t>district</w:t>
            </w:r>
            <w:r w:rsidR="004F3740" w:rsidRPr="00075849">
              <w:t xml:space="preserve"> is 95 percent or greater</w:t>
            </w:r>
            <w:r w:rsidRPr="00075849">
              <w:t>, unless the district was independently classified into Level 4 or 5 as a result of Board action.</w:t>
            </w:r>
          </w:p>
          <w:p w:rsidR="00AE2876" w:rsidRPr="00075849" w:rsidRDefault="00AE2876" w:rsidP="00AE2876">
            <w:pPr>
              <w:pStyle w:val="NoSpacing"/>
            </w:pPr>
          </w:p>
          <w:p w:rsidR="00AE2876" w:rsidRPr="00075849" w:rsidRDefault="00AE2876" w:rsidP="00AE2876">
            <w:pPr>
              <w:pStyle w:val="NoSpacing"/>
            </w:pPr>
            <w:r w:rsidRPr="00075849">
              <w:t xml:space="preserve">Absent significant non-compliance issues, a Level 1 district’s determination of need for special education technical assistance or intervention is </w:t>
            </w:r>
            <w:r w:rsidRPr="00075849">
              <w:rPr>
                <w:i/>
              </w:rPr>
              <w:t>Meets Requirements (MR)</w:t>
            </w:r>
            <w:r w:rsidRPr="00075849">
              <w:t>, indicating that outcomes for the district as a whole indicate positive progress.</w:t>
            </w:r>
          </w:p>
        </w:tc>
        <w:tc>
          <w:tcPr>
            <w:tcW w:w="1250" w:type="pct"/>
            <w:shd w:val="clear" w:color="auto" w:fill="auto"/>
          </w:tcPr>
          <w:p w:rsidR="00AE2876" w:rsidRDefault="00AE2876" w:rsidP="00AE2876">
            <w:pPr>
              <w:pStyle w:val="NoSpacing"/>
            </w:pPr>
            <w:r w:rsidRPr="00075849">
              <w:t>Analyze disaggregated data for all student groups to ensure interventions and supports are appropriately aligned to address needs.</w:t>
            </w:r>
          </w:p>
          <w:p w:rsidR="00AE2876" w:rsidRPr="00075849" w:rsidRDefault="00AE2876" w:rsidP="00AE2876">
            <w:pPr>
              <w:pStyle w:val="NoSpacing"/>
            </w:pPr>
          </w:p>
          <w:p w:rsidR="00AE2876" w:rsidRDefault="00AE2876" w:rsidP="00AE2876">
            <w:pPr>
              <w:pStyle w:val="NoSpacing"/>
            </w:pPr>
            <w:r w:rsidRPr="00075849">
              <w:t xml:space="preserve">Review and revise district and school improvement plans with respect to the level of implementation of Massachusetts’ </w:t>
            </w:r>
            <w:r w:rsidRPr="00075849">
              <w:rPr>
                <w:i/>
              </w:rPr>
              <w:t>District Standards and Indicators</w:t>
            </w:r>
            <w:r w:rsidRPr="00075849">
              <w:t xml:space="preserve"> and the </w:t>
            </w:r>
            <w:r w:rsidRPr="00075849">
              <w:rPr>
                <w:i/>
              </w:rPr>
              <w:t>Conditions for School Effectiveness</w:t>
            </w:r>
            <w:r w:rsidRPr="00075849">
              <w:t>.</w:t>
            </w:r>
          </w:p>
          <w:p w:rsidR="00AE2876" w:rsidRPr="00075849" w:rsidRDefault="00AE2876" w:rsidP="00AE2876">
            <w:pPr>
              <w:pStyle w:val="NoSpacing"/>
            </w:pPr>
          </w:p>
          <w:p w:rsidR="00AE2876" w:rsidRPr="00075849" w:rsidRDefault="00AE2876" w:rsidP="00164B79">
            <w:pPr>
              <w:pStyle w:val="NoSpacing"/>
            </w:pPr>
            <w:r w:rsidRPr="00075849">
              <w:t xml:space="preserve">Consider using online district analysis, review, and assistance tools or feedback from a district review if the district was reviewed by ESE in </w:t>
            </w:r>
            <w:r w:rsidR="00164B79">
              <w:t>2016-17.</w:t>
            </w:r>
          </w:p>
        </w:tc>
        <w:tc>
          <w:tcPr>
            <w:tcW w:w="1250" w:type="pct"/>
            <w:shd w:val="clear" w:color="auto" w:fill="auto"/>
          </w:tcPr>
          <w:p w:rsidR="00AE2876" w:rsidRPr="00A549CF" w:rsidRDefault="00AE2876" w:rsidP="00B434D8">
            <w:pPr>
              <w:pStyle w:val="NoSpacing"/>
            </w:pPr>
            <w:r w:rsidRPr="00075849">
              <w:t>Disseminate</w:t>
            </w:r>
            <w:r w:rsidR="00543278">
              <w:t xml:space="preserve"> the</w:t>
            </w:r>
            <w:r w:rsidRPr="00075849">
              <w:t xml:space="preserve"> </w:t>
            </w:r>
            <w:r w:rsidR="00FD5225">
              <w:t>school</w:t>
            </w:r>
            <w:r w:rsidRPr="00075849">
              <w:t xml:space="preserve"> report card to parents/guardians of all children </w:t>
            </w:r>
            <w:r w:rsidR="00B434D8">
              <w:t>once available</w:t>
            </w:r>
            <w:r w:rsidRPr="00075849">
              <w:t xml:space="preserve">. The notification must include the accountability and assistance level of the child’s </w:t>
            </w:r>
            <w:r w:rsidR="00A848EC">
              <w:t>district and school</w:t>
            </w:r>
            <w:r w:rsidRPr="00075849">
              <w:t xml:space="preserve">; an explanation of what this designation means; an explanation of how parents can become involved in </w:t>
            </w:r>
            <w:r w:rsidR="00A848EC">
              <w:t>district and school</w:t>
            </w:r>
            <w:r w:rsidRPr="00075849">
              <w:t xml:space="preserve"> improvement activities; and information about teacher quality and right-to-know requirements regarding teacher qualifications.</w:t>
            </w:r>
          </w:p>
        </w:tc>
        <w:tc>
          <w:tcPr>
            <w:tcW w:w="1250" w:type="pct"/>
            <w:shd w:val="clear" w:color="auto" w:fill="auto"/>
          </w:tcPr>
          <w:p w:rsidR="00AE2876" w:rsidRPr="00075849" w:rsidRDefault="00AE2876" w:rsidP="00AE2876">
            <w:pPr>
              <w:pStyle w:val="NoSpacing"/>
            </w:pPr>
            <w:r w:rsidRPr="00075849">
              <w:t xml:space="preserve">The district has no specific fiscal requirements linked to </w:t>
            </w:r>
            <w:r w:rsidR="00095757">
              <w:t xml:space="preserve">its </w:t>
            </w:r>
            <w:r w:rsidRPr="00075849">
              <w:t>accountability and assistance level if the district is classified into Level 1.</w:t>
            </w:r>
          </w:p>
        </w:tc>
      </w:tr>
    </w:tbl>
    <w:p w:rsidR="00AE2876" w:rsidRDefault="00AE2876" w:rsidP="00AE2876"/>
    <w:p w:rsidR="00AE2876" w:rsidRDefault="00AE2876" w:rsidP="00AE2876">
      <w:r>
        <w:br w:type="page"/>
      </w:r>
    </w:p>
    <w:p w:rsidR="00C079CF" w:rsidRDefault="001E4AB9">
      <w:pPr>
        <w:spacing w:after="0"/>
      </w:pPr>
      <w:r w:rsidRPr="001E4AB9">
        <w:rPr>
          <w:b/>
          <w:color w:val="4F81BD" w:themeColor="accent1"/>
          <w:sz w:val="24"/>
        </w:rPr>
        <w:lastRenderedPageBreak/>
        <w:t>Required actions for districts and schools classified into Level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94"/>
        <w:gridCol w:w="2394"/>
        <w:gridCol w:w="2394"/>
        <w:gridCol w:w="2394"/>
      </w:tblGrid>
      <w:tr w:rsidR="00AE2876" w:rsidRPr="009C3327" w:rsidTr="00C92E2B">
        <w:trPr>
          <w:trHeight w:val="288"/>
          <w:jc w:val="center"/>
        </w:trPr>
        <w:tc>
          <w:tcPr>
            <w:tcW w:w="5000" w:type="pct"/>
            <w:gridSpan w:val="4"/>
            <w:shd w:val="clear" w:color="auto" w:fill="C6D9F1" w:themeFill="text2" w:themeFillTint="33"/>
            <w:vAlign w:val="center"/>
          </w:tcPr>
          <w:p w:rsidR="00AE2876" w:rsidRPr="009C3327" w:rsidRDefault="00AE2876" w:rsidP="00AE2876">
            <w:pPr>
              <w:pStyle w:val="NoSpacing"/>
              <w:rPr>
                <w:rFonts w:eastAsia="Calibri"/>
                <w:b/>
              </w:rPr>
            </w:pPr>
            <w:r w:rsidRPr="009C3327">
              <w:rPr>
                <w:b/>
              </w:rPr>
              <w:t>Level 2</w:t>
            </w:r>
          </w:p>
        </w:tc>
      </w:tr>
      <w:tr w:rsidR="00AE2876" w:rsidRPr="009C3327" w:rsidTr="00C92E2B">
        <w:trPr>
          <w:trHeight w:val="48"/>
          <w:jc w:val="center"/>
        </w:trPr>
        <w:tc>
          <w:tcPr>
            <w:tcW w:w="1250" w:type="pct"/>
            <w:shd w:val="clear" w:color="auto" w:fill="auto"/>
            <w:vAlign w:val="center"/>
          </w:tcPr>
          <w:p w:rsidR="00AE2876" w:rsidRPr="009C3327" w:rsidRDefault="00AE2876" w:rsidP="00AE2876">
            <w:pPr>
              <w:pStyle w:val="NoSpacing"/>
              <w:jc w:val="center"/>
              <w:rPr>
                <w:b/>
              </w:rPr>
            </w:pPr>
            <w:r w:rsidRPr="009C3327">
              <w:rPr>
                <w:b/>
              </w:rPr>
              <w:t>Occurs</w:t>
            </w:r>
          </w:p>
          <w:p w:rsidR="00AE2876" w:rsidRPr="009C3327" w:rsidRDefault="00AE2876" w:rsidP="00AE2876">
            <w:pPr>
              <w:pStyle w:val="NoSpacing"/>
              <w:jc w:val="center"/>
              <w:rPr>
                <w:b/>
              </w:rPr>
            </w:pPr>
            <w:r w:rsidRPr="009C3327">
              <w:rPr>
                <w:b/>
              </w:rPr>
              <w:t>when</w:t>
            </w:r>
          </w:p>
        </w:tc>
        <w:tc>
          <w:tcPr>
            <w:tcW w:w="1250" w:type="pct"/>
            <w:shd w:val="clear" w:color="auto" w:fill="auto"/>
            <w:vAlign w:val="center"/>
          </w:tcPr>
          <w:p w:rsidR="00AE2876" w:rsidRPr="009C3327" w:rsidRDefault="00AE2876" w:rsidP="00AE2876">
            <w:pPr>
              <w:pStyle w:val="NoSpacing"/>
              <w:jc w:val="center"/>
              <w:rPr>
                <w:b/>
              </w:rPr>
            </w:pPr>
            <w:r w:rsidRPr="009C3327">
              <w:rPr>
                <w:b/>
              </w:rPr>
              <w:t>Planning</w:t>
            </w:r>
          </w:p>
          <w:p w:rsidR="00AE2876" w:rsidRPr="009C3327" w:rsidRDefault="00AE2876" w:rsidP="00AE2876">
            <w:pPr>
              <w:pStyle w:val="NoSpacing"/>
              <w:jc w:val="center"/>
              <w:rPr>
                <w:b/>
              </w:rPr>
            </w:pPr>
            <w:r w:rsidRPr="009C3327">
              <w:rPr>
                <w:b/>
              </w:rPr>
              <w:t>requirements</w:t>
            </w:r>
          </w:p>
        </w:tc>
        <w:tc>
          <w:tcPr>
            <w:tcW w:w="1250" w:type="pct"/>
            <w:shd w:val="clear" w:color="auto" w:fill="auto"/>
            <w:vAlign w:val="center"/>
          </w:tcPr>
          <w:p w:rsidR="00AE2876" w:rsidRPr="009C3327" w:rsidRDefault="00AE2876" w:rsidP="00AE2876">
            <w:pPr>
              <w:pStyle w:val="NoSpacing"/>
              <w:jc w:val="center"/>
              <w:rPr>
                <w:b/>
              </w:rPr>
            </w:pPr>
            <w:r w:rsidRPr="009C3327">
              <w:rPr>
                <w:b/>
              </w:rPr>
              <w:t>Parent/guardian notification requirements</w:t>
            </w:r>
          </w:p>
        </w:tc>
        <w:tc>
          <w:tcPr>
            <w:tcW w:w="1250" w:type="pct"/>
            <w:shd w:val="clear" w:color="auto" w:fill="auto"/>
            <w:vAlign w:val="center"/>
          </w:tcPr>
          <w:p w:rsidR="00AE2876" w:rsidRPr="009C3327" w:rsidRDefault="00AE2876" w:rsidP="00AE2876">
            <w:pPr>
              <w:pStyle w:val="NoSpacing"/>
              <w:jc w:val="center"/>
              <w:rPr>
                <w:b/>
              </w:rPr>
            </w:pPr>
            <w:r w:rsidRPr="009C3327">
              <w:rPr>
                <w:b/>
              </w:rPr>
              <w:t>Fiscal</w:t>
            </w:r>
          </w:p>
          <w:p w:rsidR="00AE2876" w:rsidRPr="009C3327" w:rsidRDefault="00AE2876" w:rsidP="00AE2876">
            <w:pPr>
              <w:pStyle w:val="NoSpacing"/>
              <w:jc w:val="center"/>
              <w:rPr>
                <w:b/>
              </w:rPr>
            </w:pPr>
            <w:r w:rsidRPr="009C3327">
              <w:rPr>
                <w:b/>
              </w:rPr>
              <w:t>requirements</w:t>
            </w:r>
          </w:p>
        </w:tc>
      </w:tr>
      <w:tr w:rsidR="00AE2876" w:rsidRPr="00A549CF" w:rsidTr="00C92E2B">
        <w:trPr>
          <w:trHeight w:val="1070"/>
          <w:jc w:val="center"/>
        </w:trPr>
        <w:tc>
          <w:tcPr>
            <w:tcW w:w="1250" w:type="pct"/>
            <w:shd w:val="clear" w:color="auto" w:fill="auto"/>
          </w:tcPr>
          <w:p w:rsidR="00AE2876" w:rsidRDefault="00AE2876" w:rsidP="00AE2876">
            <w:pPr>
              <w:pStyle w:val="NoSpacing"/>
            </w:pPr>
            <w:r w:rsidRPr="00A549CF">
              <w:t xml:space="preserve">A </w:t>
            </w:r>
            <w:r w:rsidRPr="00A549CF">
              <w:rPr>
                <w:i/>
              </w:rPr>
              <w:t xml:space="preserve">school </w:t>
            </w:r>
            <w:r w:rsidRPr="00A549CF">
              <w:t xml:space="preserve">is classified into Level 2 if the school’s aggregate </w:t>
            </w:r>
            <w:r w:rsidRPr="00A549CF">
              <w:rPr>
                <w:i/>
              </w:rPr>
              <w:t>or</w:t>
            </w:r>
            <w:r w:rsidRPr="00A549CF">
              <w:t xml:space="preserve"> high needs cumulative PPIs are less than 75 or the </w:t>
            </w:r>
            <w:r>
              <w:t>assessment</w:t>
            </w:r>
            <w:r w:rsidRPr="00A549CF">
              <w:t xml:space="preserve"> participation rate for any group in the school is between 90 and 94.9 percent.</w:t>
            </w:r>
          </w:p>
          <w:p w:rsidR="00AE2876" w:rsidRPr="00A549CF" w:rsidRDefault="00AE2876" w:rsidP="00AE2876">
            <w:pPr>
              <w:pStyle w:val="NoSpacing"/>
            </w:pPr>
          </w:p>
          <w:p w:rsidR="00AE2876" w:rsidRDefault="00AE2876" w:rsidP="00AE2876">
            <w:pPr>
              <w:pStyle w:val="NoSpacing"/>
            </w:pPr>
            <w:r w:rsidRPr="00A549CF">
              <w:t xml:space="preserve">A </w:t>
            </w:r>
            <w:r w:rsidRPr="00A549CF">
              <w:rPr>
                <w:i/>
              </w:rPr>
              <w:t>district</w:t>
            </w:r>
            <w:r w:rsidRPr="00A549CF">
              <w:t xml:space="preserve"> is classified into Level 2 if the most serious level of any school in the district is Level 2</w:t>
            </w:r>
            <w:r w:rsidR="001241A7">
              <w:t xml:space="preserve"> </w:t>
            </w:r>
            <w:r w:rsidR="001241A7" w:rsidRPr="00A549CF">
              <w:t xml:space="preserve">or the </w:t>
            </w:r>
            <w:r w:rsidR="001241A7">
              <w:t>assessment</w:t>
            </w:r>
            <w:r w:rsidR="001241A7" w:rsidRPr="00A549CF">
              <w:t xml:space="preserve"> participation rate for any group in the </w:t>
            </w:r>
            <w:r w:rsidR="001241A7">
              <w:t>district</w:t>
            </w:r>
            <w:r w:rsidR="001241A7" w:rsidRPr="00A549CF">
              <w:t xml:space="preserve"> is between 90 and 94.9 percent</w:t>
            </w:r>
            <w:r w:rsidR="001241A7">
              <w:t>,</w:t>
            </w:r>
            <w:r w:rsidR="00B2645B">
              <w:t xml:space="preserve"> </w:t>
            </w:r>
            <w:r w:rsidRPr="00A549CF">
              <w:t>unless the district was independently classified into Level 4 or 5 as a result of Board action.</w:t>
            </w:r>
          </w:p>
          <w:p w:rsidR="00AE2876" w:rsidRPr="00A549CF" w:rsidRDefault="00AE2876" w:rsidP="00AE2876">
            <w:pPr>
              <w:pStyle w:val="NoSpacing"/>
            </w:pPr>
          </w:p>
          <w:p w:rsidR="00AE2876" w:rsidRPr="00A549CF" w:rsidRDefault="00AE2876" w:rsidP="00AE2876">
            <w:pPr>
              <w:pStyle w:val="NoSpacing"/>
            </w:pPr>
            <w:r w:rsidRPr="00A549CF">
              <w:t xml:space="preserve">Absent significant non-compliance issues, a Level 2 district’s determination of need for special education technical assistance or intervention is </w:t>
            </w:r>
            <w:r w:rsidRPr="00A549CF">
              <w:rPr>
                <w:i/>
              </w:rPr>
              <w:t>Meets Requirements – At Risk (MRAR)</w:t>
            </w:r>
            <w:r w:rsidRPr="00A549CF">
              <w:t>, indicating that the district is considered to be making progress, but is “at risk” for not meeting the needs of students with disabilities.</w:t>
            </w:r>
          </w:p>
        </w:tc>
        <w:tc>
          <w:tcPr>
            <w:tcW w:w="1250" w:type="pct"/>
            <w:shd w:val="clear" w:color="auto" w:fill="auto"/>
          </w:tcPr>
          <w:p w:rsidR="00AE2876" w:rsidRDefault="00AE2876" w:rsidP="00AE2876">
            <w:pPr>
              <w:pStyle w:val="NoSpacing"/>
            </w:pPr>
            <w:r w:rsidRPr="00A549CF">
              <w:t>Analyze disaggregated data for all student groups to ensure interventions and supports are appropriately aligned to address needs; review the performance of students with disabilities and consider improvement or capacity building activities, as appropriate.</w:t>
            </w:r>
          </w:p>
          <w:p w:rsidR="00AE2876" w:rsidRPr="00A549CF" w:rsidRDefault="00AE2876" w:rsidP="00AE2876">
            <w:pPr>
              <w:pStyle w:val="NoSpacing"/>
            </w:pPr>
          </w:p>
          <w:p w:rsidR="00AE2876" w:rsidRDefault="00AE2876" w:rsidP="00AE2876">
            <w:pPr>
              <w:pStyle w:val="NoSpacing"/>
              <w:rPr>
                <w:i/>
              </w:rPr>
            </w:pPr>
            <w:r w:rsidRPr="00A549CF">
              <w:t xml:space="preserve">Review and revise district and school improvement plans with respect to the level of implementation of Massachusetts’ </w:t>
            </w:r>
            <w:r w:rsidRPr="00A549CF">
              <w:rPr>
                <w:i/>
              </w:rPr>
              <w:t>District Standards and Indicators</w:t>
            </w:r>
            <w:r w:rsidRPr="00A549CF">
              <w:t xml:space="preserve"> and the </w:t>
            </w:r>
            <w:r w:rsidRPr="00A549CF">
              <w:rPr>
                <w:i/>
              </w:rPr>
              <w:t>Conditions for School Effectiveness.</w:t>
            </w:r>
          </w:p>
          <w:p w:rsidR="00AE2876" w:rsidRPr="00A549CF" w:rsidRDefault="00AE2876" w:rsidP="00AE2876">
            <w:pPr>
              <w:pStyle w:val="NoSpacing"/>
            </w:pPr>
          </w:p>
          <w:p w:rsidR="00AE2876" w:rsidRPr="00A549CF" w:rsidRDefault="00AE2876" w:rsidP="00164B79">
            <w:pPr>
              <w:pStyle w:val="NoSpacing"/>
            </w:pPr>
            <w:r w:rsidRPr="00A549CF">
              <w:t xml:space="preserve">Consider using online district analysis, review, and assistance tools or feedback from a district review if the district was reviewed by ESE in </w:t>
            </w:r>
            <w:r w:rsidR="00164B79">
              <w:t>2016-17.</w:t>
            </w:r>
          </w:p>
        </w:tc>
        <w:tc>
          <w:tcPr>
            <w:tcW w:w="1250" w:type="pct"/>
            <w:shd w:val="clear" w:color="auto" w:fill="auto"/>
          </w:tcPr>
          <w:p w:rsidR="00AE2876" w:rsidRPr="00A549CF" w:rsidRDefault="00AE2876" w:rsidP="00B434D8">
            <w:pPr>
              <w:pStyle w:val="NoSpacing"/>
            </w:pPr>
            <w:r w:rsidRPr="00A549CF">
              <w:t xml:space="preserve">Disseminate </w:t>
            </w:r>
            <w:r w:rsidR="00543278">
              <w:t>the school</w:t>
            </w:r>
            <w:r w:rsidRPr="00A549CF">
              <w:t xml:space="preserve"> report card to parents/guardians of all children </w:t>
            </w:r>
            <w:r w:rsidR="00B434D8">
              <w:t>once available</w:t>
            </w:r>
            <w:r w:rsidRPr="00A549CF">
              <w:t xml:space="preserve">. The notification must include the accountability and assistance level of the child’s </w:t>
            </w:r>
            <w:r w:rsidR="00A848EC">
              <w:t>district and school</w:t>
            </w:r>
            <w:r w:rsidRPr="00A549CF">
              <w:t xml:space="preserve">; an explanation of what this designation means; an explanation of how parents can become involved in </w:t>
            </w:r>
            <w:r w:rsidR="00A848EC">
              <w:t>district and school</w:t>
            </w:r>
            <w:r w:rsidRPr="00A549CF">
              <w:t xml:space="preserve"> improvement activities; and information about teacher quality and right-to-know requirements regarding teacher qualifications.</w:t>
            </w:r>
          </w:p>
        </w:tc>
        <w:tc>
          <w:tcPr>
            <w:tcW w:w="1250" w:type="pct"/>
            <w:shd w:val="clear" w:color="auto" w:fill="auto"/>
          </w:tcPr>
          <w:p w:rsidR="00AE2876" w:rsidRPr="00A549CF" w:rsidRDefault="00AE2876" w:rsidP="00AE2876">
            <w:pPr>
              <w:pStyle w:val="NoSpacing"/>
            </w:pPr>
            <w:r w:rsidRPr="00A549CF">
              <w:t>Prioritize schools based on need and spend a prescribed portion of the district's Title I, Part A allocation (between 5 and 20 percent on a sliding scale determined by ESE) on interventions and supports that address the needs of the district's lowest-achieving students in its lowest-performing schools, either through an additional allocation of funds directly to schools, through a district reservation, or both, or both, as determined by the district.</w:t>
            </w:r>
          </w:p>
        </w:tc>
      </w:tr>
    </w:tbl>
    <w:p w:rsidR="00AE2876" w:rsidRDefault="00AE2876">
      <w:pPr>
        <w:spacing w:after="200"/>
        <w:rPr>
          <w:rFonts w:eastAsiaTheme="majorEastAsia" w:cstheme="majorBidi"/>
          <w:b/>
          <w:bCs/>
          <w:color w:val="4F81BD" w:themeColor="accent1"/>
          <w:sz w:val="24"/>
          <w:szCs w:val="26"/>
        </w:rPr>
      </w:pPr>
      <w:r>
        <w:br w:type="page"/>
      </w:r>
    </w:p>
    <w:p w:rsidR="00C079CF" w:rsidRDefault="001E4AB9">
      <w:pPr>
        <w:spacing w:after="0"/>
      </w:pPr>
      <w:r w:rsidRPr="001E4AB9">
        <w:rPr>
          <w:b/>
          <w:color w:val="4F81BD" w:themeColor="accent1"/>
          <w:sz w:val="24"/>
        </w:rPr>
        <w:lastRenderedPageBreak/>
        <w:t>Required actions for districts and schools classified into Level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94"/>
        <w:gridCol w:w="2394"/>
        <w:gridCol w:w="2394"/>
        <w:gridCol w:w="2394"/>
      </w:tblGrid>
      <w:tr w:rsidR="00AE2876" w:rsidRPr="009C3327" w:rsidTr="00C92E2B">
        <w:trPr>
          <w:trHeight w:val="288"/>
        </w:trPr>
        <w:tc>
          <w:tcPr>
            <w:tcW w:w="5000" w:type="pct"/>
            <w:gridSpan w:val="4"/>
            <w:shd w:val="clear" w:color="auto" w:fill="C6D9F1" w:themeFill="text2" w:themeFillTint="33"/>
            <w:vAlign w:val="center"/>
          </w:tcPr>
          <w:p w:rsidR="00AE2876" w:rsidRPr="009C3327" w:rsidRDefault="00AE2876" w:rsidP="00AE2876">
            <w:pPr>
              <w:pStyle w:val="NoSpacing"/>
              <w:rPr>
                <w:b/>
              </w:rPr>
            </w:pPr>
            <w:r w:rsidRPr="009C3327">
              <w:rPr>
                <w:b/>
              </w:rPr>
              <w:t>Level 3</w:t>
            </w:r>
          </w:p>
        </w:tc>
      </w:tr>
      <w:tr w:rsidR="00AE2876" w:rsidRPr="009C3327" w:rsidTr="00C92E2B">
        <w:trPr>
          <w:trHeight w:val="48"/>
        </w:trPr>
        <w:tc>
          <w:tcPr>
            <w:tcW w:w="1250" w:type="pct"/>
            <w:shd w:val="clear" w:color="auto" w:fill="auto"/>
            <w:vAlign w:val="center"/>
          </w:tcPr>
          <w:p w:rsidR="00AE2876" w:rsidRPr="009C3327" w:rsidRDefault="00AE2876" w:rsidP="00AE2876">
            <w:pPr>
              <w:pStyle w:val="NoSpacing"/>
              <w:jc w:val="center"/>
              <w:rPr>
                <w:b/>
                <w:color w:val="000000"/>
              </w:rPr>
            </w:pPr>
            <w:r w:rsidRPr="009C3327">
              <w:rPr>
                <w:b/>
                <w:color w:val="000000"/>
              </w:rPr>
              <w:t>Occurs</w:t>
            </w:r>
          </w:p>
          <w:p w:rsidR="00AE2876" w:rsidRPr="009C3327" w:rsidRDefault="00AE2876" w:rsidP="00AE2876">
            <w:pPr>
              <w:pStyle w:val="NoSpacing"/>
              <w:jc w:val="center"/>
              <w:rPr>
                <w:b/>
                <w:color w:val="000000"/>
              </w:rPr>
            </w:pPr>
            <w:r w:rsidRPr="009C3327">
              <w:rPr>
                <w:b/>
                <w:color w:val="000000"/>
              </w:rPr>
              <w:t>when</w:t>
            </w:r>
          </w:p>
        </w:tc>
        <w:tc>
          <w:tcPr>
            <w:tcW w:w="1250" w:type="pct"/>
            <w:shd w:val="clear" w:color="auto" w:fill="auto"/>
            <w:vAlign w:val="center"/>
          </w:tcPr>
          <w:p w:rsidR="00AE2876" w:rsidRPr="009C3327" w:rsidRDefault="00AE2876" w:rsidP="00AE2876">
            <w:pPr>
              <w:pStyle w:val="NoSpacing"/>
              <w:jc w:val="center"/>
              <w:rPr>
                <w:b/>
                <w:color w:val="000000"/>
              </w:rPr>
            </w:pPr>
            <w:r w:rsidRPr="009C3327">
              <w:rPr>
                <w:b/>
                <w:color w:val="000000"/>
              </w:rPr>
              <w:t>Planning</w:t>
            </w:r>
          </w:p>
          <w:p w:rsidR="00AE2876" w:rsidRPr="009C3327" w:rsidRDefault="00AE2876" w:rsidP="00AE2876">
            <w:pPr>
              <w:pStyle w:val="NoSpacing"/>
              <w:jc w:val="center"/>
              <w:rPr>
                <w:b/>
                <w:color w:val="000000"/>
              </w:rPr>
            </w:pPr>
            <w:r w:rsidRPr="009C3327">
              <w:rPr>
                <w:b/>
                <w:color w:val="000000"/>
              </w:rPr>
              <w:t>requirements</w:t>
            </w:r>
          </w:p>
        </w:tc>
        <w:tc>
          <w:tcPr>
            <w:tcW w:w="1250" w:type="pct"/>
            <w:shd w:val="clear" w:color="auto" w:fill="auto"/>
            <w:vAlign w:val="center"/>
          </w:tcPr>
          <w:p w:rsidR="00AE2876" w:rsidRPr="009C3327" w:rsidRDefault="00AE2876" w:rsidP="00AE2876">
            <w:pPr>
              <w:pStyle w:val="NoSpacing"/>
              <w:jc w:val="center"/>
              <w:rPr>
                <w:b/>
                <w:color w:val="000000"/>
              </w:rPr>
            </w:pPr>
            <w:r w:rsidRPr="009C3327">
              <w:rPr>
                <w:b/>
                <w:color w:val="000000"/>
              </w:rPr>
              <w:t>Parent/guardian notification requirements</w:t>
            </w:r>
          </w:p>
        </w:tc>
        <w:tc>
          <w:tcPr>
            <w:tcW w:w="1250" w:type="pct"/>
            <w:shd w:val="clear" w:color="auto" w:fill="auto"/>
            <w:vAlign w:val="center"/>
          </w:tcPr>
          <w:p w:rsidR="00AE2876" w:rsidRPr="009C3327" w:rsidRDefault="00AE2876" w:rsidP="00AE2876">
            <w:pPr>
              <w:pStyle w:val="NoSpacing"/>
              <w:jc w:val="center"/>
              <w:rPr>
                <w:b/>
                <w:color w:val="000000"/>
              </w:rPr>
            </w:pPr>
            <w:r w:rsidRPr="009C3327">
              <w:rPr>
                <w:b/>
                <w:color w:val="000000"/>
              </w:rPr>
              <w:t>Fiscal</w:t>
            </w:r>
          </w:p>
          <w:p w:rsidR="00AE2876" w:rsidRPr="009C3327" w:rsidRDefault="00AE2876" w:rsidP="00AE2876">
            <w:pPr>
              <w:pStyle w:val="NoSpacing"/>
              <w:jc w:val="center"/>
              <w:rPr>
                <w:b/>
                <w:color w:val="000000"/>
              </w:rPr>
            </w:pPr>
            <w:r w:rsidRPr="009C3327">
              <w:rPr>
                <w:b/>
                <w:color w:val="000000"/>
              </w:rPr>
              <w:t>requirements</w:t>
            </w:r>
          </w:p>
        </w:tc>
      </w:tr>
      <w:tr w:rsidR="00AE2876" w:rsidRPr="000738DC" w:rsidTr="00C92E2B">
        <w:trPr>
          <w:trHeight w:val="890"/>
        </w:trPr>
        <w:tc>
          <w:tcPr>
            <w:tcW w:w="1250" w:type="pct"/>
            <w:shd w:val="clear" w:color="auto" w:fill="auto"/>
          </w:tcPr>
          <w:p w:rsidR="00AE2876" w:rsidRDefault="00AE2876" w:rsidP="00AE2876">
            <w:pPr>
              <w:pStyle w:val="NoSpacing"/>
              <w:rPr>
                <w:color w:val="000000"/>
              </w:rPr>
            </w:pPr>
            <w:r w:rsidRPr="000738DC">
              <w:rPr>
                <w:color w:val="000000"/>
              </w:rPr>
              <w:t xml:space="preserve">A </w:t>
            </w:r>
            <w:r w:rsidRPr="000738DC">
              <w:rPr>
                <w:i/>
                <w:color w:val="000000"/>
              </w:rPr>
              <w:t>school</w:t>
            </w:r>
            <w:r w:rsidRPr="000738DC">
              <w:rPr>
                <w:color w:val="000000"/>
              </w:rPr>
              <w:t xml:space="preserve"> is classified into Level 3 if it places in the lowest 20 percent in the aggregate relative to other schools in the same </w:t>
            </w:r>
            <w:r>
              <w:rPr>
                <w:color w:val="000000"/>
              </w:rPr>
              <w:t>school type category</w:t>
            </w:r>
            <w:r w:rsidRPr="000738DC">
              <w:rPr>
                <w:color w:val="000000"/>
              </w:rPr>
              <w:t xml:space="preserve"> statewide; one or more subgroups in the school </w:t>
            </w:r>
            <w:r w:rsidR="000529C8">
              <w:rPr>
                <w:color w:val="000000"/>
              </w:rPr>
              <w:t>is among the lowest performing subgroups statewide</w:t>
            </w:r>
            <w:r w:rsidRPr="000738DC">
              <w:rPr>
                <w:color w:val="000000"/>
              </w:rPr>
              <w:t xml:space="preserve">; </w:t>
            </w:r>
            <w:r w:rsidR="000529C8">
              <w:rPr>
                <w:color w:val="000000"/>
              </w:rPr>
              <w:t xml:space="preserve">one or more subgroups in the school has persistently low graduation rates; </w:t>
            </w:r>
            <w:r w:rsidRPr="000738DC">
              <w:rPr>
                <w:color w:val="000000"/>
              </w:rPr>
              <w:t xml:space="preserve">or </w:t>
            </w:r>
            <w:r>
              <w:rPr>
                <w:color w:val="000000"/>
              </w:rPr>
              <w:t>assessment</w:t>
            </w:r>
            <w:r w:rsidRPr="000738DC">
              <w:rPr>
                <w:color w:val="000000"/>
              </w:rPr>
              <w:t xml:space="preserve"> participation rate for any group in the school is below 90 percent.</w:t>
            </w:r>
          </w:p>
          <w:p w:rsidR="00AE2876" w:rsidRPr="000738DC" w:rsidRDefault="00AE2876" w:rsidP="00AE2876">
            <w:pPr>
              <w:pStyle w:val="NoSpacing"/>
            </w:pPr>
          </w:p>
          <w:p w:rsidR="00AE2876" w:rsidRDefault="00AE2876" w:rsidP="00AE2876">
            <w:pPr>
              <w:pStyle w:val="NoSpacing"/>
              <w:rPr>
                <w:color w:val="000000"/>
              </w:rPr>
            </w:pPr>
            <w:r w:rsidRPr="000738DC">
              <w:rPr>
                <w:color w:val="000000"/>
              </w:rPr>
              <w:t xml:space="preserve">A </w:t>
            </w:r>
            <w:r w:rsidRPr="000738DC">
              <w:rPr>
                <w:i/>
                <w:color w:val="000000"/>
              </w:rPr>
              <w:t>district</w:t>
            </w:r>
            <w:r w:rsidRPr="000738DC">
              <w:rPr>
                <w:color w:val="000000"/>
              </w:rPr>
              <w:t xml:space="preserve"> is classified into Level 3 if the most serious level of any school in the district is Level 3</w:t>
            </w:r>
            <w:r w:rsidR="001241A7">
              <w:rPr>
                <w:color w:val="000000"/>
              </w:rPr>
              <w:t xml:space="preserve"> </w:t>
            </w:r>
            <w:r w:rsidR="001241A7" w:rsidRPr="00A549CF">
              <w:t xml:space="preserve">or the </w:t>
            </w:r>
            <w:r w:rsidR="001241A7">
              <w:t>assessment</w:t>
            </w:r>
            <w:r w:rsidR="001241A7" w:rsidRPr="00A549CF">
              <w:t xml:space="preserve"> participation rate for any group in the </w:t>
            </w:r>
            <w:r w:rsidR="001241A7">
              <w:t>district</w:t>
            </w:r>
            <w:r w:rsidR="001241A7" w:rsidRPr="00A549CF">
              <w:t xml:space="preserve"> is </w:t>
            </w:r>
            <w:r w:rsidR="000529C8">
              <w:t>less than 90</w:t>
            </w:r>
            <w:r w:rsidR="001241A7" w:rsidRPr="00A549CF">
              <w:t xml:space="preserve"> percent</w:t>
            </w:r>
            <w:r w:rsidRPr="000738DC">
              <w:rPr>
                <w:color w:val="000000"/>
              </w:rPr>
              <w:t>, unless the district was independently classified into Level 4 or 5 as a result of Board action.</w:t>
            </w:r>
          </w:p>
          <w:p w:rsidR="00AE2876" w:rsidRPr="000738DC" w:rsidRDefault="00AE2876" w:rsidP="00AE2876">
            <w:pPr>
              <w:pStyle w:val="NoSpacing"/>
              <w:rPr>
                <w:color w:val="000000"/>
              </w:rPr>
            </w:pPr>
          </w:p>
          <w:p w:rsidR="00AE2876" w:rsidRPr="000738DC" w:rsidRDefault="00AE2876" w:rsidP="00AE2876">
            <w:pPr>
              <w:pStyle w:val="NoSpacing"/>
            </w:pPr>
            <w:r w:rsidRPr="000738DC">
              <w:rPr>
                <w:color w:val="000000"/>
              </w:rPr>
              <w:t xml:space="preserve">A Level 3 district’s determination of need for special education technical assistance or intervention is </w:t>
            </w:r>
            <w:r w:rsidRPr="000738DC">
              <w:rPr>
                <w:i/>
                <w:color w:val="000000"/>
              </w:rPr>
              <w:t>Needs Technical Assistance (NTA)</w:t>
            </w:r>
            <w:r w:rsidRPr="000738DC">
              <w:rPr>
                <w:color w:val="000000"/>
              </w:rPr>
              <w:t>, indicating that while areas of the district’s performance may be positive, one or more schools are experiencing poor outcomes for students with disabilities and/or are having compliance issues.</w:t>
            </w:r>
          </w:p>
        </w:tc>
        <w:tc>
          <w:tcPr>
            <w:tcW w:w="1250" w:type="pct"/>
            <w:shd w:val="clear" w:color="auto" w:fill="auto"/>
          </w:tcPr>
          <w:p w:rsidR="00AE2876" w:rsidRDefault="00AE2876" w:rsidP="00AE2876">
            <w:pPr>
              <w:pStyle w:val="NoSpacing"/>
              <w:rPr>
                <w:color w:val="000000"/>
              </w:rPr>
            </w:pPr>
            <w:r w:rsidRPr="000738DC">
              <w:rPr>
                <w:color w:val="000000"/>
              </w:rPr>
              <w:t>Analyze disaggregated data for all student groups to ensure interventions and supports are appropriately aligned to address needs; review the performance of students with disabilities and consider improvement or capacity building activities, as appropriate.</w:t>
            </w:r>
          </w:p>
          <w:p w:rsidR="00AE2876" w:rsidRPr="000738DC" w:rsidRDefault="00AE2876" w:rsidP="00AE2876">
            <w:pPr>
              <w:pStyle w:val="NoSpacing"/>
              <w:rPr>
                <w:color w:val="000000"/>
              </w:rPr>
            </w:pPr>
          </w:p>
          <w:p w:rsidR="00AE2876" w:rsidRDefault="00AE2876" w:rsidP="00AE2876">
            <w:pPr>
              <w:pStyle w:val="NoSpacing"/>
              <w:rPr>
                <w:i/>
                <w:color w:val="000000"/>
              </w:rPr>
            </w:pPr>
            <w:r w:rsidRPr="000738DC">
              <w:rPr>
                <w:color w:val="000000"/>
              </w:rPr>
              <w:t xml:space="preserve">Use the </w:t>
            </w:r>
            <w:r w:rsidRPr="000738DC">
              <w:rPr>
                <w:i/>
                <w:color w:val="000000"/>
              </w:rPr>
              <w:t>Conditions for School Effectiveness Self-Assessment</w:t>
            </w:r>
            <w:r w:rsidRPr="000738DC">
              <w:rPr>
                <w:color w:val="000000"/>
              </w:rPr>
              <w:t xml:space="preserve"> or the </w:t>
            </w:r>
            <w:r w:rsidRPr="000738DC">
              <w:rPr>
                <w:i/>
                <w:color w:val="000000"/>
              </w:rPr>
              <w:t xml:space="preserve">District Standards Self-Assessment </w:t>
            </w:r>
            <w:r w:rsidRPr="000738DC">
              <w:rPr>
                <w:color w:val="000000"/>
              </w:rPr>
              <w:t xml:space="preserve">to review and revise district and school improvement plans with respect to the level of implementation of Massachusetts’ </w:t>
            </w:r>
            <w:r w:rsidRPr="000738DC">
              <w:rPr>
                <w:i/>
                <w:color w:val="000000"/>
              </w:rPr>
              <w:t>District Standards and Indicators</w:t>
            </w:r>
            <w:r w:rsidRPr="000738DC">
              <w:rPr>
                <w:color w:val="000000"/>
              </w:rPr>
              <w:t xml:space="preserve"> and the </w:t>
            </w:r>
            <w:r w:rsidRPr="000738DC">
              <w:rPr>
                <w:i/>
                <w:color w:val="000000"/>
              </w:rPr>
              <w:t>Conditions for School Effectiveness.</w:t>
            </w:r>
          </w:p>
          <w:p w:rsidR="00AE2876" w:rsidRPr="000738DC" w:rsidRDefault="00AE2876" w:rsidP="00AE2876">
            <w:pPr>
              <w:pStyle w:val="NoSpacing"/>
              <w:rPr>
                <w:color w:val="000000"/>
              </w:rPr>
            </w:pPr>
          </w:p>
          <w:p w:rsidR="00AE2876" w:rsidRDefault="00AE2876" w:rsidP="00AE2876">
            <w:pPr>
              <w:pStyle w:val="NoSpacing"/>
              <w:rPr>
                <w:color w:val="000000"/>
              </w:rPr>
            </w:pPr>
            <w:r w:rsidRPr="000738DC">
              <w:rPr>
                <w:color w:val="000000"/>
              </w:rPr>
              <w:t xml:space="preserve">Consider using online district analysis, review, and assistance tools or feedback from a district review if the district was reviewed by ESE in </w:t>
            </w:r>
            <w:r w:rsidR="00164B79">
              <w:rPr>
                <w:color w:val="000000"/>
              </w:rPr>
              <w:t>2016-17.</w:t>
            </w:r>
          </w:p>
          <w:p w:rsidR="00AE2876" w:rsidRPr="000738DC" w:rsidRDefault="00AE2876" w:rsidP="00AE2876">
            <w:pPr>
              <w:pStyle w:val="NoSpacing"/>
              <w:rPr>
                <w:color w:val="000000"/>
              </w:rPr>
            </w:pPr>
          </w:p>
          <w:p w:rsidR="00AE2876" w:rsidRPr="000738DC" w:rsidRDefault="00AE2876" w:rsidP="00AE2876">
            <w:pPr>
              <w:pStyle w:val="NoSpacing"/>
              <w:rPr>
                <w:color w:val="000000"/>
              </w:rPr>
            </w:pPr>
            <w:r w:rsidRPr="000738DC">
              <w:rPr>
                <w:color w:val="000000"/>
              </w:rPr>
              <w:t>Consult with the District and School Assistance Center (DSAC) regarding the district’s proposed supports and interventions for low-performing schools.</w:t>
            </w:r>
          </w:p>
        </w:tc>
        <w:tc>
          <w:tcPr>
            <w:tcW w:w="1250" w:type="pct"/>
            <w:shd w:val="clear" w:color="auto" w:fill="auto"/>
          </w:tcPr>
          <w:p w:rsidR="00AE2876" w:rsidRPr="000738DC" w:rsidRDefault="00AE2876" w:rsidP="00AE2876">
            <w:pPr>
              <w:pStyle w:val="NoSpacing"/>
              <w:rPr>
                <w:color w:val="000000"/>
              </w:rPr>
            </w:pPr>
            <w:r w:rsidRPr="000738DC">
              <w:rPr>
                <w:color w:val="000000"/>
              </w:rPr>
              <w:t xml:space="preserve">Disseminate </w:t>
            </w:r>
            <w:r w:rsidR="00543278">
              <w:rPr>
                <w:color w:val="000000"/>
              </w:rPr>
              <w:t>the school</w:t>
            </w:r>
            <w:r w:rsidRPr="000738DC">
              <w:rPr>
                <w:color w:val="000000"/>
              </w:rPr>
              <w:t xml:space="preserve"> report card to parents/guardians of all children </w:t>
            </w:r>
            <w:r w:rsidR="00B434D8">
              <w:rPr>
                <w:color w:val="000000"/>
              </w:rPr>
              <w:t>once available</w:t>
            </w:r>
            <w:r w:rsidRPr="000738DC">
              <w:rPr>
                <w:color w:val="000000"/>
              </w:rPr>
              <w:t xml:space="preserve">. The notification must include the accountability and assistance level of the child’s </w:t>
            </w:r>
            <w:r w:rsidR="00A848EC">
              <w:rPr>
                <w:color w:val="000000"/>
              </w:rPr>
              <w:t>district and school</w:t>
            </w:r>
            <w:r w:rsidRPr="000738DC">
              <w:rPr>
                <w:color w:val="000000"/>
              </w:rPr>
              <w:t xml:space="preserve">; an explanation of what this designation means; an explanation of how parents can become involved in </w:t>
            </w:r>
            <w:r w:rsidR="00A848EC">
              <w:rPr>
                <w:color w:val="000000"/>
              </w:rPr>
              <w:t>district and school</w:t>
            </w:r>
            <w:r w:rsidRPr="000738DC">
              <w:rPr>
                <w:color w:val="000000"/>
              </w:rPr>
              <w:t xml:space="preserve"> improvement activities; and information about teacher quality and right-to-know requirements regarding teacher qualifications</w:t>
            </w:r>
          </w:p>
          <w:p w:rsidR="00AE2876" w:rsidRPr="000738DC" w:rsidRDefault="00AE2876" w:rsidP="00AE2876">
            <w:pPr>
              <w:pStyle w:val="NoSpacing"/>
              <w:rPr>
                <w:color w:val="000000"/>
              </w:rPr>
            </w:pPr>
          </w:p>
        </w:tc>
        <w:tc>
          <w:tcPr>
            <w:tcW w:w="1250" w:type="pct"/>
            <w:shd w:val="clear" w:color="auto" w:fill="auto"/>
          </w:tcPr>
          <w:p w:rsidR="00AE2876" w:rsidRPr="000738DC" w:rsidRDefault="00AE2876" w:rsidP="00AE2876">
            <w:pPr>
              <w:pStyle w:val="NoSpacing"/>
              <w:rPr>
                <w:color w:val="000000"/>
              </w:rPr>
            </w:pPr>
            <w:r w:rsidRPr="000738DC">
              <w:rPr>
                <w:color w:val="000000"/>
              </w:rPr>
              <w:t>Prioritize schools based on need and spend 20 percent of the district's Title I, Part A allocation on interventions and supports that address the needs of the district's lowest-achieving students in its lowest-performing schools, either through an additional allocation of funds directly to schools, through a district reservation, or both, or both, as determined by the district.</w:t>
            </w:r>
          </w:p>
          <w:p w:rsidR="00AE2876" w:rsidRDefault="00AE2876" w:rsidP="00AE2876">
            <w:pPr>
              <w:pStyle w:val="NoSpacing"/>
              <w:rPr>
                <w:color w:val="000000"/>
              </w:rPr>
            </w:pPr>
          </w:p>
          <w:p w:rsidR="00AE2876" w:rsidRPr="000738DC" w:rsidRDefault="00AE2876" w:rsidP="00AE2876">
            <w:pPr>
              <w:pStyle w:val="NoSpacing"/>
              <w:rPr>
                <w:color w:val="000000"/>
              </w:rPr>
            </w:pPr>
            <w:r w:rsidRPr="000738DC">
              <w:rPr>
                <w:color w:val="000000"/>
              </w:rPr>
              <w:t>ESE approves interventions and supports as proposed in district’s Title I, Part A grant application.</w:t>
            </w:r>
          </w:p>
          <w:p w:rsidR="00AE2876" w:rsidRDefault="00AE2876" w:rsidP="00AE2876">
            <w:pPr>
              <w:pStyle w:val="NoSpacing"/>
              <w:rPr>
                <w:color w:val="000000"/>
              </w:rPr>
            </w:pPr>
          </w:p>
          <w:p w:rsidR="00AE2876" w:rsidRPr="000738DC" w:rsidRDefault="00AE2876" w:rsidP="00AE2876">
            <w:pPr>
              <w:pStyle w:val="NoSpacing"/>
            </w:pPr>
            <w:r w:rsidRPr="000738DC">
              <w:rPr>
                <w:color w:val="000000"/>
              </w:rPr>
              <w:t>ESE may direct funds under Individuals with Disabilities Education Act (IDEA) grant programs for specific improvement activities for students with disabilities.</w:t>
            </w:r>
          </w:p>
        </w:tc>
      </w:tr>
    </w:tbl>
    <w:p w:rsidR="00392625" w:rsidRDefault="00392625" w:rsidP="004A1221">
      <w:pPr>
        <w:spacing w:after="0"/>
        <w:rPr>
          <w:b/>
          <w:color w:val="4F81BD" w:themeColor="accent1"/>
          <w:sz w:val="24"/>
        </w:rPr>
      </w:pPr>
    </w:p>
    <w:p w:rsidR="004A1221" w:rsidRPr="004A1221" w:rsidRDefault="004A1221" w:rsidP="004A1221">
      <w:pPr>
        <w:spacing w:after="0"/>
        <w:rPr>
          <w:b/>
          <w:color w:val="4F81BD" w:themeColor="accent1"/>
          <w:sz w:val="24"/>
        </w:rPr>
      </w:pPr>
      <w:r w:rsidRPr="001E4AB9">
        <w:rPr>
          <w:b/>
          <w:color w:val="4F81BD" w:themeColor="accent1"/>
          <w:sz w:val="24"/>
        </w:rPr>
        <w:lastRenderedPageBreak/>
        <w:t>Required actions for districts and schools classified into Level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409"/>
        <w:gridCol w:w="2388"/>
        <w:gridCol w:w="2427"/>
        <w:gridCol w:w="2352"/>
      </w:tblGrid>
      <w:tr w:rsidR="00AE2876" w:rsidRPr="009C3327" w:rsidTr="00C92E2B">
        <w:trPr>
          <w:trHeight w:val="288"/>
        </w:trPr>
        <w:tc>
          <w:tcPr>
            <w:tcW w:w="5000" w:type="pct"/>
            <w:gridSpan w:val="4"/>
            <w:shd w:val="clear" w:color="auto" w:fill="C6D9F1" w:themeFill="text2" w:themeFillTint="33"/>
            <w:vAlign w:val="center"/>
          </w:tcPr>
          <w:p w:rsidR="00AE2876" w:rsidRPr="009C3327" w:rsidRDefault="004A1221" w:rsidP="004A1221">
            <w:pPr>
              <w:pStyle w:val="NoSpacing"/>
              <w:rPr>
                <w:b/>
              </w:rPr>
            </w:pPr>
            <w:r>
              <w:rPr>
                <w:b/>
              </w:rPr>
              <w:t>Level 4</w:t>
            </w:r>
          </w:p>
        </w:tc>
      </w:tr>
      <w:tr w:rsidR="00AE2876" w:rsidRPr="009C3327" w:rsidTr="00C92E2B">
        <w:trPr>
          <w:trHeight w:val="48"/>
        </w:trPr>
        <w:tc>
          <w:tcPr>
            <w:tcW w:w="1258" w:type="pct"/>
            <w:shd w:val="clear" w:color="auto" w:fill="auto"/>
            <w:vAlign w:val="center"/>
          </w:tcPr>
          <w:p w:rsidR="00AE2876" w:rsidRPr="009C3327" w:rsidRDefault="00AE2876" w:rsidP="00AE2876">
            <w:pPr>
              <w:pStyle w:val="NoSpacing"/>
              <w:jc w:val="center"/>
              <w:rPr>
                <w:b/>
              </w:rPr>
            </w:pPr>
            <w:r w:rsidRPr="009C3327">
              <w:rPr>
                <w:b/>
              </w:rPr>
              <w:t>Occurs</w:t>
            </w:r>
          </w:p>
          <w:p w:rsidR="00AE2876" w:rsidRPr="009C3327" w:rsidRDefault="00AE2876" w:rsidP="00AE2876">
            <w:pPr>
              <w:pStyle w:val="NoSpacing"/>
              <w:jc w:val="center"/>
              <w:rPr>
                <w:b/>
              </w:rPr>
            </w:pPr>
            <w:r w:rsidRPr="009C3327">
              <w:rPr>
                <w:b/>
              </w:rPr>
              <w:t>when</w:t>
            </w:r>
          </w:p>
        </w:tc>
        <w:tc>
          <w:tcPr>
            <w:tcW w:w="1247" w:type="pct"/>
            <w:shd w:val="clear" w:color="auto" w:fill="auto"/>
            <w:vAlign w:val="center"/>
          </w:tcPr>
          <w:p w:rsidR="00AE2876" w:rsidRPr="009C3327" w:rsidRDefault="00AE2876" w:rsidP="00AE2876">
            <w:pPr>
              <w:pStyle w:val="NoSpacing"/>
              <w:jc w:val="center"/>
              <w:rPr>
                <w:b/>
              </w:rPr>
            </w:pPr>
            <w:r w:rsidRPr="009C3327">
              <w:rPr>
                <w:b/>
              </w:rPr>
              <w:t>Planning</w:t>
            </w:r>
          </w:p>
          <w:p w:rsidR="00AE2876" w:rsidRPr="009C3327" w:rsidRDefault="00AE2876" w:rsidP="00AE2876">
            <w:pPr>
              <w:pStyle w:val="NoSpacing"/>
              <w:jc w:val="center"/>
              <w:rPr>
                <w:b/>
              </w:rPr>
            </w:pPr>
            <w:r w:rsidRPr="009C3327">
              <w:rPr>
                <w:b/>
              </w:rPr>
              <w:t>requirements</w:t>
            </w:r>
          </w:p>
        </w:tc>
        <w:tc>
          <w:tcPr>
            <w:tcW w:w="1267" w:type="pct"/>
            <w:shd w:val="clear" w:color="auto" w:fill="auto"/>
            <w:vAlign w:val="center"/>
          </w:tcPr>
          <w:p w:rsidR="00AE2876" w:rsidRPr="009C3327" w:rsidRDefault="00AE2876" w:rsidP="00AE2876">
            <w:pPr>
              <w:pStyle w:val="NoSpacing"/>
              <w:jc w:val="center"/>
              <w:rPr>
                <w:b/>
              </w:rPr>
            </w:pPr>
            <w:r w:rsidRPr="009C3327">
              <w:rPr>
                <w:b/>
              </w:rPr>
              <w:t>Parent/guardian notification requirements</w:t>
            </w:r>
          </w:p>
        </w:tc>
        <w:tc>
          <w:tcPr>
            <w:tcW w:w="1228" w:type="pct"/>
            <w:shd w:val="clear" w:color="auto" w:fill="auto"/>
            <w:vAlign w:val="center"/>
          </w:tcPr>
          <w:p w:rsidR="00AE2876" w:rsidRPr="009C3327" w:rsidRDefault="00AE2876" w:rsidP="00AE2876">
            <w:pPr>
              <w:pStyle w:val="NoSpacing"/>
              <w:jc w:val="center"/>
              <w:rPr>
                <w:b/>
              </w:rPr>
            </w:pPr>
            <w:r w:rsidRPr="009C3327">
              <w:rPr>
                <w:b/>
              </w:rPr>
              <w:t>Fiscal</w:t>
            </w:r>
          </w:p>
          <w:p w:rsidR="00AE2876" w:rsidRPr="009C3327" w:rsidRDefault="00AE2876" w:rsidP="00AE2876">
            <w:pPr>
              <w:pStyle w:val="NoSpacing"/>
              <w:jc w:val="center"/>
              <w:rPr>
                <w:b/>
              </w:rPr>
            </w:pPr>
            <w:r w:rsidRPr="009C3327">
              <w:rPr>
                <w:b/>
              </w:rPr>
              <w:t>requirements</w:t>
            </w:r>
          </w:p>
        </w:tc>
      </w:tr>
      <w:tr w:rsidR="00AE2876" w:rsidRPr="000738DC" w:rsidTr="00C92E2B">
        <w:trPr>
          <w:trHeight w:val="1486"/>
        </w:trPr>
        <w:tc>
          <w:tcPr>
            <w:tcW w:w="1258" w:type="pct"/>
            <w:tcBorders>
              <w:bottom w:val="dotted" w:sz="4" w:space="0" w:color="auto"/>
            </w:tcBorders>
            <w:shd w:val="clear" w:color="auto" w:fill="auto"/>
          </w:tcPr>
          <w:p w:rsidR="00AE2876" w:rsidRDefault="00AE2876" w:rsidP="00AE2876">
            <w:pPr>
              <w:pStyle w:val="NoSpacing"/>
            </w:pPr>
            <w:r w:rsidRPr="000738DC">
              <w:t xml:space="preserve">A </w:t>
            </w:r>
            <w:r w:rsidRPr="000738DC">
              <w:rPr>
                <w:i/>
              </w:rPr>
              <w:t>school</w:t>
            </w:r>
            <w:r w:rsidRPr="000738DC">
              <w:t xml:space="preserve"> may be classified into Level 4 if it is among the lowest-achieving and least-improving Level 3 schools statewide based on common grade levels and has been declared Level 4 by the Commissioner on behalf of the Board.</w:t>
            </w:r>
          </w:p>
          <w:p w:rsidR="004F3740" w:rsidRPr="000738DC" w:rsidRDefault="004F3740" w:rsidP="00AE2876">
            <w:pPr>
              <w:pStyle w:val="NoSpacing"/>
              <w:rPr>
                <w:rFonts w:eastAsia="Calibri"/>
              </w:rPr>
            </w:pPr>
          </w:p>
        </w:tc>
        <w:tc>
          <w:tcPr>
            <w:tcW w:w="1247" w:type="pct"/>
            <w:tcBorders>
              <w:bottom w:val="dotted" w:sz="4" w:space="0" w:color="auto"/>
            </w:tcBorders>
            <w:shd w:val="clear" w:color="auto" w:fill="auto"/>
          </w:tcPr>
          <w:p w:rsidR="00AE2876" w:rsidRPr="000738DC" w:rsidRDefault="00AE2876" w:rsidP="00AE2876">
            <w:pPr>
              <w:pStyle w:val="NoSpacing"/>
            </w:pPr>
            <w:r w:rsidRPr="000738DC">
              <w:t xml:space="preserve">Implement (existing Level 4 schools) or develop for ESE approval (newly-identified Level 4 schools) a redesign plan that addresses rapid implementation of the </w:t>
            </w:r>
            <w:r w:rsidRPr="000738DC">
              <w:rPr>
                <w:i/>
              </w:rPr>
              <w:t>Conditions for School Effectiveness.</w:t>
            </w:r>
          </w:p>
        </w:tc>
        <w:tc>
          <w:tcPr>
            <w:tcW w:w="1267" w:type="pct"/>
            <w:vMerge w:val="restart"/>
            <w:shd w:val="clear" w:color="auto" w:fill="auto"/>
          </w:tcPr>
          <w:p w:rsidR="00AE2876" w:rsidRPr="000738DC" w:rsidRDefault="00AE2876" w:rsidP="00AE2876">
            <w:pPr>
              <w:pStyle w:val="NoSpacing"/>
            </w:pPr>
            <w:r w:rsidRPr="000738DC">
              <w:t xml:space="preserve">Disseminate </w:t>
            </w:r>
            <w:r w:rsidR="00543278">
              <w:t>the school</w:t>
            </w:r>
            <w:r w:rsidRPr="000738DC">
              <w:t xml:space="preserve"> report card to parents/guardians of all children </w:t>
            </w:r>
            <w:r w:rsidR="00B434D8">
              <w:t>once available</w:t>
            </w:r>
            <w:r w:rsidRPr="000738DC">
              <w:t xml:space="preserve">. The notification must include the accountability and assistance level of the child’s </w:t>
            </w:r>
            <w:r w:rsidR="00A848EC">
              <w:t>district and school</w:t>
            </w:r>
            <w:r w:rsidRPr="000738DC">
              <w:t xml:space="preserve">; an explanation of what this designation means; an explanation of how parents can become involved in </w:t>
            </w:r>
            <w:r w:rsidR="00A848EC">
              <w:t>district and school</w:t>
            </w:r>
            <w:r w:rsidRPr="000738DC">
              <w:t xml:space="preserve"> improvement activities; and information about teacher quality and right-to-know requirements regarding teacher qualifications.</w:t>
            </w:r>
          </w:p>
          <w:p w:rsidR="00AE2876" w:rsidRPr="000738DC" w:rsidRDefault="00AE2876" w:rsidP="00AE2876">
            <w:pPr>
              <w:pStyle w:val="NoSpacing"/>
            </w:pPr>
          </w:p>
        </w:tc>
        <w:tc>
          <w:tcPr>
            <w:tcW w:w="1228" w:type="pct"/>
            <w:vMerge w:val="restart"/>
            <w:shd w:val="clear" w:color="auto" w:fill="auto"/>
          </w:tcPr>
          <w:p w:rsidR="00AE2876" w:rsidRDefault="00AE2876" w:rsidP="00AE2876">
            <w:pPr>
              <w:pStyle w:val="NoSpacing"/>
            </w:pPr>
            <w:r w:rsidRPr="000738DC">
              <w:t>Prioritize schools based on need and spend 25 percent of the district's Title I, Part A allocation on interventions and supports that address the needs of the district's lowest-achieving students in its lowest-performing schools, either through an additional allocation of funds directly to schools, through a district reservation, or both, as determined by the district.</w:t>
            </w:r>
          </w:p>
          <w:p w:rsidR="00AE2876" w:rsidRPr="000738DC" w:rsidRDefault="00AE2876" w:rsidP="00AE2876">
            <w:pPr>
              <w:pStyle w:val="NoSpacing"/>
            </w:pPr>
          </w:p>
          <w:p w:rsidR="00AE2876" w:rsidRPr="000738DC" w:rsidRDefault="00AE2876" w:rsidP="00AE2876">
            <w:pPr>
              <w:pStyle w:val="NoSpacing"/>
            </w:pPr>
            <w:r w:rsidRPr="000738DC">
              <w:t>A Level 4 district will have its use of the flexibility available under the maintenance of effort provisions of the IDEA prohibited and will be required to budget for special education at least as much state and/or local funds in the aggregate or per/pupil as it budgeted in the prior year.</w:t>
            </w:r>
          </w:p>
        </w:tc>
      </w:tr>
      <w:tr w:rsidR="00AE2876" w:rsidRPr="000738DC" w:rsidTr="00C92E2B">
        <w:trPr>
          <w:trHeight w:val="53"/>
        </w:trPr>
        <w:tc>
          <w:tcPr>
            <w:tcW w:w="1258" w:type="pct"/>
            <w:tcBorders>
              <w:top w:val="dotted" w:sz="4" w:space="0" w:color="auto"/>
            </w:tcBorders>
            <w:shd w:val="clear" w:color="auto" w:fill="auto"/>
          </w:tcPr>
          <w:p w:rsidR="00AE2876" w:rsidRDefault="00AE2876" w:rsidP="00AE2876">
            <w:pPr>
              <w:pStyle w:val="NoSpacing"/>
            </w:pPr>
            <w:r w:rsidRPr="000738DC">
              <w:t xml:space="preserve">A </w:t>
            </w:r>
            <w:r w:rsidRPr="000738DC">
              <w:rPr>
                <w:i/>
              </w:rPr>
              <w:t>district</w:t>
            </w:r>
            <w:r w:rsidRPr="000738DC">
              <w:t xml:space="preserve"> is classified into Level 4 if the most serious level of any school in the district is Level 4. In addition, the Board may classify a district into Level 4 upon recommendation of the Commissioner.</w:t>
            </w:r>
          </w:p>
          <w:p w:rsidR="00AE2876" w:rsidRPr="000738DC" w:rsidRDefault="00AE2876" w:rsidP="00AE2876">
            <w:pPr>
              <w:pStyle w:val="NoSpacing"/>
            </w:pPr>
          </w:p>
          <w:p w:rsidR="00AE2876" w:rsidRPr="000738DC" w:rsidRDefault="00AE2876" w:rsidP="00AE2876">
            <w:pPr>
              <w:pStyle w:val="NoSpacing"/>
            </w:pPr>
            <w:r w:rsidRPr="000738DC">
              <w:t xml:space="preserve">A Level 4 district’s determination of need for special education technical assistance or intervention is </w:t>
            </w:r>
            <w:r w:rsidRPr="000738DC">
              <w:rPr>
                <w:i/>
              </w:rPr>
              <w:t>Needs Intervention (NI)</w:t>
            </w:r>
            <w:r w:rsidRPr="000738DC">
              <w:t>, indicating that the district has been identified as having significantly poor outcomes for students with disabilities and/or significant compliance issues requiring direct attention from ESE.</w:t>
            </w:r>
            <w:r w:rsidRPr="000738DC">
              <w:rPr>
                <w:rStyle w:val="FootnoteReference"/>
                <w:rFonts w:cs="Calibri"/>
                <w:b/>
                <w:color w:val="000000"/>
                <w:szCs w:val="20"/>
              </w:rPr>
              <w:t xml:space="preserve"> </w:t>
            </w:r>
          </w:p>
        </w:tc>
        <w:tc>
          <w:tcPr>
            <w:tcW w:w="1247" w:type="pct"/>
            <w:tcBorders>
              <w:top w:val="dotted" w:sz="4" w:space="0" w:color="auto"/>
            </w:tcBorders>
            <w:shd w:val="clear" w:color="auto" w:fill="auto"/>
          </w:tcPr>
          <w:p w:rsidR="00AE2876" w:rsidRPr="000738DC" w:rsidRDefault="00AE2876" w:rsidP="00AE2876">
            <w:pPr>
              <w:pStyle w:val="NoSpacing"/>
            </w:pPr>
            <w:r w:rsidRPr="000738DC">
              <w:t>Collaborate with ESE to implement (existing Level 4 districts) or develop (newly-identified Level 4 districts) a Level 4 district plan to accelerate district improvement and strengthen its support and intervention efforts in its lowest-performing schools.</w:t>
            </w:r>
          </w:p>
        </w:tc>
        <w:tc>
          <w:tcPr>
            <w:tcW w:w="1267" w:type="pct"/>
            <w:vMerge/>
            <w:shd w:val="clear" w:color="auto" w:fill="auto"/>
          </w:tcPr>
          <w:p w:rsidR="00AE2876" w:rsidRPr="000738DC" w:rsidRDefault="00AE2876" w:rsidP="00AE2876">
            <w:pPr>
              <w:pStyle w:val="NoSpacing"/>
            </w:pPr>
          </w:p>
        </w:tc>
        <w:tc>
          <w:tcPr>
            <w:tcW w:w="1228" w:type="pct"/>
            <w:vMerge/>
            <w:shd w:val="clear" w:color="auto" w:fill="auto"/>
          </w:tcPr>
          <w:p w:rsidR="00AE2876" w:rsidRPr="000738DC" w:rsidRDefault="00AE2876" w:rsidP="00AE2876">
            <w:pPr>
              <w:pStyle w:val="NoSpacing"/>
            </w:pPr>
          </w:p>
        </w:tc>
      </w:tr>
    </w:tbl>
    <w:p w:rsidR="00AE2876" w:rsidRDefault="00AE2876" w:rsidP="00AE2876">
      <w:r w:rsidDel="00AE2876">
        <w:t xml:space="preserve"> </w:t>
      </w:r>
    </w:p>
    <w:p w:rsidR="004A1221" w:rsidRDefault="004A1221">
      <w:pPr>
        <w:spacing w:after="200"/>
        <w:rPr>
          <w:b/>
          <w:color w:val="4F81BD" w:themeColor="accent1"/>
          <w:sz w:val="24"/>
        </w:rPr>
      </w:pPr>
      <w:r>
        <w:rPr>
          <w:b/>
          <w:color w:val="4F81BD" w:themeColor="accent1"/>
          <w:sz w:val="24"/>
        </w:rPr>
        <w:br w:type="page"/>
      </w:r>
    </w:p>
    <w:p w:rsidR="004A1221" w:rsidRDefault="004A1221" w:rsidP="004A1221">
      <w:pPr>
        <w:spacing w:after="0"/>
        <w:rPr>
          <w:szCs w:val="18"/>
        </w:rPr>
      </w:pPr>
      <w:r w:rsidRPr="001E4AB9">
        <w:rPr>
          <w:b/>
          <w:color w:val="4F81BD" w:themeColor="accent1"/>
          <w:sz w:val="24"/>
        </w:rPr>
        <w:lastRenderedPageBreak/>
        <w:t>Required actions for districts and schools classified into Level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898"/>
        <w:gridCol w:w="1890"/>
        <w:gridCol w:w="2394"/>
        <w:gridCol w:w="2394"/>
      </w:tblGrid>
      <w:tr w:rsidR="00AE2876" w:rsidRPr="009C3327" w:rsidTr="00C92E2B">
        <w:trPr>
          <w:trHeight w:val="288"/>
        </w:trPr>
        <w:tc>
          <w:tcPr>
            <w:tcW w:w="5000" w:type="pct"/>
            <w:gridSpan w:val="4"/>
            <w:shd w:val="clear" w:color="auto" w:fill="C6D9F1" w:themeFill="text2" w:themeFillTint="33"/>
            <w:vAlign w:val="center"/>
          </w:tcPr>
          <w:p w:rsidR="00AE2876" w:rsidRPr="009C3327" w:rsidRDefault="00AE2876" w:rsidP="00AE2876">
            <w:pPr>
              <w:pStyle w:val="NoSpacing"/>
              <w:rPr>
                <w:b/>
              </w:rPr>
            </w:pPr>
            <w:r w:rsidRPr="009C3327">
              <w:rPr>
                <w:b/>
              </w:rPr>
              <w:t>Level 5</w:t>
            </w:r>
          </w:p>
        </w:tc>
      </w:tr>
      <w:tr w:rsidR="00AE2876" w:rsidRPr="009C3327" w:rsidTr="00C92E2B">
        <w:trPr>
          <w:trHeight w:val="48"/>
        </w:trPr>
        <w:tc>
          <w:tcPr>
            <w:tcW w:w="1513" w:type="pct"/>
            <w:shd w:val="clear" w:color="auto" w:fill="auto"/>
            <w:vAlign w:val="center"/>
          </w:tcPr>
          <w:p w:rsidR="00AE2876" w:rsidRPr="009C3327" w:rsidRDefault="00AE2876" w:rsidP="00AE2876">
            <w:pPr>
              <w:pStyle w:val="NoSpacing"/>
              <w:jc w:val="center"/>
              <w:rPr>
                <w:b/>
              </w:rPr>
            </w:pPr>
            <w:r w:rsidRPr="009C3327">
              <w:rPr>
                <w:b/>
              </w:rPr>
              <w:t>Occurs</w:t>
            </w:r>
          </w:p>
          <w:p w:rsidR="00AE2876" w:rsidRPr="009C3327" w:rsidRDefault="00AE2876" w:rsidP="00AE2876">
            <w:pPr>
              <w:pStyle w:val="NoSpacing"/>
              <w:jc w:val="center"/>
              <w:rPr>
                <w:b/>
              </w:rPr>
            </w:pPr>
            <w:r w:rsidRPr="009C3327">
              <w:rPr>
                <w:b/>
              </w:rPr>
              <w:t>when</w:t>
            </w:r>
          </w:p>
        </w:tc>
        <w:tc>
          <w:tcPr>
            <w:tcW w:w="987" w:type="pct"/>
            <w:shd w:val="clear" w:color="auto" w:fill="auto"/>
            <w:vAlign w:val="center"/>
          </w:tcPr>
          <w:p w:rsidR="00AE2876" w:rsidRPr="009C3327" w:rsidRDefault="00AE2876" w:rsidP="00AE2876">
            <w:pPr>
              <w:pStyle w:val="NoSpacing"/>
              <w:jc w:val="center"/>
              <w:rPr>
                <w:b/>
              </w:rPr>
            </w:pPr>
            <w:r w:rsidRPr="009C3327">
              <w:rPr>
                <w:b/>
              </w:rPr>
              <w:t>Planning requirements</w:t>
            </w:r>
          </w:p>
        </w:tc>
        <w:tc>
          <w:tcPr>
            <w:tcW w:w="1250" w:type="pct"/>
            <w:shd w:val="clear" w:color="auto" w:fill="auto"/>
            <w:vAlign w:val="center"/>
          </w:tcPr>
          <w:p w:rsidR="00AE2876" w:rsidRPr="009C3327" w:rsidRDefault="00AE2876" w:rsidP="00AE2876">
            <w:pPr>
              <w:pStyle w:val="NoSpacing"/>
              <w:jc w:val="center"/>
              <w:rPr>
                <w:b/>
              </w:rPr>
            </w:pPr>
            <w:r w:rsidRPr="009C3327">
              <w:rPr>
                <w:b/>
              </w:rPr>
              <w:t>Parent/guardian notification requirements</w:t>
            </w:r>
          </w:p>
        </w:tc>
        <w:tc>
          <w:tcPr>
            <w:tcW w:w="1250" w:type="pct"/>
            <w:shd w:val="clear" w:color="auto" w:fill="auto"/>
            <w:vAlign w:val="center"/>
          </w:tcPr>
          <w:p w:rsidR="00AE2876" w:rsidRPr="009C3327" w:rsidRDefault="00AE2876" w:rsidP="00AE2876">
            <w:pPr>
              <w:pStyle w:val="NoSpacing"/>
              <w:jc w:val="center"/>
              <w:rPr>
                <w:b/>
              </w:rPr>
            </w:pPr>
            <w:r w:rsidRPr="009C3327">
              <w:rPr>
                <w:b/>
              </w:rPr>
              <w:t>Fiscal</w:t>
            </w:r>
          </w:p>
          <w:p w:rsidR="00AE2876" w:rsidRPr="009C3327" w:rsidRDefault="00AE2876" w:rsidP="00AE2876">
            <w:pPr>
              <w:pStyle w:val="NoSpacing"/>
              <w:jc w:val="center"/>
              <w:rPr>
                <w:b/>
              </w:rPr>
            </w:pPr>
            <w:r w:rsidRPr="009C3327">
              <w:rPr>
                <w:b/>
              </w:rPr>
              <w:t>requirements</w:t>
            </w:r>
          </w:p>
        </w:tc>
      </w:tr>
      <w:tr w:rsidR="00AE2876" w:rsidRPr="000738DC" w:rsidTr="00C92E2B">
        <w:trPr>
          <w:trHeight w:val="260"/>
        </w:trPr>
        <w:tc>
          <w:tcPr>
            <w:tcW w:w="1513" w:type="pct"/>
            <w:shd w:val="clear" w:color="auto" w:fill="auto"/>
          </w:tcPr>
          <w:p w:rsidR="00AE2876" w:rsidRDefault="00AE2876" w:rsidP="00AE2876">
            <w:pPr>
              <w:pStyle w:val="NoSpacing"/>
            </w:pPr>
            <w:r w:rsidRPr="000738DC">
              <w:t xml:space="preserve">A </w:t>
            </w:r>
            <w:r w:rsidRPr="000738DC">
              <w:rPr>
                <w:i/>
              </w:rPr>
              <w:t>school</w:t>
            </w:r>
            <w:r w:rsidRPr="000738DC">
              <w:t xml:space="preserve"> may be classified into Level 5 by the Commissioner on behalf of the Board at the expiration of its redesign plan if the school has failed to improve as required by the goals, benchmarks, or timetable of its turnaround plan; or if district conditions make it unlikely that the school will make significant improvement without a Level 5 designation.</w:t>
            </w:r>
          </w:p>
          <w:p w:rsidR="00AE2876" w:rsidRPr="000738DC" w:rsidRDefault="00AE2876" w:rsidP="00AE2876">
            <w:pPr>
              <w:pStyle w:val="NoSpacing"/>
            </w:pPr>
          </w:p>
          <w:p w:rsidR="00AE2876" w:rsidRDefault="00AE2876" w:rsidP="00AE2876">
            <w:pPr>
              <w:pStyle w:val="NoSpacing"/>
            </w:pPr>
            <w:r w:rsidRPr="000738DC">
              <w:t xml:space="preserve">A </w:t>
            </w:r>
            <w:r w:rsidRPr="000738DC">
              <w:rPr>
                <w:i/>
              </w:rPr>
              <w:t xml:space="preserve">district </w:t>
            </w:r>
            <w:r w:rsidRPr="000738DC">
              <w:t>is independently eligible for classification into Level 5 on the basis of a district review; the report of an ESE-appointed accountability monitor; a follow-up review report; quantitative indicators set out in state regulations; or failure of a Level 4 district to meet the ESE-approved benchmarks or goals in its improvement plan in a timely manner.</w:t>
            </w:r>
          </w:p>
          <w:p w:rsidR="00AE2876" w:rsidRPr="000738DC" w:rsidRDefault="00AE2876" w:rsidP="00AE2876">
            <w:pPr>
              <w:pStyle w:val="NoSpacing"/>
            </w:pPr>
          </w:p>
          <w:p w:rsidR="00AE2876" w:rsidRPr="000738DC" w:rsidRDefault="00AE2876" w:rsidP="00AE2876">
            <w:pPr>
              <w:pStyle w:val="NoSpacing"/>
              <w:rPr>
                <w:rFonts w:eastAsia="Calibri"/>
              </w:rPr>
            </w:pPr>
            <w:r w:rsidRPr="000738DC">
              <w:t xml:space="preserve">A Level 5 district’s determination of need for special education technical assistance or intervention is </w:t>
            </w:r>
            <w:r w:rsidRPr="000738DC">
              <w:rPr>
                <w:i/>
              </w:rPr>
              <w:t>Needs Substantial Intervention (NSI)</w:t>
            </w:r>
            <w:r w:rsidRPr="000738DC">
              <w:t>, indicating that the district has persistent poor outcomes for students with disabilities and/or significant compliance issues requiring direct attention from ESE</w:t>
            </w:r>
            <w:r>
              <w:t>.</w:t>
            </w:r>
          </w:p>
        </w:tc>
        <w:tc>
          <w:tcPr>
            <w:tcW w:w="987" w:type="pct"/>
            <w:shd w:val="clear" w:color="auto" w:fill="auto"/>
          </w:tcPr>
          <w:p w:rsidR="00AE2876" w:rsidRPr="000738DC" w:rsidRDefault="00AE2876" w:rsidP="00AE2876">
            <w:pPr>
              <w:pStyle w:val="NoSpacing"/>
            </w:pPr>
            <w:r w:rsidRPr="000738DC">
              <w:t>Operate under joint district-ESE governance.</w:t>
            </w:r>
          </w:p>
        </w:tc>
        <w:tc>
          <w:tcPr>
            <w:tcW w:w="1250" w:type="pct"/>
            <w:shd w:val="clear" w:color="auto" w:fill="auto"/>
          </w:tcPr>
          <w:p w:rsidR="00AE2876" w:rsidRPr="000738DC" w:rsidRDefault="00AE2876" w:rsidP="00AE2876">
            <w:pPr>
              <w:pStyle w:val="NoSpacing"/>
            </w:pPr>
            <w:r w:rsidRPr="000738DC">
              <w:t xml:space="preserve">Disseminate </w:t>
            </w:r>
            <w:r w:rsidR="00543278">
              <w:t>the school</w:t>
            </w:r>
            <w:r w:rsidRPr="000738DC">
              <w:t xml:space="preserve"> report card to parents/guardians of all children </w:t>
            </w:r>
            <w:r w:rsidR="00B434D8">
              <w:t>once available</w:t>
            </w:r>
            <w:r w:rsidRPr="000738DC">
              <w:t xml:space="preserve">. The notification must include the accountability and assistance level of the child’s </w:t>
            </w:r>
            <w:r w:rsidR="00A848EC">
              <w:t>district and school</w:t>
            </w:r>
            <w:r w:rsidRPr="000738DC">
              <w:t xml:space="preserve">; an explanation of what this designation means; an explanation of how parents can become involved in </w:t>
            </w:r>
            <w:r w:rsidR="00A848EC">
              <w:t>district and school</w:t>
            </w:r>
            <w:r w:rsidRPr="000738DC">
              <w:t xml:space="preserve"> improvement activities; and information about teacher quality and right-to-know requirements regarding teacher qualifications.</w:t>
            </w:r>
          </w:p>
          <w:p w:rsidR="00AE2876" w:rsidRPr="000738DC" w:rsidRDefault="00AE2876" w:rsidP="00AE2876">
            <w:pPr>
              <w:pStyle w:val="NoSpacing"/>
            </w:pPr>
          </w:p>
        </w:tc>
        <w:tc>
          <w:tcPr>
            <w:tcW w:w="1250" w:type="pct"/>
            <w:shd w:val="clear" w:color="auto" w:fill="auto"/>
          </w:tcPr>
          <w:p w:rsidR="00AE2876" w:rsidRDefault="00AE2876" w:rsidP="00AE2876">
            <w:pPr>
              <w:pStyle w:val="NoSpacing"/>
            </w:pPr>
            <w:r w:rsidRPr="000738DC">
              <w:t>Prioritize schools based on need and spend 25 percent of the district's Title I, Part A allocation on interventions and supports that address the needs of the district's lowest-achieving students in its lowest-performing schools, either through an additional allocation of funds directly to schools, through a district reservation, or both, as determined by the district and the receiver.</w:t>
            </w:r>
          </w:p>
          <w:p w:rsidR="00AE2876" w:rsidRPr="000738DC" w:rsidRDefault="00AE2876" w:rsidP="00AE2876">
            <w:pPr>
              <w:pStyle w:val="NoSpacing"/>
            </w:pPr>
          </w:p>
          <w:p w:rsidR="00AE2876" w:rsidRDefault="00AE2876" w:rsidP="00AE2876">
            <w:pPr>
              <w:pStyle w:val="NoSpacing"/>
            </w:pPr>
            <w:r w:rsidRPr="000738DC">
              <w:t>ESE may withhold, in whole or in part, any federal special education funds that it deems necessary until specific improvement actions are conducted.</w:t>
            </w:r>
          </w:p>
          <w:p w:rsidR="00AE2876" w:rsidRPr="000738DC" w:rsidRDefault="00AE2876" w:rsidP="00AE2876">
            <w:pPr>
              <w:pStyle w:val="NoSpacing"/>
            </w:pPr>
          </w:p>
          <w:p w:rsidR="00AE2876" w:rsidRPr="000738DC" w:rsidRDefault="00AE2876" w:rsidP="00AE2876">
            <w:pPr>
              <w:pStyle w:val="NoSpacing"/>
            </w:pPr>
            <w:r w:rsidRPr="000738DC">
              <w:t>A Level 5 district will have its use of the flexibility available under the maintenance of effort provisions of the IDEA prohibited and will be required to budget for special education at least as much state and/or local funds in the aggregate or per/pupil as it budgeted in the prior year.</w:t>
            </w:r>
          </w:p>
        </w:tc>
      </w:tr>
    </w:tbl>
    <w:p w:rsidR="003F55D2" w:rsidRDefault="003F55D2" w:rsidP="00AE2876"/>
    <w:sectPr w:rsidR="003F55D2" w:rsidSect="00A17F18">
      <w:headerReference w:type="default" r:id="rId32"/>
      <w:footerReference w:type="default" r:id="rId33"/>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35C" w:rsidRDefault="007D735C" w:rsidP="005E67E6">
      <w:r>
        <w:separator/>
      </w:r>
    </w:p>
    <w:p w:rsidR="007D735C" w:rsidRDefault="007D735C" w:rsidP="005E67E6"/>
  </w:endnote>
  <w:endnote w:type="continuationSeparator" w:id="0">
    <w:p w:rsidR="007D735C" w:rsidRDefault="007D735C" w:rsidP="005E67E6">
      <w:r>
        <w:continuationSeparator/>
      </w:r>
    </w:p>
    <w:p w:rsidR="007D735C" w:rsidRDefault="007D735C" w:rsidP="005E6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655"/>
    </w:tblGrid>
    <w:tr w:rsidR="00C70F15" w:rsidRPr="00F022D1" w:rsidTr="003029C4">
      <w:trPr>
        <w:trHeight w:val="273"/>
      </w:trPr>
      <w:tc>
        <w:tcPr>
          <w:tcW w:w="4136" w:type="pct"/>
          <w:vAlign w:val="bottom"/>
        </w:tcPr>
        <w:p w:rsidR="00C70F15" w:rsidRPr="00F022D1" w:rsidRDefault="00C70F15" w:rsidP="005E67E6">
          <w:pPr>
            <w:pStyle w:val="Footer"/>
            <w:rPr>
              <w:sz w:val="20"/>
            </w:rPr>
          </w:pPr>
          <w:r w:rsidRPr="00F022D1">
            <w:rPr>
              <w:sz w:val="20"/>
            </w:rPr>
            <w:t>Massachusetts Department of Elementary and Secondary Education</w:t>
          </w:r>
        </w:p>
      </w:tc>
      <w:tc>
        <w:tcPr>
          <w:tcW w:w="864" w:type="pct"/>
          <w:vAlign w:val="bottom"/>
        </w:tcPr>
        <w:p w:rsidR="00C70F15" w:rsidRPr="00F022D1" w:rsidRDefault="00C70F15" w:rsidP="00F022D1">
          <w:pPr>
            <w:spacing w:after="0"/>
            <w:jc w:val="right"/>
            <w:rPr>
              <w:sz w:val="20"/>
            </w:rPr>
          </w:pPr>
          <w:r w:rsidRPr="00F022D1">
            <w:rPr>
              <w:sz w:val="20"/>
            </w:rPr>
            <w:t xml:space="preserve">Page </w:t>
          </w:r>
          <w:r w:rsidR="00BE6ACA" w:rsidRPr="00F022D1">
            <w:rPr>
              <w:sz w:val="20"/>
            </w:rPr>
            <w:fldChar w:fldCharType="begin"/>
          </w:r>
          <w:r w:rsidRPr="00F022D1">
            <w:rPr>
              <w:sz w:val="20"/>
            </w:rPr>
            <w:instrText xml:space="preserve"> PAGE </w:instrText>
          </w:r>
          <w:r w:rsidR="00BE6ACA" w:rsidRPr="00F022D1">
            <w:rPr>
              <w:sz w:val="20"/>
            </w:rPr>
            <w:fldChar w:fldCharType="separate"/>
          </w:r>
          <w:r w:rsidR="00B3458D">
            <w:rPr>
              <w:noProof/>
              <w:sz w:val="20"/>
            </w:rPr>
            <w:t>8</w:t>
          </w:r>
          <w:r w:rsidR="00BE6ACA" w:rsidRPr="00F022D1">
            <w:rPr>
              <w:sz w:val="20"/>
            </w:rPr>
            <w:fldChar w:fldCharType="end"/>
          </w:r>
          <w:r w:rsidRPr="00F022D1">
            <w:rPr>
              <w:sz w:val="20"/>
            </w:rPr>
            <w:t xml:space="preserve"> of </w:t>
          </w:r>
          <w:r w:rsidR="00BE6ACA" w:rsidRPr="00F022D1">
            <w:rPr>
              <w:sz w:val="20"/>
            </w:rPr>
            <w:fldChar w:fldCharType="begin"/>
          </w:r>
          <w:r w:rsidRPr="00F022D1">
            <w:rPr>
              <w:sz w:val="20"/>
            </w:rPr>
            <w:instrText xml:space="preserve"> NUMPAGES  </w:instrText>
          </w:r>
          <w:r w:rsidR="00BE6ACA" w:rsidRPr="00F022D1">
            <w:rPr>
              <w:sz w:val="20"/>
            </w:rPr>
            <w:fldChar w:fldCharType="separate"/>
          </w:r>
          <w:r w:rsidR="00B3458D">
            <w:rPr>
              <w:noProof/>
              <w:sz w:val="20"/>
            </w:rPr>
            <w:t>30</w:t>
          </w:r>
          <w:r w:rsidR="00BE6ACA" w:rsidRPr="00F022D1">
            <w:rPr>
              <w:sz w:val="20"/>
            </w:rPr>
            <w:fldChar w:fldCharType="end"/>
          </w:r>
        </w:p>
      </w:tc>
    </w:tr>
  </w:tbl>
  <w:p w:rsidR="00C70F15" w:rsidRPr="00180F73" w:rsidRDefault="00C70F15" w:rsidP="005E67E6">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4"/>
      <w:gridCol w:w="1854"/>
    </w:tblGrid>
    <w:tr w:rsidR="00C70F15" w:rsidRPr="00F022D1" w:rsidTr="00CA3401">
      <w:trPr>
        <w:trHeight w:val="273"/>
      </w:trPr>
      <w:tc>
        <w:tcPr>
          <w:tcW w:w="4136" w:type="pct"/>
          <w:vAlign w:val="bottom"/>
        </w:tcPr>
        <w:p w:rsidR="00C70F15" w:rsidRPr="00F022D1" w:rsidRDefault="00C70F15" w:rsidP="005E67E6">
          <w:pPr>
            <w:pStyle w:val="Footer"/>
            <w:rPr>
              <w:sz w:val="20"/>
            </w:rPr>
          </w:pPr>
          <w:r w:rsidRPr="00F022D1">
            <w:rPr>
              <w:sz w:val="20"/>
            </w:rPr>
            <w:t>Massachusetts Department of Elementary and Secondary Education</w:t>
          </w:r>
        </w:p>
      </w:tc>
      <w:tc>
        <w:tcPr>
          <w:tcW w:w="864" w:type="pct"/>
          <w:vAlign w:val="bottom"/>
        </w:tcPr>
        <w:sdt>
          <w:sdtPr>
            <w:rPr>
              <w:sz w:val="20"/>
            </w:rPr>
            <w:id w:val="5489065"/>
            <w:docPartObj>
              <w:docPartGallery w:val="Page Numbers (Top of Page)"/>
              <w:docPartUnique/>
            </w:docPartObj>
          </w:sdtPr>
          <w:sdtEndPr/>
          <w:sdtContent>
            <w:p w:rsidR="00C70F15" w:rsidRPr="00F022D1" w:rsidRDefault="00C70F15" w:rsidP="00F022D1">
              <w:pPr>
                <w:spacing w:after="0"/>
                <w:jc w:val="right"/>
                <w:rPr>
                  <w:sz w:val="20"/>
                </w:rPr>
              </w:pPr>
              <w:r w:rsidRPr="00F022D1">
                <w:rPr>
                  <w:sz w:val="20"/>
                </w:rPr>
                <w:t xml:space="preserve">Page </w:t>
              </w:r>
              <w:r w:rsidR="00BE6ACA" w:rsidRPr="00F022D1">
                <w:rPr>
                  <w:sz w:val="20"/>
                </w:rPr>
                <w:fldChar w:fldCharType="begin"/>
              </w:r>
              <w:r w:rsidRPr="00F022D1">
                <w:rPr>
                  <w:sz w:val="20"/>
                </w:rPr>
                <w:instrText xml:space="preserve"> PAGE </w:instrText>
              </w:r>
              <w:r w:rsidR="00BE6ACA" w:rsidRPr="00F022D1">
                <w:rPr>
                  <w:sz w:val="20"/>
                </w:rPr>
                <w:fldChar w:fldCharType="separate"/>
              </w:r>
              <w:r w:rsidR="00B3458D">
                <w:rPr>
                  <w:noProof/>
                  <w:sz w:val="20"/>
                </w:rPr>
                <w:t>21</w:t>
              </w:r>
              <w:r w:rsidR="00BE6ACA" w:rsidRPr="00F022D1">
                <w:rPr>
                  <w:sz w:val="20"/>
                </w:rPr>
                <w:fldChar w:fldCharType="end"/>
              </w:r>
              <w:r w:rsidRPr="00F022D1">
                <w:rPr>
                  <w:sz w:val="20"/>
                </w:rPr>
                <w:t xml:space="preserve"> of </w:t>
              </w:r>
              <w:r w:rsidR="00BE6ACA" w:rsidRPr="00F022D1">
                <w:rPr>
                  <w:sz w:val="20"/>
                </w:rPr>
                <w:fldChar w:fldCharType="begin"/>
              </w:r>
              <w:r w:rsidRPr="00F022D1">
                <w:rPr>
                  <w:sz w:val="20"/>
                </w:rPr>
                <w:instrText xml:space="preserve"> NUMPAGES  </w:instrText>
              </w:r>
              <w:r w:rsidR="00BE6ACA" w:rsidRPr="00F022D1">
                <w:rPr>
                  <w:sz w:val="20"/>
                </w:rPr>
                <w:fldChar w:fldCharType="separate"/>
              </w:r>
              <w:r w:rsidR="00B3458D">
                <w:rPr>
                  <w:noProof/>
                  <w:sz w:val="20"/>
                </w:rPr>
                <w:t>30</w:t>
              </w:r>
              <w:r w:rsidR="00BE6ACA" w:rsidRPr="00F022D1">
                <w:rPr>
                  <w:sz w:val="20"/>
                </w:rPr>
                <w:fldChar w:fldCharType="end"/>
              </w:r>
            </w:p>
          </w:sdtContent>
        </w:sdt>
      </w:tc>
    </w:tr>
  </w:tbl>
  <w:p w:rsidR="00C70F15" w:rsidRPr="00180F73" w:rsidRDefault="00C70F15" w:rsidP="005E67E6">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655"/>
    </w:tblGrid>
    <w:tr w:rsidR="00C70F15" w:rsidRPr="00F022D1" w:rsidTr="00B65412">
      <w:trPr>
        <w:trHeight w:val="273"/>
      </w:trPr>
      <w:tc>
        <w:tcPr>
          <w:tcW w:w="4136" w:type="pct"/>
          <w:vAlign w:val="bottom"/>
        </w:tcPr>
        <w:p w:rsidR="00C70F15" w:rsidRPr="00F022D1" w:rsidRDefault="00C70F15" w:rsidP="005E67E6">
          <w:pPr>
            <w:pStyle w:val="Footer"/>
            <w:rPr>
              <w:sz w:val="20"/>
            </w:rPr>
          </w:pPr>
          <w:r w:rsidRPr="00F022D1">
            <w:rPr>
              <w:sz w:val="20"/>
            </w:rPr>
            <w:t>Massachusetts Department of Elementary and Secondary Education</w:t>
          </w:r>
        </w:p>
      </w:tc>
      <w:tc>
        <w:tcPr>
          <w:tcW w:w="864" w:type="pct"/>
          <w:vAlign w:val="bottom"/>
        </w:tcPr>
        <w:sdt>
          <w:sdtPr>
            <w:rPr>
              <w:sz w:val="20"/>
            </w:rPr>
            <w:id w:val="8840264"/>
            <w:docPartObj>
              <w:docPartGallery w:val="Page Numbers (Top of Page)"/>
              <w:docPartUnique/>
            </w:docPartObj>
          </w:sdtPr>
          <w:sdtEndPr/>
          <w:sdtContent>
            <w:p w:rsidR="00C70F15" w:rsidRPr="00F022D1" w:rsidRDefault="00C70F15" w:rsidP="00F022D1">
              <w:pPr>
                <w:spacing w:after="0"/>
                <w:jc w:val="right"/>
                <w:rPr>
                  <w:sz w:val="20"/>
                </w:rPr>
              </w:pPr>
              <w:r w:rsidRPr="00F022D1">
                <w:rPr>
                  <w:sz w:val="20"/>
                </w:rPr>
                <w:t xml:space="preserve">Page </w:t>
              </w:r>
              <w:r w:rsidR="00BE6ACA" w:rsidRPr="00F022D1">
                <w:rPr>
                  <w:sz w:val="20"/>
                </w:rPr>
                <w:fldChar w:fldCharType="begin"/>
              </w:r>
              <w:r w:rsidRPr="00F022D1">
                <w:rPr>
                  <w:sz w:val="20"/>
                </w:rPr>
                <w:instrText xml:space="preserve"> PAGE </w:instrText>
              </w:r>
              <w:r w:rsidR="00BE6ACA" w:rsidRPr="00F022D1">
                <w:rPr>
                  <w:sz w:val="20"/>
                </w:rPr>
                <w:fldChar w:fldCharType="separate"/>
              </w:r>
              <w:r w:rsidR="00B3458D">
                <w:rPr>
                  <w:noProof/>
                  <w:sz w:val="20"/>
                </w:rPr>
                <w:t>30</w:t>
              </w:r>
              <w:r w:rsidR="00BE6ACA" w:rsidRPr="00F022D1">
                <w:rPr>
                  <w:sz w:val="20"/>
                </w:rPr>
                <w:fldChar w:fldCharType="end"/>
              </w:r>
              <w:r w:rsidRPr="00F022D1">
                <w:rPr>
                  <w:sz w:val="20"/>
                </w:rPr>
                <w:t xml:space="preserve"> of </w:t>
              </w:r>
              <w:r w:rsidR="00BE6ACA" w:rsidRPr="00F022D1">
                <w:rPr>
                  <w:sz w:val="20"/>
                </w:rPr>
                <w:fldChar w:fldCharType="begin"/>
              </w:r>
              <w:r w:rsidRPr="00F022D1">
                <w:rPr>
                  <w:sz w:val="20"/>
                </w:rPr>
                <w:instrText xml:space="preserve"> NUMPAGES  </w:instrText>
              </w:r>
              <w:r w:rsidR="00BE6ACA" w:rsidRPr="00F022D1">
                <w:rPr>
                  <w:sz w:val="20"/>
                </w:rPr>
                <w:fldChar w:fldCharType="separate"/>
              </w:r>
              <w:r w:rsidR="00B3458D">
                <w:rPr>
                  <w:noProof/>
                  <w:sz w:val="20"/>
                </w:rPr>
                <w:t>30</w:t>
              </w:r>
              <w:r w:rsidR="00BE6ACA" w:rsidRPr="00F022D1">
                <w:rPr>
                  <w:sz w:val="20"/>
                </w:rPr>
                <w:fldChar w:fldCharType="end"/>
              </w:r>
            </w:p>
          </w:sdtContent>
        </w:sdt>
      </w:tc>
    </w:tr>
  </w:tbl>
  <w:p w:rsidR="00C70F15" w:rsidRPr="00180F73" w:rsidRDefault="00C70F15" w:rsidP="005E67E6">
    <w:pPr>
      <w:spacing w:after="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35C" w:rsidRDefault="007D735C" w:rsidP="005E67E6">
      <w:r>
        <w:separator/>
      </w:r>
    </w:p>
    <w:p w:rsidR="007D735C" w:rsidRDefault="007D735C" w:rsidP="005E67E6"/>
  </w:footnote>
  <w:footnote w:type="continuationSeparator" w:id="0">
    <w:p w:rsidR="007D735C" w:rsidRDefault="007D735C" w:rsidP="005E67E6">
      <w:r>
        <w:continuationSeparator/>
      </w:r>
    </w:p>
    <w:p w:rsidR="007D735C" w:rsidRDefault="007D735C" w:rsidP="005E67E6"/>
  </w:footnote>
  <w:footnote w:id="1">
    <w:p w:rsidR="00C70F15" w:rsidRDefault="00C70F15">
      <w:pPr>
        <w:pStyle w:val="FootnoteText"/>
      </w:pPr>
      <w:r>
        <w:rPr>
          <w:rStyle w:val="FootnoteReference"/>
        </w:rPr>
        <w:footnoteRef/>
      </w:r>
      <w:r>
        <w:t xml:space="preserve"> </w:t>
      </w:r>
      <w:r w:rsidRPr="00773700">
        <w:t xml:space="preserve">Among other matters, the regulations </w:t>
      </w:r>
      <w:r>
        <w:t>(</w:t>
      </w:r>
      <w:r w:rsidRPr="00346BD1">
        <w:rPr>
          <w:rStyle w:val="em1"/>
          <w:szCs w:val="24"/>
        </w:rPr>
        <w:t>603 CMR 2.00: Accountability and Assistance for School Districts and Schools</w:t>
      </w:r>
      <w:r>
        <w:rPr>
          <w:szCs w:val="24"/>
        </w:rPr>
        <w:t xml:space="preserve">) </w:t>
      </w:r>
      <w:r w:rsidRPr="00773700">
        <w:t xml:space="preserve">describe </w:t>
      </w:r>
      <w:r>
        <w:t>Massachusetts’</w:t>
      </w:r>
      <w:r w:rsidRPr="00773700">
        <w:t xml:space="preserve"> framework for district accountability and assistance and the process for placing schools into Levels 1-5.</w:t>
      </w:r>
    </w:p>
  </w:footnote>
  <w:footnote w:id="2">
    <w:p w:rsidR="00C70F15" w:rsidRPr="00CA3401" w:rsidRDefault="00C70F15">
      <w:pPr>
        <w:pStyle w:val="FootnoteText"/>
        <w:rPr>
          <w:szCs w:val="18"/>
        </w:rPr>
      </w:pPr>
      <w:r w:rsidRPr="00CA3401">
        <w:rPr>
          <w:rStyle w:val="FootnoteReference"/>
          <w:szCs w:val="18"/>
        </w:rPr>
        <w:footnoteRef/>
      </w:r>
      <w:r w:rsidRPr="00CA3401">
        <w:rPr>
          <w:szCs w:val="18"/>
        </w:rPr>
        <w:t xml:space="preserve"> Students with the following disabilities</w:t>
      </w:r>
      <w:r>
        <w:rPr>
          <w:szCs w:val="18"/>
        </w:rPr>
        <w:t xml:space="preserve"> </w:t>
      </w:r>
      <w:r w:rsidRPr="00CA3401">
        <w:rPr>
          <w:szCs w:val="18"/>
        </w:rPr>
        <w:t xml:space="preserve">who score </w:t>
      </w:r>
      <w:r w:rsidRPr="00CA3401">
        <w:rPr>
          <w:i/>
          <w:szCs w:val="18"/>
        </w:rPr>
        <w:t>Progressing</w:t>
      </w:r>
      <w:r w:rsidRPr="00CA3401">
        <w:rPr>
          <w:szCs w:val="18"/>
        </w:rPr>
        <w:t xml:space="preserve"> on MCAS-Alt may be awarded 100 CPI points: </w:t>
      </w:r>
      <w:r w:rsidRPr="00CA3401">
        <w:rPr>
          <w:rFonts w:cs="Calibri"/>
          <w:szCs w:val="18"/>
        </w:rPr>
        <w:t>Intellectual, Sensory/Deaf and Blind, Multiple Disabilities, Autism, and Developmental Delay</w:t>
      </w:r>
    </w:p>
  </w:footnote>
  <w:footnote w:id="3">
    <w:p w:rsidR="00C70F15" w:rsidRDefault="00C70F15">
      <w:pPr>
        <w:pStyle w:val="FootnoteText"/>
      </w:pPr>
      <w:r w:rsidRPr="00CA3401">
        <w:rPr>
          <w:rStyle w:val="FootnoteReference"/>
          <w:szCs w:val="18"/>
        </w:rPr>
        <w:footnoteRef/>
      </w:r>
      <w:r w:rsidRPr="00CA3401">
        <w:rPr>
          <w:szCs w:val="18"/>
        </w:rPr>
        <w:t xml:space="preserve"> Students with the following disabilities who score </w:t>
      </w:r>
      <w:r w:rsidRPr="00CA3401">
        <w:rPr>
          <w:i/>
          <w:szCs w:val="18"/>
        </w:rPr>
        <w:t>Progressing</w:t>
      </w:r>
      <w:r w:rsidRPr="00CA3401">
        <w:rPr>
          <w:szCs w:val="18"/>
        </w:rPr>
        <w:t xml:space="preserve"> on MCAS-Alt may </w:t>
      </w:r>
      <w:r>
        <w:rPr>
          <w:szCs w:val="18"/>
        </w:rPr>
        <w:t>be awarded</w:t>
      </w:r>
      <w:r w:rsidRPr="00CA3401">
        <w:rPr>
          <w:szCs w:val="18"/>
        </w:rPr>
        <w:t xml:space="preserve"> 75 CPI points: </w:t>
      </w:r>
      <w:r w:rsidRPr="00CA3401">
        <w:rPr>
          <w:rFonts w:cs="Calibri"/>
          <w:szCs w:val="18"/>
        </w:rPr>
        <w:t>Sensory/Hard of Hearing or Deaf, Communication, Sensory/Vision Impairment or Blind, Emotional, Physical, Health, Specific Learning Disabilities, Neurological</w:t>
      </w:r>
    </w:p>
  </w:footnote>
  <w:footnote w:id="4">
    <w:p w:rsidR="00C70F15" w:rsidRDefault="00C70F15">
      <w:pPr>
        <w:pStyle w:val="FootnoteText"/>
      </w:pPr>
      <w:r>
        <w:rPr>
          <w:rStyle w:val="FootnoteReference"/>
        </w:rPr>
        <w:footnoteRef/>
      </w:r>
      <w:r>
        <w:t xml:space="preserve"> Dropouts are those students who dropped out of school between July 1 and June 30 of a given year and who did not return to school, graduate, or receive a GED by the following October 1.</w:t>
      </w:r>
    </w:p>
  </w:footnote>
  <w:footnote w:id="5">
    <w:p w:rsidR="00C70F15" w:rsidRPr="00170599" w:rsidRDefault="00C70F15" w:rsidP="004A1221">
      <w:pPr>
        <w:pStyle w:val="FootnoteText"/>
      </w:pPr>
      <w:r w:rsidRPr="00170599">
        <w:rPr>
          <w:rStyle w:val="FootnoteReference"/>
          <w:rFonts w:eastAsiaTheme="majorEastAsia"/>
          <w:sz w:val="19"/>
          <w:szCs w:val="19"/>
        </w:rPr>
        <w:footnoteRef/>
      </w:r>
      <w:r w:rsidRPr="00170599">
        <w:t xml:space="preserve"> See M.G.L. Ch. 69 (1)(J) for statutory requirements and 603 CMR 2.00 for regulations.</w:t>
      </w:r>
    </w:p>
  </w:footnote>
  <w:footnote w:id="6">
    <w:p w:rsidR="00C70F15" w:rsidRPr="00F85C26" w:rsidRDefault="00C70F15" w:rsidP="005E67E6">
      <w:pPr>
        <w:pStyle w:val="FootnoteText"/>
      </w:pPr>
      <w:r w:rsidRPr="00F85C26">
        <w:rPr>
          <w:rStyle w:val="FootnoteReference"/>
          <w:rFonts w:eastAsiaTheme="majorEastAsia" w:cs="Calibri"/>
          <w:sz w:val="19"/>
          <w:szCs w:val="19"/>
        </w:rPr>
        <w:footnoteRef/>
      </w:r>
      <w:r w:rsidRPr="00F85C26">
        <w:t xml:space="preserve"> </w:t>
      </w:r>
      <w:r>
        <w:t xml:space="preserve">Annual dropout rates are </w:t>
      </w:r>
      <w:r w:rsidRPr="00F85C26">
        <w:t xml:space="preserve">incorporated </w:t>
      </w:r>
      <w:r>
        <w:t xml:space="preserve">into Level 3 calculations </w:t>
      </w:r>
      <w:r w:rsidRPr="00F85C26">
        <w:t>for school</w:t>
      </w:r>
      <w:r>
        <w:t>s</w:t>
      </w:r>
      <w:r w:rsidRPr="00F85C26">
        <w:t xml:space="preserve"> serving any combination of grades 9-12.</w:t>
      </w:r>
    </w:p>
  </w:footnote>
  <w:footnote w:id="7">
    <w:p w:rsidR="00C70F15" w:rsidRPr="00F85C26" w:rsidRDefault="00C70F15" w:rsidP="005E67E6">
      <w:pPr>
        <w:pStyle w:val="FootnoteText"/>
      </w:pPr>
      <w:r w:rsidRPr="00F85C26">
        <w:rPr>
          <w:rStyle w:val="FootnoteReference"/>
          <w:rFonts w:eastAsiaTheme="majorEastAsia" w:cs="Calibri"/>
          <w:sz w:val="19"/>
          <w:szCs w:val="19"/>
        </w:rPr>
        <w:footnoteRef/>
      </w:r>
      <w:r w:rsidRPr="00F85C26">
        <w:t xml:space="preserve"> 4-and 5-year cohort graduation rate</w:t>
      </w:r>
      <w:r>
        <w:t>s</w:t>
      </w:r>
      <w:r w:rsidRPr="00F85C26">
        <w:t xml:space="preserve"> </w:t>
      </w:r>
      <w:r w:rsidRPr="00732495">
        <w:t>are incorporated into Level 3</w:t>
      </w:r>
      <w:r>
        <w:t xml:space="preserve"> calculations</w:t>
      </w:r>
      <w:r w:rsidRPr="00F85C26">
        <w:t xml:space="preserve"> for schools ending in grade 12.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F15" w:rsidRPr="00D920B7" w:rsidRDefault="00C70F15" w:rsidP="005E67E6">
    <w:pPr>
      <w:pStyle w:val="Header"/>
      <w:jc w:val="right"/>
      <w:rPr>
        <w:sz w:val="20"/>
      </w:rPr>
    </w:pPr>
    <w:r w:rsidRPr="00D920B7">
      <w:rPr>
        <w:sz w:val="20"/>
      </w:rPr>
      <w:t>Last updated August 2017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F15" w:rsidRPr="00F022D1" w:rsidRDefault="00C70F15" w:rsidP="005E67E6">
    <w:pPr>
      <w:pStyle w:val="Header"/>
      <w:jc w:val="right"/>
      <w:rPr>
        <w:sz w:val="20"/>
      </w:rPr>
    </w:pPr>
    <w:r>
      <w:rPr>
        <w:sz w:val="20"/>
      </w:rPr>
      <w:t>Last updated August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C64"/>
    <w:multiLevelType w:val="hybridMultilevel"/>
    <w:tmpl w:val="EE8AC76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D07CD"/>
    <w:multiLevelType w:val="hybridMultilevel"/>
    <w:tmpl w:val="FCFE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7121"/>
    <w:multiLevelType w:val="hybridMultilevel"/>
    <w:tmpl w:val="962EFB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314345"/>
    <w:multiLevelType w:val="hybridMultilevel"/>
    <w:tmpl w:val="CB6C66DA"/>
    <w:lvl w:ilvl="0" w:tplc="1BDAF260">
      <w:start w:val="1"/>
      <w:numFmt w:val="bullet"/>
      <w:lvlText w:val=""/>
      <w:lvlJc w:val="left"/>
      <w:pPr>
        <w:tabs>
          <w:tab w:val="num" w:pos="720"/>
        </w:tabs>
        <w:ind w:left="720" w:hanging="360"/>
      </w:pPr>
      <w:rPr>
        <w:rFonts w:ascii="Wingdings 2" w:hAnsi="Wingdings 2" w:hint="default"/>
      </w:rPr>
    </w:lvl>
    <w:lvl w:ilvl="1" w:tplc="E4CAA17E">
      <w:start w:val="528"/>
      <w:numFmt w:val="bullet"/>
      <w:lvlText w:val=""/>
      <w:lvlJc w:val="left"/>
      <w:pPr>
        <w:tabs>
          <w:tab w:val="num" w:pos="1440"/>
        </w:tabs>
        <w:ind w:left="1440" w:hanging="360"/>
      </w:pPr>
      <w:rPr>
        <w:rFonts w:ascii="Wingdings 2" w:hAnsi="Wingdings 2" w:hint="default"/>
      </w:rPr>
    </w:lvl>
    <w:lvl w:ilvl="2" w:tplc="0C50D478" w:tentative="1">
      <w:start w:val="1"/>
      <w:numFmt w:val="bullet"/>
      <w:lvlText w:val=""/>
      <w:lvlJc w:val="left"/>
      <w:pPr>
        <w:tabs>
          <w:tab w:val="num" w:pos="2160"/>
        </w:tabs>
        <w:ind w:left="2160" w:hanging="360"/>
      </w:pPr>
      <w:rPr>
        <w:rFonts w:ascii="Wingdings 2" w:hAnsi="Wingdings 2" w:hint="default"/>
      </w:rPr>
    </w:lvl>
    <w:lvl w:ilvl="3" w:tplc="98741A06" w:tentative="1">
      <w:start w:val="1"/>
      <w:numFmt w:val="bullet"/>
      <w:lvlText w:val=""/>
      <w:lvlJc w:val="left"/>
      <w:pPr>
        <w:tabs>
          <w:tab w:val="num" w:pos="2880"/>
        </w:tabs>
        <w:ind w:left="2880" w:hanging="360"/>
      </w:pPr>
      <w:rPr>
        <w:rFonts w:ascii="Wingdings 2" w:hAnsi="Wingdings 2" w:hint="default"/>
      </w:rPr>
    </w:lvl>
    <w:lvl w:ilvl="4" w:tplc="BFDCD022" w:tentative="1">
      <w:start w:val="1"/>
      <w:numFmt w:val="bullet"/>
      <w:lvlText w:val=""/>
      <w:lvlJc w:val="left"/>
      <w:pPr>
        <w:tabs>
          <w:tab w:val="num" w:pos="3600"/>
        </w:tabs>
        <w:ind w:left="3600" w:hanging="360"/>
      </w:pPr>
      <w:rPr>
        <w:rFonts w:ascii="Wingdings 2" w:hAnsi="Wingdings 2" w:hint="default"/>
      </w:rPr>
    </w:lvl>
    <w:lvl w:ilvl="5" w:tplc="66C2BCB6" w:tentative="1">
      <w:start w:val="1"/>
      <w:numFmt w:val="bullet"/>
      <w:lvlText w:val=""/>
      <w:lvlJc w:val="left"/>
      <w:pPr>
        <w:tabs>
          <w:tab w:val="num" w:pos="4320"/>
        </w:tabs>
        <w:ind w:left="4320" w:hanging="360"/>
      </w:pPr>
      <w:rPr>
        <w:rFonts w:ascii="Wingdings 2" w:hAnsi="Wingdings 2" w:hint="default"/>
      </w:rPr>
    </w:lvl>
    <w:lvl w:ilvl="6" w:tplc="31B41D56" w:tentative="1">
      <w:start w:val="1"/>
      <w:numFmt w:val="bullet"/>
      <w:lvlText w:val=""/>
      <w:lvlJc w:val="left"/>
      <w:pPr>
        <w:tabs>
          <w:tab w:val="num" w:pos="5040"/>
        </w:tabs>
        <w:ind w:left="5040" w:hanging="360"/>
      </w:pPr>
      <w:rPr>
        <w:rFonts w:ascii="Wingdings 2" w:hAnsi="Wingdings 2" w:hint="default"/>
      </w:rPr>
    </w:lvl>
    <w:lvl w:ilvl="7" w:tplc="DABE382E" w:tentative="1">
      <w:start w:val="1"/>
      <w:numFmt w:val="bullet"/>
      <w:lvlText w:val=""/>
      <w:lvlJc w:val="left"/>
      <w:pPr>
        <w:tabs>
          <w:tab w:val="num" w:pos="5760"/>
        </w:tabs>
        <w:ind w:left="5760" w:hanging="360"/>
      </w:pPr>
      <w:rPr>
        <w:rFonts w:ascii="Wingdings 2" w:hAnsi="Wingdings 2" w:hint="default"/>
      </w:rPr>
    </w:lvl>
    <w:lvl w:ilvl="8" w:tplc="A812526A"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D906B1D"/>
    <w:multiLevelType w:val="hybridMultilevel"/>
    <w:tmpl w:val="8F88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4219C"/>
    <w:multiLevelType w:val="hybridMultilevel"/>
    <w:tmpl w:val="51D85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E24F1E"/>
    <w:multiLevelType w:val="hybridMultilevel"/>
    <w:tmpl w:val="04E656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D930E4"/>
    <w:multiLevelType w:val="hybridMultilevel"/>
    <w:tmpl w:val="B4081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8E1CB1"/>
    <w:multiLevelType w:val="hybridMultilevel"/>
    <w:tmpl w:val="39445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65A75"/>
    <w:multiLevelType w:val="hybridMultilevel"/>
    <w:tmpl w:val="F4C031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EA29C4"/>
    <w:multiLevelType w:val="hybridMultilevel"/>
    <w:tmpl w:val="C6A68538"/>
    <w:lvl w:ilvl="0" w:tplc="30E29E48">
      <w:start w:val="1"/>
      <w:numFmt w:val="bullet"/>
      <w:pStyle w:val="ListParagraph"/>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CE6C91"/>
    <w:multiLevelType w:val="hybridMultilevel"/>
    <w:tmpl w:val="A09C2D4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9762EE7"/>
    <w:multiLevelType w:val="hybridMultilevel"/>
    <w:tmpl w:val="1944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7538A"/>
    <w:multiLevelType w:val="hybridMultilevel"/>
    <w:tmpl w:val="14DED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386026"/>
    <w:multiLevelType w:val="hybridMultilevel"/>
    <w:tmpl w:val="B7469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5"/>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9"/>
  </w:num>
  <w:num w:numId="10">
    <w:abstractNumId w:val="7"/>
  </w:num>
  <w:num w:numId="11">
    <w:abstractNumId w:val="3"/>
  </w:num>
  <w:num w:numId="12">
    <w:abstractNumId w:val="10"/>
  </w:num>
  <w:num w:numId="13">
    <w:abstractNumId w:val="10"/>
  </w:num>
  <w:num w:numId="14">
    <w:abstractNumId w:val="10"/>
  </w:num>
  <w:num w:numId="15">
    <w:abstractNumId w:val="1"/>
  </w:num>
  <w:num w:numId="16">
    <w:abstractNumId w:val="14"/>
  </w:num>
  <w:num w:numId="17">
    <w:abstractNumId w:val="0"/>
  </w:num>
  <w:num w:numId="18">
    <w:abstractNumId w:val="4"/>
  </w:num>
  <w:num w:numId="19">
    <w:abstractNumId w:val="10"/>
  </w:num>
  <w:num w:numId="2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764E"/>
    <w:rsid w:val="00002597"/>
    <w:rsid w:val="000026C3"/>
    <w:rsid w:val="00003C9D"/>
    <w:rsid w:val="00004E76"/>
    <w:rsid w:val="000066A7"/>
    <w:rsid w:val="00007A4F"/>
    <w:rsid w:val="00011BA9"/>
    <w:rsid w:val="000140F7"/>
    <w:rsid w:val="00014567"/>
    <w:rsid w:val="00014C6A"/>
    <w:rsid w:val="000151DB"/>
    <w:rsid w:val="00021037"/>
    <w:rsid w:val="00022012"/>
    <w:rsid w:val="0002208F"/>
    <w:rsid w:val="000251D2"/>
    <w:rsid w:val="00035AA2"/>
    <w:rsid w:val="000363F8"/>
    <w:rsid w:val="00036BAE"/>
    <w:rsid w:val="000370EF"/>
    <w:rsid w:val="00040C93"/>
    <w:rsid w:val="00041F42"/>
    <w:rsid w:val="00042DC6"/>
    <w:rsid w:val="00044B01"/>
    <w:rsid w:val="00051090"/>
    <w:rsid w:val="000529C8"/>
    <w:rsid w:val="00055ADB"/>
    <w:rsid w:val="00056594"/>
    <w:rsid w:val="00060064"/>
    <w:rsid w:val="0006138A"/>
    <w:rsid w:val="00061A21"/>
    <w:rsid w:val="00061E17"/>
    <w:rsid w:val="00063BED"/>
    <w:rsid w:val="000641D5"/>
    <w:rsid w:val="00065AC5"/>
    <w:rsid w:val="00067E7D"/>
    <w:rsid w:val="000704AD"/>
    <w:rsid w:val="00071453"/>
    <w:rsid w:val="000717AC"/>
    <w:rsid w:val="0007217A"/>
    <w:rsid w:val="00072C53"/>
    <w:rsid w:val="000738DC"/>
    <w:rsid w:val="00074667"/>
    <w:rsid w:val="00075849"/>
    <w:rsid w:val="00076723"/>
    <w:rsid w:val="00076B9D"/>
    <w:rsid w:val="00076ECE"/>
    <w:rsid w:val="00084482"/>
    <w:rsid w:val="000846C9"/>
    <w:rsid w:val="00093B6A"/>
    <w:rsid w:val="00094984"/>
    <w:rsid w:val="00095757"/>
    <w:rsid w:val="000A0B6F"/>
    <w:rsid w:val="000A1E50"/>
    <w:rsid w:val="000A5852"/>
    <w:rsid w:val="000B3349"/>
    <w:rsid w:val="000B35FD"/>
    <w:rsid w:val="000B3C0B"/>
    <w:rsid w:val="000B3C5E"/>
    <w:rsid w:val="000B509B"/>
    <w:rsid w:val="000B65E9"/>
    <w:rsid w:val="000B778E"/>
    <w:rsid w:val="000C1397"/>
    <w:rsid w:val="000C17F2"/>
    <w:rsid w:val="000C4205"/>
    <w:rsid w:val="000C4A4B"/>
    <w:rsid w:val="000C6E15"/>
    <w:rsid w:val="000C6EFB"/>
    <w:rsid w:val="000D3A56"/>
    <w:rsid w:val="000E0ED3"/>
    <w:rsid w:val="000E197B"/>
    <w:rsid w:val="000E37A2"/>
    <w:rsid w:val="000E44B9"/>
    <w:rsid w:val="000E44CF"/>
    <w:rsid w:val="000E58DA"/>
    <w:rsid w:val="000F0413"/>
    <w:rsid w:val="000F191E"/>
    <w:rsid w:val="000F4721"/>
    <w:rsid w:val="000F5028"/>
    <w:rsid w:val="00102691"/>
    <w:rsid w:val="001037B4"/>
    <w:rsid w:val="0010691E"/>
    <w:rsid w:val="001071C0"/>
    <w:rsid w:val="00107F53"/>
    <w:rsid w:val="00110386"/>
    <w:rsid w:val="00110CBB"/>
    <w:rsid w:val="00111203"/>
    <w:rsid w:val="00113D5D"/>
    <w:rsid w:val="00117F80"/>
    <w:rsid w:val="00121EFF"/>
    <w:rsid w:val="001241A7"/>
    <w:rsid w:val="001249FB"/>
    <w:rsid w:val="00124F13"/>
    <w:rsid w:val="00125005"/>
    <w:rsid w:val="001267AB"/>
    <w:rsid w:val="00130053"/>
    <w:rsid w:val="00131960"/>
    <w:rsid w:val="0013420C"/>
    <w:rsid w:val="00137D42"/>
    <w:rsid w:val="00142E78"/>
    <w:rsid w:val="00143227"/>
    <w:rsid w:val="00143719"/>
    <w:rsid w:val="00145C0C"/>
    <w:rsid w:val="0015173E"/>
    <w:rsid w:val="00153E29"/>
    <w:rsid w:val="00153FD0"/>
    <w:rsid w:val="00155FCD"/>
    <w:rsid w:val="00156902"/>
    <w:rsid w:val="00160556"/>
    <w:rsid w:val="00161F73"/>
    <w:rsid w:val="001628F8"/>
    <w:rsid w:val="00163135"/>
    <w:rsid w:val="00164B79"/>
    <w:rsid w:val="001659B6"/>
    <w:rsid w:val="00165D12"/>
    <w:rsid w:val="00167D7B"/>
    <w:rsid w:val="00170FFA"/>
    <w:rsid w:val="001715FC"/>
    <w:rsid w:val="00171FCB"/>
    <w:rsid w:val="001723A1"/>
    <w:rsid w:val="00172A6C"/>
    <w:rsid w:val="00180F73"/>
    <w:rsid w:val="001829DF"/>
    <w:rsid w:val="00187D81"/>
    <w:rsid w:val="00190362"/>
    <w:rsid w:val="0019687E"/>
    <w:rsid w:val="001A0D5C"/>
    <w:rsid w:val="001A1A4F"/>
    <w:rsid w:val="001A29F9"/>
    <w:rsid w:val="001A2B2A"/>
    <w:rsid w:val="001A68BF"/>
    <w:rsid w:val="001A69F7"/>
    <w:rsid w:val="001A6ED7"/>
    <w:rsid w:val="001B047E"/>
    <w:rsid w:val="001B1715"/>
    <w:rsid w:val="001B3993"/>
    <w:rsid w:val="001B3BFD"/>
    <w:rsid w:val="001B52CE"/>
    <w:rsid w:val="001B7FF0"/>
    <w:rsid w:val="001C01C5"/>
    <w:rsid w:val="001C1594"/>
    <w:rsid w:val="001C5DEE"/>
    <w:rsid w:val="001D1152"/>
    <w:rsid w:val="001E1C76"/>
    <w:rsid w:val="001E362E"/>
    <w:rsid w:val="001E3C3F"/>
    <w:rsid w:val="001E4AB9"/>
    <w:rsid w:val="001E4D7E"/>
    <w:rsid w:val="001E64BC"/>
    <w:rsid w:val="001E724D"/>
    <w:rsid w:val="001F4266"/>
    <w:rsid w:val="001F690C"/>
    <w:rsid w:val="001F6E32"/>
    <w:rsid w:val="001F7DD6"/>
    <w:rsid w:val="00202364"/>
    <w:rsid w:val="0021097B"/>
    <w:rsid w:val="0021101F"/>
    <w:rsid w:val="002111AF"/>
    <w:rsid w:val="00211855"/>
    <w:rsid w:val="0021293D"/>
    <w:rsid w:val="00214243"/>
    <w:rsid w:val="002150C0"/>
    <w:rsid w:val="002225E4"/>
    <w:rsid w:val="00222DD9"/>
    <w:rsid w:val="002244C8"/>
    <w:rsid w:val="00225AD4"/>
    <w:rsid w:val="002268AE"/>
    <w:rsid w:val="00227983"/>
    <w:rsid w:val="002347EF"/>
    <w:rsid w:val="00237A59"/>
    <w:rsid w:val="00242DED"/>
    <w:rsid w:val="0024731B"/>
    <w:rsid w:val="0025009C"/>
    <w:rsid w:val="002519AF"/>
    <w:rsid w:val="00251EF4"/>
    <w:rsid w:val="002521C6"/>
    <w:rsid w:val="00253B97"/>
    <w:rsid w:val="0025495E"/>
    <w:rsid w:val="002565E3"/>
    <w:rsid w:val="002567F9"/>
    <w:rsid w:val="00256D7A"/>
    <w:rsid w:val="00257957"/>
    <w:rsid w:val="00262365"/>
    <w:rsid w:val="0026564B"/>
    <w:rsid w:val="00265A27"/>
    <w:rsid w:val="0027092A"/>
    <w:rsid w:val="00270989"/>
    <w:rsid w:val="00271129"/>
    <w:rsid w:val="00271D06"/>
    <w:rsid w:val="00271E68"/>
    <w:rsid w:val="002726D6"/>
    <w:rsid w:val="002743B1"/>
    <w:rsid w:val="00276885"/>
    <w:rsid w:val="00276F7E"/>
    <w:rsid w:val="002774C8"/>
    <w:rsid w:val="00280E5A"/>
    <w:rsid w:val="0028163D"/>
    <w:rsid w:val="00281A6C"/>
    <w:rsid w:val="00284239"/>
    <w:rsid w:val="002853D1"/>
    <w:rsid w:val="002859A6"/>
    <w:rsid w:val="00290C83"/>
    <w:rsid w:val="00290FA1"/>
    <w:rsid w:val="002936B6"/>
    <w:rsid w:val="00297BFA"/>
    <w:rsid w:val="002A0176"/>
    <w:rsid w:val="002A1305"/>
    <w:rsid w:val="002A1DE7"/>
    <w:rsid w:val="002A2380"/>
    <w:rsid w:val="002A409C"/>
    <w:rsid w:val="002A5393"/>
    <w:rsid w:val="002B1FAF"/>
    <w:rsid w:val="002B2196"/>
    <w:rsid w:val="002B36AD"/>
    <w:rsid w:val="002B3F61"/>
    <w:rsid w:val="002B6547"/>
    <w:rsid w:val="002C2804"/>
    <w:rsid w:val="002C2C1A"/>
    <w:rsid w:val="002C2E2C"/>
    <w:rsid w:val="002C54BB"/>
    <w:rsid w:val="002D4A15"/>
    <w:rsid w:val="002D4E5C"/>
    <w:rsid w:val="002D5383"/>
    <w:rsid w:val="002D7155"/>
    <w:rsid w:val="002E3BA4"/>
    <w:rsid w:val="002E44C9"/>
    <w:rsid w:val="002E474F"/>
    <w:rsid w:val="002E5CA3"/>
    <w:rsid w:val="002E7EEA"/>
    <w:rsid w:val="002F0CD5"/>
    <w:rsid w:val="002F2431"/>
    <w:rsid w:val="00301243"/>
    <w:rsid w:val="003012F5"/>
    <w:rsid w:val="00301D4F"/>
    <w:rsid w:val="003029C4"/>
    <w:rsid w:val="003047C3"/>
    <w:rsid w:val="0030555E"/>
    <w:rsid w:val="00306655"/>
    <w:rsid w:val="00306C62"/>
    <w:rsid w:val="003114FB"/>
    <w:rsid w:val="00312DC5"/>
    <w:rsid w:val="0031517E"/>
    <w:rsid w:val="0031590E"/>
    <w:rsid w:val="0032199D"/>
    <w:rsid w:val="00321FAB"/>
    <w:rsid w:val="003272F2"/>
    <w:rsid w:val="0033082C"/>
    <w:rsid w:val="003311A5"/>
    <w:rsid w:val="0033734A"/>
    <w:rsid w:val="00337887"/>
    <w:rsid w:val="00340FEF"/>
    <w:rsid w:val="003457DD"/>
    <w:rsid w:val="00346652"/>
    <w:rsid w:val="003476D0"/>
    <w:rsid w:val="003509C3"/>
    <w:rsid w:val="00351F20"/>
    <w:rsid w:val="003540E6"/>
    <w:rsid w:val="003547FF"/>
    <w:rsid w:val="00355705"/>
    <w:rsid w:val="00360A56"/>
    <w:rsid w:val="00364C32"/>
    <w:rsid w:val="00365927"/>
    <w:rsid w:val="003668C4"/>
    <w:rsid w:val="00367712"/>
    <w:rsid w:val="003706BF"/>
    <w:rsid w:val="00371B1E"/>
    <w:rsid w:val="00371FFC"/>
    <w:rsid w:val="003720EB"/>
    <w:rsid w:val="0037358C"/>
    <w:rsid w:val="0037375F"/>
    <w:rsid w:val="00373E10"/>
    <w:rsid w:val="003759EB"/>
    <w:rsid w:val="00376645"/>
    <w:rsid w:val="0037668F"/>
    <w:rsid w:val="00376D85"/>
    <w:rsid w:val="00380C3B"/>
    <w:rsid w:val="00382CDC"/>
    <w:rsid w:val="0038554F"/>
    <w:rsid w:val="00387328"/>
    <w:rsid w:val="003902AC"/>
    <w:rsid w:val="00390C60"/>
    <w:rsid w:val="00391606"/>
    <w:rsid w:val="00392625"/>
    <w:rsid w:val="00392F8B"/>
    <w:rsid w:val="003939F9"/>
    <w:rsid w:val="00397180"/>
    <w:rsid w:val="003A11EF"/>
    <w:rsid w:val="003A153A"/>
    <w:rsid w:val="003A3A98"/>
    <w:rsid w:val="003B1D8A"/>
    <w:rsid w:val="003B2543"/>
    <w:rsid w:val="003B2954"/>
    <w:rsid w:val="003C086B"/>
    <w:rsid w:val="003C157A"/>
    <w:rsid w:val="003C2351"/>
    <w:rsid w:val="003C2DC2"/>
    <w:rsid w:val="003D018B"/>
    <w:rsid w:val="003D350E"/>
    <w:rsid w:val="003D4DC9"/>
    <w:rsid w:val="003E065D"/>
    <w:rsid w:val="003E0A90"/>
    <w:rsid w:val="003E5E55"/>
    <w:rsid w:val="003F061F"/>
    <w:rsid w:val="003F0C76"/>
    <w:rsid w:val="003F527D"/>
    <w:rsid w:val="003F55D2"/>
    <w:rsid w:val="00401985"/>
    <w:rsid w:val="00401B05"/>
    <w:rsid w:val="00401F9B"/>
    <w:rsid w:val="00402DB0"/>
    <w:rsid w:val="00403F2F"/>
    <w:rsid w:val="00404366"/>
    <w:rsid w:val="004064AB"/>
    <w:rsid w:val="00406DF9"/>
    <w:rsid w:val="00406EDA"/>
    <w:rsid w:val="00407451"/>
    <w:rsid w:val="00411782"/>
    <w:rsid w:val="00412909"/>
    <w:rsid w:val="00412A31"/>
    <w:rsid w:val="00413804"/>
    <w:rsid w:val="00417ECA"/>
    <w:rsid w:val="00420995"/>
    <w:rsid w:val="0042213A"/>
    <w:rsid w:val="00422945"/>
    <w:rsid w:val="00423561"/>
    <w:rsid w:val="00426331"/>
    <w:rsid w:val="0043290C"/>
    <w:rsid w:val="00433ABF"/>
    <w:rsid w:val="00433FFD"/>
    <w:rsid w:val="004360F6"/>
    <w:rsid w:val="00442D8D"/>
    <w:rsid w:val="00443EFD"/>
    <w:rsid w:val="0044744B"/>
    <w:rsid w:val="00451642"/>
    <w:rsid w:val="004534DC"/>
    <w:rsid w:val="00455447"/>
    <w:rsid w:val="0046013E"/>
    <w:rsid w:val="004609FB"/>
    <w:rsid w:val="00461235"/>
    <w:rsid w:val="00462055"/>
    <w:rsid w:val="00464AB9"/>
    <w:rsid w:val="0047028E"/>
    <w:rsid w:val="004726A3"/>
    <w:rsid w:val="00475521"/>
    <w:rsid w:val="00476487"/>
    <w:rsid w:val="004815D1"/>
    <w:rsid w:val="00484B39"/>
    <w:rsid w:val="004907DB"/>
    <w:rsid w:val="004911C9"/>
    <w:rsid w:val="00493F69"/>
    <w:rsid w:val="004978F9"/>
    <w:rsid w:val="004A1221"/>
    <w:rsid w:val="004A146D"/>
    <w:rsid w:val="004A3F08"/>
    <w:rsid w:val="004A484C"/>
    <w:rsid w:val="004B257C"/>
    <w:rsid w:val="004B28D3"/>
    <w:rsid w:val="004B48E2"/>
    <w:rsid w:val="004B608E"/>
    <w:rsid w:val="004C63D6"/>
    <w:rsid w:val="004D5587"/>
    <w:rsid w:val="004D5B57"/>
    <w:rsid w:val="004D67DA"/>
    <w:rsid w:val="004D77F3"/>
    <w:rsid w:val="004E0D15"/>
    <w:rsid w:val="004E0F79"/>
    <w:rsid w:val="004E23F7"/>
    <w:rsid w:val="004E2528"/>
    <w:rsid w:val="004E326B"/>
    <w:rsid w:val="004E6B0C"/>
    <w:rsid w:val="004F002A"/>
    <w:rsid w:val="004F22C6"/>
    <w:rsid w:val="004F2D3E"/>
    <w:rsid w:val="004F3592"/>
    <w:rsid w:val="004F3740"/>
    <w:rsid w:val="004F50A0"/>
    <w:rsid w:val="004F74FF"/>
    <w:rsid w:val="00500880"/>
    <w:rsid w:val="00500CAE"/>
    <w:rsid w:val="00506A0C"/>
    <w:rsid w:val="0051359F"/>
    <w:rsid w:val="00513D4D"/>
    <w:rsid w:val="00514682"/>
    <w:rsid w:val="00514942"/>
    <w:rsid w:val="00515ED6"/>
    <w:rsid w:val="00516364"/>
    <w:rsid w:val="00520C6A"/>
    <w:rsid w:val="00523864"/>
    <w:rsid w:val="00523FCE"/>
    <w:rsid w:val="0052588E"/>
    <w:rsid w:val="00525894"/>
    <w:rsid w:val="00527D9F"/>
    <w:rsid w:val="00530D8E"/>
    <w:rsid w:val="005352B4"/>
    <w:rsid w:val="00536F8A"/>
    <w:rsid w:val="00541233"/>
    <w:rsid w:val="00542743"/>
    <w:rsid w:val="00542F13"/>
    <w:rsid w:val="00543278"/>
    <w:rsid w:val="00543314"/>
    <w:rsid w:val="00544849"/>
    <w:rsid w:val="00544BD7"/>
    <w:rsid w:val="00546CAC"/>
    <w:rsid w:val="005478F3"/>
    <w:rsid w:val="00550015"/>
    <w:rsid w:val="00550A8B"/>
    <w:rsid w:val="00553630"/>
    <w:rsid w:val="00553639"/>
    <w:rsid w:val="00553C6B"/>
    <w:rsid w:val="00554065"/>
    <w:rsid w:val="00555696"/>
    <w:rsid w:val="00555BD1"/>
    <w:rsid w:val="00556468"/>
    <w:rsid w:val="005610B9"/>
    <w:rsid w:val="005668D4"/>
    <w:rsid w:val="00566957"/>
    <w:rsid w:val="005705FC"/>
    <w:rsid w:val="005710C6"/>
    <w:rsid w:val="00572FE1"/>
    <w:rsid w:val="00574062"/>
    <w:rsid w:val="0057424E"/>
    <w:rsid w:val="005744B6"/>
    <w:rsid w:val="005746A7"/>
    <w:rsid w:val="00574891"/>
    <w:rsid w:val="00575288"/>
    <w:rsid w:val="00577405"/>
    <w:rsid w:val="00577883"/>
    <w:rsid w:val="0057798F"/>
    <w:rsid w:val="00577DA4"/>
    <w:rsid w:val="00580499"/>
    <w:rsid w:val="005806E9"/>
    <w:rsid w:val="005812D8"/>
    <w:rsid w:val="00581770"/>
    <w:rsid w:val="005826D3"/>
    <w:rsid w:val="005902ED"/>
    <w:rsid w:val="00590376"/>
    <w:rsid w:val="005912AF"/>
    <w:rsid w:val="0059181B"/>
    <w:rsid w:val="00592F38"/>
    <w:rsid w:val="00593CBA"/>
    <w:rsid w:val="005A1CA0"/>
    <w:rsid w:val="005A545D"/>
    <w:rsid w:val="005A636F"/>
    <w:rsid w:val="005A7FCE"/>
    <w:rsid w:val="005B14E1"/>
    <w:rsid w:val="005C0259"/>
    <w:rsid w:val="005C2E62"/>
    <w:rsid w:val="005C3C95"/>
    <w:rsid w:val="005D084A"/>
    <w:rsid w:val="005D1437"/>
    <w:rsid w:val="005D167F"/>
    <w:rsid w:val="005D2C34"/>
    <w:rsid w:val="005D373C"/>
    <w:rsid w:val="005D5471"/>
    <w:rsid w:val="005D6A47"/>
    <w:rsid w:val="005E225D"/>
    <w:rsid w:val="005E24D3"/>
    <w:rsid w:val="005E26ED"/>
    <w:rsid w:val="005E29E5"/>
    <w:rsid w:val="005E4431"/>
    <w:rsid w:val="005E48B9"/>
    <w:rsid w:val="005E67E6"/>
    <w:rsid w:val="005F2053"/>
    <w:rsid w:val="005F4976"/>
    <w:rsid w:val="005F79BA"/>
    <w:rsid w:val="00600B2E"/>
    <w:rsid w:val="00600BE8"/>
    <w:rsid w:val="006012BC"/>
    <w:rsid w:val="00602B7C"/>
    <w:rsid w:val="006035AB"/>
    <w:rsid w:val="00603744"/>
    <w:rsid w:val="00605DFC"/>
    <w:rsid w:val="00614152"/>
    <w:rsid w:val="00616D33"/>
    <w:rsid w:val="00620AFA"/>
    <w:rsid w:val="006227D0"/>
    <w:rsid w:val="006237EE"/>
    <w:rsid w:val="00626472"/>
    <w:rsid w:val="00627671"/>
    <w:rsid w:val="00627857"/>
    <w:rsid w:val="006304FD"/>
    <w:rsid w:val="006307A3"/>
    <w:rsid w:val="00630F3F"/>
    <w:rsid w:val="00635392"/>
    <w:rsid w:val="00635D54"/>
    <w:rsid w:val="00636272"/>
    <w:rsid w:val="0064005B"/>
    <w:rsid w:val="0064165A"/>
    <w:rsid w:val="00650F98"/>
    <w:rsid w:val="00651E30"/>
    <w:rsid w:val="0065577A"/>
    <w:rsid w:val="00655FE8"/>
    <w:rsid w:val="0066013A"/>
    <w:rsid w:val="00660E12"/>
    <w:rsid w:val="006663DB"/>
    <w:rsid w:val="0067153C"/>
    <w:rsid w:val="00672217"/>
    <w:rsid w:val="006748D5"/>
    <w:rsid w:val="00675148"/>
    <w:rsid w:val="0067530E"/>
    <w:rsid w:val="00675F32"/>
    <w:rsid w:val="0067716C"/>
    <w:rsid w:val="0067769E"/>
    <w:rsid w:val="00677F54"/>
    <w:rsid w:val="00681400"/>
    <w:rsid w:val="00681DA6"/>
    <w:rsid w:val="00684CC9"/>
    <w:rsid w:val="006864D7"/>
    <w:rsid w:val="006866E6"/>
    <w:rsid w:val="00686BE5"/>
    <w:rsid w:val="0068728C"/>
    <w:rsid w:val="006876EA"/>
    <w:rsid w:val="00690677"/>
    <w:rsid w:val="006939AD"/>
    <w:rsid w:val="006962F2"/>
    <w:rsid w:val="006A3F04"/>
    <w:rsid w:val="006A5540"/>
    <w:rsid w:val="006B036D"/>
    <w:rsid w:val="006B0F9A"/>
    <w:rsid w:val="006B1767"/>
    <w:rsid w:val="006B1F66"/>
    <w:rsid w:val="006B71E4"/>
    <w:rsid w:val="006B7E82"/>
    <w:rsid w:val="006C02ED"/>
    <w:rsid w:val="006C14F9"/>
    <w:rsid w:val="006C22EE"/>
    <w:rsid w:val="006C63C1"/>
    <w:rsid w:val="006C7B44"/>
    <w:rsid w:val="006D0422"/>
    <w:rsid w:val="006D16F8"/>
    <w:rsid w:val="006D3F33"/>
    <w:rsid w:val="006D4DB4"/>
    <w:rsid w:val="006D777D"/>
    <w:rsid w:val="006E20AC"/>
    <w:rsid w:val="006E21A0"/>
    <w:rsid w:val="006E27D3"/>
    <w:rsid w:val="006E3BDE"/>
    <w:rsid w:val="006E4379"/>
    <w:rsid w:val="006E4EE3"/>
    <w:rsid w:val="006E582A"/>
    <w:rsid w:val="006E6BE6"/>
    <w:rsid w:val="006F074D"/>
    <w:rsid w:val="006F267A"/>
    <w:rsid w:val="006F326C"/>
    <w:rsid w:val="006F3FCE"/>
    <w:rsid w:val="006F560C"/>
    <w:rsid w:val="006F5F80"/>
    <w:rsid w:val="006F7368"/>
    <w:rsid w:val="006F7AF8"/>
    <w:rsid w:val="00701EE8"/>
    <w:rsid w:val="00702815"/>
    <w:rsid w:val="00704C16"/>
    <w:rsid w:val="0070512B"/>
    <w:rsid w:val="00712625"/>
    <w:rsid w:val="007126AA"/>
    <w:rsid w:val="0071318C"/>
    <w:rsid w:val="0071323D"/>
    <w:rsid w:val="00714E57"/>
    <w:rsid w:val="00715E55"/>
    <w:rsid w:val="00716997"/>
    <w:rsid w:val="00716E2C"/>
    <w:rsid w:val="007204E7"/>
    <w:rsid w:val="00722222"/>
    <w:rsid w:val="0072340B"/>
    <w:rsid w:val="00724789"/>
    <w:rsid w:val="00724CDA"/>
    <w:rsid w:val="007264D5"/>
    <w:rsid w:val="007310E7"/>
    <w:rsid w:val="00733A32"/>
    <w:rsid w:val="007353DA"/>
    <w:rsid w:val="00736058"/>
    <w:rsid w:val="007400EC"/>
    <w:rsid w:val="00744612"/>
    <w:rsid w:val="00747CEE"/>
    <w:rsid w:val="00750041"/>
    <w:rsid w:val="0075134F"/>
    <w:rsid w:val="00753E55"/>
    <w:rsid w:val="00753ECB"/>
    <w:rsid w:val="00756C39"/>
    <w:rsid w:val="0076198B"/>
    <w:rsid w:val="00762D7D"/>
    <w:rsid w:val="0076525E"/>
    <w:rsid w:val="00766256"/>
    <w:rsid w:val="00772D01"/>
    <w:rsid w:val="0077359D"/>
    <w:rsid w:val="00777B59"/>
    <w:rsid w:val="007831C5"/>
    <w:rsid w:val="007853B0"/>
    <w:rsid w:val="00785559"/>
    <w:rsid w:val="00785A9C"/>
    <w:rsid w:val="00786F1F"/>
    <w:rsid w:val="00786F27"/>
    <w:rsid w:val="00790495"/>
    <w:rsid w:val="007906D5"/>
    <w:rsid w:val="00790F99"/>
    <w:rsid w:val="00792D9B"/>
    <w:rsid w:val="00792F65"/>
    <w:rsid w:val="00793C20"/>
    <w:rsid w:val="007942B3"/>
    <w:rsid w:val="00795193"/>
    <w:rsid w:val="00796FE8"/>
    <w:rsid w:val="007A02A8"/>
    <w:rsid w:val="007A0AC8"/>
    <w:rsid w:val="007A3D8A"/>
    <w:rsid w:val="007A7A0E"/>
    <w:rsid w:val="007B1050"/>
    <w:rsid w:val="007B25C3"/>
    <w:rsid w:val="007B271E"/>
    <w:rsid w:val="007B5472"/>
    <w:rsid w:val="007B7CB7"/>
    <w:rsid w:val="007C08C9"/>
    <w:rsid w:val="007C1B76"/>
    <w:rsid w:val="007C622E"/>
    <w:rsid w:val="007D1ADF"/>
    <w:rsid w:val="007D25D9"/>
    <w:rsid w:val="007D34EF"/>
    <w:rsid w:val="007D437A"/>
    <w:rsid w:val="007D735C"/>
    <w:rsid w:val="007E0F54"/>
    <w:rsid w:val="007E2DA8"/>
    <w:rsid w:val="007E6E30"/>
    <w:rsid w:val="007F0B6F"/>
    <w:rsid w:val="007F1DC7"/>
    <w:rsid w:val="007F2B01"/>
    <w:rsid w:val="007F3EBE"/>
    <w:rsid w:val="007F4079"/>
    <w:rsid w:val="007F59C3"/>
    <w:rsid w:val="007F5A78"/>
    <w:rsid w:val="007F5AF5"/>
    <w:rsid w:val="007F6334"/>
    <w:rsid w:val="007F6347"/>
    <w:rsid w:val="007F6968"/>
    <w:rsid w:val="007F78EA"/>
    <w:rsid w:val="007F7BDE"/>
    <w:rsid w:val="00800EF8"/>
    <w:rsid w:val="0080483F"/>
    <w:rsid w:val="00806CF8"/>
    <w:rsid w:val="00812EC2"/>
    <w:rsid w:val="00815213"/>
    <w:rsid w:val="0081672C"/>
    <w:rsid w:val="008218D7"/>
    <w:rsid w:val="00821B8A"/>
    <w:rsid w:val="008238CE"/>
    <w:rsid w:val="00823C2E"/>
    <w:rsid w:val="008263D1"/>
    <w:rsid w:val="008266E2"/>
    <w:rsid w:val="00830CFE"/>
    <w:rsid w:val="0083222E"/>
    <w:rsid w:val="00832ABA"/>
    <w:rsid w:val="00833794"/>
    <w:rsid w:val="00833A50"/>
    <w:rsid w:val="00834917"/>
    <w:rsid w:val="00836499"/>
    <w:rsid w:val="00836C55"/>
    <w:rsid w:val="00836FB1"/>
    <w:rsid w:val="0084177C"/>
    <w:rsid w:val="00844854"/>
    <w:rsid w:val="00844C70"/>
    <w:rsid w:val="00845933"/>
    <w:rsid w:val="00846B2F"/>
    <w:rsid w:val="0085117F"/>
    <w:rsid w:val="00852326"/>
    <w:rsid w:val="00854567"/>
    <w:rsid w:val="0086166B"/>
    <w:rsid w:val="008624A1"/>
    <w:rsid w:val="008644AE"/>
    <w:rsid w:val="008662A3"/>
    <w:rsid w:val="008729A1"/>
    <w:rsid w:val="008744A8"/>
    <w:rsid w:val="008803C1"/>
    <w:rsid w:val="00881A46"/>
    <w:rsid w:val="00882794"/>
    <w:rsid w:val="0088583C"/>
    <w:rsid w:val="008868C8"/>
    <w:rsid w:val="00886F2E"/>
    <w:rsid w:val="008912E3"/>
    <w:rsid w:val="008915DC"/>
    <w:rsid w:val="008A01AE"/>
    <w:rsid w:val="008A2F22"/>
    <w:rsid w:val="008A354D"/>
    <w:rsid w:val="008A41B4"/>
    <w:rsid w:val="008A439D"/>
    <w:rsid w:val="008A734B"/>
    <w:rsid w:val="008A7CA9"/>
    <w:rsid w:val="008B3783"/>
    <w:rsid w:val="008B64DC"/>
    <w:rsid w:val="008B7112"/>
    <w:rsid w:val="008C0A5D"/>
    <w:rsid w:val="008C0E8F"/>
    <w:rsid w:val="008C1A74"/>
    <w:rsid w:val="008C1E5D"/>
    <w:rsid w:val="008C29A7"/>
    <w:rsid w:val="008C4C6E"/>
    <w:rsid w:val="008D083C"/>
    <w:rsid w:val="008D1496"/>
    <w:rsid w:val="008D3B84"/>
    <w:rsid w:val="008D3CAB"/>
    <w:rsid w:val="008D56EE"/>
    <w:rsid w:val="008E44A6"/>
    <w:rsid w:val="008E4855"/>
    <w:rsid w:val="008F02B6"/>
    <w:rsid w:val="008F109B"/>
    <w:rsid w:val="008F2517"/>
    <w:rsid w:val="008F5174"/>
    <w:rsid w:val="008F54E2"/>
    <w:rsid w:val="008F67C5"/>
    <w:rsid w:val="00901A15"/>
    <w:rsid w:val="0090403A"/>
    <w:rsid w:val="00904CD2"/>
    <w:rsid w:val="009073F1"/>
    <w:rsid w:val="0091034F"/>
    <w:rsid w:val="00921352"/>
    <w:rsid w:val="00923560"/>
    <w:rsid w:val="00923F65"/>
    <w:rsid w:val="00925D7F"/>
    <w:rsid w:val="009308D4"/>
    <w:rsid w:val="00934682"/>
    <w:rsid w:val="009351DF"/>
    <w:rsid w:val="00935515"/>
    <w:rsid w:val="00936297"/>
    <w:rsid w:val="009374F0"/>
    <w:rsid w:val="00946790"/>
    <w:rsid w:val="00952107"/>
    <w:rsid w:val="009617E8"/>
    <w:rsid w:val="00962EEC"/>
    <w:rsid w:val="0096458C"/>
    <w:rsid w:val="009648D8"/>
    <w:rsid w:val="00964983"/>
    <w:rsid w:val="00965490"/>
    <w:rsid w:val="00965A66"/>
    <w:rsid w:val="00965B5B"/>
    <w:rsid w:val="0096629F"/>
    <w:rsid w:val="00967710"/>
    <w:rsid w:val="00971293"/>
    <w:rsid w:val="00972018"/>
    <w:rsid w:val="009743E8"/>
    <w:rsid w:val="00976240"/>
    <w:rsid w:val="009819E7"/>
    <w:rsid w:val="00983E6C"/>
    <w:rsid w:val="0098410F"/>
    <w:rsid w:val="00984531"/>
    <w:rsid w:val="0098535B"/>
    <w:rsid w:val="00987A78"/>
    <w:rsid w:val="00992243"/>
    <w:rsid w:val="00992D0A"/>
    <w:rsid w:val="00994DD6"/>
    <w:rsid w:val="009969A4"/>
    <w:rsid w:val="00997F24"/>
    <w:rsid w:val="009B0941"/>
    <w:rsid w:val="009B0FDD"/>
    <w:rsid w:val="009B1C84"/>
    <w:rsid w:val="009B2FF8"/>
    <w:rsid w:val="009B31D6"/>
    <w:rsid w:val="009B3D10"/>
    <w:rsid w:val="009B3ED5"/>
    <w:rsid w:val="009B4021"/>
    <w:rsid w:val="009B5E88"/>
    <w:rsid w:val="009B6733"/>
    <w:rsid w:val="009C1407"/>
    <w:rsid w:val="009C146F"/>
    <w:rsid w:val="009C1F56"/>
    <w:rsid w:val="009C24B4"/>
    <w:rsid w:val="009C2A85"/>
    <w:rsid w:val="009C3327"/>
    <w:rsid w:val="009C6653"/>
    <w:rsid w:val="009D7159"/>
    <w:rsid w:val="009D78CD"/>
    <w:rsid w:val="009D79F1"/>
    <w:rsid w:val="009E248F"/>
    <w:rsid w:val="009E24A2"/>
    <w:rsid w:val="009E259F"/>
    <w:rsid w:val="009E3A2E"/>
    <w:rsid w:val="009F3D97"/>
    <w:rsid w:val="009F6E55"/>
    <w:rsid w:val="00A02F1C"/>
    <w:rsid w:val="00A052F9"/>
    <w:rsid w:val="00A06D28"/>
    <w:rsid w:val="00A0750D"/>
    <w:rsid w:val="00A12EBE"/>
    <w:rsid w:val="00A14BB0"/>
    <w:rsid w:val="00A155B6"/>
    <w:rsid w:val="00A17F18"/>
    <w:rsid w:val="00A214CA"/>
    <w:rsid w:val="00A21ED8"/>
    <w:rsid w:val="00A23789"/>
    <w:rsid w:val="00A25138"/>
    <w:rsid w:val="00A27DAB"/>
    <w:rsid w:val="00A30601"/>
    <w:rsid w:val="00A314E0"/>
    <w:rsid w:val="00A318E4"/>
    <w:rsid w:val="00A32037"/>
    <w:rsid w:val="00A326DD"/>
    <w:rsid w:val="00A368D7"/>
    <w:rsid w:val="00A37331"/>
    <w:rsid w:val="00A373A2"/>
    <w:rsid w:val="00A41B68"/>
    <w:rsid w:val="00A41C4E"/>
    <w:rsid w:val="00A44605"/>
    <w:rsid w:val="00A451B9"/>
    <w:rsid w:val="00A45298"/>
    <w:rsid w:val="00A45C53"/>
    <w:rsid w:val="00A52CEA"/>
    <w:rsid w:val="00A549CF"/>
    <w:rsid w:val="00A55D1C"/>
    <w:rsid w:val="00A55F63"/>
    <w:rsid w:val="00A56407"/>
    <w:rsid w:val="00A56E92"/>
    <w:rsid w:val="00A5725C"/>
    <w:rsid w:val="00A57A43"/>
    <w:rsid w:val="00A62F7C"/>
    <w:rsid w:val="00A706D9"/>
    <w:rsid w:val="00A82225"/>
    <w:rsid w:val="00A8384D"/>
    <w:rsid w:val="00A848EC"/>
    <w:rsid w:val="00A861A6"/>
    <w:rsid w:val="00A92A00"/>
    <w:rsid w:val="00A95329"/>
    <w:rsid w:val="00A966FE"/>
    <w:rsid w:val="00A968FA"/>
    <w:rsid w:val="00A96F4B"/>
    <w:rsid w:val="00A9795D"/>
    <w:rsid w:val="00AA0AE6"/>
    <w:rsid w:val="00AA1A72"/>
    <w:rsid w:val="00AA58FD"/>
    <w:rsid w:val="00AB0CAC"/>
    <w:rsid w:val="00AB42CF"/>
    <w:rsid w:val="00AB5139"/>
    <w:rsid w:val="00AC0F3B"/>
    <w:rsid w:val="00AC1D83"/>
    <w:rsid w:val="00AC564F"/>
    <w:rsid w:val="00AC74B3"/>
    <w:rsid w:val="00AC7A30"/>
    <w:rsid w:val="00AD0A2C"/>
    <w:rsid w:val="00AD1937"/>
    <w:rsid w:val="00AD1FFE"/>
    <w:rsid w:val="00AD34EC"/>
    <w:rsid w:val="00AD3ED0"/>
    <w:rsid w:val="00AD4F25"/>
    <w:rsid w:val="00AD65C4"/>
    <w:rsid w:val="00AD70ED"/>
    <w:rsid w:val="00AE13BF"/>
    <w:rsid w:val="00AE17EC"/>
    <w:rsid w:val="00AE25CC"/>
    <w:rsid w:val="00AE2876"/>
    <w:rsid w:val="00AE6D33"/>
    <w:rsid w:val="00AE6FB0"/>
    <w:rsid w:val="00AE78FD"/>
    <w:rsid w:val="00AF0F19"/>
    <w:rsid w:val="00AF28D7"/>
    <w:rsid w:val="00AF7103"/>
    <w:rsid w:val="00B013A7"/>
    <w:rsid w:val="00B02D18"/>
    <w:rsid w:val="00B04DCE"/>
    <w:rsid w:val="00B05BD8"/>
    <w:rsid w:val="00B05C13"/>
    <w:rsid w:val="00B060F5"/>
    <w:rsid w:val="00B0616A"/>
    <w:rsid w:val="00B07ADA"/>
    <w:rsid w:val="00B07CAD"/>
    <w:rsid w:val="00B105BE"/>
    <w:rsid w:val="00B111DF"/>
    <w:rsid w:val="00B119AD"/>
    <w:rsid w:val="00B17EBF"/>
    <w:rsid w:val="00B20081"/>
    <w:rsid w:val="00B20DD8"/>
    <w:rsid w:val="00B22EDE"/>
    <w:rsid w:val="00B23BD6"/>
    <w:rsid w:val="00B2577C"/>
    <w:rsid w:val="00B26252"/>
    <w:rsid w:val="00B2645B"/>
    <w:rsid w:val="00B27744"/>
    <w:rsid w:val="00B323A3"/>
    <w:rsid w:val="00B3365D"/>
    <w:rsid w:val="00B338D0"/>
    <w:rsid w:val="00B33BF3"/>
    <w:rsid w:val="00B3458D"/>
    <w:rsid w:val="00B375C1"/>
    <w:rsid w:val="00B426F3"/>
    <w:rsid w:val="00B427B2"/>
    <w:rsid w:val="00B434D8"/>
    <w:rsid w:val="00B4562D"/>
    <w:rsid w:val="00B632DA"/>
    <w:rsid w:val="00B65412"/>
    <w:rsid w:val="00B655E7"/>
    <w:rsid w:val="00B65636"/>
    <w:rsid w:val="00B712ED"/>
    <w:rsid w:val="00B7130E"/>
    <w:rsid w:val="00B72232"/>
    <w:rsid w:val="00B74030"/>
    <w:rsid w:val="00B7582C"/>
    <w:rsid w:val="00B77EB3"/>
    <w:rsid w:val="00B801F9"/>
    <w:rsid w:val="00B80BC6"/>
    <w:rsid w:val="00B8449E"/>
    <w:rsid w:val="00B85DBC"/>
    <w:rsid w:val="00B90F38"/>
    <w:rsid w:val="00B91B7C"/>
    <w:rsid w:val="00B921E3"/>
    <w:rsid w:val="00B93C1B"/>
    <w:rsid w:val="00B947DF"/>
    <w:rsid w:val="00B97868"/>
    <w:rsid w:val="00BA107D"/>
    <w:rsid w:val="00BA4966"/>
    <w:rsid w:val="00BA5269"/>
    <w:rsid w:val="00BA687A"/>
    <w:rsid w:val="00BA6F4F"/>
    <w:rsid w:val="00BA71DF"/>
    <w:rsid w:val="00BA7C66"/>
    <w:rsid w:val="00BB1278"/>
    <w:rsid w:val="00BB2F16"/>
    <w:rsid w:val="00BB3E89"/>
    <w:rsid w:val="00BB42E8"/>
    <w:rsid w:val="00BB44A7"/>
    <w:rsid w:val="00BB67DC"/>
    <w:rsid w:val="00BB697A"/>
    <w:rsid w:val="00BB6A2C"/>
    <w:rsid w:val="00BB73F1"/>
    <w:rsid w:val="00BC062C"/>
    <w:rsid w:val="00BC0A08"/>
    <w:rsid w:val="00BC38E8"/>
    <w:rsid w:val="00BC66D5"/>
    <w:rsid w:val="00BC7810"/>
    <w:rsid w:val="00BD11E7"/>
    <w:rsid w:val="00BD16C3"/>
    <w:rsid w:val="00BD1E3C"/>
    <w:rsid w:val="00BD62DA"/>
    <w:rsid w:val="00BD65B9"/>
    <w:rsid w:val="00BE0FA2"/>
    <w:rsid w:val="00BE1818"/>
    <w:rsid w:val="00BE1C61"/>
    <w:rsid w:val="00BE2112"/>
    <w:rsid w:val="00BE2AD5"/>
    <w:rsid w:val="00BE2B00"/>
    <w:rsid w:val="00BE38C1"/>
    <w:rsid w:val="00BE633D"/>
    <w:rsid w:val="00BE685B"/>
    <w:rsid w:val="00BE6ACA"/>
    <w:rsid w:val="00BF073A"/>
    <w:rsid w:val="00BF3D9C"/>
    <w:rsid w:val="00BF3FA4"/>
    <w:rsid w:val="00BF464D"/>
    <w:rsid w:val="00BF4C1B"/>
    <w:rsid w:val="00C0184F"/>
    <w:rsid w:val="00C031B3"/>
    <w:rsid w:val="00C05124"/>
    <w:rsid w:val="00C079CF"/>
    <w:rsid w:val="00C1759B"/>
    <w:rsid w:val="00C1764E"/>
    <w:rsid w:val="00C20C18"/>
    <w:rsid w:val="00C20FAB"/>
    <w:rsid w:val="00C21CF5"/>
    <w:rsid w:val="00C2734E"/>
    <w:rsid w:val="00C31F60"/>
    <w:rsid w:val="00C3213A"/>
    <w:rsid w:val="00C341F2"/>
    <w:rsid w:val="00C34B7F"/>
    <w:rsid w:val="00C353BB"/>
    <w:rsid w:val="00C36CD9"/>
    <w:rsid w:val="00C40584"/>
    <w:rsid w:val="00C4200D"/>
    <w:rsid w:val="00C45D39"/>
    <w:rsid w:val="00C5158B"/>
    <w:rsid w:val="00C53730"/>
    <w:rsid w:val="00C53F6D"/>
    <w:rsid w:val="00C555C0"/>
    <w:rsid w:val="00C55C27"/>
    <w:rsid w:val="00C576DD"/>
    <w:rsid w:val="00C60473"/>
    <w:rsid w:val="00C62D80"/>
    <w:rsid w:val="00C66936"/>
    <w:rsid w:val="00C669CB"/>
    <w:rsid w:val="00C70F15"/>
    <w:rsid w:val="00C71959"/>
    <w:rsid w:val="00C72071"/>
    <w:rsid w:val="00C73106"/>
    <w:rsid w:val="00C83611"/>
    <w:rsid w:val="00C83A8F"/>
    <w:rsid w:val="00C84659"/>
    <w:rsid w:val="00C84BE3"/>
    <w:rsid w:val="00C84D0F"/>
    <w:rsid w:val="00C92DFD"/>
    <w:rsid w:val="00C92E2B"/>
    <w:rsid w:val="00C9366A"/>
    <w:rsid w:val="00C94B80"/>
    <w:rsid w:val="00C94CD0"/>
    <w:rsid w:val="00C954BA"/>
    <w:rsid w:val="00C95D18"/>
    <w:rsid w:val="00C977E1"/>
    <w:rsid w:val="00C97878"/>
    <w:rsid w:val="00CA1C03"/>
    <w:rsid w:val="00CA3401"/>
    <w:rsid w:val="00CA3D3B"/>
    <w:rsid w:val="00CA76BB"/>
    <w:rsid w:val="00CB3BA9"/>
    <w:rsid w:val="00CB45DD"/>
    <w:rsid w:val="00CC442D"/>
    <w:rsid w:val="00CC4DBD"/>
    <w:rsid w:val="00CC4F6E"/>
    <w:rsid w:val="00CC5B25"/>
    <w:rsid w:val="00CD0794"/>
    <w:rsid w:val="00CD0AB3"/>
    <w:rsid w:val="00CD1630"/>
    <w:rsid w:val="00CD1923"/>
    <w:rsid w:val="00CD20CF"/>
    <w:rsid w:val="00CD4B4E"/>
    <w:rsid w:val="00CD6B54"/>
    <w:rsid w:val="00CD7C8F"/>
    <w:rsid w:val="00CE09A6"/>
    <w:rsid w:val="00CE0BEB"/>
    <w:rsid w:val="00CE2F39"/>
    <w:rsid w:val="00CF0AE3"/>
    <w:rsid w:val="00D001D2"/>
    <w:rsid w:val="00D02A15"/>
    <w:rsid w:val="00D03CF7"/>
    <w:rsid w:val="00D03DBF"/>
    <w:rsid w:val="00D04958"/>
    <w:rsid w:val="00D053B7"/>
    <w:rsid w:val="00D05C9B"/>
    <w:rsid w:val="00D05E2C"/>
    <w:rsid w:val="00D069C3"/>
    <w:rsid w:val="00D06CDC"/>
    <w:rsid w:val="00D11659"/>
    <w:rsid w:val="00D11BA3"/>
    <w:rsid w:val="00D12621"/>
    <w:rsid w:val="00D1320E"/>
    <w:rsid w:val="00D16ED7"/>
    <w:rsid w:val="00D200CC"/>
    <w:rsid w:val="00D25367"/>
    <w:rsid w:val="00D27377"/>
    <w:rsid w:val="00D301B1"/>
    <w:rsid w:val="00D36798"/>
    <w:rsid w:val="00D36BFE"/>
    <w:rsid w:val="00D377D9"/>
    <w:rsid w:val="00D407B1"/>
    <w:rsid w:val="00D431A3"/>
    <w:rsid w:val="00D43DA5"/>
    <w:rsid w:val="00D4555E"/>
    <w:rsid w:val="00D45820"/>
    <w:rsid w:val="00D46D7D"/>
    <w:rsid w:val="00D476E6"/>
    <w:rsid w:val="00D4797B"/>
    <w:rsid w:val="00D513C9"/>
    <w:rsid w:val="00D52C58"/>
    <w:rsid w:val="00D53F9C"/>
    <w:rsid w:val="00D55E24"/>
    <w:rsid w:val="00D566CC"/>
    <w:rsid w:val="00D61535"/>
    <w:rsid w:val="00D6571A"/>
    <w:rsid w:val="00D65F42"/>
    <w:rsid w:val="00D6724C"/>
    <w:rsid w:val="00D672C2"/>
    <w:rsid w:val="00D71538"/>
    <w:rsid w:val="00D73615"/>
    <w:rsid w:val="00D763C5"/>
    <w:rsid w:val="00D80321"/>
    <w:rsid w:val="00D82DD3"/>
    <w:rsid w:val="00D83F88"/>
    <w:rsid w:val="00D8431E"/>
    <w:rsid w:val="00D86751"/>
    <w:rsid w:val="00D87789"/>
    <w:rsid w:val="00D87B5B"/>
    <w:rsid w:val="00D920B7"/>
    <w:rsid w:val="00D93FA4"/>
    <w:rsid w:val="00D945B5"/>
    <w:rsid w:val="00D94B87"/>
    <w:rsid w:val="00D95638"/>
    <w:rsid w:val="00D9612B"/>
    <w:rsid w:val="00D96936"/>
    <w:rsid w:val="00D97975"/>
    <w:rsid w:val="00DA06C2"/>
    <w:rsid w:val="00DA2B80"/>
    <w:rsid w:val="00DA5300"/>
    <w:rsid w:val="00DA54E4"/>
    <w:rsid w:val="00DB3798"/>
    <w:rsid w:val="00DB47B7"/>
    <w:rsid w:val="00DB6EE3"/>
    <w:rsid w:val="00DD1C01"/>
    <w:rsid w:val="00DD235E"/>
    <w:rsid w:val="00DD260E"/>
    <w:rsid w:val="00DD402D"/>
    <w:rsid w:val="00DD5C74"/>
    <w:rsid w:val="00DD6DB1"/>
    <w:rsid w:val="00DE146D"/>
    <w:rsid w:val="00DE1E6E"/>
    <w:rsid w:val="00DE29E0"/>
    <w:rsid w:val="00DE50F5"/>
    <w:rsid w:val="00DE5928"/>
    <w:rsid w:val="00DF42EA"/>
    <w:rsid w:val="00DF60D3"/>
    <w:rsid w:val="00DF67F2"/>
    <w:rsid w:val="00DF766C"/>
    <w:rsid w:val="00E04F3F"/>
    <w:rsid w:val="00E05552"/>
    <w:rsid w:val="00E07DCF"/>
    <w:rsid w:val="00E113ED"/>
    <w:rsid w:val="00E121C3"/>
    <w:rsid w:val="00E2074D"/>
    <w:rsid w:val="00E20E90"/>
    <w:rsid w:val="00E2208D"/>
    <w:rsid w:val="00E26A23"/>
    <w:rsid w:val="00E3195B"/>
    <w:rsid w:val="00E31AF3"/>
    <w:rsid w:val="00E345A2"/>
    <w:rsid w:val="00E34A0E"/>
    <w:rsid w:val="00E34F1E"/>
    <w:rsid w:val="00E40120"/>
    <w:rsid w:val="00E40849"/>
    <w:rsid w:val="00E40E8E"/>
    <w:rsid w:val="00E41A42"/>
    <w:rsid w:val="00E439B7"/>
    <w:rsid w:val="00E43E91"/>
    <w:rsid w:val="00E510DC"/>
    <w:rsid w:val="00E529CE"/>
    <w:rsid w:val="00E53063"/>
    <w:rsid w:val="00E54696"/>
    <w:rsid w:val="00E54B4B"/>
    <w:rsid w:val="00E55B11"/>
    <w:rsid w:val="00E562EE"/>
    <w:rsid w:val="00E57787"/>
    <w:rsid w:val="00E605BD"/>
    <w:rsid w:val="00E63828"/>
    <w:rsid w:val="00E65698"/>
    <w:rsid w:val="00E65D6C"/>
    <w:rsid w:val="00E66D28"/>
    <w:rsid w:val="00E67774"/>
    <w:rsid w:val="00E6790D"/>
    <w:rsid w:val="00E71CF1"/>
    <w:rsid w:val="00E73ACF"/>
    <w:rsid w:val="00E74419"/>
    <w:rsid w:val="00E80A86"/>
    <w:rsid w:val="00E81004"/>
    <w:rsid w:val="00E81D9F"/>
    <w:rsid w:val="00E81E29"/>
    <w:rsid w:val="00E83E9C"/>
    <w:rsid w:val="00E84B34"/>
    <w:rsid w:val="00E92C67"/>
    <w:rsid w:val="00E93637"/>
    <w:rsid w:val="00E9509A"/>
    <w:rsid w:val="00E96006"/>
    <w:rsid w:val="00E97C8D"/>
    <w:rsid w:val="00E97E0E"/>
    <w:rsid w:val="00EA105F"/>
    <w:rsid w:val="00EA15BF"/>
    <w:rsid w:val="00EA4474"/>
    <w:rsid w:val="00EA6441"/>
    <w:rsid w:val="00EB7987"/>
    <w:rsid w:val="00EC160B"/>
    <w:rsid w:val="00EC1DD9"/>
    <w:rsid w:val="00EC295B"/>
    <w:rsid w:val="00EC441C"/>
    <w:rsid w:val="00EC6765"/>
    <w:rsid w:val="00ED0078"/>
    <w:rsid w:val="00ED1D25"/>
    <w:rsid w:val="00ED2BC2"/>
    <w:rsid w:val="00ED468D"/>
    <w:rsid w:val="00ED5AD2"/>
    <w:rsid w:val="00ED5B06"/>
    <w:rsid w:val="00ED5F5D"/>
    <w:rsid w:val="00ED6D2D"/>
    <w:rsid w:val="00ED77E4"/>
    <w:rsid w:val="00EE0222"/>
    <w:rsid w:val="00EE0D89"/>
    <w:rsid w:val="00EE47BF"/>
    <w:rsid w:val="00EE671A"/>
    <w:rsid w:val="00EE69AE"/>
    <w:rsid w:val="00EE7314"/>
    <w:rsid w:val="00EF0214"/>
    <w:rsid w:val="00EF1ECA"/>
    <w:rsid w:val="00EF23CC"/>
    <w:rsid w:val="00EF295F"/>
    <w:rsid w:val="00EF3778"/>
    <w:rsid w:val="00EF3A62"/>
    <w:rsid w:val="00EF760C"/>
    <w:rsid w:val="00F022D1"/>
    <w:rsid w:val="00F029F1"/>
    <w:rsid w:val="00F05E04"/>
    <w:rsid w:val="00F11AA2"/>
    <w:rsid w:val="00F134C8"/>
    <w:rsid w:val="00F15E7A"/>
    <w:rsid w:val="00F17C47"/>
    <w:rsid w:val="00F22A9B"/>
    <w:rsid w:val="00F22EAC"/>
    <w:rsid w:val="00F24703"/>
    <w:rsid w:val="00F26169"/>
    <w:rsid w:val="00F305AD"/>
    <w:rsid w:val="00F3079F"/>
    <w:rsid w:val="00F31625"/>
    <w:rsid w:val="00F34FDF"/>
    <w:rsid w:val="00F3740C"/>
    <w:rsid w:val="00F37E4E"/>
    <w:rsid w:val="00F41EF4"/>
    <w:rsid w:val="00F45067"/>
    <w:rsid w:val="00F476AE"/>
    <w:rsid w:val="00F57297"/>
    <w:rsid w:val="00F601AC"/>
    <w:rsid w:val="00F60C5C"/>
    <w:rsid w:val="00F61EE4"/>
    <w:rsid w:val="00F62A74"/>
    <w:rsid w:val="00F63E7B"/>
    <w:rsid w:val="00F700C1"/>
    <w:rsid w:val="00F71FF4"/>
    <w:rsid w:val="00F722A4"/>
    <w:rsid w:val="00F722BC"/>
    <w:rsid w:val="00F73D72"/>
    <w:rsid w:val="00F7595A"/>
    <w:rsid w:val="00F772CA"/>
    <w:rsid w:val="00F779AF"/>
    <w:rsid w:val="00F812F7"/>
    <w:rsid w:val="00F842A3"/>
    <w:rsid w:val="00F868A1"/>
    <w:rsid w:val="00F86E64"/>
    <w:rsid w:val="00F877D1"/>
    <w:rsid w:val="00F9153E"/>
    <w:rsid w:val="00F9253B"/>
    <w:rsid w:val="00F944BE"/>
    <w:rsid w:val="00F945E2"/>
    <w:rsid w:val="00F958B5"/>
    <w:rsid w:val="00F96332"/>
    <w:rsid w:val="00FA004A"/>
    <w:rsid w:val="00FA0D6A"/>
    <w:rsid w:val="00FA15DF"/>
    <w:rsid w:val="00FA2BE6"/>
    <w:rsid w:val="00FA3192"/>
    <w:rsid w:val="00FA57C5"/>
    <w:rsid w:val="00FA61FB"/>
    <w:rsid w:val="00FB023A"/>
    <w:rsid w:val="00FB178B"/>
    <w:rsid w:val="00FB181B"/>
    <w:rsid w:val="00FB2498"/>
    <w:rsid w:val="00FB70BA"/>
    <w:rsid w:val="00FC04AC"/>
    <w:rsid w:val="00FC20BC"/>
    <w:rsid w:val="00FC271A"/>
    <w:rsid w:val="00FC4EA0"/>
    <w:rsid w:val="00FC5A14"/>
    <w:rsid w:val="00FD37DA"/>
    <w:rsid w:val="00FD4DDF"/>
    <w:rsid w:val="00FD5225"/>
    <w:rsid w:val="00FD5D0E"/>
    <w:rsid w:val="00FD6D05"/>
    <w:rsid w:val="00FD7441"/>
    <w:rsid w:val="00FE1A4F"/>
    <w:rsid w:val="00FE2762"/>
    <w:rsid w:val="00FE415F"/>
    <w:rsid w:val="00FE6ACF"/>
    <w:rsid w:val="00FE6C19"/>
    <w:rsid w:val="00FF3945"/>
    <w:rsid w:val="00FF46F2"/>
    <w:rsid w:val="00FF4805"/>
    <w:rsid w:val="00FF6801"/>
    <w:rsid w:val="00FF7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F8E9D6-7899-427C-B2AA-DE4BD285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87A"/>
    <w:pPr>
      <w:spacing w:after="160"/>
    </w:pPr>
  </w:style>
  <w:style w:type="paragraph" w:styleId="Heading1">
    <w:name w:val="heading 1"/>
    <w:basedOn w:val="Normal"/>
    <w:next w:val="Normal"/>
    <w:link w:val="Heading1Char"/>
    <w:uiPriority w:val="9"/>
    <w:qFormat/>
    <w:rsid w:val="003902AC"/>
    <w:pPr>
      <w:keepNext/>
      <w:keepLines/>
      <w:spacing w:before="240"/>
      <w:outlineLvl w:val="0"/>
    </w:pPr>
    <w:rPr>
      <w:rFonts w:ascii="Arial" w:eastAsiaTheme="majorEastAsia" w:hAnsi="Arial" w:cs="Arial"/>
      <w:b/>
      <w:bCs/>
      <w:color w:val="1F497D" w:themeColor="text2"/>
      <w:sz w:val="24"/>
      <w:szCs w:val="26"/>
    </w:rPr>
  </w:style>
  <w:style w:type="paragraph" w:styleId="Heading2">
    <w:name w:val="heading 2"/>
    <w:basedOn w:val="Normal"/>
    <w:next w:val="Normal"/>
    <w:link w:val="Heading2Char"/>
    <w:uiPriority w:val="9"/>
    <w:unhideWhenUsed/>
    <w:qFormat/>
    <w:rsid w:val="003902AC"/>
    <w:pPr>
      <w:keepNext/>
      <w:keepLines/>
      <w:spacing w:before="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ED2BC2"/>
    <w:pPr>
      <w:spacing w:before="240" w:after="120"/>
      <w:outlineLvl w:val="2"/>
    </w:pPr>
    <w:rPr>
      <w:b/>
    </w:rPr>
  </w:style>
  <w:style w:type="paragraph" w:styleId="Heading4">
    <w:name w:val="heading 4"/>
    <w:basedOn w:val="Normal"/>
    <w:next w:val="Normal"/>
    <w:link w:val="Heading4Char"/>
    <w:uiPriority w:val="9"/>
    <w:unhideWhenUsed/>
    <w:qFormat/>
    <w:rsid w:val="00AD1FFE"/>
    <w:pPr>
      <w:keepNext/>
      <w:keepLines/>
      <w:spacing w:before="120" w:after="120"/>
      <w:outlineLvl w:val="3"/>
    </w:pPr>
    <w:rPr>
      <w:rFonts w:asciiTheme="majorHAnsi" w:eastAsiaTheme="majorEastAsia" w:hAnsiTheme="majorHAnsi" w:cstheme="majorBidi"/>
      <w:bCs/>
      <w:i/>
      <w:iCs/>
      <w:color w:val="4F81BD" w:themeColor="accent1"/>
      <w:lang w:bidi="ar-SA"/>
    </w:rPr>
  </w:style>
  <w:style w:type="paragraph" w:styleId="Heading5">
    <w:name w:val="heading 5"/>
    <w:basedOn w:val="Normal"/>
    <w:next w:val="Normal"/>
    <w:link w:val="Heading5Char"/>
    <w:uiPriority w:val="9"/>
    <w:semiHidden/>
    <w:unhideWhenUsed/>
    <w:qFormat/>
    <w:rsid w:val="0055363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363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36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363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536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764E"/>
    <w:pPr>
      <w:tabs>
        <w:tab w:val="center" w:pos="4680"/>
        <w:tab w:val="right" w:pos="9360"/>
      </w:tabs>
      <w:spacing w:after="0" w:line="240" w:lineRule="auto"/>
    </w:pPr>
  </w:style>
  <w:style w:type="character" w:customStyle="1" w:styleId="HeaderChar">
    <w:name w:val="Header Char"/>
    <w:basedOn w:val="DefaultParagraphFont"/>
    <w:link w:val="Header"/>
    <w:rsid w:val="00C1764E"/>
  </w:style>
  <w:style w:type="character" w:customStyle="1" w:styleId="Heading1Char">
    <w:name w:val="Heading 1 Char"/>
    <w:basedOn w:val="DefaultParagraphFont"/>
    <w:link w:val="Heading1"/>
    <w:uiPriority w:val="9"/>
    <w:rsid w:val="003902AC"/>
    <w:rPr>
      <w:rFonts w:ascii="Arial" w:eastAsiaTheme="majorEastAsia" w:hAnsi="Arial" w:cs="Arial"/>
      <w:b/>
      <w:bCs/>
      <w:color w:val="1F497D" w:themeColor="text2"/>
      <w:sz w:val="24"/>
      <w:szCs w:val="26"/>
    </w:rPr>
  </w:style>
  <w:style w:type="character" w:customStyle="1" w:styleId="Heading2Char">
    <w:name w:val="Heading 2 Char"/>
    <w:basedOn w:val="DefaultParagraphFont"/>
    <w:link w:val="Heading2"/>
    <w:uiPriority w:val="9"/>
    <w:rsid w:val="003902AC"/>
    <w:rPr>
      <w:rFonts w:eastAsiaTheme="majorEastAsia" w:cstheme="majorBidi"/>
      <w:b/>
      <w:bCs/>
      <w:color w:val="4F81BD" w:themeColor="accent1"/>
      <w:sz w:val="24"/>
      <w:szCs w:val="26"/>
    </w:rPr>
  </w:style>
  <w:style w:type="character" w:customStyle="1" w:styleId="Heading3Char">
    <w:name w:val="Heading 3 Char"/>
    <w:basedOn w:val="DefaultParagraphFont"/>
    <w:link w:val="Heading3"/>
    <w:uiPriority w:val="9"/>
    <w:rsid w:val="00ED2BC2"/>
    <w:rPr>
      <w:b/>
    </w:rPr>
  </w:style>
  <w:style w:type="character" w:customStyle="1" w:styleId="Heading4Char">
    <w:name w:val="Heading 4 Char"/>
    <w:basedOn w:val="DefaultParagraphFont"/>
    <w:link w:val="Heading4"/>
    <w:uiPriority w:val="9"/>
    <w:rsid w:val="00AD1FFE"/>
    <w:rPr>
      <w:rFonts w:asciiTheme="majorHAnsi" w:eastAsiaTheme="majorEastAsia" w:hAnsiTheme="majorHAnsi" w:cstheme="majorBidi"/>
      <w:bCs/>
      <w:i/>
      <w:iCs/>
      <w:color w:val="4F81BD" w:themeColor="accent1"/>
      <w:lang w:bidi="ar-SA"/>
    </w:rPr>
  </w:style>
  <w:style w:type="character" w:customStyle="1" w:styleId="Heading5Char">
    <w:name w:val="Heading 5 Char"/>
    <w:basedOn w:val="DefaultParagraphFont"/>
    <w:link w:val="Heading5"/>
    <w:uiPriority w:val="9"/>
    <w:rsid w:val="0055363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5363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536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5363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5363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05E2C"/>
    <w:pPr>
      <w:spacing w:before="200" w:after="0" w:line="240" w:lineRule="auto"/>
    </w:pPr>
    <w:rPr>
      <w:b/>
      <w:bCs/>
      <w:szCs w:val="18"/>
    </w:rPr>
  </w:style>
  <w:style w:type="paragraph" w:styleId="Title">
    <w:name w:val="Title"/>
    <w:basedOn w:val="Normal"/>
    <w:next w:val="Normal"/>
    <w:link w:val="TitleChar"/>
    <w:uiPriority w:val="10"/>
    <w:qFormat/>
    <w:rsid w:val="00D03CF7"/>
    <w:pPr>
      <w:spacing w:after="100" w:afterAutospacing="1" w:line="240" w:lineRule="auto"/>
    </w:pPr>
    <w:rPr>
      <w:rFonts w:ascii="Arial" w:hAnsi="Arial" w:cs="Arial"/>
      <w:color w:val="1F497D" w:themeColor="text2"/>
      <w:sz w:val="32"/>
      <w:szCs w:val="32"/>
    </w:rPr>
  </w:style>
  <w:style w:type="character" w:customStyle="1" w:styleId="TitleChar">
    <w:name w:val="Title Char"/>
    <w:basedOn w:val="DefaultParagraphFont"/>
    <w:link w:val="Title"/>
    <w:uiPriority w:val="10"/>
    <w:rsid w:val="00D03CF7"/>
    <w:rPr>
      <w:rFonts w:ascii="Arial" w:hAnsi="Arial" w:cs="Arial"/>
      <w:color w:val="1F497D" w:themeColor="text2"/>
      <w:sz w:val="32"/>
      <w:szCs w:val="32"/>
    </w:rPr>
  </w:style>
  <w:style w:type="paragraph" w:styleId="Subtitle">
    <w:name w:val="Subtitle"/>
    <w:basedOn w:val="Normal"/>
    <w:next w:val="Normal"/>
    <w:link w:val="SubtitleChar"/>
    <w:uiPriority w:val="11"/>
    <w:qFormat/>
    <w:rsid w:val="0067153C"/>
    <w:pPr>
      <w:spacing w:before="240"/>
    </w:pPr>
    <w:rPr>
      <w:i/>
    </w:rPr>
  </w:style>
  <w:style w:type="character" w:customStyle="1" w:styleId="SubtitleChar">
    <w:name w:val="Subtitle Char"/>
    <w:basedOn w:val="DefaultParagraphFont"/>
    <w:link w:val="Subtitle"/>
    <w:uiPriority w:val="11"/>
    <w:rsid w:val="0067153C"/>
    <w:rPr>
      <w:i/>
    </w:rPr>
  </w:style>
  <w:style w:type="character" w:styleId="Strong">
    <w:name w:val="Strong"/>
    <w:basedOn w:val="DefaultParagraphFont"/>
    <w:uiPriority w:val="22"/>
    <w:qFormat/>
    <w:rsid w:val="00553639"/>
    <w:rPr>
      <w:b/>
      <w:bCs/>
    </w:rPr>
  </w:style>
  <w:style w:type="character" w:styleId="Emphasis">
    <w:name w:val="Emphasis"/>
    <w:basedOn w:val="DefaultParagraphFont"/>
    <w:uiPriority w:val="20"/>
    <w:qFormat/>
    <w:rsid w:val="00553639"/>
    <w:rPr>
      <w:i/>
      <w:iCs/>
    </w:rPr>
  </w:style>
  <w:style w:type="paragraph" w:styleId="NoSpacing">
    <w:name w:val="No Spacing"/>
    <w:uiPriority w:val="1"/>
    <w:qFormat/>
    <w:rsid w:val="000846C9"/>
    <w:pPr>
      <w:spacing w:after="0" w:line="240" w:lineRule="auto"/>
    </w:pPr>
    <w:rPr>
      <w:sz w:val="20"/>
    </w:rPr>
  </w:style>
  <w:style w:type="paragraph" w:styleId="ListParagraph">
    <w:name w:val="List Paragraph"/>
    <w:basedOn w:val="Normal"/>
    <w:uiPriority w:val="34"/>
    <w:qFormat/>
    <w:rsid w:val="002C54BB"/>
    <w:pPr>
      <w:numPr>
        <w:numId w:val="1"/>
      </w:numPr>
      <w:contextualSpacing/>
    </w:pPr>
    <w:rPr>
      <w:i/>
    </w:rPr>
  </w:style>
  <w:style w:type="paragraph" w:styleId="Quote">
    <w:name w:val="Quote"/>
    <w:basedOn w:val="Normal"/>
    <w:next w:val="Normal"/>
    <w:link w:val="QuoteChar"/>
    <w:uiPriority w:val="29"/>
    <w:qFormat/>
    <w:rsid w:val="00553639"/>
    <w:rPr>
      <w:i/>
      <w:iCs/>
      <w:color w:val="000000" w:themeColor="text1"/>
    </w:rPr>
  </w:style>
  <w:style w:type="character" w:customStyle="1" w:styleId="QuoteChar">
    <w:name w:val="Quote Char"/>
    <w:basedOn w:val="DefaultParagraphFont"/>
    <w:link w:val="Quote"/>
    <w:uiPriority w:val="29"/>
    <w:rsid w:val="00553639"/>
    <w:rPr>
      <w:i/>
      <w:iCs/>
      <w:color w:val="000000" w:themeColor="text1"/>
    </w:rPr>
  </w:style>
  <w:style w:type="paragraph" w:styleId="IntenseQuote">
    <w:name w:val="Intense Quote"/>
    <w:basedOn w:val="Normal"/>
    <w:next w:val="Normal"/>
    <w:link w:val="IntenseQuoteChar"/>
    <w:uiPriority w:val="30"/>
    <w:qFormat/>
    <w:rsid w:val="005536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3639"/>
    <w:rPr>
      <w:b/>
      <w:bCs/>
      <w:i/>
      <w:iCs/>
      <w:color w:val="4F81BD" w:themeColor="accent1"/>
    </w:rPr>
  </w:style>
  <w:style w:type="character" w:styleId="SubtleEmphasis">
    <w:name w:val="Subtle Emphasis"/>
    <w:basedOn w:val="DefaultParagraphFont"/>
    <w:uiPriority w:val="19"/>
    <w:qFormat/>
    <w:rsid w:val="00553639"/>
    <w:rPr>
      <w:i/>
      <w:iCs/>
      <w:color w:val="808080" w:themeColor="text1" w:themeTint="7F"/>
    </w:rPr>
  </w:style>
  <w:style w:type="character" w:styleId="IntenseEmphasis">
    <w:name w:val="Intense Emphasis"/>
    <w:basedOn w:val="DefaultParagraphFont"/>
    <w:uiPriority w:val="21"/>
    <w:qFormat/>
    <w:rsid w:val="00553639"/>
    <w:rPr>
      <w:b/>
      <w:bCs/>
      <w:i/>
      <w:iCs/>
      <w:color w:val="4F81BD" w:themeColor="accent1"/>
    </w:rPr>
  </w:style>
  <w:style w:type="character" w:styleId="SubtleReference">
    <w:name w:val="Subtle Reference"/>
    <w:basedOn w:val="DefaultParagraphFont"/>
    <w:uiPriority w:val="31"/>
    <w:qFormat/>
    <w:rsid w:val="00553639"/>
    <w:rPr>
      <w:smallCaps/>
      <w:color w:val="C0504D" w:themeColor="accent2"/>
      <w:u w:val="single"/>
    </w:rPr>
  </w:style>
  <w:style w:type="character" w:styleId="IntenseReference">
    <w:name w:val="Intense Reference"/>
    <w:basedOn w:val="DefaultParagraphFont"/>
    <w:uiPriority w:val="32"/>
    <w:qFormat/>
    <w:rsid w:val="00553639"/>
    <w:rPr>
      <w:b/>
      <w:bCs/>
      <w:smallCaps/>
      <w:color w:val="C0504D" w:themeColor="accent2"/>
      <w:spacing w:val="5"/>
      <w:u w:val="single"/>
    </w:rPr>
  </w:style>
  <w:style w:type="character" w:styleId="BookTitle">
    <w:name w:val="Book Title"/>
    <w:basedOn w:val="DefaultParagraphFont"/>
    <w:uiPriority w:val="33"/>
    <w:qFormat/>
    <w:rsid w:val="00553639"/>
    <w:rPr>
      <w:b/>
      <w:bCs/>
      <w:smallCaps/>
      <w:spacing w:val="5"/>
    </w:rPr>
  </w:style>
  <w:style w:type="paragraph" w:styleId="TOCHeading">
    <w:name w:val="TOC Heading"/>
    <w:basedOn w:val="Heading1"/>
    <w:next w:val="Normal"/>
    <w:uiPriority w:val="39"/>
    <w:unhideWhenUsed/>
    <w:qFormat/>
    <w:rsid w:val="00442D8D"/>
    <w:pPr>
      <w:pBdr>
        <w:bottom w:val="single" w:sz="12" w:space="1" w:color="auto"/>
      </w:pBdr>
      <w:spacing w:before="100" w:beforeAutospacing="1" w:after="120" w:line="240" w:lineRule="auto"/>
      <w:outlineLvl w:val="9"/>
    </w:pPr>
  </w:style>
  <w:style w:type="paragraph" w:styleId="Footer">
    <w:name w:val="footer"/>
    <w:basedOn w:val="Normal"/>
    <w:link w:val="FooterChar"/>
    <w:rsid w:val="00C1764E"/>
    <w:pPr>
      <w:tabs>
        <w:tab w:val="center" w:pos="4680"/>
        <w:tab w:val="right" w:pos="9360"/>
      </w:tabs>
      <w:spacing w:after="0" w:line="240" w:lineRule="auto"/>
    </w:pPr>
  </w:style>
  <w:style w:type="character" w:customStyle="1" w:styleId="FooterChar">
    <w:name w:val="Footer Char"/>
    <w:basedOn w:val="DefaultParagraphFont"/>
    <w:link w:val="Footer"/>
    <w:rsid w:val="00C1764E"/>
  </w:style>
  <w:style w:type="table" w:styleId="TableGrid">
    <w:name w:val="Table Grid"/>
    <w:basedOn w:val="TableNormal"/>
    <w:rsid w:val="00C1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D56EE"/>
    <w:rPr>
      <w:rFonts w:ascii="Tahoma" w:hAnsi="Tahoma" w:cs="Tahoma"/>
      <w:sz w:val="16"/>
      <w:szCs w:val="16"/>
    </w:rPr>
  </w:style>
  <w:style w:type="paragraph" w:styleId="TOC1">
    <w:name w:val="toc 1"/>
    <w:basedOn w:val="Normal"/>
    <w:next w:val="Normal"/>
    <w:autoRedefine/>
    <w:uiPriority w:val="39"/>
    <w:qFormat/>
    <w:rsid w:val="009743E8"/>
    <w:pPr>
      <w:tabs>
        <w:tab w:val="right" w:leader="dot" w:pos="9350"/>
      </w:tabs>
      <w:spacing w:after="0" w:line="240" w:lineRule="auto"/>
    </w:pPr>
    <w:rPr>
      <w:b/>
    </w:rPr>
  </w:style>
  <w:style w:type="character" w:styleId="Hyperlink">
    <w:name w:val="Hyperlink"/>
    <w:basedOn w:val="DefaultParagraphFont"/>
    <w:uiPriority w:val="99"/>
    <w:unhideWhenUsed/>
    <w:rsid w:val="00D43DA5"/>
    <w:rPr>
      <w:color w:val="0000FF" w:themeColor="hyperlink"/>
      <w:u w:val="single"/>
    </w:rPr>
  </w:style>
  <w:style w:type="paragraph" w:styleId="TOC2">
    <w:name w:val="toc 2"/>
    <w:basedOn w:val="TOC1"/>
    <w:next w:val="Normal"/>
    <w:autoRedefine/>
    <w:uiPriority w:val="39"/>
    <w:qFormat/>
    <w:rsid w:val="009743E8"/>
    <w:pPr>
      <w:tabs>
        <w:tab w:val="right" w:leader="dot" w:pos="10080"/>
      </w:tabs>
      <w:ind w:left="216"/>
      <w:jc w:val="both"/>
    </w:pPr>
    <w:rPr>
      <w:b w:val="0"/>
      <w:noProof/>
    </w:rPr>
  </w:style>
  <w:style w:type="paragraph" w:styleId="TOC3">
    <w:name w:val="toc 3"/>
    <w:basedOn w:val="TOC1"/>
    <w:next w:val="Normal"/>
    <w:autoRedefine/>
    <w:uiPriority w:val="39"/>
    <w:qFormat/>
    <w:rsid w:val="00412A31"/>
    <w:pPr>
      <w:ind w:left="720"/>
    </w:pPr>
    <w:rPr>
      <w:b w:val="0"/>
    </w:rPr>
  </w:style>
  <w:style w:type="paragraph" w:styleId="FootnoteText">
    <w:name w:val="footnote text"/>
    <w:basedOn w:val="Normal"/>
    <w:link w:val="FootnoteTextChar"/>
    <w:uiPriority w:val="99"/>
    <w:rsid w:val="004A1221"/>
    <w:pPr>
      <w:spacing w:before="80" w:after="80" w:line="240" w:lineRule="auto"/>
    </w:pPr>
    <w:rPr>
      <w:rFonts w:ascii="Calibri" w:eastAsia="Times New Roman" w:hAnsi="Calibri" w:cs="Times New Roman"/>
      <w:sz w:val="18"/>
      <w:lang w:bidi="ar-SA"/>
    </w:rPr>
  </w:style>
  <w:style w:type="character" w:customStyle="1" w:styleId="FootnoteTextChar">
    <w:name w:val="Footnote Text Char"/>
    <w:basedOn w:val="DefaultParagraphFont"/>
    <w:link w:val="FootnoteText"/>
    <w:uiPriority w:val="99"/>
    <w:rsid w:val="004A1221"/>
    <w:rPr>
      <w:rFonts w:ascii="Calibri" w:eastAsia="Times New Roman" w:hAnsi="Calibri" w:cs="Times New Roman"/>
      <w:sz w:val="18"/>
      <w:lang w:bidi="ar-SA"/>
    </w:rPr>
  </w:style>
  <w:style w:type="character" w:styleId="FootnoteReference">
    <w:name w:val="footnote reference"/>
    <w:uiPriority w:val="99"/>
    <w:rsid w:val="001B52CE"/>
    <w:rPr>
      <w:vertAlign w:val="superscript"/>
    </w:rPr>
  </w:style>
  <w:style w:type="paragraph" w:customStyle="1" w:styleId="Default">
    <w:name w:val="Default"/>
    <w:rsid w:val="001B52CE"/>
    <w:pPr>
      <w:autoSpaceDE w:val="0"/>
      <w:autoSpaceDN w:val="0"/>
      <w:adjustRightInd w:val="0"/>
    </w:pPr>
    <w:rPr>
      <w:rFonts w:ascii="Arial" w:eastAsia="Calibri" w:hAnsi="Arial" w:cs="Arial"/>
      <w:color w:val="000000"/>
      <w:sz w:val="24"/>
      <w:szCs w:val="24"/>
      <w:lang w:bidi="ar-SA"/>
    </w:rPr>
  </w:style>
  <w:style w:type="character" w:customStyle="1" w:styleId="apple-converted-space">
    <w:name w:val="apple-converted-space"/>
    <w:basedOn w:val="DefaultParagraphFont"/>
    <w:rsid w:val="00C5158B"/>
  </w:style>
  <w:style w:type="character" w:styleId="FollowedHyperlink">
    <w:name w:val="FollowedHyperlink"/>
    <w:basedOn w:val="DefaultParagraphFont"/>
    <w:rsid w:val="00AC564F"/>
    <w:rPr>
      <w:color w:val="800080" w:themeColor="followedHyperlink"/>
      <w:u w:val="single"/>
    </w:rPr>
  </w:style>
  <w:style w:type="paragraph" w:styleId="TableofFigures">
    <w:name w:val="table of figures"/>
    <w:basedOn w:val="Normal"/>
    <w:next w:val="Normal"/>
    <w:uiPriority w:val="99"/>
    <w:rsid w:val="007D1ADF"/>
    <w:pPr>
      <w:spacing w:after="0"/>
    </w:pPr>
  </w:style>
  <w:style w:type="character" w:styleId="CommentReference">
    <w:name w:val="annotation reference"/>
    <w:basedOn w:val="DefaultParagraphFont"/>
    <w:uiPriority w:val="99"/>
    <w:rsid w:val="00EF3778"/>
    <w:rPr>
      <w:sz w:val="16"/>
      <w:szCs w:val="16"/>
    </w:rPr>
  </w:style>
  <w:style w:type="paragraph" w:styleId="CommentText">
    <w:name w:val="annotation text"/>
    <w:basedOn w:val="Normal"/>
    <w:link w:val="CommentTextChar"/>
    <w:uiPriority w:val="99"/>
    <w:rsid w:val="00EF3778"/>
    <w:pPr>
      <w:spacing w:line="240" w:lineRule="auto"/>
    </w:pPr>
    <w:rPr>
      <w:sz w:val="20"/>
      <w:szCs w:val="20"/>
    </w:rPr>
  </w:style>
  <w:style w:type="character" w:customStyle="1" w:styleId="CommentTextChar">
    <w:name w:val="Comment Text Char"/>
    <w:basedOn w:val="DefaultParagraphFont"/>
    <w:link w:val="CommentText"/>
    <w:uiPriority w:val="99"/>
    <w:rsid w:val="00EF3778"/>
    <w:rPr>
      <w:sz w:val="20"/>
      <w:szCs w:val="20"/>
    </w:rPr>
  </w:style>
  <w:style w:type="paragraph" w:styleId="CommentSubject">
    <w:name w:val="annotation subject"/>
    <w:basedOn w:val="CommentText"/>
    <w:next w:val="CommentText"/>
    <w:link w:val="CommentSubjectChar"/>
    <w:rsid w:val="00EF3778"/>
    <w:rPr>
      <w:b/>
      <w:bCs/>
    </w:rPr>
  </w:style>
  <w:style w:type="character" w:customStyle="1" w:styleId="CommentSubjectChar">
    <w:name w:val="Comment Subject Char"/>
    <w:basedOn w:val="CommentTextChar"/>
    <w:link w:val="CommentSubject"/>
    <w:rsid w:val="00EF3778"/>
    <w:rPr>
      <w:b/>
      <w:bCs/>
      <w:sz w:val="20"/>
      <w:szCs w:val="20"/>
    </w:rPr>
  </w:style>
  <w:style w:type="paragraph" w:styleId="Revision">
    <w:name w:val="Revision"/>
    <w:hidden/>
    <w:uiPriority w:val="99"/>
    <w:semiHidden/>
    <w:rsid w:val="00EF3778"/>
    <w:pPr>
      <w:spacing w:after="0" w:line="240" w:lineRule="auto"/>
    </w:pPr>
  </w:style>
  <w:style w:type="paragraph" w:styleId="PlainText">
    <w:name w:val="Plain Text"/>
    <w:basedOn w:val="Normal"/>
    <w:link w:val="PlainTextChar"/>
    <w:uiPriority w:val="99"/>
    <w:unhideWhenUsed/>
    <w:rsid w:val="0084177C"/>
    <w:pPr>
      <w:spacing w:after="0" w:line="240" w:lineRule="auto"/>
    </w:pPr>
    <w:rPr>
      <w:rFonts w:ascii="Consolas" w:eastAsia="Times New Roman" w:hAnsi="Consolas" w:cs="Times New Roman"/>
      <w:sz w:val="21"/>
      <w:szCs w:val="21"/>
      <w:lang w:bidi="ar-SA"/>
    </w:rPr>
  </w:style>
  <w:style w:type="character" w:customStyle="1" w:styleId="PlainTextChar">
    <w:name w:val="Plain Text Char"/>
    <w:basedOn w:val="DefaultParagraphFont"/>
    <w:link w:val="PlainText"/>
    <w:uiPriority w:val="99"/>
    <w:rsid w:val="0084177C"/>
    <w:rPr>
      <w:rFonts w:ascii="Consolas" w:eastAsia="Times New Roman" w:hAnsi="Consolas" w:cs="Times New Roman"/>
      <w:sz w:val="21"/>
      <w:szCs w:val="21"/>
      <w:lang w:bidi="ar-SA"/>
    </w:rPr>
  </w:style>
  <w:style w:type="character" w:customStyle="1" w:styleId="em1">
    <w:name w:val="em1"/>
    <w:basedOn w:val="DefaultParagraphFont"/>
    <w:rsid w:val="004221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4298">
      <w:bodyDiv w:val="1"/>
      <w:marLeft w:val="0"/>
      <w:marRight w:val="0"/>
      <w:marTop w:val="0"/>
      <w:marBottom w:val="0"/>
      <w:divBdr>
        <w:top w:val="none" w:sz="0" w:space="0" w:color="auto"/>
        <w:left w:val="none" w:sz="0" w:space="0" w:color="auto"/>
        <w:bottom w:val="none" w:sz="0" w:space="0" w:color="auto"/>
        <w:right w:val="none" w:sz="0" w:space="0" w:color="auto"/>
      </w:divBdr>
    </w:div>
    <w:div w:id="349643527">
      <w:bodyDiv w:val="1"/>
      <w:marLeft w:val="0"/>
      <w:marRight w:val="0"/>
      <w:marTop w:val="0"/>
      <w:marBottom w:val="0"/>
      <w:divBdr>
        <w:top w:val="none" w:sz="0" w:space="0" w:color="auto"/>
        <w:left w:val="none" w:sz="0" w:space="0" w:color="auto"/>
        <w:bottom w:val="none" w:sz="0" w:space="0" w:color="auto"/>
        <w:right w:val="none" w:sz="0" w:space="0" w:color="auto"/>
      </w:divBdr>
      <w:divsChild>
        <w:div w:id="573856147">
          <w:marLeft w:val="547"/>
          <w:marRight w:val="0"/>
          <w:marTop w:val="106"/>
          <w:marBottom w:val="0"/>
          <w:divBdr>
            <w:top w:val="none" w:sz="0" w:space="0" w:color="auto"/>
            <w:left w:val="none" w:sz="0" w:space="0" w:color="auto"/>
            <w:bottom w:val="none" w:sz="0" w:space="0" w:color="auto"/>
            <w:right w:val="none" w:sz="0" w:space="0" w:color="auto"/>
          </w:divBdr>
        </w:div>
        <w:div w:id="2092581094">
          <w:marLeft w:val="547"/>
          <w:marRight w:val="0"/>
          <w:marTop w:val="106"/>
          <w:marBottom w:val="0"/>
          <w:divBdr>
            <w:top w:val="none" w:sz="0" w:space="0" w:color="auto"/>
            <w:left w:val="none" w:sz="0" w:space="0" w:color="auto"/>
            <w:bottom w:val="none" w:sz="0" w:space="0" w:color="auto"/>
            <w:right w:val="none" w:sz="0" w:space="0" w:color="auto"/>
          </w:divBdr>
        </w:div>
        <w:div w:id="1480611038">
          <w:marLeft w:val="1166"/>
          <w:marRight w:val="0"/>
          <w:marTop w:val="91"/>
          <w:marBottom w:val="0"/>
          <w:divBdr>
            <w:top w:val="none" w:sz="0" w:space="0" w:color="auto"/>
            <w:left w:val="none" w:sz="0" w:space="0" w:color="auto"/>
            <w:bottom w:val="none" w:sz="0" w:space="0" w:color="auto"/>
            <w:right w:val="none" w:sz="0" w:space="0" w:color="auto"/>
          </w:divBdr>
        </w:div>
        <w:div w:id="2080974235">
          <w:marLeft w:val="1166"/>
          <w:marRight w:val="0"/>
          <w:marTop w:val="91"/>
          <w:marBottom w:val="0"/>
          <w:divBdr>
            <w:top w:val="none" w:sz="0" w:space="0" w:color="auto"/>
            <w:left w:val="none" w:sz="0" w:space="0" w:color="auto"/>
            <w:bottom w:val="none" w:sz="0" w:space="0" w:color="auto"/>
            <w:right w:val="none" w:sz="0" w:space="0" w:color="auto"/>
          </w:divBdr>
        </w:div>
        <w:div w:id="1009599713">
          <w:marLeft w:val="547"/>
          <w:marRight w:val="0"/>
          <w:marTop w:val="106"/>
          <w:marBottom w:val="0"/>
          <w:divBdr>
            <w:top w:val="none" w:sz="0" w:space="0" w:color="auto"/>
            <w:left w:val="none" w:sz="0" w:space="0" w:color="auto"/>
            <w:bottom w:val="none" w:sz="0" w:space="0" w:color="auto"/>
            <w:right w:val="none" w:sz="0" w:space="0" w:color="auto"/>
          </w:divBdr>
        </w:div>
      </w:divsChild>
    </w:div>
    <w:div w:id="372925261">
      <w:bodyDiv w:val="1"/>
      <w:marLeft w:val="0"/>
      <w:marRight w:val="0"/>
      <w:marTop w:val="0"/>
      <w:marBottom w:val="0"/>
      <w:divBdr>
        <w:top w:val="none" w:sz="0" w:space="0" w:color="auto"/>
        <w:left w:val="none" w:sz="0" w:space="0" w:color="auto"/>
        <w:bottom w:val="none" w:sz="0" w:space="0" w:color="auto"/>
        <w:right w:val="none" w:sz="0" w:space="0" w:color="auto"/>
      </w:divBdr>
    </w:div>
    <w:div w:id="770974413">
      <w:bodyDiv w:val="1"/>
      <w:marLeft w:val="0"/>
      <w:marRight w:val="0"/>
      <w:marTop w:val="0"/>
      <w:marBottom w:val="0"/>
      <w:divBdr>
        <w:top w:val="none" w:sz="0" w:space="0" w:color="auto"/>
        <w:left w:val="none" w:sz="0" w:space="0" w:color="auto"/>
        <w:bottom w:val="none" w:sz="0" w:space="0" w:color="auto"/>
        <w:right w:val="none" w:sz="0" w:space="0" w:color="auto"/>
      </w:divBdr>
    </w:div>
    <w:div w:id="782767901">
      <w:bodyDiv w:val="1"/>
      <w:marLeft w:val="0"/>
      <w:marRight w:val="0"/>
      <w:marTop w:val="0"/>
      <w:marBottom w:val="0"/>
      <w:divBdr>
        <w:top w:val="none" w:sz="0" w:space="0" w:color="auto"/>
        <w:left w:val="none" w:sz="0" w:space="0" w:color="auto"/>
        <w:bottom w:val="none" w:sz="0" w:space="0" w:color="auto"/>
        <w:right w:val="none" w:sz="0" w:space="0" w:color="auto"/>
      </w:divBdr>
    </w:div>
    <w:div w:id="843936767">
      <w:bodyDiv w:val="1"/>
      <w:marLeft w:val="0"/>
      <w:marRight w:val="0"/>
      <w:marTop w:val="0"/>
      <w:marBottom w:val="0"/>
      <w:divBdr>
        <w:top w:val="none" w:sz="0" w:space="0" w:color="auto"/>
        <w:left w:val="none" w:sz="0" w:space="0" w:color="auto"/>
        <w:bottom w:val="none" w:sz="0" w:space="0" w:color="auto"/>
        <w:right w:val="none" w:sz="0" w:space="0" w:color="auto"/>
      </w:divBdr>
      <w:divsChild>
        <w:div w:id="270433767">
          <w:marLeft w:val="547"/>
          <w:marRight w:val="0"/>
          <w:marTop w:val="91"/>
          <w:marBottom w:val="0"/>
          <w:divBdr>
            <w:top w:val="none" w:sz="0" w:space="0" w:color="auto"/>
            <w:left w:val="none" w:sz="0" w:space="0" w:color="auto"/>
            <w:bottom w:val="none" w:sz="0" w:space="0" w:color="auto"/>
            <w:right w:val="none" w:sz="0" w:space="0" w:color="auto"/>
          </w:divBdr>
        </w:div>
        <w:div w:id="772014094">
          <w:marLeft w:val="1166"/>
          <w:marRight w:val="0"/>
          <w:marTop w:val="72"/>
          <w:marBottom w:val="0"/>
          <w:divBdr>
            <w:top w:val="none" w:sz="0" w:space="0" w:color="auto"/>
            <w:left w:val="none" w:sz="0" w:space="0" w:color="auto"/>
            <w:bottom w:val="none" w:sz="0" w:space="0" w:color="auto"/>
            <w:right w:val="none" w:sz="0" w:space="0" w:color="auto"/>
          </w:divBdr>
        </w:div>
        <w:div w:id="664935087">
          <w:marLeft w:val="1166"/>
          <w:marRight w:val="0"/>
          <w:marTop w:val="72"/>
          <w:marBottom w:val="0"/>
          <w:divBdr>
            <w:top w:val="none" w:sz="0" w:space="0" w:color="auto"/>
            <w:left w:val="none" w:sz="0" w:space="0" w:color="auto"/>
            <w:bottom w:val="none" w:sz="0" w:space="0" w:color="auto"/>
            <w:right w:val="none" w:sz="0" w:space="0" w:color="auto"/>
          </w:divBdr>
        </w:div>
        <w:div w:id="1203372358">
          <w:marLeft w:val="547"/>
          <w:marRight w:val="0"/>
          <w:marTop w:val="91"/>
          <w:marBottom w:val="0"/>
          <w:divBdr>
            <w:top w:val="none" w:sz="0" w:space="0" w:color="auto"/>
            <w:left w:val="none" w:sz="0" w:space="0" w:color="auto"/>
            <w:bottom w:val="none" w:sz="0" w:space="0" w:color="auto"/>
            <w:right w:val="none" w:sz="0" w:space="0" w:color="auto"/>
          </w:divBdr>
        </w:div>
        <w:div w:id="1535537856">
          <w:marLeft w:val="1166"/>
          <w:marRight w:val="0"/>
          <w:marTop w:val="72"/>
          <w:marBottom w:val="0"/>
          <w:divBdr>
            <w:top w:val="none" w:sz="0" w:space="0" w:color="auto"/>
            <w:left w:val="none" w:sz="0" w:space="0" w:color="auto"/>
            <w:bottom w:val="none" w:sz="0" w:space="0" w:color="auto"/>
            <w:right w:val="none" w:sz="0" w:space="0" w:color="auto"/>
          </w:divBdr>
        </w:div>
        <w:div w:id="1503543401">
          <w:marLeft w:val="1166"/>
          <w:marRight w:val="0"/>
          <w:marTop w:val="72"/>
          <w:marBottom w:val="0"/>
          <w:divBdr>
            <w:top w:val="none" w:sz="0" w:space="0" w:color="auto"/>
            <w:left w:val="none" w:sz="0" w:space="0" w:color="auto"/>
            <w:bottom w:val="none" w:sz="0" w:space="0" w:color="auto"/>
            <w:right w:val="none" w:sz="0" w:space="0" w:color="auto"/>
          </w:divBdr>
        </w:div>
        <w:div w:id="286199900">
          <w:marLeft w:val="1166"/>
          <w:marRight w:val="0"/>
          <w:marTop w:val="72"/>
          <w:marBottom w:val="0"/>
          <w:divBdr>
            <w:top w:val="none" w:sz="0" w:space="0" w:color="auto"/>
            <w:left w:val="none" w:sz="0" w:space="0" w:color="auto"/>
            <w:bottom w:val="none" w:sz="0" w:space="0" w:color="auto"/>
            <w:right w:val="none" w:sz="0" w:space="0" w:color="auto"/>
          </w:divBdr>
        </w:div>
        <w:div w:id="480004466">
          <w:marLeft w:val="1166"/>
          <w:marRight w:val="0"/>
          <w:marTop w:val="72"/>
          <w:marBottom w:val="0"/>
          <w:divBdr>
            <w:top w:val="none" w:sz="0" w:space="0" w:color="auto"/>
            <w:left w:val="none" w:sz="0" w:space="0" w:color="auto"/>
            <w:bottom w:val="none" w:sz="0" w:space="0" w:color="auto"/>
            <w:right w:val="none" w:sz="0" w:space="0" w:color="auto"/>
          </w:divBdr>
        </w:div>
        <w:div w:id="624190331">
          <w:marLeft w:val="547"/>
          <w:marRight w:val="0"/>
          <w:marTop w:val="91"/>
          <w:marBottom w:val="0"/>
          <w:divBdr>
            <w:top w:val="none" w:sz="0" w:space="0" w:color="auto"/>
            <w:left w:val="none" w:sz="0" w:space="0" w:color="auto"/>
            <w:bottom w:val="none" w:sz="0" w:space="0" w:color="auto"/>
            <w:right w:val="none" w:sz="0" w:space="0" w:color="auto"/>
          </w:divBdr>
        </w:div>
        <w:div w:id="329064165">
          <w:marLeft w:val="1166"/>
          <w:marRight w:val="0"/>
          <w:marTop w:val="72"/>
          <w:marBottom w:val="0"/>
          <w:divBdr>
            <w:top w:val="none" w:sz="0" w:space="0" w:color="auto"/>
            <w:left w:val="none" w:sz="0" w:space="0" w:color="auto"/>
            <w:bottom w:val="none" w:sz="0" w:space="0" w:color="auto"/>
            <w:right w:val="none" w:sz="0" w:space="0" w:color="auto"/>
          </w:divBdr>
        </w:div>
        <w:div w:id="1232615783">
          <w:marLeft w:val="1166"/>
          <w:marRight w:val="0"/>
          <w:marTop w:val="72"/>
          <w:marBottom w:val="0"/>
          <w:divBdr>
            <w:top w:val="none" w:sz="0" w:space="0" w:color="auto"/>
            <w:left w:val="none" w:sz="0" w:space="0" w:color="auto"/>
            <w:bottom w:val="none" w:sz="0" w:space="0" w:color="auto"/>
            <w:right w:val="none" w:sz="0" w:space="0" w:color="auto"/>
          </w:divBdr>
        </w:div>
        <w:div w:id="733118080">
          <w:marLeft w:val="1166"/>
          <w:marRight w:val="0"/>
          <w:marTop w:val="72"/>
          <w:marBottom w:val="0"/>
          <w:divBdr>
            <w:top w:val="none" w:sz="0" w:space="0" w:color="auto"/>
            <w:left w:val="none" w:sz="0" w:space="0" w:color="auto"/>
            <w:bottom w:val="none" w:sz="0" w:space="0" w:color="auto"/>
            <w:right w:val="none" w:sz="0" w:space="0" w:color="auto"/>
          </w:divBdr>
        </w:div>
      </w:divsChild>
    </w:div>
    <w:div w:id="980964850">
      <w:bodyDiv w:val="1"/>
      <w:marLeft w:val="0"/>
      <w:marRight w:val="0"/>
      <w:marTop w:val="0"/>
      <w:marBottom w:val="0"/>
      <w:divBdr>
        <w:top w:val="none" w:sz="0" w:space="0" w:color="auto"/>
        <w:left w:val="none" w:sz="0" w:space="0" w:color="auto"/>
        <w:bottom w:val="none" w:sz="0" w:space="0" w:color="auto"/>
        <w:right w:val="none" w:sz="0" w:space="0" w:color="auto"/>
      </w:divBdr>
    </w:div>
    <w:div w:id="1363048591">
      <w:bodyDiv w:val="1"/>
      <w:marLeft w:val="0"/>
      <w:marRight w:val="0"/>
      <w:marTop w:val="0"/>
      <w:marBottom w:val="0"/>
      <w:divBdr>
        <w:top w:val="none" w:sz="0" w:space="0" w:color="auto"/>
        <w:left w:val="none" w:sz="0" w:space="0" w:color="auto"/>
        <w:bottom w:val="none" w:sz="0" w:space="0" w:color="auto"/>
        <w:right w:val="none" w:sz="0" w:space="0" w:color="auto"/>
      </w:divBdr>
    </w:div>
    <w:div w:id="1489327648">
      <w:bodyDiv w:val="1"/>
      <w:marLeft w:val="0"/>
      <w:marRight w:val="0"/>
      <w:marTop w:val="0"/>
      <w:marBottom w:val="0"/>
      <w:divBdr>
        <w:top w:val="none" w:sz="0" w:space="0" w:color="auto"/>
        <w:left w:val="none" w:sz="0" w:space="0" w:color="auto"/>
        <w:bottom w:val="none" w:sz="0" w:space="0" w:color="auto"/>
        <w:right w:val="none" w:sz="0" w:space="0" w:color="auto"/>
      </w:divBdr>
    </w:div>
    <w:div w:id="201314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jpeg"/>
  <Relationship Id="rId13" Type="http://schemas.openxmlformats.org/officeDocument/2006/relationships/hyperlink" TargetMode="External" Target="mailto:esea@doe.mass.edu"/>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yperlink" TargetMode="External" Target="http://www.doe.mass.edu/boe/minutes/"/>
  <Relationship Id="rId17" Type="http://schemas.openxmlformats.org/officeDocument/2006/relationships/hyperlink" TargetMode="External" Target="http://www.doe.mass.edu/infoservices/data/sims/"/>
  <Relationship Id="rId18" Type="http://schemas.openxmlformats.org/officeDocument/2006/relationships/image" Target="media/image2.png"/>
  <Relationship Id="rId19" Type="http://schemas.openxmlformats.org/officeDocument/2006/relationships/hyperlink" TargetMode="External" Target="http://profiles.doe.mass.edu/"/>
  <Relationship Id="rId2" Type="http://schemas.openxmlformats.org/officeDocument/2006/relationships/customXml" Target="../customXml/item2.xml"/>
  <Relationship Id="rId20" Type="http://schemas.openxmlformats.org/officeDocument/2006/relationships/hyperlink" TargetMode="External" Target="http://profiles.doe.mass.edu/"/>
  <Relationship Id="rId21" Type="http://schemas.openxmlformats.org/officeDocument/2006/relationships/hyperlink" TargetMode="External" Target="http://www.mcasservicecenter.com/"/>
  <Relationship Id="rId22" Type="http://schemas.openxmlformats.org/officeDocument/2006/relationships/hyperlink" TargetMode="External" Target="http://www.mass.gov/edu/government/departments-and-boards/ese/programs/accountability/reports/school-and-district-reports.html"/>
  <Relationship Id="rId23" Type="http://schemas.openxmlformats.org/officeDocument/2006/relationships/hyperlink" TargetMode="External" Target="http://www.doe.mass.edu/mcas/home.html"/>
  <Relationship Id="rId24" Type="http://schemas.openxmlformats.org/officeDocument/2006/relationships/hyperlink" TargetMode="External" Target="mailto:mcas@doe.mass.edu"/>
  <Relationship Id="rId25" Type="http://schemas.openxmlformats.org/officeDocument/2006/relationships/hyperlink" TargetMode="External" Target="mailto:esea@doe.mass.edu"/>
  <Relationship Id="rId26" Type="http://schemas.openxmlformats.org/officeDocument/2006/relationships/hyperlink" TargetMode="External" Target="mailto:esea@doe.mass.edu"/>
  <Relationship Id="rId27" Type="http://schemas.openxmlformats.org/officeDocument/2006/relationships/hyperlink" TargetMode="External" Target="http://www.mass.gov/edu/government/departments-and-boards/ese/programs/accountability/reports/school-and-district-reports.html"/>
  <Relationship Id="rId28" Type="http://schemas.openxmlformats.org/officeDocument/2006/relationships/hyperlink" TargetMode="External" Target="http://profiles.doe.mass.edu/state_report/accountability.aspx"/>
  <Relationship Id="rId29" Type="http://schemas.openxmlformats.org/officeDocument/2006/relationships/hyperlink" TargetMode="External" Target="https://gateway.edu.state.ma.us/"/>
  <Relationship Id="rId3" Type="http://schemas.openxmlformats.org/officeDocument/2006/relationships/customXml" Target="../customXml/item3.xml"/>
  <Relationship Id="rId30" Type="http://schemas.openxmlformats.org/officeDocument/2006/relationships/hyperlink" TargetMode="External" Target="http://profiles.doe.mass.edu/"/>
  <Relationship Id="rId31" Type="http://schemas.openxmlformats.org/officeDocument/2006/relationships/footer" Target="footer2.xml"/>
  <Relationship Id="rId32" Type="http://schemas.openxmlformats.org/officeDocument/2006/relationships/header" Target="header2.xml"/>
  <Relationship Id="rId33" Type="http://schemas.openxmlformats.org/officeDocument/2006/relationships/footer" Target="footer3.xml"/>
  <Relationship Id="rId34" Type="http://schemas.openxmlformats.org/officeDocument/2006/relationships/fontTable" Target="fontTable.xml"/>
  <Relationship Id="rId35"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DESE-231-35754</_dlc_DocId>
    <_dlc_DocIdUrl xmlns="733efe1c-5bbe-4968-87dc-d400e65c879f">
      <Url>https://sharepoint.doemass.org/ese/webteam/cps/_layouts/DocIdRedir.aspx?ID=DESE-231-35754</Url>
      <Description>DESE-231-35754</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BC8BC-F5D0-4A61-879A-E3B351328140}">
  <ds:schemaRefs>
    <ds:schemaRef ds:uri="http://schemas.microsoft.com/sharepoint/events"/>
  </ds:schemaRefs>
</ds:datastoreItem>
</file>

<file path=customXml/itemProps2.xml><?xml version="1.0" encoding="utf-8"?>
<ds:datastoreItem xmlns:ds="http://schemas.openxmlformats.org/officeDocument/2006/customXml" ds:itemID="{57091C19-9DAB-4A8E-B8CE-A00B031CD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3C6F8-3A77-435F-80EA-B5D2B554B40B}">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EEC64B4F-DC16-4674-B21A-A9B1A639B047}">
  <ds:schemaRefs>
    <ds:schemaRef ds:uri="http://schemas.microsoft.com/sharepoint/v3/contenttype/forms"/>
  </ds:schemaRefs>
</ds:datastoreItem>
</file>

<file path=customXml/itemProps5.xml><?xml version="1.0" encoding="utf-8"?>
<ds:datastoreItem xmlns:ds="http://schemas.openxmlformats.org/officeDocument/2006/customXml" ds:itemID="{B9E80416-4555-43EC-B19D-813AFE87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11741</Words>
  <Characters>66926</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2017 Accountability School Leader's Guide</vt:lpstr>
    </vt:vector>
  </TitlesOfParts>
  <Company/>
  <LinksUpToDate>false</LinksUpToDate>
  <CharactersWithSpaces>78510</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2017-08-11T18:40:00Z</dcterms:created>
  <dc:creator>ESE</dc:creator>
  <dc:description>August 21, 2017</dc:description>
  <lastModifiedBy>Zou, Dong</lastModifiedBy>
  <lastPrinted>2017-08-21T22:17:00Z</lastPrinted>
  <dcterms:modified xsi:type="dcterms:W3CDTF">2017-08-21T22:18:00Z</dcterms:modified>
  <revision>23</revision>
  <dc:title>2017 Accountability School Leader's Guide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21 2017</vt:lpwstr>
  </property>
</Properties>
</file>