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9B" w:rsidRDefault="0050459B" w:rsidP="0050459B">
      <w:pPr>
        <w:spacing w:after="200" w:line="276" w:lineRule="auto"/>
        <w:jc w:val="center"/>
        <w:rPr>
          <w:rFonts w:ascii="Times New Roman" w:hAnsi="Times New Roman"/>
          <w:b/>
          <w:smallCaps/>
          <w:sz w:val="36"/>
          <w:szCs w:val="24"/>
        </w:rPr>
      </w:pPr>
    </w:p>
    <w:p w:rsidR="006E6136" w:rsidRDefault="000557FD" w:rsidP="006E6136">
      <w:pPr>
        <w:spacing w:after="200" w:line="276" w:lineRule="auto"/>
        <w:jc w:val="center"/>
        <w:rPr>
          <w:rFonts w:ascii="Times New Roman" w:hAnsi="Times New Roman"/>
          <w:b/>
          <w:smallCaps/>
          <w:sz w:val="36"/>
          <w:szCs w:val="24"/>
        </w:rPr>
      </w:pPr>
      <w:r w:rsidRPr="00D56A9F">
        <w:rPr>
          <w:rFonts w:ascii="Times New Roman" w:hAnsi="Times New Roman"/>
          <w:b/>
          <w:smallCaps/>
          <w:noProof/>
          <w:sz w:val="36"/>
          <w:szCs w:val="24"/>
        </w:rPr>
        <mc:AlternateContent>
          <mc:Choice Requires="wps">
            <w:drawing>
              <wp:anchor distT="0" distB="0" distL="114300" distR="114300" simplePos="0" relativeHeight="251694080" behindDoc="1" locked="0" layoutInCell="1" allowOverlap="1" wp14:anchorId="1286ADD1" wp14:editId="53C6F075">
                <wp:simplePos x="0" y="0"/>
                <wp:positionH relativeFrom="column">
                  <wp:posOffset>-180975</wp:posOffset>
                </wp:positionH>
                <wp:positionV relativeFrom="paragraph">
                  <wp:posOffset>411480</wp:posOffset>
                </wp:positionV>
                <wp:extent cx="6350635" cy="353060"/>
                <wp:effectExtent l="0" t="0" r="12065" b="27940"/>
                <wp:wrapTight wrapText="bothSides">
                  <wp:wrapPolygon edited="0">
                    <wp:start x="0" y="0"/>
                    <wp:lineTo x="0" y="22144"/>
                    <wp:lineTo x="21576" y="22144"/>
                    <wp:lineTo x="21576"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353060"/>
                        </a:xfrm>
                        <a:prstGeom prst="rect">
                          <a:avLst/>
                        </a:prstGeom>
                        <a:solidFill>
                          <a:srgbClr val="FFFFFF"/>
                        </a:solidFill>
                        <a:ln w="9525">
                          <a:solidFill>
                            <a:srgbClr val="3E7244"/>
                          </a:solidFill>
                          <a:miter lim="800000"/>
                          <a:headEnd/>
                          <a:tailEnd/>
                        </a:ln>
                      </wps:spPr>
                      <wps:txbx>
                        <w:txbxContent>
                          <w:p w:rsidR="00DA400A" w:rsidRPr="00F07B18" w:rsidRDefault="00DA400A" w:rsidP="000557FD">
                            <w:pPr>
                              <w:spacing w:after="200" w:line="276" w:lineRule="auto"/>
                              <w:jc w:val="center"/>
                              <w:rPr>
                                <w:rFonts w:ascii="Franklin Gothic Book" w:hAnsi="Franklin Gothic Book"/>
                                <w:color w:val="3E7244"/>
                                <w:sz w:val="40"/>
                                <w:szCs w:val="24"/>
                              </w:rPr>
                            </w:pPr>
                            <w:r w:rsidRPr="00F07B18">
                              <w:rPr>
                                <w:rFonts w:ascii="Franklin Gothic Book" w:hAnsi="Franklin Gothic Book"/>
                                <w:color w:val="3E7244"/>
                                <w:sz w:val="40"/>
                                <w:szCs w:val="24"/>
                              </w:rPr>
                              <w:t>Commonwealth of Massachusetts</w:t>
                            </w:r>
                          </w:p>
                          <w:p w:rsidR="00DA400A" w:rsidRPr="00D56A9F" w:rsidRDefault="00DA400A" w:rsidP="006E6136">
                            <w:pPr>
                              <w:spacing w:after="200" w:line="276" w:lineRule="auto"/>
                              <w:rPr>
                                <w:rFonts w:asciiTheme="minorHAnsi" w:hAnsiTheme="minorHAnsi"/>
                                <w:b/>
                                <w:smallCaps/>
                                <w:sz w:val="4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5pt;margin-top:32.4pt;width:500.05pt;height:27.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" strokecolor="#3e7244">
                <v:textbox>
                  <w:txbxContent>
                    <w:p w:rsidR="00DA400A" w:rsidRPr="00F07B18" w:rsidRDefault="00DA400A" w:rsidP="000557FD">
                      <w:pPr>
                        <w:spacing w:after="200" w:line="276" w:lineRule="auto"/>
                        <w:jc w:val="center"/>
                        <w:rPr>
                          <w:rFonts w:ascii="Franklin Gothic Book" w:hAnsi="Franklin Gothic Book"/>
                          <w:color w:val="3E7244"/>
                          <w:sz w:val="40"/>
                          <w:szCs w:val="24"/>
                        </w:rPr>
                      </w:pPr>
                      <w:r w:rsidRPr="00F07B18">
                        <w:rPr>
                          <w:rFonts w:ascii="Franklin Gothic Book" w:hAnsi="Franklin Gothic Book"/>
                          <w:color w:val="3E7244"/>
                          <w:sz w:val="40"/>
                          <w:szCs w:val="24"/>
                        </w:rPr>
                        <w:t>Commonwealth of Massachusetts</w:t>
                      </w:r>
                    </w:p>
                    <w:p w:rsidR="00DA400A" w:rsidRPr="00D56A9F" w:rsidRDefault="00DA400A" w:rsidP="006E6136">
                      <w:pPr>
                        <w:spacing w:after="200" w:line="276" w:lineRule="auto"/>
                        <w:rPr>
                          <w:rFonts w:asciiTheme="minorHAnsi" w:hAnsiTheme="minorHAnsi"/>
                          <w:b/>
                          <w:smallCaps/>
                          <w:sz w:val="40"/>
                          <w:szCs w:val="24"/>
                        </w:rPr>
                      </w:pPr>
                    </w:p>
                  </w:txbxContent>
                </v:textbox>
                <w10:wrap type="tight"/>
              </v:shape>
            </w:pict>
          </mc:Fallback>
        </mc:AlternateContent>
      </w:r>
      <w:r w:rsidRPr="00987125">
        <w:rPr>
          <w:rFonts w:ascii="Antique Olive" w:hAnsi="Antique Olive"/>
          <w:smallCaps/>
          <w:noProof/>
          <w:sz w:val="56"/>
          <w:szCs w:val="24"/>
        </w:rPr>
        <mc:AlternateContent>
          <mc:Choice Requires="wps">
            <w:drawing>
              <wp:anchor distT="0" distB="0" distL="114300" distR="114300" simplePos="0" relativeHeight="251693056" behindDoc="1" locked="0" layoutInCell="1" allowOverlap="1" wp14:anchorId="1203A7ED" wp14:editId="314DE665">
                <wp:simplePos x="0" y="0"/>
                <wp:positionH relativeFrom="column">
                  <wp:posOffset>-175260</wp:posOffset>
                </wp:positionH>
                <wp:positionV relativeFrom="paragraph">
                  <wp:posOffset>761365</wp:posOffset>
                </wp:positionV>
                <wp:extent cx="6345555" cy="1026795"/>
                <wp:effectExtent l="0" t="0" r="17145" b="20955"/>
                <wp:wrapTight wrapText="bothSides">
                  <wp:wrapPolygon edited="0">
                    <wp:start x="0" y="0"/>
                    <wp:lineTo x="0" y="21640"/>
                    <wp:lineTo x="21594" y="21640"/>
                    <wp:lineTo x="21594"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555" cy="1026795"/>
                        </a:xfrm>
                        <a:prstGeom prst="rect">
                          <a:avLst/>
                        </a:prstGeom>
                        <a:solidFill>
                          <a:srgbClr val="3E7244"/>
                        </a:solidFill>
                        <a:ln w="9525">
                          <a:solidFill>
                            <a:schemeClr val="accent1">
                              <a:lumMod val="75000"/>
                            </a:schemeClr>
                          </a:solidFill>
                          <a:miter lim="800000"/>
                          <a:headEnd/>
                          <a:tailEnd/>
                        </a:ln>
                      </wps:spPr>
                      <wps:txbx>
                        <w:txbxContent>
                          <w:p w:rsidR="00DA400A" w:rsidRPr="000557FD" w:rsidRDefault="00DA400A" w:rsidP="000557FD">
                            <w:pPr>
                              <w:pStyle w:val="NoSpacing"/>
                              <w:jc w:val="center"/>
                              <w:rPr>
                                <w:rFonts w:ascii="Franklin Gothic Book" w:hAnsi="Franklin Gothic Book"/>
                                <w:smallCaps/>
                                <w:color w:val="FFFFFF" w:themeColor="background1"/>
                                <w:sz w:val="64"/>
                                <w:szCs w:val="64"/>
                              </w:rPr>
                            </w:pPr>
                            <w:r w:rsidRPr="000557FD">
                              <w:rPr>
                                <w:rFonts w:ascii="Franklin Gothic Book" w:hAnsi="Franklin Gothic Book"/>
                                <w:smallCaps/>
                                <w:color w:val="FFFFFF" w:themeColor="background1"/>
                                <w:sz w:val="64"/>
                                <w:szCs w:val="64"/>
                              </w:rPr>
                              <w:t>Special Commission on</w:t>
                            </w:r>
                          </w:p>
                          <w:p w:rsidR="00DA400A" w:rsidRPr="000557FD" w:rsidRDefault="00DA400A" w:rsidP="000557FD">
                            <w:pPr>
                              <w:pStyle w:val="NoSpacing"/>
                              <w:jc w:val="center"/>
                              <w:rPr>
                                <w:rFonts w:ascii="Franklin Gothic Book" w:hAnsi="Franklin Gothic Book"/>
                                <w:smallCaps/>
                                <w:color w:val="FFFFFF" w:themeColor="background1"/>
                                <w:sz w:val="64"/>
                                <w:szCs w:val="64"/>
                              </w:rPr>
                            </w:pPr>
                            <w:r w:rsidRPr="000557FD">
                              <w:rPr>
                                <w:rFonts w:ascii="Franklin Gothic Book" w:hAnsi="Franklin Gothic Book"/>
                                <w:smallCaps/>
                                <w:color w:val="FFFFFF" w:themeColor="background1"/>
                                <w:sz w:val="64"/>
                                <w:szCs w:val="64"/>
                              </w:rPr>
                              <w:t>Local and Regional Public Health</w:t>
                            </w:r>
                          </w:p>
                          <w:p w:rsidR="00DA400A" w:rsidRDefault="00DA400A" w:rsidP="006E6136">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8pt;margin-top:59.95pt;width:499.65pt;height:80.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" fillcolor="#3e7244" strokecolor="#365f91 [2404]">
                <v:textbox>
                  <w:txbxContent>
                    <w:p w:rsidR="00DA400A" w:rsidRPr="000557FD" w:rsidRDefault="00DA400A" w:rsidP="000557FD">
                      <w:pPr>
                        <w:pStyle w:val="NoSpacing"/>
                        <w:jc w:val="center"/>
                        <w:rPr>
                          <w:rFonts w:ascii="Franklin Gothic Book" w:hAnsi="Franklin Gothic Book"/>
                          <w:smallCaps/>
                          <w:color w:val="FFFFFF" w:themeColor="background1"/>
                          <w:sz w:val="64"/>
                          <w:szCs w:val="64"/>
                        </w:rPr>
                      </w:pPr>
                      <w:r w:rsidRPr="000557FD">
                        <w:rPr>
                          <w:rFonts w:ascii="Franklin Gothic Book" w:hAnsi="Franklin Gothic Book"/>
                          <w:smallCaps/>
                          <w:color w:val="FFFFFF" w:themeColor="background1"/>
                          <w:sz w:val="64"/>
                          <w:szCs w:val="64"/>
                        </w:rPr>
                        <w:t>Special Commission on</w:t>
                      </w:r>
                    </w:p>
                    <w:p w:rsidR="00DA400A" w:rsidRPr="000557FD" w:rsidRDefault="00DA400A" w:rsidP="000557FD">
                      <w:pPr>
                        <w:pStyle w:val="NoSpacing"/>
                        <w:jc w:val="center"/>
                        <w:rPr>
                          <w:rFonts w:ascii="Franklin Gothic Book" w:hAnsi="Franklin Gothic Book"/>
                          <w:smallCaps/>
                          <w:color w:val="FFFFFF" w:themeColor="background1"/>
                          <w:sz w:val="64"/>
                          <w:szCs w:val="64"/>
                        </w:rPr>
                      </w:pPr>
                      <w:r w:rsidRPr="000557FD">
                        <w:rPr>
                          <w:rFonts w:ascii="Franklin Gothic Book" w:hAnsi="Franklin Gothic Book"/>
                          <w:smallCaps/>
                          <w:color w:val="FFFFFF" w:themeColor="background1"/>
                          <w:sz w:val="64"/>
                          <w:szCs w:val="64"/>
                        </w:rPr>
                        <w:t>Local and Regional Public Health</w:t>
                      </w:r>
                    </w:p>
                    <w:p w:rsidR="00DA400A" w:rsidRDefault="00DA400A" w:rsidP="006E6136">
                      <w:pPr>
                        <w:pStyle w:val="NoSpacing"/>
                      </w:pPr>
                    </w:p>
                  </w:txbxContent>
                </v:textbox>
                <w10:wrap type="tight"/>
              </v:shape>
            </w:pict>
          </mc:Fallback>
        </mc:AlternateContent>
      </w:r>
    </w:p>
    <w:p w:rsidR="006E6136" w:rsidRDefault="006E6136" w:rsidP="006E6136">
      <w:pPr>
        <w:spacing w:after="200" w:line="276" w:lineRule="auto"/>
        <w:jc w:val="center"/>
        <w:rPr>
          <w:rFonts w:ascii="Times New Roman" w:hAnsi="Times New Roman"/>
          <w:b/>
          <w:smallCaps/>
          <w:sz w:val="36"/>
          <w:szCs w:val="24"/>
        </w:rPr>
      </w:pPr>
    </w:p>
    <w:p w:rsidR="006E6136" w:rsidRDefault="00DA400A" w:rsidP="006E6136">
      <w:pPr>
        <w:spacing w:after="200" w:line="276" w:lineRule="auto"/>
        <w:jc w:val="center"/>
        <w:rPr>
          <w:rFonts w:ascii="Antique Olive" w:hAnsi="Antique Olive"/>
          <w:smallCaps/>
          <w:sz w:val="56"/>
          <w:szCs w:val="24"/>
        </w:rPr>
      </w:pPr>
      <w:r w:rsidRPr="00D56A9F">
        <w:rPr>
          <w:rFonts w:ascii="Antique Olive" w:hAnsi="Antique Olive"/>
          <w:smallCaps/>
          <w:noProof/>
          <w:sz w:val="72"/>
          <w:szCs w:val="24"/>
        </w:rPr>
        <mc:AlternateContent>
          <mc:Choice Requires="wps">
            <w:drawing>
              <wp:anchor distT="0" distB="0" distL="114300" distR="114300" simplePos="0" relativeHeight="251689984" behindDoc="1" locked="0" layoutInCell="1" allowOverlap="1" wp14:anchorId="336950AA" wp14:editId="6A484C97">
                <wp:simplePos x="0" y="0"/>
                <wp:positionH relativeFrom="column">
                  <wp:posOffset>787400</wp:posOffset>
                </wp:positionH>
                <wp:positionV relativeFrom="paragraph">
                  <wp:posOffset>376555</wp:posOffset>
                </wp:positionV>
                <wp:extent cx="4648200" cy="838200"/>
                <wp:effectExtent l="0" t="0" r="19050" b="19050"/>
                <wp:wrapTight wrapText="bothSides">
                  <wp:wrapPolygon edited="0">
                    <wp:start x="0" y="0"/>
                    <wp:lineTo x="0" y="21600"/>
                    <wp:lineTo x="21600" y="2160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38200"/>
                        </a:xfrm>
                        <a:prstGeom prst="rect">
                          <a:avLst/>
                        </a:prstGeom>
                        <a:solidFill>
                          <a:srgbClr val="3E7244"/>
                        </a:solidFill>
                        <a:ln w="9525">
                          <a:solidFill>
                            <a:srgbClr val="0070C0"/>
                          </a:solidFill>
                          <a:miter lim="800000"/>
                          <a:headEnd/>
                          <a:tailEnd/>
                        </a:ln>
                      </wps:spPr>
                      <wps:txbx>
                        <w:txbxContent>
                          <w:p w:rsidR="00DA400A" w:rsidRPr="003E13DD" w:rsidRDefault="00DA400A" w:rsidP="00DA400A">
                            <w:pPr>
                              <w:jc w:val="center"/>
                              <w:rPr>
                                <w:rFonts w:ascii="Franklin Gothic Book" w:hAnsi="Franklin Gothic Book"/>
                                <w:smallCaps/>
                                <w:color w:val="FFFFFF" w:themeColor="background1"/>
                                <w:sz w:val="56"/>
                                <w:szCs w:val="64"/>
                              </w:rPr>
                            </w:pPr>
                            <w:r w:rsidRPr="003E13DD">
                              <w:rPr>
                                <w:rFonts w:ascii="Franklin Gothic Book" w:hAnsi="Franklin Gothic Book"/>
                                <w:smallCaps/>
                                <w:color w:val="FFFFFF" w:themeColor="background1"/>
                                <w:sz w:val="56"/>
                                <w:szCs w:val="64"/>
                              </w:rPr>
                              <w:t xml:space="preserve">Stakeholder Comments </w:t>
                            </w:r>
                          </w:p>
                          <w:p w:rsidR="00DA400A" w:rsidRPr="003E13DD" w:rsidRDefault="00DA400A" w:rsidP="00DA400A">
                            <w:pPr>
                              <w:jc w:val="center"/>
                              <w:rPr>
                                <w:rFonts w:ascii="Franklin Gothic Book" w:hAnsi="Franklin Gothic Book"/>
                                <w:smallCaps/>
                                <w:color w:val="FFFFFF" w:themeColor="background1"/>
                                <w:sz w:val="56"/>
                                <w:szCs w:val="64"/>
                              </w:rPr>
                            </w:pPr>
                            <w:r w:rsidRPr="003E13DD">
                              <w:rPr>
                                <w:rFonts w:ascii="Franklin Gothic Book" w:hAnsi="Franklin Gothic Book"/>
                                <w:smallCaps/>
                                <w:color w:val="FFFFFF" w:themeColor="background1"/>
                                <w:sz w:val="56"/>
                                <w:szCs w:val="64"/>
                              </w:rPr>
                              <w:t>on Status Report</w:t>
                            </w:r>
                          </w:p>
                          <w:p w:rsidR="00DA400A" w:rsidRDefault="00DA400A" w:rsidP="006E6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2pt;margin-top:29.65pt;width:366pt;height:6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" fillcolor="#3e7244" strokecolor="#0070c0">
                <v:textbox>
                  <w:txbxContent>
                    <w:p w:rsidR="00DA400A" w:rsidRPr="003E13DD" w:rsidRDefault="00DA400A" w:rsidP="00DA400A">
                      <w:pPr>
                        <w:jc w:val="center"/>
                        <w:rPr>
                          <w:rFonts w:ascii="Franklin Gothic Book" w:hAnsi="Franklin Gothic Book"/>
                          <w:smallCaps/>
                          <w:color w:val="FFFFFF" w:themeColor="background1"/>
                          <w:sz w:val="56"/>
                          <w:szCs w:val="64"/>
                        </w:rPr>
                      </w:pPr>
                      <w:r w:rsidRPr="003E13DD">
                        <w:rPr>
                          <w:rFonts w:ascii="Franklin Gothic Book" w:hAnsi="Franklin Gothic Book"/>
                          <w:smallCaps/>
                          <w:color w:val="FFFFFF" w:themeColor="background1"/>
                          <w:sz w:val="56"/>
                          <w:szCs w:val="64"/>
                        </w:rPr>
                        <w:t xml:space="preserve">Stakeholder Comments </w:t>
                      </w:r>
                    </w:p>
                    <w:p w:rsidR="00DA400A" w:rsidRPr="003E13DD" w:rsidRDefault="00DA400A" w:rsidP="00DA400A">
                      <w:pPr>
                        <w:jc w:val="center"/>
                        <w:rPr>
                          <w:rFonts w:ascii="Franklin Gothic Book" w:hAnsi="Franklin Gothic Book"/>
                          <w:smallCaps/>
                          <w:color w:val="FFFFFF" w:themeColor="background1"/>
                          <w:sz w:val="56"/>
                          <w:szCs w:val="64"/>
                        </w:rPr>
                      </w:pPr>
                      <w:r w:rsidRPr="003E13DD">
                        <w:rPr>
                          <w:rFonts w:ascii="Franklin Gothic Book" w:hAnsi="Franklin Gothic Book"/>
                          <w:smallCaps/>
                          <w:color w:val="FFFFFF" w:themeColor="background1"/>
                          <w:sz w:val="56"/>
                          <w:szCs w:val="64"/>
                        </w:rPr>
                        <w:t>on Status Report</w:t>
                      </w:r>
                    </w:p>
                    <w:p w:rsidR="00DA400A" w:rsidRDefault="00DA400A" w:rsidP="006E6136"/>
                  </w:txbxContent>
                </v:textbox>
                <w10:wrap type="tight"/>
              </v:shape>
            </w:pict>
          </mc:Fallback>
        </mc:AlternateContent>
      </w:r>
    </w:p>
    <w:p w:rsidR="006E6136" w:rsidRDefault="003E13DD" w:rsidP="006E6136">
      <w:pPr>
        <w:spacing w:after="200" w:line="276" w:lineRule="auto"/>
        <w:jc w:val="center"/>
        <w:rPr>
          <w:rFonts w:ascii="Antique Olive" w:hAnsi="Antique Olive"/>
          <w:smallCaps/>
          <w:sz w:val="56"/>
          <w:szCs w:val="24"/>
        </w:rPr>
      </w:pPr>
      <w:r w:rsidRPr="00D56A9F">
        <w:rPr>
          <w:rFonts w:ascii="Times New Roman" w:hAnsi="Times New Roman"/>
          <w:b/>
          <w:smallCaps/>
          <w:noProof/>
          <w:sz w:val="36"/>
          <w:szCs w:val="24"/>
        </w:rPr>
        <mc:AlternateContent>
          <mc:Choice Requires="wps">
            <w:drawing>
              <wp:anchor distT="0" distB="0" distL="114300" distR="114300" simplePos="0" relativeHeight="251691008" behindDoc="1" locked="0" layoutInCell="1" allowOverlap="1" wp14:anchorId="6C5CCCF7" wp14:editId="3F300196">
                <wp:simplePos x="0" y="0"/>
                <wp:positionH relativeFrom="column">
                  <wp:posOffset>787400</wp:posOffset>
                </wp:positionH>
                <wp:positionV relativeFrom="paragraph">
                  <wp:posOffset>588645</wp:posOffset>
                </wp:positionV>
                <wp:extent cx="4648200" cy="45720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457200"/>
                        </a:xfrm>
                        <a:prstGeom prst="rect">
                          <a:avLst/>
                        </a:prstGeom>
                        <a:solidFill>
                          <a:srgbClr val="FFFFFF"/>
                        </a:solidFill>
                        <a:ln w="9525">
                          <a:solidFill>
                            <a:srgbClr val="3E7244"/>
                          </a:solidFill>
                          <a:miter lim="800000"/>
                          <a:headEnd/>
                          <a:tailEnd/>
                        </a:ln>
                      </wps:spPr>
                      <wps:txbx>
                        <w:txbxContent>
                          <w:p w:rsidR="00DA400A" w:rsidRPr="00F07B18" w:rsidRDefault="003E13DD" w:rsidP="003E13DD">
                            <w:pPr>
                              <w:spacing w:line="276" w:lineRule="auto"/>
                              <w:jc w:val="center"/>
                              <w:rPr>
                                <w:rFonts w:ascii="Antique Olive" w:hAnsi="Antique Olive"/>
                                <w:color w:val="3E7244"/>
                                <w:sz w:val="40"/>
                                <w:szCs w:val="40"/>
                              </w:rPr>
                            </w:pPr>
                            <w:r>
                              <w:rPr>
                                <w:rFonts w:ascii="Antique Olive" w:hAnsi="Antique Olive"/>
                                <w:color w:val="3E7244"/>
                                <w:sz w:val="40"/>
                                <w:szCs w:val="40"/>
                              </w:rPr>
                              <w:t>Summary</w:t>
                            </w:r>
                            <w:r w:rsidR="00EB515D">
                              <w:rPr>
                                <w:rFonts w:ascii="Antique Olive" w:hAnsi="Antique Olive"/>
                                <w:color w:val="3E7244"/>
                                <w:sz w:val="40"/>
                                <w:szCs w:val="40"/>
                              </w:rPr>
                              <w:t xml:space="preserve"> | </w:t>
                            </w:r>
                            <w:r w:rsidR="00DA400A" w:rsidRPr="00F07B18">
                              <w:rPr>
                                <w:rFonts w:ascii="Antique Olive" w:hAnsi="Antique Olive"/>
                                <w:color w:val="3E7244"/>
                                <w:sz w:val="40"/>
                                <w:szCs w:val="40"/>
                              </w:rPr>
                              <w:t>September 2018</w:t>
                            </w:r>
                          </w:p>
                          <w:p w:rsidR="00DA400A" w:rsidRPr="00D56A9F" w:rsidRDefault="00DA400A" w:rsidP="006E6136">
                            <w:pPr>
                              <w:spacing w:after="200" w:line="276" w:lineRule="auto"/>
                              <w:jc w:val="right"/>
                              <w:rPr>
                                <w:rFonts w:asciiTheme="minorHAnsi" w:hAnsiTheme="minorHAnsi"/>
                                <w:b/>
                                <w:smallCaps/>
                                <w:sz w:val="4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2pt;margin-top:46.35pt;width:366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" strokecolor="#3e7244">
                <v:textbox>
                  <w:txbxContent>
                    <w:p w:rsidR="00DA400A" w:rsidRPr="00F07B18" w:rsidRDefault="003E13DD" w:rsidP="003E13DD">
                      <w:pPr>
                        <w:spacing w:line="276" w:lineRule="auto"/>
                        <w:jc w:val="center"/>
                        <w:rPr>
                          <w:rFonts w:ascii="Antique Olive" w:hAnsi="Antique Olive"/>
                          <w:color w:val="3E7244"/>
                          <w:sz w:val="40"/>
                          <w:szCs w:val="40"/>
                        </w:rPr>
                      </w:pPr>
                      <w:r>
                        <w:rPr>
                          <w:rFonts w:ascii="Antique Olive" w:hAnsi="Antique Olive"/>
                          <w:color w:val="3E7244"/>
                          <w:sz w:val="40"/>
                          <w:szCs w:val="40"/>
                        </w:rPr>
                        <w:t>Summary</w:t>
                      </w:r>
                      <w:r w:rsidR="00EB515D">
                        <w:rPr>
                          <w:rFonts w:ascii="Antique Olive" w:hAnsi="Antique Olive"/>
                          <w:color w:val="3E7244"/>
                          <w:sz w:val="40"/>
                          <w:szCs w:val="40"/>
                        </w:rPr>
                        <w:t xml:space="preserve"> | </w:t>
                      </w:r>
                      <w:r w:rsidR="00DA400A" w:rsidRPr="00F07B18">
                        <w:rPr>
                          <w:rFonts w:ascii="Antique Olive" w:hAnsi="Antique Olive"/>
                          <w:color w:val="3E7244"/>
                          <w:sz w:val="40"/>
                          <w:szCs w:val="40"/>
                        </w:rPr>
                        <w:t>September 2018</w:t>
                      </w:r>
                    </w:p>
                    <w:p w:rsidR="00DA400A" w:rsidRPr="00D56A9F" w:rsidRDefault="00DA400A" w:rsidP="006E6136">
                      <w:pPr>
                        <w:spacing w:after="200" w:line="276" w:lineRule="auto"/>
                        <w:jc w:val="right"/>
                        <w:rPr>
                          <w:rFonts w:asciiTheme="minorHAnsi" w:hAnsiTheme="minorHAnsi"/>
                          <w:b/>
                          <w:smallCaps/>
                          <w:sz w:val="40"/>
                          <w:szCs w:val="24"/>
                        </w:rPr>
                      </w:pPr>
                    </w:p>
                  </w:txbxContent>
                </v:textbox>
                <w10:wrap type="tight"/>
              </v:shape>
            </w:pict>
          </mc:Fallback>
        </mc:AlternateContent>
      </w:r>
    </w:p>
    <w:p w:rsidR="006E6136" w:rsidRDefault="006E6136" w:rsidP="006E6136">
      <w:pPr>
        <w:spacing w:after="200" w:line="276" w:lineRule="auto"/>
        <w:jc w:val="center"/>
        <w:rPr>
          <w:rFonts w:ascii="Antique Olive" w:hAnsi="Antique Olive"/>
          <w:smallCaps/>
          <w:sz w:val="56"/>
          <w:szCs w:val="24"/>
        </w:rPr>
      </w:pPr>
    </w:p>
    <w:p w:rsidR="006E6136" w:rsidRDefault="006E6136" w:rsidP="006E6136">
      <w:pPr>
        <w:spacing w:line="276" w:lineRule="auto"/>
        <w:jc w:val="center"/>
        <w:rPr>
          <w:rFonts w:ascii="Antique Olive" w:hAnsi="Antique Olive"/>
          <w:smallCaps/>
          <w:sz w:val="56"/>
          <w:szCs w:val="24"/>
        </w:rPr>
      </w:pPr>
      <w:bookmarkStart w:id="0" w:name="_GoBack"/>
      <w:bookmarkEnd w:id="0"/>
    </w:p>
    <w:p w:rsidR="006E6136" w:rsidRDefault="006E6136" w:rsidP="006E6136">
      <w:pPr>
        <w:spacing w:line="276" w:lineRule="auto"/>
        <w:jc w:val="center"/>
        <w:rPr>
          <w:rFonts w:ascii="Antique Olive" w:hAnsi="Antique Olive"/>
          <w:smallCaps/>
          <w:sz w:val="56"/>
          <w:szCs w:val="24"/>
        </w:rPr>
      </w:pPr>
    </w:p>
    <w:p w:rsidR="006E6136" w:rsidRDefault="006E6136" w:rsidP="006E6136">
      <w:pPr>
        <w:spacing w:line="276" w:lineRule="auto"/>
        <w:jc w:val="center"/>
        <w:rPr>
          <w:rFonts w:ascii="Antique Olive" w:hAnsi="Antique Olive"/>
          <w:sz w:val="24"/>
          <w:szCs w:val="24"/>
        </w:rPr>
      </w:pPr>
      <w:r>
        <w:rPr>
          <w:rFonts w:ascii="Antique Olive" w:hAnsi="Antique Olive"/>
          <w:sz w:val="24"/>
          <w:szCs w:val="24"/>
        </w:rPr>
        <w:t>Prepared by</w:t>
      </w:r>
    </w:p>
    <w:p w:rsidR="006E6136" w:rsidRDefault="006E6136" w:rsidP="006E6136">
      <w:pPr>
        <w:spacing w:line="276" w:lineRule="auto"/>
        <w:jc w:val="center"/>
        <w:rPr>
          <w:rFonts w:ascii="Antique Olive" w:hAnsi="Antique Olive"/>
          <w:sz w:val="24"/>
          <w:szCs w:val="24"/>
        </w:rPr>
      </w:pPr>
      <w:r>
        <w:rPr>
          <w:rFonts w:ascii="Antique Olive" w:hAnsi="Antique Olive"/>
          <w:sz w:val="24"/>
          <w:szCs w:val="24"/>
        </w:rPr>
        <w:t xml:space="preserve">Massachusetts Department of Public Health </w:t>
      </w:r>
    </w:p>
    <w:p w:rsidR="006E6136" w:rsidRDefault="004A1855" w:rsidP="006E6136">
      <w:pPr>
        <w:spacing w:line="276" w:lineRule="auto"/>
        <w:jc w:val="center"/>
        <w:rPr>
          <w:rFonts w:ascii="Antique Olive" w:hAnsi="Antique Olive"/>
          <w:sz w:val="24"/>
          <w:szCs w:val="24"/>
        </w:rPr>
      </w:pPr>
      <w:proofErr w:type="gramStart"/>
      <w:r>
        <w:rPr>
          <w:rFonts w:ascii="Antique Olive" w:hAnsi="Antique Olive"/>
          <w:sz w:val="24"/>
          <w:szCs w:val="24"/>
        </w:rPr>
        <w:t>f</w:t>
      </w:r>
      <w:r w:rsidR="006E6136">
        <w:rPr>
          <w:rFonts w:ascii="Antique Olive" w:hAnsi="Antique Olive"/>
          <w:sz w:val="24"/>
          <w:szCs w:val="24"/>
        </w:rPr>
        <w:t>or</w:t>
      </w:r>
      <w:proofErr w:type="gramEnd"/>
      <w:r w:rsidR="006E6136">
        <w:rPr>
          <w:rFonts w:ascii="Antique Olive" w:hAnsi="Antique Olive"/>
          <w:sz w:val="24"/>
          <w:szCs w:val="24"/>
        </w:rPr>
        <w:t xml:space="preserve"> the</w:t>
      </w:r>
    </w:p>
    <w:p w:rsidR="006E6136" w:rsidRDefault="006E6136" w:rsidP="006E6136">
      <w:pPr>
        <w:spacing w:line="276" w:lineRule="auto"/>
        <w:jc w:val="center"/>
        <w:rPr>
          <w:rFonts w:ascii="Antique Olive" w:hAnsi="Antique Olive"/>
          <w:sz w:val="24"/>
          <w:szCs w:val="24"/>
        </w:rPr>
      </w:pPr>
      <w:r>
        <w:rPr>
          <w:rFonts w:ascii="Antique Olive" w:hAnsi="Antique Olive"/>
          <w:sz w:val="24"/>
          <w:szCs w:val="24"/>
        </w:rPr>
        <w:t>Special Commission on Local and Regional Public Health</w:t>
      </w:r>
    </w:p>
    <w:p w:rsidR="00F433DA" w:rsidRPr="006E6136" w:rsidRDefault="00F433DA" w:rsidP="006E6136">
      <w:pPr>
        <w:spacing w:line="276" w:lineRule="auto"/>
        <w:jc w:val="center"/>
        <w:rPr>
          <w:rFonts w:ascii="Antique Olive" w:hAnsi="Antique Olive"/>
          <w:sz w:val="24"/>
          <w:szCs w:val="24"/>
        </w:rPr>
      </w:pPr>
      <w:r>
        <w:rPr>
          <w:rFonts w:ascii="Antique Olive" w:hAnsi="Antique Olive"/>
          <w:sz w:val="24"/>
          <w:szCs w:val="24"/>
        </w:rPr>
        <w:t>Approved September 20, 2018</w:t>
      </w:r>
    </w:p>
    <w:p w:rsidR="006E6136" w:rsidRDefault="006E6136" w:rsidP="006E6136">
      <w:pPr>
        <w:spacing w:after="200" w:line="276" w:lineRule="auto"/>
        <w:jc w:val="center"/>
        <w:rPr>
          <w:rFonts w:ascii="Antique Olive" w:hAnsi="Antique Olive"/>
          <w:smallCaps/>
          <w:sz w:val="56"/>
          <w:szCs w:val="24"/>
        </w:rPr>
      </w:pPr>
    </w:p>
    <w:p w:rsidR="006E6136" w:rsidRDefault="006E6136" w:rsidP="006E6136">
      <w:pPr>
        <w:spacing w:after="200" w:line="276" w:lineRule="auto"/>
        <w:jc w:val="center"/>
        <w:rPr>
          <w:rFonts w:ascii="Antique Olive" w:hAnsi="Antique Olive"/>
          <w:smallCaps/>
          <w:sz w:val="56"/>
          <w:szCs w:val="24"/>
        </w:rPr>
      </w:pPr>
    </w:p>
    <w:p w:rsidR="006E6136" w:rsidRDefault="006E6136" w:rsidP="006E6136">
      <w:pPr>
        <w:spacing w:after="200" w:line="276" w:lineRule="auto"/>
        <w:rPr>
          <w:rFonts w:ascii="Antique Olive" w:hAnsi="Antique Olive"/>
          <w:b/>
          <w:smallCaps/>
          <w:color w:val="FF0000"/>
          <w:sz w:val="28"/>
          <w:szCs w:val="28"/>
        </w:rPr>
      </w:pPr>
    </w:p>
    <w:p w:rsidR="001C30FF" w:rsidRDefault="001C30FF" w:rsidP="001C30FF">
      <w:pPr>
        <w:jc w:val="center"/>
        <w:rPr>
          <w:rFonts w:asciiTheme="minorHAnsi" w:hAnsiTheme="minorHAnsi"/>
        </w:rPr>
      </w:pPr>
    </w:p>
    <w:p w:rsidR="001C30FF" w:rsidRPr="00297BFF" w:rsidRDefault="001C30FF" w:rsidP="001C30FF">
      <w:pPr>
        <w:pStyle w:val="Title"/>
        <w:spacing w:after="0"/>
        <w:jc w:val="center"/>
        <w:rPr>
          <w:rFonts w:ascii="Garamond" w:hAnsi="Garamond" w:cstheme="minorHAnsi"/>
          <w:b/>
          <w:smallCaps/>
          <w:color w:val="auto"/>
          <w:sz w:val="32"/>
          <w:szCs w:val="36"/>
        </w:rPr>
      </w:pPr>
      <w:r w:rsidRPr="00297BFF">
        <w:rPr>
          <w:rFonts w:ascii="Garamond" w:hAnsi="Garamond" w:cstheme="minorHAnsi"/>
          <w:b/>
          <w:smallCaps/>
          <w:color w:val="auto"/>
          <w:sz w:val="32"/>
          <w:szCs w:val="36"/>
        </w:rPr>
        <w:t>Special Commission on Local and Regional Public Health</w:t>
      </w: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r w:rsidRPr="001C30FF">
        <w:rPr>
          <w:rFonts w:asciiTheme="minorHAnsi" w:hAnsiTheme="minorHAnsi"/>
          <w:noProof/>
        </w:rPr>
        <mc:AlternateContent>
          <mc:Choice Requires="wps">
            <w:drawing>
              <wp:anchor distT="0" distB="0" distL="114300" distR="114300" simplePos="0" relativeHeight="251702272" behindDoc="0" locked="0" layoutInCell="0" allowOverlap="1" wp14:anchorId="77B0015A" wp14:editId="3630DD1F">
                <wp:simplePos x="0" y="0"/>
                <wp:positionH relativeFrom="margin">
                  <wp:align>center</wp:align>
                </wp:positionH>
                <wp:positionV relativeFrom="margin">
                  <wp:posOffset>1804035</wp:posOffset>
                </wp:positionV>
                <wp:extent cx="4241800" cy="2413000"/>
                <wp:effectExtent l="19050" t="19050" r="25400" b="2540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241300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1C30FF" w:rsidRPr="001C30FF" w:rsidRDefault="001C30FF" w:rsidP="001C30FF">
                            <w:pPr>
                              <w:jc w:val="center"/>
                              <w:rPr>
                                <w:rFonts w:asciiTheme="minorHAnsi" w:hAnsiTheme="minorHAnsi"/>
                                <w:sz w:val="24"/>
                              </w:rPr>
                            </w:pPr>
                            <w:r w:rsidRPr="001C30FF">
                              <w:rPr>
                                <w:rFonts w:asciiTheme="minorHAnsi" w:hAnsiTheme="minorHAnsi"/>
                                <w:sz w:val="24"/>
                              </w:rPr>
                              <w:t xml:space="preserve">This document is a summary of stakeholder comments received on the </w:t>
                            </w:r>
                            <w:r>
                              <w:rPr>
                                <w:rFonts w:asciiTheme="minorHAnsi" w:hAnsiTheme="minorHAnsi"/>
                                <w:sz w:val="24"/>
                              </w:rPr>
                              <w:t xml:space="preserve">May 2018 </w:t>
                            </w:r>
                            <w:r w:rsidRPr="001C30FF">
                              <w:rPr>
                                <w:rFonts w:asciiTheme="minorHAnsi" w:hAnsiTheme="minorHAnsi"/>
                                <w:sz w:val="24"/>
                              </w:rPr>
                              <w:t>status report of the Special Commission on Local and Regional Public Health.</w:t>
                            </w:r>
                          </w:p>
                          <w:p w:rsidR="001C30FF" w:rsidRPr="001C30FF" w:rsidRDefault="001C30FF" w:rsidP="001C30FF">
                            <w:pPr>
                              <w:jc w:val="center"/>
                              <w:rPr>
                                <w:rFonts w:asciiTheme="minorHAnsi" w:hAnsiTheme="minorHAnsi"/>
                                <w:sz w:val="24"/>
                              </w:rPr>
                            </w:pPr>
                          </w:p>
                          <w:p w:rsidR="001C30FF" w:rsidRPr="001C30FF" w:rsidRDefault="001C30FF" w:rsidP="001C30FF">
                            <w:pPr>
                              <w:jc w:val="center"/>
                              <w:rPr>
                                <w:rStyle w:val="Hyperlink"/>
                                <w:sz w:val="24"/>
                              </w:rPr>
                            </w:pPr>
                            <w:r w:rsidRPr="001C30FF">
                              <w:rPr>
                                <w:rFonts w:asciiTheme="minorHAnsi" w:hAnsiTheme="minorHAnsi"/>
                                <w:sz w:val="24"/>
                              </w:rPr>
                              <w:t xml:space="preserve">To obtain a copy of the status report or for additional comments, please send an e-mail message to </w:t>
                            </w:r>
                            <w:hyperlink r:id="rId9" w:history="1">
                              <w:r w:rsidRPr="001C30FF">
                                <w:rPr>
                                  <w:rStyle w:val="Hyperlink"/>
                                  <w:sz w:val="24"/>
                                </w:rPr>
                                <w:t>LocalRegionalPublicHealth@massmail.state.ma.us</w:t>
                              </w:r>
                            </w:hyperlink>
                          </w:p>
                          <w:p w:rsidR="001C30FF" w:rsidRPr="001C30FF" w:rsidRDefault="001C30FF" w:rsidP="001C30FF">
                            <w:pPr>
                              <w:rPr>
                                <w:sz w:val="24"/>
                              </w:rPr>
                            </w:pPr>
                          </w:p>
                          <w:p w:rsidR="001C30FF" w:rsidRPr="001C30FF" w:rsidRDefault="001C30FF" w:rsidP="001C30FF">
                            <w:pPr>
                              <w:rPr>
                                <w:sz w:val="24"/>
                              </w:rPr>
                            </w:pPr>
                            <w:r w:rsidRPr="001C30FF">
                              <w:rPr>
                                <w:sz w:val="24"/>
                              </w:rPr>
                              <w:t xml:space="preserve">The status report is also available at </w:t>
                            </w:r>
                            <w:hyperlink r:id="rId10" w:history="1">
                              <w:r w:rsidRPr="001C30FF">
                                <w:rPr>
                                  <w:rStyle w:val="Hyperlink"/>
                                  <w:sz w:val="24"/>
                                </w:rPr>
                                <w:t>www.mass.gov/dph/olrh</w:t>
                              </w:r>
                            </w:hyperlink>
                            <w:r w:rsidRPr="001C30FF">
                              <w:rPr>
                                <w:sz w:val="24"/>
                              </w:rPr>
                              <w:t xml:space="preserve"> (Special Commission on Local and Regional Public Health</w:t>
                            </w:r>
                            <w:r>
                              <w:rPr>
                                <w:sz w:val="24"/>
                              </w:rPr>
                              <w:t>)</w:t>
                            </w:r>
                            <w:r w:rsidRPr="001C30FF">
                              <w:rPr>
                                <w:sz w:val="24"/>
                              </w:rPr>
                              <w:t>.</w:t>
                            </w:r>
                          </w:p>
                          <w:p w:rsidR="001C30FF" w:rsidRPr="001C30FF" w:rsidRDefault="001C30FF" w:rsidP="001C30FF">
                            <w:pPr>
                              <w:spacing w:after="200" w:line="276" w:lineRule="auto"/>
                              <w:rPr>
                                <w:rFonts w:ascii="Garamond" w:eastAsia="Times New Roman" w:hAnsi="Garamond" w:cstheme="minorHAnsi"/>
                                <w:b/>
                                <w:smallCaps/>
                                <w:spacing w:val="5"/>
                                <w:kern w:val="28"/>
                                <w:sz w:val="36"/>
                                <w:szCs w:val="36"/>
                              </w:rPr>
                            </w:pPr>
                            <w:r w:rsidRPr="001C30FF">
                              <w:rPr>
                                <w:rFonts w:ascii="Garamond" w:hAnsi="Garamond" w:cstheme="minorHAnsi"/>
                                <w:b/>
                                <w:smallCaps/>
                                <w:sz w:val="36"/>
                                <w:szCs w:val="36"/>
                              </w:rPr>
                              <w:br w:type="page"/>
                            </w:r>
                          </w:p>
                          <w:p w:rsidR="001C30FF" w:rsidRDefault="001C30FF">
                            <w:pPr>
                              <w:jc w:val="center"/>
                              <w:rPr>
                                <w:i/>
                                <w:iCs/>
                                <w:color w:val="7F7F7F" w:themeColor="text1" w:themeTint="80"/>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0" type="#_x0000_t185" style="position:absolute;left:0;text-align:left;margin-left:0;margin-top:142.05pt;width:334pt;height:190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" o:allowincell="f" adj="1739" fillcolor="#943634" strokecolor="#9bbb59" strokeweight="3pt">
                <v:shadow color="#5d7035" offset="1pt,1pt"/>
                <v:textbox inset="3.6pt,,3.6pt">
                  <w:txbxContent>
                    <w:p w:rsidR="001C30FF" w:rsidRPr="001C30FF" w:rsidRDefault="001C30FF" w:rsidP="001C30FF">
                      <w:pPr>
                        <w:jc w:val="center"/>
                        <w:rPr>
                          <w:rFonts w:asciiTheme="minorHAnsi" w:hAnsiTheme="minorHAnsi"/>
                          <w:sz w:val="24"/>
                        </w:rPr>
                      </w:pPr>
                      <w:r w:rsidRPr="001C30FF">
                        <w:rPr>
                          <w:rFonts w:asciiTheme="minorHAnsi" w:hAnsiTheme="minorHAnsi"/>
                          <w:sz w:val="24"/>
                        </w:rPr>
                        <w:t xml:space="preserve">This document is a summary of stakeholder comments received on the </w:t>
                      </w:r>
                      <w:r>
                        <w:rPr>
                          <w:rFonts w:asciiTheme="minorHAnsi" w:hAnsiTheme="minorHAnsi"/>
                          <w:sz w:val="24"/>
                        </w:rPr>
                        <w:t xml:space="preserve">May 2018 </w:t>
                      </w:r>
                      <w:r w:rsidRPr="001C30FF">
                        <w:rPr>
                          <w:rFonts w:asciiTheme="minorHAnsi" w:hAnsiTheme="minorHAnsi"/>
                          <w:sz w:val="24"/>
                        </w:rPr>
                        <w:t>status report of the Special Commission on Local and Regional Public Health.</w:t>
                      </w:r>
                    </w:p>
                    <w:p w:rsidR="001C30FF" w:rsidRPr="001C30FF" w:rsidRDefault="001C30FF" w:rsidP="001C30FF">
                      <w:pPr>
                        <w:jc w:val="center"/>
                        <w:rPr>
                          <w:rFonts w:asciiTheme="minorHAnsi" w:hAnsiTheme="minorHAnsi"/>
                          <w:sz w:val="24"/>
                        </w:rPr>
                      </w:pPr>
                    </w:p>
                    <w:p w:rsidR="001C30FF" w:rsidRPr="001C30FF" w:rsidRDefault="001C30FF" w:rsidP="001C30FF">
                      <w:pPr>
                        <w:jc w:val="center"/>
                        <w:rPr>
                          <w:rStyle w:val="Hyperlink"/>
                          <w:sz w:val="24"/>
                        </w:rPr>
                      </w:pPr>
                      <w:r w:rsidRPr="001C30FF">
                        <w:rPr>
                          <w:rFonts w:asciiTheme="minorHAnsi" w:hAnsiTheme="minorHAnsi"/>
                          <w:sz w:val="24"/>
                        </w:rPr>
                        <w:t xml:space="preserve">To obtain a copy of the status report or for additional comments, please send an e-mail message to </w:t>
                      </w:r>
                      <w:hyperlink r:id="rId11" w:history="1">
                        <w:r w:rsidRPr="001C30FF">
                          <w:rPr>
                            <w:rStyle w:val="Hyperlink"/>
                            <w:sz w:val="24"/>
                          </w:rPr>
                          <w:t>LocalRegionalPublicHealth@massmail.state.ma.us</w:t>
                        </w:r>
                      </w:hyperlink>
                    </w:p>
                    <w:p w:rsidR="001C30FF" w:rsidRPr="001C30FF" w:rsidRDefault="001C30FF" w:rsidP="001C30FF">
                      <w:pPr>
                        <w:rPr>
                          <w:sz w:val="24"/>
                        </w:rPr>
                      </w:pPr>
                    </w:p>
                    <w:p w:rsidR="001C30FF" w:rsidRPr="001C30FF" w:rsidRDefault="001C30FF" w:rsidP="001C30FF">
                      <w:pPr>
                        <w:rPr>
                          <w:sz w:val="24"/>
                        </w:rPr>
                      </w:pPr>
                      <w:r w:rsidRPr="001C30FF">
                        <w:rPr>
                          <w:sz w:val="24"/>
                        </w:rPr>
                        <w:t xml:space="preserve">The status report is also available at </w:t>
                      </w:r>
                      <w:hyperlink r:id="rId12" w:history="1">
                        <w:r w:rsidRPr="001C30FF">
                          <w:rPr>
                            <w:rStyle w:val="Hyperlink"/>
                            <w:sz w:val="24"/>
                          </w:rPr>
                          <w:t>www.mass.gov/dph/olrh</w:t>
                        </w:r>
                      </w:hyperlink>
                      <w:r w:rsidRPr="001C30FF">
                        <w:rPr>
                          <w:sz w:val="24"/>
                        </w:rPr>
                        <w:t xml:space="preserve"> (Special Commission on Local and Regional Public Health</w:t>
                      </w:r>
                      <w:r>
                        <w:rPr>
                          <w:sz w:val="24"/>
                        </w:rPr>
                        <w:t>)</w:t>
                      </w:r>
                      <w:r w:rsidRPr="001C30FF">
                        <w:rPr>
                          <w:sz w:val="24"/>
                        </w:rPr>
                        <w:t>.</w:t>
                      </w:r>
                    </w:p>
                    <w:p w:rsidR="001C30FF" w:rsidRPr="001C30FF" w:rsidRDefault="001C30FF" w:rsidP="001C30FF">
                      <w:pPr>
                        <w:spacing w:after="200" w:line="276" w:lineRule="auto"/>
                        <w:rPr>
                          <w:rFonts w:ascii="Garamond" w:eastAsia="Times New Roman" w:hAnsi="Garamond" w:cstheme="minorHAnsi"/>
                          <w:b/>
                          <w:smallCaps/>
                          <w:spacing w:val="5"/>
                          <w:kern w:val="28"/>
                          <w:sz w:val="36"/>
                          <w:szCs w:val="36"/>
                        </w:rPr>
                      </w:pPr>
                      <w:r w:rsidRPr="001C30FF">
                        <w:rPr>
                          <w:rFonts w:ascii="Garamond" w:hAnsi="Garamond" w:cstheme="minorHAnsi"/>
                          <w:b/>
                          <w:smallCaps/>
                          <w:sz w:val="36"/>
                          <w:szCs w:val="36"/>
                        </w:rPr>
                        <w:br w:type="page"/>
                      </w:r>
                    </w:p>
                    <w:p w:rsidR="001C30FF" w:rsidRDefault="001C30FF">
                      <w:pPr>
                        <w:jc w:val="center"/>
                        <w:rPr>
                          <w:i/>
                          <w:iCs/>
                          <w:color w:val="7F7F7F" w:themeColor="text1" w:themeTint="80"/>
                          <w:sz w:val="24"/>
                        </w:rPr>
                      </w:pPr>
                    </w:p>
                  </w:txbxContent>
                </v:textbox>
                <w10:wrap type="square" anchorx="margin" anchory="margin"/>
              </v:shape>
            </w:pict>
          </mc:Fallback>
        </mc:AlternateContent>
      </w: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rsidP="001C30FF">
      <w:pPr>
        <w:jc w:val="center"/>
        <w:rPr>
          <w:rFonts w:asciiTheme="minorHAnsi" w:hAnsiTheme="minorHAnsi"/>
        </w:rPr>
      </w:pPr>
    </w:p>
    <w:p w:rsidR="001C30FF" w:rsidRDefault="001C30FF">
      <w:pPr>
        <w:spacing w:after="200" w:line="276" w:lineRule="auto"/>
        <w:rPr>
          <w:rFonts w:ascii="Garamond" w:eastAsia="Times New Roman" w:hAnsi="Garamond" w:cstheme="minorHAnsi"/>
          <w:b/>
          <w:smallCaps/>
          <w:spacing w:val="5"/>
          <w:kern w:val="28"/>
          <w:sz w:val="32"/>
          <w:szCs w:val="36"/>
        </w:rPr>
      </w:pPr>
      <w:r>
        <w:rPr>
          <w:rFonts w:ascii="Garamond" w:hAnsi="Garamond" w:cstheme="minorHAnsi"/>
          <w:b/>
          <w:smallCaps/>
          <w:sz w:val="32"/>
          <w:szCs w:val="36"/>
        </w:rPr>
        <w:br w:type="page"/>
      </w:r>
    </w:p>
    <w:p w:rsidR="00620D52" w:rsidRPr="00297BFF" w:rsidRDefault="00620D52" w:rsidP="00620D52">
      <w:pPr>
        <w:pStyle w:val="Title"/>
        <w:spacing w:after="0"/>
        <w:jc w:val="center"/>
        <w:rPr>
          <w:rFonts w:ascii="Garamond" w:hAnsi="Garamond" w:cstheme="minorHAnsi"/>
          <w:b/>
          <w:smallCaps/>
          <w:color w:val="auto"/>
          <w:sz w:val="32"/>
          <w:szCs w:val="36"/>
        </w:rPr>
      </w:pPr>
      <w:r w:rsidRPr="00297BFF">
        <w:rPr>
          <w:rFonts w:ascii="Garamond" w:hAnsi="Garamond" w:cstheme="minorHAnsi"/>
          <w:b/>
          <w:smallCaps/>
          <w:color w:val="auto"/>
          <w:sz w:val="32"/>
          <w:szCs w:val="36"/>
        </w:rPr>
        <w:t>Special Commission on Local and Regional Public Health</w:t>
      </w:r>
    </w:p>
    <w:p w:rsidR="00620D52" w:rsidRPr="00297BFF" w:rsidRDefault="00620D52" w:rsidP="00620D52">
      <w:pPr>
        <w:jc w:val="center"/>
        <w:rPr>
          <w:i/>
        </w:rPr>
      </w:pPr>
    </w:p>
    <w:p w:rsidR="00620D52" w:rsidRPr="00297BFF" w:rsidRDefault="00620D52" w:rsidP="00620D52">
      <w:pPr>
        <w:pStyle w:val="Heading1"/>
      </w:pPr>
      <w:r>
        <w:t>Commission Members (As of September 12</w:t>
      </w:r>
      <w:r w:rsidRPr="000C2DBE">
        <w:t>, 2018</w:t>
      </w:r>
      <w:r w:rsidRPr="00297BFF">
        <w:t>)</w:t>
      </w:r>
    </w:p>
    <w:p w:rsidR="00620D52" w:rsidRPr="00297BFF" w:rsidRDefault="00620D52" w:rsidP="00620D52">
      <w:pPr>
        <w:jc w:val="center"/>
        <w:rPr>
          <w:i/>
        </w:rPr>
      </w:pPr>
    </w:p>
    <w:p w:rsidR="00620D52" w:rsidRPr="00297BFF" w:rsidRDefault="00620D52" w:rsidP="00620D52">
      <w:pPr>
        <w:tabs>
          <w:tab w:val="left" w:leader="hyphen" w:pos="6480"/>
        </w:tabs>
        <w:rPr>
          <w:b/>
          <w:smallCaps/>
          <w:sz w:val="24"/>
        </w:rPr>
      </w:pPr>
      <w:r w:rsidRPr="00297BFF">
        <w:rPr>
          <w:b/>
          <w:smallCaps/>
          <w:sz w:val="24"/>
        </w:rPr>
        <w:t>Executive Branch Members</w:t>
      </w:r>
    </w:p>
    <w:p w:rsidR="00620D52" w:rsidRPr="00297BFF" w:rsidRDefault="00620D52" w:rsidP="00620D52">
      <w:pPr>
        <w:tabs>
          <w:tab w:val="left" w:leader="hyphen" w:pos="6480"/>
        </w:tabs>
        <w:rPr>
          <w:b/>
          <w:smallCaps/>
          <w:sz w:val="24"/>
        </w:rPr>
      </w:pPr>
    </w:p>
    <w:p w:rsidR="00620D52" w:rsidRPr="00297BFF" w:rsidRDefault="00620D52" w:rsidP="00620D52">
      <w:pPr>
        <w:tabs>
          <w:tab w:val="left" w:leader="hyphen" w:pos="6480"/>
        </w:tabs>
      </w:pPr>
      <w:r w:rsidRPr="00297BFF">
        <w:t>Department of Public Health</w:t>
      </w:r>
      <w:r w:rsidRPr="00297BFF">
        <w:tab/>
        <w:t>Commissioner Monica Bharel</w:t>
      </w:r>
    </w:p>
    <w:p w:rsidR="00620D52" w:rsidRPr="00297BFF" w:rsidRDefault="00620D52" w:rsidP="00620D52">
      <w:pPr>
        <w:tabs>
          <w:tab w:val="left" w:leader="hyphen" w:pos="6480"/>
        </w:tabs>
      </w:pPr>
      <w:r w:rsidRPr="00297BFF">
        <w:t>Executive Office of Administration and Finance</w:t>
      </w:r>
      <w:r w:rsidRPr="00297BFF">
        <w:tab/>
      </w:r>
      <w:r w:rsidRPr="000C2DBE">
        <w:t>Sean Cronin</w:t>
      </w:r>
    </w:p>
    <w:p w:rsidR="00620D52" w:rsidRPr="00297BFF" w:rsidRDefault="00620D52" w:rsidP="00620D52">
      <w:pPr>
        <w:tabs>
          <w:tab w:val="left" w:leader="hyphen" w:pos="6480"/>
        </w:tabs>
      </w:pPr>
      <w:r w:rsidRPr="00297BFF">
        <w:t>Department of Environmental Protection</w:t>
      </w:r>
      <w:r w:rsidRPr="00297BFF">
        <w:tab/>
        <w:t>C. Mark Smith</w:t>
      </w:r>
    </w:p>
    <w:p w:rsidR="00620D52" w:rsidRPr="00297BFF" w:rsidRDefault="00620D52" w:rsidP="00620D52">
      <w:pPr>
        <w:tabs>
          <w:tab w:val="left" w:leader="hyphen" w:pos="6480"/>
        </w:tabs>
      </w:pPr>
      <w:r w:rsidRPr="00297BFF">
        <w:t>Department of Agricultural Resources</w:t>
      </w:r>
      <w:r w:rsidRPr="00297BFF">
        <w:tab/>
      </w:r>
      <w:r>
        <w:t>Lorraine O’Connor</w:t>
      </w:r>
    </w:p>
    <w:p w:rsidR="00620D52" w:rsidRPr="00297BFF" w:rsidRDefault="00620D52" w:rsidP="00620D52">
      <w:pPr>
        <w:tabs>
          <w:tab w:val="left" w:leader="hyphen" w:pos="6480"/>
        </w:tabs>
        <w:rPr>
          <w:b/>
        </w:rPr>
      </w:pPr>
    </w:p>
    <w:p w:rsidR="00620D52" w:rsidRPr="00297BFF" w:rsidRDefault="00620D52" w:rsidP="00620D52">
      <w:pPr>
        <w:tabs>
          <w:tab w:val="left" w:leader="hyphen" w:pos="6480"/>
        </w:tabs>
        <w:rPr>
          <w:b/>
          <w:smallCaps/>
          <w:sz w:val="24"/>
        </w:rPr>
      </w:pPr>
      <w:r w:rsidRPr="00297BFF">
        <w:rPr>
          <w:b/>
          <w:smallCaps/>
          <w:sz w:val="24"/>
        </w:rPr>
        <w:t>Appointments by Governor</w:t>
      </w:r>
    </w:p>
    <w:p w:rsidR="00620D52" w:rsidRPr="00297BFF" w:rsidRDefault="00620D52" w:rsidP="00620D52">
      <w:pPr>
        <w:tabs>
          <w:tab w:val="left" w:leader="hyphen" w:pos="6480"/>
        </w:tabs>
      </w:pPr>
    </w:p>
    <w:p w:rsidR="00620D52" w:rsidRPr="00297BFF" w:rsidRDefault="00620D52" w:rsidP="00620D52">
      <w:pPr>
        <w:tabs>
          <w:tab w:val="left" w:leader="hyphen" w:pos="6480"/>
        </w:tabs>
      </w:pPr>
      <w:r w:rsidRPr="00297BFF">
        <w:t>Research/Academic Institution</w:t>
      </w:r>
      <w:r w:rsidRPr="00297BFF">
        <w:tab/>
      </w:r>
      <w:proofErr w:type="spellStart"/>
      <w:r w:rsidRPr="00297BFF">
        <w:t>Justeen</w:t>
      </w:r>
      <w:proofErr w:type="spellEnd"/>
      <w:r w:rsidRPr="00297BFF">
        <w:t xml:space="preserve"> Hyde</w:t>
      </w:r>
    </w:p>
    <w:p w:rsidR="00620D52" w:rsidRPr="00297BFF" w:rsidRDefault="00620D52" w:rsidP="00620D52">
      <w:pPr>
        <w:tabs>
          <w:tab w:val="left" w:leader="hyphen" w:pos="6480"/>
        </w:tabs>
      </w:pPr>
      <w:r w:rsidRPr="00297BFF">
        <w:t>Community Health Center</w:t>
      </w:r>
      <w:r w:rsidRPr="00297BFF">
        <w:tab/>
        <w:t>Maria Pelletier</w:t>
      </w:r>
    </w:p>
    <w:p w:rsidR="00620D52" w:rsidRPr="00297BFF" w:rsidRDefault="00620D52" w:rsidP="00620D52">
      <w:pPr>
        <w:tabs>
          <w:tab w:val="left" w:leader="hyphen" w:pos="6480"/>
        </w:tabs>
      </w:pPr>
      <w:r w:rsidRPr="00297BFF">
        <w:t>Hospital System</w:t>
      </w:r>
      <w:r w:rsidRPr="00297BFF">
        <w:tab/>
        <w:t>David McCready</w:t>
      </w:r>
    </w:p>
    <w:p w:rsidR="00620D52" w:rsidRPr="00297BFF" w:rsidRDefault="00620D52" w:rsidP="00620D52">
      <w:pPr>
        <w:tabs>
          <w:tab w:val="left" w:leader="hyphen" w:pos="6480"/>
        </w:tabs>
      </w:pPr>
      <w:r w:rsidRPr="00297BFF">
        <w:t xml:space="preserve">Workforce Development </w:t>
      </w:r>
      <w:r w:rsidRPr="00297BFF">
        <w:tab/>
        <w:t>Charles Kaniecki</w:t>
      </w:r>
    </w:p>
    <w:p w:rsidR="00620D52" w:rsidRPr="00297BFF" w:rsidRDefault="00620D52" w:rsidP="00620D52">
      <w:pPr>
        <w:tabs>
          <w:tab w:val="left" w:leader="hyphen" w:pos="6480"/>
        </w:tabs>
      </w:pPr>
      <w:r w:rsidRPr="00297BFF">
        <w:t>Municipality &gt;50,000</w:t>
      </w:r>
      <w:r w:rsidRPr="00297BFF">
        <w:tab/>
        <w:t>Sharon Cameron</w:t>
      </w:r>
    </w:p>
    <w:p w:rsidR="00620D52" w:rsidRPr="00297BFF" w:rsidRDefault="00620D52" w:rsidP="00620D52">
      <w:pPr>
        <w:tabs>
          <w:tab w:val="left" w:leader="hyphen" w:pos="6480"/>
        </w:tabs>
      </w:pPr>
      <w:r w:rsidRPr="00297BFF">
        <w:t>Municipality 5,000-50,000</w:t>
      </w:r>
      <w:r w:rsidRPr="00297BFF">
        <w:tab/>
        <w:t>Pending</w:t>
      </w:r>
    </w:p>
    <w:p w:rsidR="00620D52" w:rsidRPr="00297BFF" w:rsidRDefault="00620D52" w:rsidP="00620D52">
      <w:pPr>
        <w:tabs>
          <w:tab w:val="left" w:leader="hyphen" w:pos="6480"/>
        </w:tabs>
      </w:pPr>
      <w:r w:rsidRPr="00297BFF">
        <w:t>Public Health District (at least one town &lt;5,000)</w:t>
      </w:r>
      <w:r w:rsidRPr="00297BFF">
        <w:tab/>
        <w:t>Phoebe Walker</w:t>
      </w:r>
    </w:p>
    <w:p w:rsidR="00620D52" w:rsidRPr="00297BFF" w:rsidRDefault="00620D52" w:rsidP="00620D52">
      <w:pPr>
        <w:tabs>
          <w:tab w:val="left" w:leader="hyphen" w:pos="6480"/>
        </w:tabs>
      </w:pPr>
      <w:r w:rsidRPr="00297BFF">
        <w:t xml:space="preserve">At Large </w:t>
      </w:r>
      <w:r w:rsidRPr="00297BFF">
        <w:tab/>
        <w:t>Carmela Mancini</w:t>
      </w:r>
    </w:p>
    <w:p w:rsidR="00620D52" w:rsidRPr="00297BFF" w:rsidRDefault="00620D52" w:rsidP="00620D52">
      <w:pPr>
        <w:tabs>
          <w:tab w:val="left" w:leader="hyphen" w:pos="6480"/>
        </w:tabs>
        <w:rPr>
          <w:b/>
        </w:rPr>
      </w:pPr>
    </w:p>
    <w:p w:rsidR="00620D52" w:rsidRPr="00297BFF" w:rsidRDefault="00620D52" w:rsidP="00620D52">
      <w:pPr>
        <w:tabs>
          <w:tab w:val="left" w:leader="hyphen" w:pos="6480"/>
        </w:tabs>
        <w:rPr>
          <w:b/>
          <w:smallCaps/>
          <w:sz w:val="24"/>
        </w:rPr>
      </w:pPr>
      <w:r w:rsidRPr="00297BFF">
        <w:rPr>
          <w:b/>
          <w:smallCaps/>
          <w:sz w:val="24"/>
        </w:rPr>
        <w:t>Appointments by Legislative Leadership</w:t>
      </w:r>
    </w:p>
    <w:p w:rsidR="00620D52" w:rsidRPr="00297BFF" w:rsidRDefault="00620D52" w:rsidP="00620D52">
      <w:pPr>
        <w:tabs>
          <w:tab w:val="left" w:leader="hyphen" w:pos="6480"/>
        </w:tabs>
      </w:pPr>
    </w:p>
    <w:p w:rsidR="00620D52" w:rsidRPr="00297BFF" w:rsidRDefault="00620D52" w:rsidP="00620D52">
      <w:pPr>
        <w:tabs>
          <w:tab w:val="left" w:leader="hyphen" w:pos="6480"/>
        </w:tabs>
      </w:pPr>
      <w:r w:rsidRPr="00297BFF">
        <w:t>Senate President</w:t>
      </w:r>
      <w:r w:rsidRPr="00297BFF">
        <w:tab/>
        <w:t>Senator Jason M. Lewis</w:t>
      </w:r>
    </w:p>
    <w:p w:rsidR="00620D52" w:rsidRPr="00297BFF" w:rsidRDefault="00620D52" w:rsidP="00620D52">
      <w:pPr>
        <w:tabs>
          <w:tab w:val="left" w:leader="hyphen" w:pos="6480"/>
        </w:tabs>
      </w:pPr>
      <w:r w:rsidRPr="00297BFF">
        <w:t>Senate Minority Leader</w:t>
      </w:r>
      <w:r w:rsidRPr="00297BFF">
        <w:tab/>
        <w:t>Senator Richard J. Ross</w:t>
      </w:r>
    </w:p>
    <w:p w:rsidR="00620D52" w:rsidRPr="00297BFF" w:rsidRDefault="00620D52" w:rsidP="00620D52">
      <w:pPr>
        <w:tabs>
          <w:tab w:val="left" w:leader="hyphen" w:pos="6480"/>
        </w:tabs>
      </w:pPr>
      <w:r w:rsidRPr="00297BFF">
        <w:t>Speaker of the House</w:t>
      </w:r>
      <w:r w:rsidRPr="00297BFF">
        <w:tab/>
        <w:t>Representative Steven Ultrino</w:t>
      </w:r>
    </w:p>
    <w:p w:rsidR="00620D52" w:rsidRPr="00297BFF" w:rsidRDefault="00620D52" w:rsidP="00620D52">
      <w:pPr>
        <w:tabs>
          <w:tab w:val="left" w:leader="hyphen" w:pos="6480"/>
        </w:tabs>
      </w:pPr>
      <w:r w:rsidRPr="00297BFF">
        <w:t>House Minority Leader</w:t>
      </w:r>
      <w:r w:rsidRPr="00297BFF">
        <w:tab/>
        <w:t>Representative Hannah Kane</w:t>
      </w:r>
    </w:p>
    <w:p w:rsidR="00620D52" w:rsidRPr="00297BFF" w:rsidRDefault="00620D52" w:rsidP="00620D52">
      <w:pPr>
        <w:tabs>
          <w:tab w:val="left" w:leader="hyphen" w:pos="6480"/>
        </w:tabs>
        <w:rPr>
          <w:b/>
        </w:rPr>
      </w:pPr>
    </w:p>
    <w:p w:rsidR="00620D52" w:rsidRPr="00297BFF" w:rsidRDefault="00620D52" w:rsidP="00620D52">
      <w:pPr>
        <w:tabs>
          <w:tab w:val="left" w:leader="hyphen" w:pos="6480"/>
        </w:tabs>
        <w:rPr>
          <w:b/>
          <w:smallCaps/>
          <w:sz w:val="24"/>
        </w:rPr>
      </w:pPr>
      <w:r w:rsidRPr="00297BFF">
        <w:rPr>
          <w:b/>
          <w:smallCaps/>
          <w:sz w:val="24"/>
        </w:rPr>
        <w:t>Named Organizations</w:t>
      </w:r>
    </w:p>
    <w:p w:rsidR="00620D52" w:rsidRPr="00297BFF" w:rsidRDefault="00620D52" w:rsidP="00620D52">
      <w:pPr>
        <w:tabs>
          <w:tab w:val="left" w:leader="hyphen" w:pos="6480"/>
        </w:tabs>
      </w:pPr>
    </w:p>
    <w:p w:rsidR="00620D52" w:rsidRPr="00297BFF" w:rsidRDefault="00620D52" w:rsidP="00620D52">
      <w:pPr>
        <w:tabs>
          <w:tab w:val="left" w:leader="hyphen" w:pos="6480"/>
        </w:tabs>
      </w:pPr>
      <w:r w:rsidRPr="00297BFF">
        <w:t>Massachusetts Municipal Association</w:t>
      </w:r>
      <w:r w:rsidRPr="00297BFF">
        <w:tab/>
        <w:t>Kevin Mizikar</w:t>
      </w:r>
    </w:p>
    <w:p w:rsidR="00620D52" w:rsidRPr="00297BFF" w:rsidRDefault="00620D52" w:rsidP="00620D52">
      <w:pPr>
        <w:tabs>
          <w:tab w:val="left" w:leader="hyphen" w:pos="6480"/>
        </w:tabs>
      </w:pPr>
      <w:r w:rsidRPr="00297BFF">
        <w:t>Massachusetts Taxpayers Foundation</w:t>
      </w:r>
      <w:r w:rsidRPr="00297BFF">
        <w:tab/>
        <w:t xml:space="preserve">Eileen </w:t>
      </w:r>
      <w:proofErr w:type="spellStart"/>
      <w:r w:rsidRPr="00297BFF">
        <w:t>McAnneny</w:t>
      </w:r>
      <w:proofErr w:type="spellEnd"/>
    </w:p>
    <w:p w:rsidR="00620D52" w:rsidRPr="00297BFF" w:rsidRDefault="00620D52" w:rsidP="00620D52">
      <w:pPr>
        <w:tabs>
          <w:tab w:val="left" w:leader="hyphen" w:pos="6480"/>
        </w:tabs>
      </w:pPr>
      <w:r w:rsidRPr="00297BFF">
        <w:t>Massachusetts Public Health Association</w:t>
      </w:r>
      <w:r w:rsidRPr="00297BFF">
        <w:tab/>
        <w:t>Bernard Sullivan</w:t>
      </w:r>
    </w:p>
    <w:p w:rsidR="00620D52" w:rsidRPr="00297BFF" w:rsidRDefault="00620D52" w:rsidP="00620D52">
      <w:pPr>
        <w:tabs>
          <w:tab w:val="left" w:leader="hyphen" w:pos="6480"/>
        </w:tabs>
      </w:pPr>
      <w:r w:rsidRPr="00297BFF">
        <w:t>Massachusetts Health Officers Association</w:t>
      </w:r>
      <w:r w:rsidRPr="00297BFF">
        <w:tab/>
        <w:t>Sam Wong</w:t>
      </w:r>
    </w:p>
    <w:p w:rsidR="00620D52" w:rsidRPr="00297BFF" w:rsidRDefault="00620D52" w:rsidP="00620D52">
      <w:pPr>
        <w:tabs>
          <w:tab w:val="left" w:leader="hyphen" w:pos="6480"/>
        </w:tabs>
      </w:pPr>
      <w:r w:rsidRPr="00297BFF">
        <w:t>Massachusetts Association of Health Boards</w:t>
      </w:r>
      <w:r w:rsidRPr="00297BFF">
        <w:tab/>
        <w:t>Cheryl Sbarra</w:t>
      </w:r>
    </w:p>
    <w:p w:rsidR="00620D52" w:rsidRPr="00297BFF" w:rsidRDefault="00620D52" w:rsidP="00620D52">
      <w:pPr>
        <w:tabs>
          <w:tab w:val="left" w:leader="hyphen" w:pos="6480"/>
        </w:tabs>
      </w:pPr>
      <w:r w:rsidRPr="00297BFF">
        <w:t>Massachusetts Environmental Health Association</w:t>
      </w:r>
      <w:r w:rsidRPr="00297BFF">
        <w:tab/>
        <w:t>Steve Ward</w:t>
      </w:r>
    </w:p>
    <w:p w:rsidR="00620D52" w:rsidRPr="00297BFF" w:rsidRDefault="00620D52" w:rsidP="00620D52">
      <w:pPr>
        <w:tabs>
          <w:tab w:val="left" w:leader="hyphen" w:pos="6480"/>
        </w:tabs>
      </w:pPr>
      <w:r w:rsidRPr="00297BFF">
        <w:t>Massachusetts Association of Public Health Nurses</w:t>
      </w:r>
      <w:r w:rsidRPr="00297BFF">
        <w:tab/>
        <w:t>Terri Khoury</w:t>
      </w:r>
    </w:p>
    <w:p w:rsidR="00620D52" w:rsidRPr="00297BFF" w:rsidRDefault="00620D52" w:rsidP="00620D52">
      <w:pPr>
        <w:tabs>
          <w:tab w:val="left" w:leader="hyphen" w:pos="6480"/>
        </w:tabs>
      </w:pPr>
      <w:r w:rsidRPr="00297BFF">
        <w:t>Western Massachusetts Public Health Association</w:t>
      </w:r>
      <w:r w:rsidRPr="00297BFF">
        <w:tab/>
        <w:t xml:space="preserve">Laura </w:t>
      </w:r>
      <w:proofErr w:type="spellStart"/>
      <w:r w:rsidRPr="00297BFF">
        <w:t>Kittross</w:t>
      </w:r>
      <w:proofErr w:type="spellEnd"/>
    </w:p>
    <w:p w:rsidR="00620D52" w:rsidRPr="00297BFF" w:rsidRDefault="00620D52" w:rsidP="00620D52">
      <w:pPr>
        <w:tabs>
          <w:tab w:val="left" w:leader="hyphen" w:pos="6480"/>
        </w:tabs>
      </w:pPr>
      <w:r w:rsidRPr="00297BFF">
        <w:t>Massachusetts Public Health Regionalization Working Group</w:t>
      </w:r>
      <w:r w:rsidRPr="00297BFF">
        <w:tab/>
        <w:t>Harold Cox</w:t>
      </w:r>
    </w:p>
    <w:p w:rsidR="0050459B" w:rsidRPr="0050459B" w:rsidRDefault="0050459B" w:rsidP="0050459B">
      <w:pPr>
        <w:spacing w:after="200" w:line="276" w:lineRule="auto"/>
        <w:jc w:val="center"/>
        <w:rPr>
          <w:rFonts w:asciiTheme="majorHAnsi" w:hAnsiTheme="majorHAnsi"/>
          <w:b/>
          <w:smallCaps/>
          <w:sz w:val="28"/>
          <w:szCs w:val="24"/>
        </w:rPr>
      </w:pPr>
      <w:r w:rsidRPr="0050459B">
        <w:rPr>
          <w:rFonts w:asciiTheme="majorHAnsi" w:hAnsiTheme="majorHAnsi"/>
          <w:b/>
          <w:smallCaps/>
          <w:sz w:val="28"/>
          <w:szCs w:val="24"/>
        </w:rPr>
        <w:br w:type="page"/>
      </w:r>
    </w:p>
    <w:p w:rsidR="00DA400A" w:rsidRPr="001274B2" w:rsidRDefault="00DA400A" w:rsidP="00DA400A">
      <w:pPr>
        <w:pBdr>
          <w:bottom w:val="single" w:sz="12" w:space="1" w:color="auto"/>
        </w:pBdr>
        <w:jc w:val="center"/>
        <w:rPr>
          <w:b/>
          <w:smallCaps/>
          <w:color w:val="365F91" w:themeColor="accent1" w:themeShade="BF"/>
          <w:sz w:val="32"/>
          <w:szCs w:val="24"/>
        </w:rPr>
      </w:pPr>
      <w:r w:rsidRPr="001274B2">
        <w:rPr>
          <w:b/>
          <w:smallCaps/>
          <w:color w:val="365F91" w:themeColor="accent1" w:themeShade="BF"/>
          <w:sz w:val="32"/>
          <w:szCs w:val="24"/>
        </w:rPr>
        <w:lastRenderedPageBreak/>
        <w:t>Special Commission on Local and Regional Public Health</w:t>
      </w:r>
    </w:p>
    <w:p w:rsidR="00DA400A" w:rsidRPr="001274B2" w:rsidRDefault="00DA400A" w:rsidP="00DA400A">
      <w:pPr>
        <w:jc w:val="center"/>
        <w:rPr>
          <w:b/>
          <w:sz w:val="24"/>
          <w:szCs w:val="24"/>
        </w:rPr>
      </w:pPr>
      <w:r w:rsidRPr="001274B2">
        <w:rPr>
          <w:b/>
          <w:sz w:val="24"/>
          <w:szCs w:val="24"/>
        </w:rPr>
        <w:t>Summary of Stakeholder Comments on Status Report</w:t>
      </w:r>
    </w:p>
    <w:p w:rsidR="00DA400A" w:rsidRPr="001274B2" w:rsidRDefault="00DA400A" w:rsidP="00DA400A">
      <w:pPr>
        <w:jc w:val="center"/>
        <w:rPr>
          <w:b/>
          <w:sz w:val="24"/>
          <w:szCs w:val="24"/>
        </w:rPr>
      </w:pPr>
      <w:r>
        <w:rPr>
          <w:b/>
          <w:sz w:val="24"/>
          <w:szCs w:val="24"/>
        </w:rPr>
        <w:t>September</w:t>
      </w:r>
      <w:r w:rsidRPr="001274B2">
        <w:rPr>
          <w:b/>
          <w:sz w:val="24"/>
          <w:szCs w:val="24"/>
        </w:rPr>
        <w:t xml:space="preserve"> 2018</w:t>
      </w:r>
    </w:p>
    <w:p w:rsidR="00DA400A" w:rsidRPr="001274B2" w:rsidRDefault="00DA400A" w:rsidP="00DA400A">
      <w:pPr>
        <w:jc w:val="center"/>
        <w:rPr>
          <w:b/>
          <w:sz w:val="24"/>
          <w:szCs w:val="24"/>
        </w:rPr>
      </w:pPr>
    </w:p>
    <w:p w:rsidR="00DA400A" w:rsidRDefault="00DA400A" w:rsidP="00DA400A">
      <w:pPr>
        <w:rPr>
          <w:b/>
          <w:sz w:val="24"/>
          <w:szCs w:val="24"/>
        </w:rPr>
      </w:pPr>
      <w:r w:rsidRPr="006D223D">
        <w:rPr>
          <w:b/>
          <w:sz w:val="24"/>
          <w:szCs w:val="24"/>
        </w:rPr>
        <w:t>Background</w:t>
      </w:r>
    </w:p>
    <w:p w:rsidR="00DA400A" w:rsidRPr="006D223D" w:rsidRDefault="00DA400A" w:rsidP="00DA400A">
      <w:pPr>
        <w:rPr>
          <w:sz w:val="24"/>
          <w:szCs w:val="24"/>
        </w:rPr>
      </w:pPr>
      <w:r w:rsidRPr="006D223D">
        <w:rPr>
          <w:sz w:val="24"/>
          <w:szCs w:val="24"/>
        </w:rPr>
        <w:t>The Special Commission on Loc</w:t>
      </w:r>
      <w:r w:rsidR="00620D52">
        <w:rPr>
          <w:sz w:val="24"/>
          <w:szCs w:val="24"/>
        </w:rPr>
        <w:t>al and Regional Public Health (Commission</w:t>
      </w:r>
      <w:r w:rsidRPr="006D223D">
        <w:rPr>
          <w:sz w:val="24"/>
          <w:szCs w:val="24"/>
        </w:rPr>
        <w:t xml:space="preserve">) was created by legislation enacted in August 2016 to </w:t>
      </w:r>
      <w:r w:rsidRPr="00015CC4">
        <w:rPr>
          <w:sz w:val="24"/>
          <w:szCs w:val="24"/>
        </w:rPr>
        <w:t>“</w:t>
      </w:r>
      <w:r w:rsidRPr="00015CC4">
        <w:rPr>
          <w:sz w:val="24"/>
          <w:szCs w:val="24"/>
          <w:shd w:val="clear" w:color="auto" w:fill="FFFFFF"/>
        </w:rPr>
        <w:t>assess the effectiveness and efficiency of municipal and regional public health systems and to make recommendations to strengthen the delivery of public health services and preventive measures”</w:t>
      </w:r>
      <w:r w:rsidRPr="006D223D">
        <w:rPr>
          <w:sz w:val="24"/>
          <w:szCs w:val="24"/>
        </w:rPr>
        <w:t xml:space="preserve"> (Chapter 3 of the Resolves of 2016). Since its first meeting in June 2017, the Commission has reviewed and discussed many dimensions of the local public health system that fall within its charge.  </w:t>
      </w:r>
    </w:p>
    <w:p w:rsidR="00DA400A" w:rsidRPr="006D223D" w:rsidRDefault="00DA400A" w:rsidP="00DA400A">
      <w:pPr>
        <w:rPr>
          <w:sz w:val="24"/>
          <w:szCs w:val="24"/>
        </w:rPr>
      </w:pPr>
    </w:p>
    <w:p w:rsidR="00620D52" w:rsidRDefault="00DA400A" w:rsidP="00620D52">
      <w:pPr>
        <w:rPr>
          <w:color w:val="000000"/>
          <w:sz w:val="24"/>
          <w:szCs w:val="24"/>
        </w:rPr>
      </w:pPr>
      <w:r w:rsidRPr="006D223D">
        <w:rPr>
          <w:sz w:val="24"/>
          <w:szCs w:val="24"/>
        </w:rPr>
        <w:t xml:space="preserve">In May 2018, the Commission released a status report to inform local public health stakeholders and to solicit feedback through a series of </w:t>
      </w:r>
      <w:r>
        <w:rPr>
          <w:sz w:val="24"/>
          <w:szCs w:val="24"/>
        </w:rPr>
        <w:t xml:space="preserve">six </w:t>
      </w:r>
      <w:r w:rsidRPr="006D223D">
        <w:rPr>
          <w:sz w:val="24"/>
          <w:szCs w:val="24"/>
        </w:rPr>
        <w:t xml:space="preserve">listening sessions (Attachment A) and comments submitted by e-mail or letter. </w:t>
      </w:r>
      <w:r>
        <w:rPr>
          <w:sz w:val="24"/>
          <w:szCs w:val="24"/>
        </w:rPr>
        <w:t xml:space="preserve">The listening sessions were supported by staff from the Massachusetts Department of Public Health. The Commission was represented by at least one member at each of the listening sessions. </w:t>
      </w:r>
      <w:r w:rsidRPr="006D223D">
        <w:rPr>
          <w:color w:val="000000"/>
          <w:sz w:val="24"/>
          <w:szCs w:val="24"/>
        </w:rPr>
        <w:t>The Commission received comments from over 50 local public health stakeholders (Attachment B) on workforce credentials, cross-jurisdictional sharing, public health nursing, local public health financing, and other local public health system issues.</w:t>
      </w:r>
      <w:r w:rsidR="00620D52">
        <w:rPr>
          <w:color w:val="000000"/>
          <w:sz w:val="24"/>
          <w:szCs w:val="24"/>
        </w:rPr>
        <w:t xml:space="preserve"> </w:t>
      </w:r>
      <w:r w:rsidR="00620D52">
        <w:rPr>
          <w:color w:val="000000"/>
          <w:sz w:val="24"/>
          <w:szCs w:val="24"/>
        </w:rPr>
        <w:t>There was a strong representation from the western part of the state as shown in the geographic distribution of comments in Attachment C.</w:t>
      </w:r>
    </w:p>
    <w:p w:rsidR="00DA400A" w:rsidRPr="006D223D" w:rsidRDefault="00DA400A" w:rsidP="00DA400A">
      <w:pPr>
        <w:rPr>
          <w:color w:val="000000"/>
          <w:sz w:val="24"/>
          <w:szCs w:val="24"/>
        </w:rPr>
      </w:pPr>
    </w:p>
    <w:p w:rsidR="00DA400A" w:rsidRDefault="00DA400A" w:rsidP="00DA400A">
      <w:pPr>
        <w:rPr>
          <w:sz w:val="24"/>
          <w:szCs w:val="24"/>
        </w:rPr>
      </w:pPr>
      <w:r w:rsidRPr="006D223D">
        <w:rPr>
          <w:sz w:val="24"/>
          <w:szCs w:val="24"/>
        </w:rPr>
        <w:t>Individuals providing comments included 18 l</w:t>
      </w:r>
      <w:r>
        <w:rPr>
          <w:sz w:val="24"/>
          <w:szCs w:val="24"/>
        </w:rPr>
        <w:t>ocal public health directors/</w:t>
      </w:r>
      <w:r w:rsidRPr="006D223D">
        <w:rPr>
          <w:sz w:val="24"/>
          <w:szCs w:val="24"/>
        </w:rPr>
        <w:t>health agents</w:t>
      </w:r>
      <w:r>
        <w:rPr>
          <w:sz w:val="24"/>
          <w:szCs w:val="24"/>
        </w:rPr>
        <w:t>, 17 public health nurses, and 8</w:t>
      </w:r>
      <w:r w:rsidRPr="006D223D">
        <w:rPr>
          <w:sz w:val="24"/>
          <w:szCs w:val="24"/>
        </w:rPr>
        <w:t xml:space="preserve"> </w:t>
      </w:r>
      <w:proofErr w:type="gramStart"/>
      <w:r w:rsidRPr="006D223D">
        <w:rPr>
          <w:sz w:val="24"/>
          <w:szCs w:val="24"/>
        </w:rPr>
        <w:t>board</w:t>
      </w:r>
      <w:proofErr w:type="gramEnd"/>
      <w:r w:rsidRPr="006D223D">
        <w:rPr>
          <w:sz w:val="24"/>
          <w:szCs w:val="24"/>
        </w:rPr>
        <w:t xml:space="preserve"> of health members. Four public health districts (and the many communities that they include) and over 35 individual cities and towns were represented in the comments received.</w:t>
      </w:r>
      <w:r w:rsidR="00620D52">
        <w:rPr>
          <w:sz w:val="24"/>
          <w:szCs w:val="24"/>
        </w:rPr>
        <w:t xml:space="preserve"> </w:t>
      </w:r>
    </w:p>
    <w:p w:rsidR="00DA400A" w:rsidRPr="006D223D" w:rsidRDefault="00DA400A" w:rsidP="00DA400A">
      <w:pPr>
        <w:rPr>
          <w:sz w:val="24"/>
          <w:szCs w:val="24"/>
        </w:rPr>
      </w:pPr>
    </w:p>
    <w:p w:rsidR="00DA400A" w:rsidRDefault="00DA400A" w:rsidP="00DA400A">
      <w:pPr>
        <w:rPr>
          <w:sz w:val="24"/>
          <w:szCs w:val="24"/>
        </w:rPr>
      </w:pPr>
      <w:r w:rsidRPr="006D223D">
        <w:rPr>
          <w:sz w:val="24"/>
          <w:szCs w:val="24"/>
        </w:rPr>
        <w:t xml:space="preserve">In addition to </w:t>
      </w:r>
      <w:r>
        <w:rPr>
          <w:sz w:val="24"/>
          <w:szCs w:val="24"/>
        </w:rPr>
        <w:t xml:space="preserve">reporting </w:t>
      </w:r>
      <w:r w:rsidRPr="006D223D">
        <w:rPr>
          <w:sz w:val="24"/>
          <w:szCs w:val="24"/>
        </w:rPr>
        <w:t>general comments on the status report and the work of the Commission, this document summarizes the comments using the following categories that align with the work of the five subcommittees of the Commission</w:t>
      </w:r>
      <w:r>
        <w:rPr>
          <w:sz w:val="24"/>
          <w:szCs w:val="24"/>
        </w:rPr>
        <w:t>:</w:t>
      </w:r>
    </w:p>
    <w:p w:rsidR="00DA400A" w:rsidRPr="006D223D" w:rsidRDefault="00DA400A" w:rsidP="00DA400A">
      <w:pPr>
        <w:rPr>
          <w:sz w:val="24"/>
          <w:szCs w:val="24"/>
        </w:rPr>
      </w:pPr>
    </w:p>
    <w:p w:rsidR="001C30FF" w:rsidRPr="006D223D" w:rsidRDefault="001C30FF" w:rsidP="001C30FF">
      <w:pPr>
        <w:pStyle w:val="ListParagraph"/>
        <w:numPr>
          <w:ilvl w:val="0"/>
          <w:numId w:val="7"/>
        </w:numPr>
        <w:contextualSpacing/>
        <w:rPr>
          <w:sz w:val="24"/>
          <w:szCs w:val="24"/>
        </w:rPr>
      </w:pPr>
      <w:r w:rsidRPr="006D223D">
        <w:rPr>
          <w:sz w:val="24"/>
          <w:szCs w:val="24"/>
        </w:rPr>
        <w:t>National standards</w:t>
      </w:r>
      <w:r w:rsidR="00411A1B">
        <w:rPr>
          <w:sz w:val="24"/>
          <w:szCs w:val="24"/>
        </w:rPr>
        <w:t xml:space="preserve"> (page 5)</w:t>
      </w:r>
    </w:p>
    <w:p w:rsidR="00DA400A" w:rsidRPr="006D223D" w:rsidRDefault="00DA400A" w:rsidP="002352EC">
      <w:pPr>
        <w:pStyle w:val="ListParagraph"/>
        <w:numPr>
          <w:ilvl w:val="0"/>
          <w:numId w:val="7"/>
        </w:numPr>
        <w:contextualSpacing/>
        <w:rPr>
          <w:sz w:val="24"/>
          <w:szCs w:val="24"/>
        </w:rPr>
      </w:pPr>
      <w:r w:rsidRPr="006D223D">
        <w:rPr>
          <w:sz w:val="24"/>
          <w:szCs w:val="24"/>
        </w:rPr>
        <w:t>Workforce credentials</w:t>
      </w:r>
      <w:r w:rsidR="00411A1B">
        <w:rPr>
          <w:sz w:val="24"/>
          <w:szCs w:val="24"/>
        </w:rPr>
        <w:t xml:space="preserve"> (page 6)</w:t>
      </w:r>
    </w:p>
    <w:p w:rsidR="00DA400A" w:rsidRPr="006D223D" w:rsidRDefault="00DA400A" w:rsidP="002352EC">
      <w:pPr>
        <w:pStyle w:val="ListParagraph"/>
        <w:numPr>
          <w:ilvl w:val="0"/>
          <w:numId w:val="7"/>
        </w:numPr>
        <w:contextualSpacing/>
        <w:rPr>
          <w:sz w:val="24"/>
          <w:szCs w:val="24"/>
        </w:rPr>
      </w:pPr>
      <w:r w:rsidRPr="006D223D">
        <w:rPr>
          <w:sz w:val="24"/>
          <w:szCs w:val="24"/>
        </w:rPr>
        <w:t>Cross-</w:t>
      </w:r>
      <w:r w:rsidRPr="00015CC4">
        <w:rPr>
          <w:sz w:val="24"/>
          <w:szCs w:val="24"/>
        </w:rPr>
        <w:t>ju</w:t>
      </w:r>
      <w:r w:rsidRPr="006D223D">
        <w:rPr>
          <w:sz w:val="24"/>
          <w:szCs w:val="24"/>
        </w:rPr>
        <w:t>risdictional sharing</w:t>
      </w:r>
      <w:r w:rsidR="00411A1B">
        <w:rPr>
          <w:sz w:val="24"/>
          <w:szCs w:val="24"/>
        </w:rPr>
        <w:t xml:space="preserve"> (page 11)</w:t>
      </w:r>
    </w:p>
    <w:p w:rsidR="00DA400A" w:rsidRPr="006D223D" w:rsidRDefault="00DA400A" w:rsidP="002352EC">
      <w:pPr>
        <w:pStyle w:val="ListParagraph"/>
        <w:numPr>
          <w:ilvl w:val="0"/>
          <w:numId w:val="7"/>
        </w:numPr>
        <w:contextualSpacing/>
        <w:rPr>
          <w:sz w:val="24"/>
          <w:szCs w:val="24"/>
        </w:rPr>
      </w:pPr>
      <w:r w:rsidRPr="006D223D">
        <w:rPr>
          <w:sz w:val="24"/>
          <w:szCs w:val="24"/>
        </w:rPr>
        <w:t>Data</w:t>
      </w:r>
      <w:r w:rsidR="00411A1B">
        <w:rPr>
          <w:sz w:val="24"/>
          <w:szCs w:val="24"/>
        </w:rPr>
        <w:t xml:space="preserve"> (page 11)</w:t>
      </w:r>
    </w:p>
    <w:p w:rsidR="00DA400A" w:rsidRPr="006D223D" w:rsidRDefault="00DA400A" w:rsidP="002352EC">
      <w:pPr>
        <w:pStyle w:val="ListParagraph"/>
        <w:numPr>
          <w:ilvl w:val="0"/>
          <w:numId w:val="7"/>
        </w:numPr>
        <w:contextualSpacing/>
        <w:rPr>
          <w:sz w:val="24"/>
          <w:szCs w:val="24"/>
        </w:rPr>
      </w:pPr>
      <w:r w:rsidRPr="006D223D">
        <w:rPr>
          <w:sz w:val="24"/>
          <w:szCs w:val="24"/>
        </w:rPr>
        <w:t>Finance</w:t>
      </w:r>
      <w:r w:rsidR="00411A1B">
        <w:rPr>
          <w:sz w:val="24"/>
          <w:szCs w:val="24"/>
        </w:rPr>
        <w:t xml:space="preserve"> (page 12)</w:t>
      </w:r>
    </w:p>
    <w:p w:rsidR="00DA400A" w:rsidRPr="006D223D" w:rsidRDefault="00DA400A" w:rsidP="00DA400A">
      <w:pPr>
        <w:rPr>
          <w:sz w:val="24"/>
          <w:szCs w:val="24"/>
        </w:rPr>
      </w:pPr>
    </w:p>
    <w:p w:rsidR="00DA400A" w:rsidRPr="006D223D" w:rsidRDefault="00DA400A" w:rsidP="00DA400A">
      <w:pPr>
        <w:rPr>
          <w:sz w:val="24"/>
          <w:szCs w:val="24"/>
        </w:rPr>
      </w:pPr>
      <w:r w:rsidRPr="006D223D">
        <w:rPr>
          <w:sz w:val="24"/>
          <w:szCs w:val="24"/>
        </w:rPr>
        <w:t>The following questions were shared with participants to guide their remarks:</w:t>
      </w:r>
    </w:p>
    <w:p w:rsidR="00DA400A" w:rsidRPr="006D223D" w:rsidRDefault="00DA400A" w:rsidP="002352EC">
      <w:pPr>
        <w:pStyle w:val="Default"/>
        <w:numPr>
          <w:ilvl w:val="0"/>
          <w:numId w:val="8"/>
        </w:numPr>
        <w:rPr>
          <w:rFonts w:asciiTheme="minorHAnsi" w:hAnsiTheme="minorHAnsi" w:cs="Times New Roman"/>
          <w:color w:val="auto"/>
        </w:rPr>
      </w:pPr>
      <w:r w:rsidRPr="006D223D">
        <w:rPr>
          <w:rFonts w:asciiTheme="minorHAnsi" w:hAnsiTheme="minorHAnsi" w:cs="Times New Roman"/>
          <w:color w:val="auto"/>
        </w:rPr>
        <w:t xml:space="preserve">Is the Commission headed in the right direction? </w:t>
      </w:r>
    </w:p>
    <w:p w:rsidR="00DA400A" w:rsidRDefault="00DA400A" w:rsidP="002352EC">
      <w:pPr>
        <w:pStyle w:val="Default"/>
        <w:numPr>
          <w:ilvl w:val="0"/>
          <w:numId w:val="8"/>
        </w:numPr>
        <w:rPr>
          <w:rFonts w:asciiTheme="minorHAnsi" w:hAnsiTheme="minorHAnsi"/>
          <w:color w:val="auto"/>
        </w:rPr>
      </w:pPr>
      <w:r w:rsidRPr="006D223D">
        <w:rPr>
          <w:rFonts w:asciiTheme="minorHAnsi" w:hAnsiTheme="minorHAnsi"/>
          <w:color w:val="auto"/>
        </w:rPr>
        <w:t xml:space="preserve">What are the challenges to implementation? </w:t>
      </w:r>
    </w:p>
    <w:p w:rsidR="00F433DA" w:rsidRDefault="00F433DA">
      <w:pPr>
        <w:spacing w:after="200" w:line="276" w:lineRule="auto"/>
        <w:rPr>
          <w:rFonts w:asciiTheme="minorHAnsi" w:eastAsia="Times New Roman" w:hAnsiTheme="minorHAnsi" w:cs="Calibri"/>
          <w:sz w:val="24"/>
          <w:szCs w:val="24"/>
        </w:rPr>
      </w:pPr>
      <w:r>
        <w:rPr>
          <w:rFonts w:asciiTheme="minorHAnsi" w:hAnsiTheme="minorHAnsi"/>
        </w:rPr>
        <w:br w:type="page"/>
      </w:r>
    </w:p>
    <w:tbl>
      <w:tblPr>
        <w:tblStyle w:val="TableGrid"/>
        <w:tblW w:w="0" w:type="auto"/>
        <w:tblLook w:val="04A0" w:firstRow="1" w:lastRow="0" w:firstColumn="1" w:lastColumn="0" w:noHBand="0" w:noVBand="1"/>
      </w:tblPr>
      <w:tblGrid>
        <w:gridCol w:w="9576"/>
      </w:tblGrid>
      <w:tr w:rsidR="00DA400A" w:rsidRPr="004E08EA" w:rsidTr="00DA400A">
        <w:trPr>
          <w:trHeight w:val="576"/>
        </w:trPr>
        <w:tc>
          <w:tcPr>
            <w:tcW w:w="9576" w:type="dxa"/>
            <w:shd w:val="clear" w:color="auto" w:fill="E5B8B7" w:themeFill="accent2" w:themeFillTint="66"/>
            <w:vAlign w:val="center"/>
          </w:tcPr>
          <w:p w:rsidR="00DA400A" w:rsidRPr="00263F56" w:rsidRDefault="00DA400A" w:rsidP="00DA400A">
            <w:pPr>
              <w:rPr>
                <w:b/>
                <w:sz w:val="28"/>
                <w:szCs w:val="24"/>
              </w:rPr>
            </w:pPr>
            <w:r w:rsidRPr="00263F56">
              <w:rPr>
                <w:b/>
                <w:sz w:val="28"/>
                <w:szCs w:val="24"/>
              </w:rPr>
              <w:t>General Comments on the Status Report</w:t>
            </w:r>
          </w:p>
        </w:tc>
      </w:tr>
    </w:tbl>
    <w:p w:rsidR="00DA400A" w:rsidRDefault="00DA400A" w:rsidP="00DA400A">
      <w:pPr>
        <w:pStyle w:val="ListParagraph"/>
        <w:ind w:left="360"/>
        <w:rPr>
          <w:sz w:val="24"/>
          <w:szCs w:val="24"/>
        </w:rPr>
      </w:pPr>
    </w:p>
    <w:p w:rsidR="00DA400A" w:rsidRPr="006D223D" w:rsidRDefault="00DA400A" w:rsidP="002352EC">
      <w:pPr>
        <w:pStyle w:val="ListParagraph"/>
        <w:numPr>
          <w:ilvl w:val="0"/>
          <w:numId w:val="5"/>
        </w:numPr>
        <w:contextualSpacing/>
        <w:rPr>
          <w:sz w:val="24"/>
          <w:szCs w:val="24"/>
        </w:rPr>
      </w:pPr>
      <w:r w:rsidRPr="006D223D">
        <w:rPr>
          <w:sz w:val="24"/>
          <w:szCs w:val="24"/>
        </w:rPr>
        <w:t>Several participants stated that the Commission is headed in the right direction.</w:t>
      </w:r>
    </w:p>
    <w:p w:rsidR="00DA400A" w:rsidRPr="006D223D" w:rsidRDefault="00DA400A" w:rsidP="002352EC">
      <w:pPr>
        <w:pStyle w:val="ListParagraph"/>
        <w:numPr>
          <w:ilvl w:val="0"/>
          <w:numId w:val="5"/>
        </w:numPr>
        <w:contextualSpacing/>
        <w:rPr>
          <w:sz w:val="24"/>
          <w:szCs w:val="24"/>
        </w:rPr>
      </w:pPr>
      <w:r w:rsidRPr="006D223D">
        <w:rPr>
          <w:sz w:val="24"/>
          <w:szCs w:val="24"/>
        </w:rPr>
        <w:t>The status report did not address the role of local public health authorities in partnering with community coalitions (including Community Health Networks) to address the social determinants of health</w:t>
      </w:r>
    </w:p>
    <w:p w:rsidR="00DA400A" w:rsidRPr="006D223D" w:rsidRDefault="00DA400A" w:rsidP="002352EC">
      <w:pPr>
        <w:pStyle w:val="ListParagraph"/>
        <w:numPr>
          <w:ilvl w:val="0"/>
          <w:numId w:val="5"/>
        </w:numPr>
        <w:contextualSpacing/>
        <w:rPr>
          <w:sz w:val="24"/>
          <w:szCs w:val="24"/>
        </w:rPr>
      </w:pPr>
      <w:r w:rsidRPr="006D223D">
        <w:rPr>
          <w:sz w:val="24"/>
          <w:szCs w:val="24"/>
        </w:rPr>
        <w:t>Municipal leaders need a better understanding of the role of local public health</w:t>
      </w:r>
    </w:p>
    <w:p w:rsidR="00DA400A" w:rsidRPr="006D223D" w:rsidRDefault="00DA400A" w:rsidP="002352EC">
      <w:pPr>
        <w:pStyle w:val="ListParagraph"/>
        <w:numPr>
          <w:ilvl w:val="0"/>
          <w:numId w:val="5"/>
        </w:numPr>
        <w:contextualSpacing/>
        <w:rPr>
          <w:sz w:val="24"/>
          <w:szCs w:val="24"/>
        </w:rPr>
      </w:pPr>
      <w:r w:rsidRPr="006D223D">
        <w:rPr>
          <w:sz w:val="24"/>
          <w:szCs w:val="24"/>
        </w:rPr>
        <w:t>Board of health members are often volunteers with many responsibilities and no compensation, support, or recognition</w:t>
      </w:r>
    </w:p>
    <w:p w:rsidR="00DA400A" w:rsidRPr="006D223D" w:rsidRDefault="00DA400A" w:rsidP="002352EC">
      <w:pPr>
        <w:pStyle w:val="ListParagraph"/>
        <w:numPr>
          <w:ilvl w:val="0"/>
          <w:numId w:val="5"/>
        </w:numPr>
        <w:contextualSpacing/>
        <w:rPr>
          <w:sz w:val="24"/>
          <w:szCs w:val="24"/>
        </w:rPr>
      </w:pPr>
      <w:r w:rsidRPr="006D223D">
        <w:rPr>
          <w:sz w:val="24"/>
          <w:szCs w:val="24"/>
        </w:rPr>
        <w:t xml:space="preserve">It is inconceivable that Massachusetts still has health departments that do not meet the national standards; access to good public health services should be equitable across the state </w:t>
      </w:r>
    </w:p>
    <w:p w:rsidR="00DA400A" w:rsidRPr="006D223D" w:rsidRDefault="00DA400A" w:rsidP="002352EC">
      <w:pPr>
        <w:pStyle w:val="ListParagraph"/>
        <w:numPr>
          <w:ilvl w:val="0"/>
          <w:numId w:val="5"/>
        </w:numPr>
        <w:contextualSpacing/>
        <w:rPr>
          <w:sz w:val="24"/>
          <w:szCs w:val="24"/>
        </w:rPr>
      </w:pPr>
      <w:r w:rsidRPr="006D223D">
        <w:rPr>
          <w:sz w:val="24"/>
          <w:szCs w:val="24"/>
        </w:rPr>
        <w:t>Need for strong administration and oversight to ensure implementation of recommendations</w:t>
      </w:r>
    </w:p>
    <w:p w:rsidR="00DA400A" w:rsidRPr="006D223D" w:rsidRDefault="00DA400A" w:rsidP="002352EC">
      <w:pPr>
        <w:pStyle w:val="ListParagraph"/>
        <w:numPr>
          <w:ilvl w:val="0"/>
          <w:numId w:val="5"/>
        </w:numPr>
        <w:contextualSpacing/>
        <w:rPr>
          <w:sz w:val="24"/>
          <w:szCs w:val="24"/>
        </w:rPr>
      </w:pPr>
      <w:r w:rsidRPr="006D223D">
        <w:rPr>
          <w:sz w:val="24"/>
          <w:szCs w:val="24"/>
        </w:rPr>
        <w:t>Final report needs to make a dramatic, attention-getting case (without singling out communities) for the need to increase support for local health</w:t>
      </w:r>
    </w:p>
    <w:p w:rsidR="00DA400A" w:rsidRPr="006D223D" w:rsidRDefault="00DA400A" w:rsidP="002352EC">
      <w:pPr>
        <w:pStyle w:val="ListParagraph"/>
        <w:numPr>
          <w:ilvl w:val="0"/>
          <w:numId w:val="5"/>
        </w:numPr>
        <w:contextualSpacing/>
        <w:rPr>
          <w:sz w:val="24"/>
          <w:szCs w:val="24"/>
        </w:rPr>
      </w:pPr>
      <w:r w:rsidRPr="006D223D">
        <w:rPr>
          <w:sz w:val="24"/>
          <w:szCs w:val="24"/>
        </w:rPr>
        <w:t xml:space="preserve">A representative of a public health district noted that the Commonwealth needs to be part of partnerships among local public health authorities within districts. Local BOH are the boots on the ground and early warning system for the Commonwealth. They provide cutting edge and innovative approaches to dealing with public health issues.  </w:t>
      </w:r>
    </w:p>
    <w:p w:rsidR="00DA400A" w:rsidRPr="006D223D" w:rsidRDefault="00DA400A" w:rsidP="002352EC">
      <w:pPr>
        <w:pStyle w:val="ListParagraph"/>
        <w:numPr>
          <w:ilvl w:val="0"/>
          <w:numId w:val="5"/>
        </w:numPr>
        <w:contextualSpacing/>
        <w:rPr>
          <w:sz w:val="24"/>
          <w:szCs w:val="24"/>
        </w:rPr>
      </w:pPr>
      <w:r w:rsidRPr="006D223D">
        <w:rPr>
          <w:sz w:val="24"/>
          <w:szCs w:val="24"/>
        </w:rPr>
        <w:t>DPH regional health offices are needed to provide support to local public health – the DPH regional staff provide critical support (Community Sanitation Program, lead, tuberculosis control, etc.) at the community level in the regions</w:t>
      </w:r>
      <w:proofErr w:type="gramStart"/>
      <w:r w:rsidRPr="006D223D">
        <w:rPr>
          <w:sz w:val="24"/>
          <w:szCs w:val="24"/>
        </w:rPr>
        <w:t xml:space="preserve">.  </w:t>
      </w:r>
      <w:proofErr w:type="gramEnd"/>
      <w:r w:rsidRPr="006D223D">
        <w:rPr>
          <w:sz w:val="24"/>
          <w:szCs w:val="24"/>
        </w:rPr>
        <w:t>DPH should be less Boston-centric</w:t>
      </w:r>
      <w:proofErr w:type="gramStart"/>
      <w:r w:rsidRPr="006D223D">
        <w:rPr>
          <w:sz w:val="24"/>
          <w:szCs w:val="24"/>
        </w:rPr>
        <w:t xml:space="preserve">.  </w:t>
      </w:r>
      <w:proofErr w:type="gramEnd"/>
      <w:r w:rsidRPr="006D223D">
        <w:rPr>
          <w:sz w:val="24"/>
          <w:szCs w:val="24"/>
        </w:rPr>
        <w:t xml:space="preserve">Understand the unique needs of communities and regions and provide needed support. </w:t>
      </w:r>
    </w:p>
    <w:p w:rsidR="00DA400A" w:rsidRPr="006D223D" w:rsidRDefault="00DA400A" w:rsidP="002352EC">
      <w:pPr>
        <w:pStyle w:val="ListParagraph"/>
        <w:numPr>
          <w:ilvl w:val="0"/>
          <w:numId w:val="5"/>
        </w:numPr>
        <w:contextualSpacing/>
        <w:rPr>
          <w:sz w:val="24"/>
          <w:szCs w:val="24"/>
        </w:rPr>
      </w:pPr>
      <w:r w:rsidRPr="006D223D">
        <w:rPr>
          <w:sz w:val="24"/>
          <w:szCs w:val="24"/>
        </w:rPr>
        <w:t xml:space="preserve">Massachusetts Department of Environmental Protection (DEP) and Massachusetts Department of Agricultural Resources (MDAR) need to be actively involved in discussion about the future of local public health. Local BOHs work with animal control and nuisances that involve working with and obtaining support from not only DPH but also DEP and MDAR.  </w:t>
      </w:r>
    </w:p>
    <w:p w:rsidR="00DA400A" w:rsidRDefault="00DA400A" w:rsidP="00DA400A">
      <w:pPr>
        <w:rPr>
          <w:b/>
          <w:sz w:val="24"/>
          <w:szCs w:val="24"/>
        </w:rPr>
      </w:pPr>
    </w:p>
    <w:p w:rsidR="00DA400A" w:rsidRDefault="00DA400A" w:rsidP="00DA400A">
      <w:pPr>
        <w:rPr>
          <w:sz w:val="24"/>
          <w:szCs w:val="24"/>
        </w:rPr>
      </w:pPr>
      <w:r>
        <w:rPr>
          <w:sz w:val="24"/>
          <w:szCs w:val="24"/>
        </w:rPr>
        <w:t xml:space="preserve">Most of the comments received on the status report focused on the </w:t>
      </w:r>
      <w:r w:rsidRPr="001274B2">
        <w:rPr>
          <w:sz w:val="24"/>
          <w:szCs w:val="24"/>
        </w:rPr>
        <w:t>workforce standards as set forth in the Workforce Credentials Subcommittee recommendations.</w:t>
      </w:r>
      <w:r>
        <w:rPr>
          <w:sz w:val="24"/>
          <w:szCs w:val="24"/>
        </w:rPr>
        <w:t xml:space="preserve"> Given the relative depth and breadth of the comments, this document provides considerably more comments received on workforce credentials than on other dimensions of the Commission’s work. </w:t>
      </w:r>
    </w:p>
    <w:p w:rsidR="001C30FF" w:rsidRDefault="001C30FF" w:rsidP="00DA400A">
      <w:pPr>
        <w:rPr>
          <w:sz w:val="24"/>
          <w:szCs w:val="24"/>
        </w:rPr>
      </w:pPr>
    </w:p>
    <w:tbl>
      <w:tblPr>
        <w:tblStyle w:val="TableGrid"/>
        <w:tblW w:w="0" w:type="auto"/>
        <w:tblLook w:val="04A0" w:firstRow="1" w:lastRow="0" w:firstColumn="1" w:lastColumn="0" w:noHBand="0" w:noVBand="1"/>
      </w:tblPr>
      <w:tblGrid>
        <w:gridCol w:w="9576"/>
      </w:tblGrid>
      <w:tr w:rsidR="001C30FF" w:rsidRPr="00A82584" w:rsidTr="00A00F3F">
        <w:trPr>
          <w:trHeight w:val="576"/>
        </w:trPr>
        <w:tc>
          <w:tcPr>
            <w:tcW w:w="9576" w:type="dxa"/>
            <w:shd w:val="clear" w:color="auto" w:fill="92CDDC" w:themeFill="accent5" w:themeFillTint="99"/>
            <w:vAlign w:val="center"/>
          </w:tcPr>
          <w:p w:rsidR="001C30FF" w:rsidRPr="00263F56" w:rsidRDefault="001C30FF" w:rsidP="00A00F3F">
            <w:pPr>
              <w:rPr>
                <w:b/>
                <w:sz w:val="28"/>
                <w:szCs w:val="24"/>
              </w:rPr>
            </w:pPr>
            <w:r w:rsidRPr="00263F56">
              <w:rPr>
                <w:b/>
                <w:sz w:val="28"/>
                <w:szCs w:val="24"/>
              </w:rPr>
              <w:t>National Standards</w:t>
            </w:r>
          </w:p>
        </w:tc>
      </w:tr>
    </w:tbl>
    <w:p w:rsidR="001C30FF" w:rsidRDefault="001C30FF" w:rsidP="001C30FF">
      <w:pPr>
        <w:rPr>
          <w:sz w:val="24"/>
          <w:szCs w:val="24"/>
        </w:rPr>
      </w:pPr>
    </w:p>
    <w:p w:rsidR="001C30FF" w:rsidRDefault="001C30FF" w:rsidP="001C30FF">
      <w:pPr>
        <w:rPr>
          <w:sz w:val="24"/>
          <w:szCs w:val="24"/>
        </w:rPr>
      </w:pPr>
      <w:r w:rsidRPr="006D223D">
        <w:rPr>
          <w:sz w:val="24"/>
          <w:szCs w:val="24"/>
        </w:rPr>
        <w:t xml:space="preserve">Comments stressed the importance of building capacity to provide the Ten Essential Public Health Services (EPHS). There was an acknowledgement that small communities need to move beyond statutory responsibilities to provide environmental health services and communicable disease surveillance in order to provide community health services. However, boards of health in small communities are particularly challenged in providing EPHS given limited capacity to meet statutory duties and responsibilities. One person commented that the capacity to deliver EPHS is a “necessity” for larger communities. </w:t>
      </w:r>
    </w:p>
    <w:p w:rsidR="001C30FF" w:rsidRPr="006D223D" w:rsidRDefault="001C30FF" w:rsidP="00DA400A">
      <w:pPr>
        <w:rPr>
          <w:b/>
          <w:sz w:val="24"/>
          <w:szCs w:val="24"/>
        </w:rPr>
      </w:pPr>
    </w:p>
    <w:tbl>
      <w:tblPr>
        <w:tblStyle w:val="TableGrid"/>
        <w:tblW w:w="0" w:type="auto"/>
        <w:tblLook w:val="04A0" w:firstRow="1" w:lastRow="0" w:firstColumn="1" w:lastColumn="0" w:noHBand="0" w:noVBand="1"/>
      </w:tblPr>
      <w:tblGrid>
        <w:gridCol w:w="9576"/>
      </w:tblGrid>
      <w:tr w:rsidR="00DA400A" w:rsidRPr="00A82584" w:rsidTr="00DA400A">
        <w:trPr>
          <w:trHeight w:val="576"/>
        </w:trPr>
        <w:tc>
          <w:tcPr>
            <w:tcW w:w="9576" w:type="dxa"/>
            <w:shd w:val="clear" w:color="auto" w:fill="B2A1C7" w:themeFill="accent4" w:themeFillTint="99"/>
            <w:vAlign w:val="center"/>
          </w:tcPr>
          <w:p w:rsidR="00DA400A" w:rsidRPr="00263F56" w:rsidRDefault="00DA400A" w:rsidP="00DA400A">
            <w:pPr>
              <w:rPr>
                <w:b/>
                <w:sz w:val="28"/>
                <w:szCs w:val="24"/>
              </w:rPr>
            </w:pPr>
            <w:r w:rsidRPr="00263F56">
              <w:rPr>
                <w:b/>
                <w:sz w:val="28"/>
                <w:szCs w:val="24"/>
              </w:rPr>
              <w:t>Workforce Credentials</w:t>
            </w:r>
          </w:p>
        </w:tc>
      </w:tr>
    </w:tbl>
    <w:p w:rsidR="00DA400A" w:rsidRPr="006D223D" w:rsidRDefault="00DA400A" w:rsidP="00DA400A">
      <w:pPr>
        <w:rPr>
          <w:sz w:val="24"/>
          <w:szCs w:val="24"/>
        </w:rPr>
      </w:pPr>
    </w:p>
    <w:p w:rsidR="00DA400A" w:rsidRDefault="00DA400A" w:rsidP="00DA400A">
      <w:pPr>
        <w:rPr>
          <w:b/>
          <w:i/>
          <w:sz w:val="24"/>
          <w:szCs w:val="24"/>
        </w:rPr>
      </w:pPr>
      <w:r w:rsidRPr="006D223D">
        <w:rPr>
          <w:b/>
          <w:sz w:val="24"/>
          <w:szCs w:val="24"/>
        </w:rPr>
        <w:t>Summary</w:t>
      </w:r>
    </w:p>
    <w:p w:rsidR="00DA400A" w:rsidRPr="006D223D" w:rsidRDefault="00DA400A" w:rsidP="00DA400A">
      <w:pPr>
        <w:rPr>
          <w:b/>
          <w:i/>
          <w:sz w:val="24"/>
          <w:szCs w:val="24"/>
        </w:rPr>
      </w:pPr>
      <w:r w:rsidRPr="006D223D">
        <w:rPr>
          <w:sz w:val="24"/>
          <w:szCs w:val="24"/>
        </w:rPr>
        <w:t xml:space="preserve">While there was general support for the recommendations, there were narrow differences of opinion on the specificity of some of the recommended experience, training, and credentials. </w:t>
      </w:r>
      <w:r w:rsidRPr="006D223D">
        <w:rPr>
          <w:sz w:val="24"/>
          <w:szCs w:val="24"/>
        </w:rPr>
        <w:lastRenderedPageBreak/>
        <w:t>Some the concerns focused the possible impact of instituting the recommendations, such as reducing the workforce pipeline and pool versus disagreement with the actual recommendations.</w:t>
      </w:r>
    </w:p>
    <w:p w:rsidR="00DA400A" w:rsidRPr="006D223D" w:rsidRDefault="00DA400A" w:rsidP="00DA400A">
      <w:pPr>
        <w:rPr>
          <w:sz w:val="24"/>
          <w:szCs w:val="24"/>
        </w:rPr>
      </w:pPr>
    </w:p>
    <w:p w:rsidR="00DA400A" w:rsidRPr="006D223D" w:rsidRDefault="00DA400A" w:rsidP="002352EC">
      <w:pPr>
        <w:pStyle w:val="ListParagraph"/>
        <w:numPr>
          <w:ilvl w:val="0"/>
          <w:numId w:val="2"/>
        </w:numPr>
        <w:ind w:left="360"/>
        <w:contextualSpacing/>
        <w:rPr>
          <w:sz w:val="24"/>
          <w:szCs w:val="24"/>
        </w:rPr>
      </w:pPr>
      <w:r w:rsidRPr="006D223D">
        <w:rPr>
          <w:sz w:val="24"/>
          <w:szCs w:val="24"/>
        </w:rPr>
        <w:t>There were recommendations that the core staff be better defined.</w:t>
      </w:r>
    </w:p>
    <w:p w:rsidR="00DA400A" w:rsidRPr="006D223D" w:rsidRDefault="00DA400A" w:rsidP="002352EC">
      <w:pPr>
        <w:pStyle w:val="ListParagraph"/>
        <w:numPr>
          <w:ilvl w:val="0"/>
          <w:numId w:val="2"/>
        </w:numPr>
        <w:ind w:left="360"/>
        <w:contextualSpacing/>
        <w:rPr>
          <w:sz w:val="24"/>
          <w:szCs w:val="24"/>
        </w:rPr>
      </w:pPr>
      <w:r w:rsidRPr="006D223D">
        <w:rPr>
          <w:sz w:val="24"/>
          <w:szCs w:val="24"/>
        </w:rPr>
        <w:t xml:space="preserve">There was some disagreement regarding the need for </w:t>
      </w:r>
      <w:r>
        <w:rPr>
          <w:sz w:val="24"/>
          <w:szCs w:val="24"/>
        </w:rPr>
        <w:t xml:space="preserve">the </w:t>
      </w:r>
      <w:r w:rsidRPr="006D223D">
        <w:rPr>
          <w:sz w:val="24"/>
          <w:szCs w:val="24"/>
        </w:rPr>
        <w:t xml:space="preserve">Registered Sanitarian (RS) </w:t>
      </w:r>
      <w:r>
        <w:rPr>
          <w:sz w:val="24"/>
          <w:szCs w:val="24"/>
        </w:rPr>
        <w:t xml:space="preserve">credential </w:t>
      </w:r>
      <w:r w:rsidRPr="006D223D">
        <w:rPr>
          <w:sz w:val="24"/>
          <w:szCs w:val="24"/>
        </w:rPr>
        <w:t>for the Management/Health Agent and a majority of comments that a MPH/MPHN should be required.</w:t>
      </w:r>
    </w:p>
    <w:p w:rsidR="00DA400A" w:rsidRPr="006D223D" w:rsidRDefault="00DA400A" w:rsidP="002352EC">
      <w:pPr>
        <w:pStyle w:val="ListParagraph"/>
        <w:numPr>
          <w:ilvl w:val="0"/>
          <w:numId w:val="2"/>
        </w:numPr>
        <w:ind w:left="360"/>
        <w:contextualSpacing/>
        <w:rPr>
          <w:sz w:val="24"/>
          <w:szCs w:val="24"/>
        </w:rPr>
      </w:pPr>
      <w:r w:rsidRPr="006D223D">
        <w:rPr>
          <w:sz w:val="24"/>
          <w:szCs w:val="24"/>
        </w:rPr>
        <w:t xml:space="preserve">A majority of comments supported the requirement of RN and BSN/BA </w:t>
      </w:r>
      <w:r>
        <w:rPr>
          <w:sz w:val="24"/>
          <w:szCs w:val="24"/>
        </w:rPr>
        <w:t xml:space="preserve">credential </w:t>
      </w:r>
      <w:r w:rsidRPr="006D223D">
        <w:rPr>
          <w:sz w:val="24"/>
          <w:szCs w:val="24"/>
        </w:rPr>
        <w:t>for public heal</w:t>
      </w:r>
      <w:r>
        <w:rPr>
          <w:sz w:val="24"/>
          <w:szCs w:val="24"/>
        </w:rPr>
        <w:t>th nurses.</w:t>
      </w:r>
    </w:p>
    <w:p w:rsidR="00DA400A" w:rsidRDefault="00DA400A" w:rsidP="002352EC">
      <w:pPr>
        <w:pStyle w:val="ListParagraph"/>
        <w:numPr>
          <w:ilvl w:val="0"/>
          <w:numId w:val="2"/>
        </w:numPr>
        <w:ind w:left="360"/>
        <w:contextualSpacing/>
        <w:rPr>
          <w:sz w:val="24"/>
          <w:szCs w:val="24"/>
        </w:rPr>
      </w:pPr>
      <w:r w:rsidRPr="006D223D">
        <w:rPr>
          <w:sz w:val="24"/>
          <w:szCs w:val="24"/>
        </w:rPr>
        <w:t>There was a notable difference i</w:t>
      </w:r>
      <w:r>
        <w:rPr>
          <w:sz w:val="24"/>
          <w:szCs w:val="24"/>
        </w:rPr>
        <w:t xml:space="preserve">n comments between rural and </w:t>
      </w:r>
      <w:r w:rsidRPr="006D223D">
        <w:rPr>
          <w:sz w:val="24"/>
          <w:szCs w:val="24"/>
        </w:rPr>
        <w:t xml:space="preserve">urban communities regarding staff type and credentialing.  </w:t>
      </w:r>
    </w:p>
    <w:p w:rsidR="00DA400A" w:rsidRDefault="00DA400A" w:rsidP="002352EC">
      <w:pPr>
        <w:pStyle w:val="ListParagraph"/>
        <w:numPr>
          <w:ilvl w:val="1"/>
          <w:numId w:val="2"/>
        </w:numPr>
        <w:contextualSpacing/>
        <w:rPr>
          <w:sz w:val="24"/>
          <w:szCs w:val="24"/>
        </w:rPr>
      </w:pPr>
      <w:r w:rsidRPr="006D223D">
        <w:rPr>
          <w:sz w:val="24"/>
          <w:szCs w:val="24"/>
        </w:rPr>
        <w:t>Rural towns were more apt to support the need for ma</w:t>
      </w:r>
      <w:r>
        <w:rPr>
          <w:sz w:val="24"/>
          <w:szCs w:val="24"/>
        </w:rPr>
        <w:t>nagement skills that encompass public health/environmental health</w:t>
      </w:r>
      <w:r w:rsidRPr="006D223D">
        <w:rPr>
          <w:sz w:val="24"/>
          <w:szCs w:val="24"/>
        </w:rPr>
        <w:t xml:space="preserve"> (RS) and a need for </w:t>
      </w:r>
      <w:r>
        <w:rPr>
          <w:sz w:val="24"/>
          <w:szCs w:val="24"/>
        </w:rPr>
        <w:t xml:space="preserve">a </w:t>
      </w:r>
      <w:r w:rsidRPr="006D223D">
        <w:rPr>
          <w:sz w:val="24"/>
          <w:szCs w:val="24"/>
        </w:rPr>
        <w:t>trained and credenti</w:t>
      </w:r>
      <w:r>
        <w:rPr>
          <w:sz w:val="24"/>
          <w:szCs w:val="24"/>
        </w:rPr>
        <w:t xml:space="preserve">aled health agent and nurse. However, rural communities also raised </w:t>
      </w:r>
      <w:r w:rsidRPr="006D223D">
        <w:rPr>
          <w:sz w:val="24"/>
          <w:szCs w:val="24"/>
        </w:rPr>
        <w:t xml:space="preserve">concerns about the lack of feasibility for small towns to recruit, retain, and train such staff.  </w:t>
      </w:r>
    </w:p>
    <w:p w:rsidR="00DA400A" w:rsidRPr="006D223D" w:rsidRDefault="00DA400A" w:rsidP="002352EC">
      <w:pPr>
        <w:pStyle w:val="ListParagraph"/>
        <w:numPr>
          <w:ilvl w:val="1"/>
          <w:numId w:val="2"/>
        </w:numPr>
        <w:contextualSpacing/>
        <w:rPr>
          <w:sz w:val="24"/>
          <w:szCs w:val="24"/>
        </w:rPr>
      </w:pPr>
      <w:r>
        <w:rPr>
          <w:sz w:val="24"/>
          <w:szCs w:val="24"/>
        </w:rPr>
        <w:t>Urban communities</w:t>
      </w:r>
      <w:r w:rsidRPr="006D223D">
        <w:rPr>
          <w:sz w:val="24"/>
          <w:szCs w:val="24"/>
        </w:rPr>
        <w:t xml:space="preserve"> </w:t>
      </w:r>
      <w:r>
        <w:rPr>
          <w:sz w:val="24"/>
          <w:szCs w:val="24"/>
        </w:rPr>
        <w:t xml:space="preserve">conveyed </w:t>
      </w:r>
      <w:r w:rsidRPr="006D223D">
        <w:rPr>
          <w:sz w:val="24"/>
          <w:szCs w:val="24"/>
        </w:rPr>
        <w:t>less of a need to require management positions to have a RS because these larger health departments may have stratifi</w:t>
      </w:r>
      <w:r>
        <w:rPr>
          <w:sz w:val="24"/>
          <w:szCs w:val="24"/>
        </w:rPr>
        <w:t>ed and combined departments. These communities also tended to indicate that</w:t>
      </w:r>
      <w:r w:rsidRPr="006D223D">
        <w:rPr>
          <w:sz w:val="24"/>
          <w:szCs w:val="24"/>
        </w:rPr>
        <w:t xml:space="preserve"> the managem</w:t>
      </w:r>
      <w:r>
        <w:rPr>
          <w:sz w:val="24"/>
          <w:szCs w:val="24"/>
        </w:rPr>
        <w:t>ent position should have full public health</w:t>
      </w:r>
      <w:r w:rsidRPr="006D223D">
        <w:rPr>
          <w:sz w:val="24"/>
          <w:szCs w:val="24"/>
        </w:rPr>
        <w:t xml:space="preserve"> skills, including leadership, coali</w:t>
      </w:r>
      <w:r>
        <w:rPr>
          <w:sz w:val="24"/>
          <w:szCs w:val="24"/>
        </w:rPr>
        <w:t>tion building, data analysis, human resources</w:t>
      </w:r>
      <w:r w:rsidRPr="006D223D">
        <w:rPr>
          <w:sz w:val="24"/>
          <w:szCs w:val="24"/>
        </w:rPr>
        <w:t xml:space="preserve">, program </w:t>
      </w:r>
      <w:proofErr w:type="gramStart"/>
      <w:r w:rsidRPr="006D223D">
        <w:rPr>
          <w:sz w:val="24"/>
          <w:szCs w:val="24"/>
        </w:rPr>
        <w:t>management</w:t>
      </w:r>
      <w:proofErr w:type="gramEnd"/>
      <w:r w:rsidRPr="006D223D">
        <w:rPr>
          <w:sz w:val="24"/>
          <w:szCs w:val="24"/>
        </w:rPr>
        <w:t xml:space="preserve"> and grant writing.</w:t>
      </w:r>
    </w:p>
    <w:p w:rsidR="00DA400A" w:rsidRPr="006D223D" w:rsidRDefault="00DA400A" w:rsidP="002352EC">
      <w:pPr>
        <w:pStyle w:val="ListParagraph"/>
        <w:numPr>
          <w:ilvl w:val="0"/>
          <w:numId w:val="2"/>
        </w:numPr>
        <w:ind w:left="360"/>
        <w:contextualSpacing/>
        <w:rPr>
          <w:sz w:val="24"/>
          <w:szCs w:val="24"/>
        </w:rPr>
      </w:pPr>
      <w:r w:rsidRPr="006D223D">
        <w:rPr>
          <w:sz w:val="24"/>
          <w:szCs w:val="24"/>
        </w:rPr>
        <w:t>Comments were strong in emphasizin</w:t>
      </w:r>
      <w:r>
        <w:rPr>
          <w:sz w:val="24"/>
          <w:szCs w:val="24"/>
        </w:rPr>
        <w:t>g the need for the affordable, accessible, relevant, and timely training. C</w:t>
      </w:r>
      <w:r w:rsidRPr="006D223D">
        <w:rPr>
          <w:sz w:val="24"/>
          <w:szCs w:val="24"/>
        </w:rPr>
        <w:t xml:space="preserve">oncern </w:t>
      </w:r>
      <w:r>
        <w:rPr>
          <w:sz w:val="24"/>
          <w:szCs w:val="24"/>
        </w:rPr>
        <w:t xml:space="preserve">was expressed </w:t>
      </w:r>
      <w:r w:rsidRPr="006D223D">
        <w:rPr>
          <w:sz w:val="24"/>
          <w:szCs w:val="24"/>
        </w:rPr>
        <w:t>that mandating these recommendations without infrastru</w:t>
      </w:r>
      <w:r>
        <w:rPr>
          <w:sz w:val="24"/>
          <w:szCs w:val="24"/>
        </w:rPr>
        <w:t>cture, resources, and a phase-</w:t>
      </w:r>
      <w:r w:rsidRPr="006D223D">
        <w:rPr>
          <w:sz w:val="24"/>
          <w:szCs w:val="24"/>
        </w:rPr>
        <w:t xml:space="preserve">in period would </w:t>
      </w:r>
      <w:r>
        <w:rPr>
          <w:sz w:val="24"/>
          <w:szCs w:val="24"/>
        </w:rPr>
        <w:t xml:space="preserve">cause the local public health workforce pool to shrink - </w:t>
      </w:r>
      <w:r w:rsidRPr="006D223D">
        <w:rPr>
          <w:sz w:val="24"/>
          <w:szCs w:val="24"/>
        </w:rPr>
        <w:t>leaving small towns with a heavier burden of not being able to compete for staff</w:t>
      </w:r>
      <w:proofErr w:type="gramStart"/>
      <w:r w:rsidRPr="006D223D">
        <w:rPr>
          <w:sz w:val="24"/>
          <w:szCs w:val="24"/>
        </w:rPr>
        <w:t xml:space="preserve">.  </w:t>
      </w:r>
      <w:proofErr w:type="gramEnd"/>
      <w:r w:rsidRPr="006D223D">
        <w:rPr>
          <w:sz w:val="24"/>
          <w:szCs w:val="24"/>
        </w:rPr>
        <w:t>Comments warned that</w:t>
      </w:r>
      <w:r>
        <w:rPr>
          <w:sz w:val="24"/>
          <w:szCs w:val="24"/>
        </w:rPr>
        <w:t>, if infrastructure and resources are not</w:t>
      </w:r>
      <w:r w:rsidRPr="006D223D">
        <w:rPr>
          <w:sz w:val="24"/>
          <w:szCs w:val="24"/>
        </w:rPr>
        <w:t xml:space="preserve"> included as part of implementation, requirements would exacerbate the current workforce issues</w:t>
      </w:r>
      <w:r>
        <w:rPr>
          <w:sz w:val="24"/>
          <w:szCs w:val="24"/>
        </w:rPr>
        <w:t>.</w:t>
      </w:r>
    </w:p>
    <w:p w:rsidR="00DA400A" w:rsidRPr="006D223D" w:rsidRDefault="00DA400A" w:rsidP="002352EC">
      <w:pPr>
        <w:pStyle w:val="ListParagraph"/>
        <w:numPr>
          <w:ilvl w:val="0"/>
          <w:numId w:val="2"/>
        </w:numPr>
        <w:ind w:left="360"/>
        <w:contextualSpacing/>
        <w:rPr>
          <w:sz w:val="24"/>
          <w:szCs w:val="24"/>
        </w:rPr>
      </w:pPr>
      <w:r w:rsidRPr="006D223D">
        <w:rPr>
          <w:sz w:val="24"/>
          <w:szCs w:val="24"/>
        </w:rPr>
        <w:t>Comments strongly supported having a waiver/”grandfathering” process.</w:t>
      </w:r>
    </w:p>
    <w:p w:rsidR="00DA400A" w:rsidRPr="006D223D" w:rsidRDefault="00DA400A" w:rsidP="002352EC">
      <w:pPr>
        <w:pStyle w:val="ListParagraph"/>
        <w:numPr>
          <w:ilvl w:val="0"/>
          <w:numId w:val="2"/>
        </w:numPr>
        <w:ind w:left="360"/>
        <w:contextualSpacing/>
        <w:rPr>
          <w:sz w:val="24"/>
          <w:szCs w:val="24"/>
        </w:rPr>
      </w:pPr>
      <w:r w:rsidRPr="006D223D">
        <w:rPr>
          <w:sz w:val="24"/>
          <w:szCs w:val="24"/>
        </w:rPr>
        <w:t xml:space="preserve">Consideration with regard to union and existing relevant regulations, such as the credentials of commission staff/commissioner has to be included. </w:t>
      </w:r>
    </w:p>
    <w:p w:rsidR="00DA400A" w:rsidRPr="006D223D" w:rsidRDefault="00DA400A" w:rsidP="002352EC">
      <w:pPr>
        <w:pStyle w:val="ListParagraph"/>
        <w:numPr>
          <w:ilvl w:val="0"/>
          <w:numId w:val="3"/>
        </w:numPr>
        <w:ind w:left="360"/>
        <w:contextualSpacing/>
        <w:rPr>
          <w:sz w:val="24"/>
          <w:szCs w:val="24"/>
        </w:rPr>
      </w:pPr>
      <w:r w:rsidRPr="006D223D">
        <w:rPr>
          <w:sz w:val="24"/>
          <w:szCs w:val="24"/>
        </w:rPr>
        <w:t xml:space="preserve">There </w:t>
      </w:r>
      <w:proofErr w:type="gramStart"/>
      <w:r w:rsidRPr="006D223D">
        <w:rPr>
          <w:sz w:val="24"/>
          <w:szCs w:val="24"/>
        </w:rPr>
        <w:t>was</w:t>
      </w:r>
      <w:proofErr w:type="gramEnd"/>
      <w:r w:rsidRPr="006D223D">
        <w:rPr>
          <w:sz w:val="24"/>
          <w:szCs w:val="24"/>
        </w:rPr>
        <w:t xml:space="preserve"> a large number of comments strongly supporting the need for PHNs as core LPH staff for each town or towns covered by shared services. The comments underlined the critical range of services provided by PHNs, especially disease surveillance </w:t>
      </w:r>
      <w:r>
        <w:rPr>
          <w:sz w:val="24"/>
          <w:szCs w:val="24"/>
        </w:rPr>
        <w:t>and case management, population-</w:t>
      </w:r>
      <w:r w:rsidRPr="006D223D">
        <w:rPr>
          <w:sz w:val="24"/>
          <w:szCs w:val="24"/>
        </w:rPr>
        <w:t>based clinical and health education services, coalition building/community engagement, and emergency response services.</w:t>
      </w:r>
    </w:p>
    <w:p w:rsidR="00DA400A" w:rsidRPr="006D223D" w:rsidRDefault="00DA400A" w:rsidP="00DA400A">
      <w:pPr>
        <w:rPr>
          <w:sz w:val="24"/>
          <w:szCs w:val="24"/>
        </w:rPr>
      </w:pPr>
    </w:p>
    <w:p w:rsidR="00DA400A" w:rsidRDefault="00DA400A" w:rsidP="00DA400A">
      <w:pPr>
        <w:rPr>
          <w:sz w:val="24"/>
          <w:szCs w:val="24"/>
        </w:rPr>
      </w:pPr>
      <w:r>
        <w:rPr>
          <w:sz w:val="24"/>
          <w:szCs w:val="24"/>
        </w:rPr>
        <w:t>A</w:t>
      </w:r>
      <w:r w:rsidRPr="006D223D">
        <w:rPr>
          <w:sz w:val="24"/>
          <w:szCs w:val="24"/>
        </w:rPr>
        <w:t xml:space="preserve"> well-resourced infrastructure that ensures affordability and accessibility of ti</w:t>
      </w:r>
      <w:r>
        <w:rPr>
          <w:sz w:val="24"/>
          <w:szCs w:val="24"/>
        </w:rPr>
        <w:t>mely trainings and has a phased-in process (including a waiver process)</w:t>
      </w:r>
      <w:r w:rsidRPr="006D223D">
        <w:rPr>
          <w:sz w:val="24"/>
          <w:szCs w:val="24"/>
        </w:rPr>
        <w:t xml:space="preserve"> is seen as the only feasible way to achieve the recommendations.  </w:t>
      </w:r>
    </w:p>
    <w:p w:rsidR="001C30FF" w:rsidRDefault="001C30FF" w:rsidP="00DA400A">
      <w:pPr>
        <w:rPr>
          <w:b/>
          <w:sz w:val="24"/>
          <w:szCs w:val="24"/>
        </w:rPr>
      </w:pPr>
    </w:p>
    <w:p w:rsidR="00DA400A" w:rsidRPr="006D223D" w:rsidRDefault="00DA400A" w:rsidP="00DA400A">
      <w:pPr>
        <w:rPr>
          <w:b/>
          <w:sz w:val="24"/>
          <w:szCs w:val="24"/>
        </w:rPr>
      </w:pPr>
      <w:r w:rsidRPr="006D223D">
        <w:rPr>
          <w:b/>
          <w:sz w:val="24"/>
          <w:szCs w:val="24"/>
        </w:rPr>
        <w:t>General Comments on Staffing &amp; Credentialing</w:t>
      </w:r>
    </w:p>
    <w:p w:rsidR="00DA400A" w:rsidRPr="006D223D" w:rsidRDefault="00DA400A" w:rsidP="002352EC">
      <w:pPr>
        <w:pStyle w:val="ListParagraph"/>
        <w:numPr>
          <w:ilvl w:val="0"/>
          <w:numId w:val="4"/>
        </w:numPr>
        <w:contextualSpacing/>
        <w:rPr>
          <w:sz w:val="24"/>
          <w:szCs w:val="24"/>
        </w:rPr>
      </w:pPr>
      <w:r w:rsidRPr="006D223D">
        <w:rPr>
          <w:sz w:val="24"/>
          <w:szCs w:val="24"/>
        </w:rPr>
        <w:t>Several strong statements</w:t>
      </w:r>
      <w:r>
        <w:rPr>
          <w:sz w:val="24"/>
          <w:szCs w:val="24"/>
        </w:rPr>
        <w:t xml:space="preserve"> were made in support of the need for well-</w:t>
      </w:r>
      <w:r w:rsidRPr="006D223D">
        <w:rPr>
          <w:sz w:val="24"/>
          <w:szCs w:val="24"/>
        </w:rPr>
        <w:t xml:space="preserve">trained and credentialed staff as recommended in the </w:t>
      </w:r>
      <w:r>
        <w:rPr>
          <w:sz w:val="24"/>
          <w:szCs w:val="24"/>
        </w:rPr>
        <w:t xml:space="preserve">status </w:t>
      </w:r>
      <w:r w:rsidRPr="006D223D">
        <w:rPr>
          <w:sz w:val="24"/>
          <w:szCs w:val="24"/>
        </w:rPr>
        <w:t>report.</w:t>
      </w:r>
    </w:p>
    <w:p w:rsidR="00DA400A" w:rsidRPr="006D223D" w:rsidRDefault="00DA400A" w:rsidP="002352EC">
      <w:pPr>
        <w:pStyle w:val="ListParagraph"/>
        <w:numPr>
          <w:ilvl w:val="0"/>
          <w:numId w:val="4"/>
        </w:numPr>
        <w:contextualSpacing/>
        <w:rPr>
          <w:sz w:val="24"/>
          <w:szCs w:val="24"/>
        </w:rPr>
      </w:pPr>
      <w:r w:rsidRPr="006D223D">
        <w:rPr>
          <w:sz w:val="24"/>
          <w:szCs w:val="24"/>
        </w:rPr>
        <w:t>Recom</w:t>
      </w:r>
      <w:r>
        <w:rPr>
          <w:sz w:val="24"/>
          <w:szCs w:val="24"/>
        </w:rPr>
        <w:t xml:space="preserve">mendations are long overdue; standards/credentials </w:t>
      </w:r>
      <w:r w:rsidRPr="006D223D">
        <w:rPr>
          <w:sz w:val="24"/>
          <w:szCs w:val="24"/>
        </w:rPr>
        <w:t>exist for other positions such as soil evaluators.</w:t>
      </w:r>
    </w:p>
    <w:p w:rsidR="00DA400A" w:rsidRPr="006D223D" w:rsidRDefault="00DA400A" w:rsidP="002352EC">
      <w:pPr>
        <w:pStyle w:val="ListParagraph"/>
        <w:numPr>
          <w:ilvl w:val="0"/>
          <w:numId w:val="4"/>
        </w:numPr>
        <w:contextualSpacing/>
        <w:rPr>
          <w:sz w:val="24"/>
          <w:szCs w:val="24"/>
        </w:rPr>
      </w:pPr>
      <w:r w:rsidRPr="006D223D">
        <w:rPr>
          <w:sz w:val="24"/>
          <w:szCs w:val="24"/>
        </w:rPr>
        <w:t>Municipalities need to be held accountable for ensuring adequately trained staff.</w:t>
      </w:r>
    </w:p>
    <w:p w:rsidR="00DA400A" w:rsidRPr="006D223D" w:rsidRDefault="00DA400A" w:rsidP="002352EC">
      <w:pPr>
        <w:pStyle w:val="ListParagraph"/>
        <w:numPr>
          <w:ilvl w:val="0"/>
          <w:numId w:val="4"/>
        </w:numPr>
        <w:contextualSpacing/>
        <w:rPr>
          <w:sz w:val="24"/>
          <w:szCs w:val="24"/>
        </w:rPr>
      </w:pPr>
      <w:r w:rsidRPr="006D223D">
        <w:rPr>
          <w:sz w:val="24"/>
          <w:szCs w:val="24"/>
        </w:rPr>
        <w:t xml:space="preserve">Having a </w:t>
      </w:r>
      <w:r>
        <w:rPr>
          <w:sz w:val="24"/>
          <w:szCs w:val="24"/>
        </w:rPr>
        <w:t xml:space="preserve">local public health (LPH) </w:t>
      </w:r>
      <w:r w:rsidRPr="006D223D">
        <w:rPr>
          <w:sz w:val="24"/>
          <w:szCs w:val="24"/>
        </w:rPr>
        <w:t>workforce pipeline is critical - internships to support pipeline are needed and LPH needs to work with academia.</w:t>
      </w:r>
    </w:p>
    <w:p w:rsidR="00DA400A" w:rsidRPr="006D223D" w:rsidRDefault="00DA400A" w:rsidP="002352EC">
      <w:pPr>
        <w:pStyle w:val="ListParagraph"/>
        <w:numPr>
          <w:ilvl w:val="0"/>
          <w:numId w:val="4"/>
        </w:numPr>
        <w:contextualSpacing/>
        <w:rPr>
          <w:sz w:val="24"/>
          <w:szCs w:val="24"/>
        </w:rPr>
      </w:pPr>
      <w:r w:rsidRPr="006D223D">
        <w:rPr>
          <w:sz w:val="24"/>
          <w:szCs w:val="24"/>
        </w:rPr>
        <w:t>Need competitive salaries for recruitment and retention.</w:t>
      </w:r>
    </w:p>
    <w:p w:rsidR="00DA400A" w:rsidRPr="006D223D" w:rsidRDefault="00DA400A" w:rsidP="002352EC">
      <w:pPr>
        <w:pStyle w:val="ListParagraph"/>
        <w:numPr>
          <w:ilvl w:val="0"/>
          <w:numId w:val="4"/>
        </w:numPr>
        <w:contextualSpacing/>
        <w:rPr>
          <w:sz w:val="24"/>
          <w:szCs w:val="24"/>
        </w:rPr>
      </w:pPr>
      <w:r w:rsidRPr="006D223D">
        <w:rPr>
          <w:sz w:val="24"/>
          <w:szCs w:val="24"/>
        </w:rPr>
        <w:t xml:space="preserve">Requirements are a burden on/not realistic for small towns – </w:t>
      </w:r>
      <w:r>
        <w:rPr>
          <w:sz w:val="24"/>
          <w:szCs w:val="24"/>
        </w:rPr>
        <w:t xml:space="preserve">limited budgets make it </w:t>
      </w:r>
      <w:r w:rsidRPr="006D223D">
        <w:rPr>
          <w:sz w:val="24"/>
          <w:szCs w:val="24"/>
        </w:rPr>
        <w:t>difficult to compete with larger or more resourced towns/cities for hiring staff and providing training benefits.</w:t>
      </w:r>
    </w:p>
    <w:p w:rsidR="00DA400A" w:rsidRPr="006D223D" w:rsidRDefault="00DA400A" w:rsidP="002352EC">
      <w:pPr>
        <w:pStyle w:val="ListParagraph"/>
        <w:numPr>
          <w:ilvl w:val="0"/>
          <w:numId w:val="4"/>
        </w:numPr>
        <w:contextualSpacing/>
        <w:rPr>
          <w:sz w:val="24"/>
          <w:szCs w:val="24"/>
        </w:rPr>
      </w:pPr>
      <w:r w:rsidRPr="006D223D">
        <w:rPr>
          <w:sz w:val="24"/>
          <w:szCs w:val="24"/>
        </w:rPr>
        <w:t xml:space="preserve">Should mandate </w:t>
      </w:r>
      <w:r>
        <w:rPr>
          <w:sz w:val="24"/>
          <w:szCs w:val="24"/>
        </w:rPr>
        <w:t xml:space="preserve">standards/credentials </w:t>
      </w:r>
      <w:r w:rsidRPr="006D223D">
        <w:rPr>
          <w:sz w:val="24"/>
          <w:szCs w:val="24"/>
        </w:rPr>
        <w:t>– provides support to pushing towns/unions to incorporate in job descriptions.</w:t>
      </w:r>
    </w:p>
    <w:p w:rsidR="00DA400A" w:rsidRPr="006D223D" w:rsidRDefault="00DA400A" w:rsidP="002352EC">
      <w:pPr>
        <w:pStyle w:val="ListParagraph"/>
        <w:numPr>
          <w:ilvl w:val="0"/>
          <w:numId w:val="4"/>
        </w:numPr>
        <w:contextualSpacing/>
        <w:rPr>
          <w:sz w:val="24"/>
          <w:szCs w:val="24"/>
        </w:rPr>
      </w:pPr>
      <w:r w:rsidRPr="006D223D">
        <w:rPr>
          <w:sz w:val="24"/>
          <w:szCs w:val="24"/>
        </w:rPr>
        <w:t>Need to look at broader roles</w:t>
      </w:r>
      <w:r>
        <w:rPr>
          <w:sz w:val="24"/>
          <w:szCs w:val="24"/>
        </w:rPr>
        <w:t xml:space="preserve"> of LPH – </w:t>
      </w:r>
      <w:r w:rsidRPr="006D223D">
        <w:rPr>
          <w:sz w:val="24"/>
          <w:szCs w:val="24"/>
        </w:rPr>
        <w:t>often in large towns</w:t>
      </w:r>
      <w:r>
        <w:rPr>
          <w:sz w:val="24"/>
          <w:szCs w:val="24"/>
        </w:rPr>
        <w:t>,</w:t>
      </w:r>
      <w:r w:rsidRPr="006D223D">
        <w:rPr>
          <w:sz w:val="24"/>
          <w:szCs w:val="24"/>
        </w:rPr>
        <w:t xml:space="preserve"> </w:t>
      </w:r>
      <w:r>
        <w:rPr>
          <w:sz w:val="24"/>
          <w:szCs w:val="24"/>
        </w:rPr>
        <w:t xml:space="preserve">health </w:t>
      </w:r>
      <w:r w:rsidRPr="006D223D">
        <w:rPr>
          <w:sz w:val="24"/>
          <w:szCs w:val="24"/>
        </w:rPr>
        <w:t xml:space="preserve">directors have dual roles, such as director of </w:t>
      </w:r>
      <w:proofErr w:type="gramStart"/>
      <w:r w:rsidRPr="006D223D">
        <w:rPr>
          <w:sz w:val="24"/>
          <w:szCs w:val="24"/>
        </w:rPr>
        <w:t>development</w:t>
      </w:r>
      <w:proofErr w:type="gramEnd"/>
      <w:r w:rsidRPr="006D223D">
        <w:rPr>
          <w:sz w:val="24"/>
          <w:szCs w:val="24"/>
        </w:rPr>
        <w:t xml:space="preserve"> and inspectional services and some towns have high level managers that oversee public health and non-public health services.</w:t>
      </w:r>
    </w:p>
    <w:p w:rsidR="00DA400A" w:rsidRPr="006D223D" w:rsidRDefault="00DA400A" w:rsidP="002352EC">
      <w:pPr>
        <w:pStyle w:val="ListParagraph"/>
        <w:numPr>
          <w:ilvl w:val="0"/>
          <w:numId w:val="4"/>
        </w:numPr>
        <w:contextualSpacing/>
        <w:rPr>
          <w:sz w:val="24"/>
          <w:szCs w:val="24"/>
        </w:rPr>
      </w:pPr>
      <w:r w:rsidRPr="006D223D">
        <w:rPr>
          <w:sz w:val="24"/>
          <w:szCs w:val="24"/>
        </w:rPr>
        <w:t>If town budgets are limited</w:t>
      </w:r>
      <w:r>
        <w:rPr>
          <w:sz w:val="24"/>
          <w:szCs w:val="24"/>
        </w:rPr>
        <w:t>,</w:t>
      </w:r>
      <w:r w:rsidRPr="006D223D">
        <w:rPr>
          <w:sz w:val="24"/>
          <w:szCs w:val="24"/>
        </w:rPr>
        <w:t xml:space="preserve"> prioritize the hiring of </w:t>
      </w:r>
      <w:r>
        <w:rPr>
          <w:sz w:val="24"/>
          <w:szCs w:val="24"/>
        </w:rPr>
        <w:t>public health nurses (</w:t>
      </w:r>
      <w:r w:rsidRPr="006D223D">
        <w:rPr>
          <w:sz w:val="24"/>
          <w:szCs w:val="24"/>
        </w:rPr>
        <w:t>PHN</w:t>
      </w:r>
      <w:r>
        <w:rPr>
          <w:sz w:val="24"/>
          <w:szCs w:val="24"/>
        </w:rPr>
        <w:t>)</w:t>
      </w:r>
      <w:r w:rsidRPr="006D223D">
        <w:rPr>
          <w:sz w:val="24"/>
          <w:szCs w:val="24"/>
        </w:rPr>
        <w:t xml:space="preserve"> and </w:t>
      </w:r>
      <w:r>
        <w:rPr>
          <w:sz w:val="24"/>
          <w:szCs w:val="24"/>
        </w:rPr>
        <w:t>health agents (</w:t>
      </w:r>
      <w:r w:rsidRPr="006D223D">
        <w:rPr>
          <w:sz w:val="24"/>
          <w:szCs w:val="24"/>
        </w:rPr>
        <w:t>HA</w:t>
      </w:r>
      <w:r>
        <w:rPr>
          <w:sz w:val="24"/>
          <w:szCs w:val="24"/>
        </w:rPr>
        <w:t>)</w:t>
      </w:r>
      <w:r w:rsidRPr="006D223D">
        <w:rPr>
          <w:sz w:val="24"/>
          <w:szCs w:val="24"/>
        </w:rPr>
        <w:t>.</w:t>
      </w:r>
    </w:p>
    <w:p w:rsidR="00DA400A" w:rsidRPr="006D223D" w:rsidRDefault="00DA400A" w:rsidP="002352EC">
      <w:pPr>
        <w:pStyle w:val="ListParagraph"/>
        <w:numPr>
          <w:ilvl w:val="0"/>
          <w:numId w:val="4"/>
        </w:numPr>
        <w:contextualSpacing/>
        <w:rPr>
          <w:sz w:val="24"/>
          <w:szCs w:val="24"/>
        </w:rPr>
      </w:pPr>
      <w:r w:rsidRPr="006D223D">
        <w:rPr>
          <w:sz w:val="24"/>
          <w:szCs w:val="24"/>
        </w:rPr>
        <w:t xml:space="preserve">Many towns, especially small and rural towns, need staffing with a comprehensive set of skills or </w:t>
      </w:r>
      <w:proofErr w:type="gramStart"/>
      <w:r w:rsidRPr="006D223D">
        <w:rPr>
          <w:sz w:val="24"/>
          <w:szCs w:val="24"/>
        </w:rPr>
        <w:t>be</w:t>
      </w:r>
      <w:proofErr w:type="gramEnd"/>
      <w:r w:rsidRPr="006D223D">
        <w:rPr>
          <w:sz w:val="24"/>
          <w:szCs w:val="24"/>
        </w:rPr>
        <w:t xml:space="preserve"> more innovative in using allied services.</w:t>
      </w:r>
    </w:p>
    <w:p w:rsidR="00DA400A" w:rsidRPr="006D223D" w:rsidRDefault="00DA400A" w:rsidP="002352EC">
      <w:pPr>
        <w:pStyle w:val="ListParagraph"/>
        <w:numPr>
          <w:ilvl w:val="0"/>
          <w:numId w:val="4"/>
        </w:numPr>
        <w:contextualSpacing/>
        <w:rPr>
          <w:sz w:val="24"/>
          <w:szCs w:val="24"/>
        </w:rPr>
      </w:pPr>
      <w:r w:rsidRPr="006D223D">
        <w:rPr>
          <w:sz w:val="24"/>
          <w:szCs w:val="24"/>
        </w:rPr>
        <w:t xml:space="preserve">Caution </w:t>
      </w:r>
      <w:proofErr w:type="gramStart"/>
      <w:r w:rsidRPr="006D223D">
        <w:rPr>
          <w:sz w:val="24"/>
          <w:szCs w:val="24"/>
        </w:rPr>
        <w:t>raised</w:t>
      </w:r>
      <w:proofErr w:type="gramEnd"/>
      <w:r w:rsidRPr="006D223D">
        <w:rPr>
          <w:sz w:val="24"/>
          <w:szCs w:val="24"/>
        </w:rPr>
        <w:t xml:space="preserve"> about unfunded mandates; towns have been promised support in the past from state and that did not come through.</w:t>
      </w:r>
    </w:p>
    <w:p w:rsidR="00DA400A" w:rsidRPr="006D223D" w:rsidRDefault="00DA400A" w:rsidP="002352EC">
      <w:pPr>
        <w:pStyle w:val="ListParagraph"/>
        <w:numPr>
          <w:ilvl w:val="0"/>
          <w:numId w:val="4"/>
        </w:numPr>
        <w:contextualSpacing/>
        <w:rPr>
          <w:sz w:val="24"/>
          <w:szCs w:val="24"/>
        </w:rPr>
      </w:pPr>
      <w:r w:rsidRPr="006D223D">
        <w:rPr>
          <w:sz w:val="24"/>
          <w:szCs w:val="24"/>
        </w:rPr>
        <w:t>Caution raise</w:t>
      </w:r>
      <w:r>
        <w:rPr>
          <w:sz w:val="24"/>
          <w:szCs w:val="24"/>
        </w:rPr>
        <w:t xml:space="preserve">d about recommendations as a </w:t>
      </w:r>
      <w:r w:rsidRPr="006D223D">
        <w:rPr>
          <w:sz w:val="24"/>
          <w:szCs w:val="24"/>
        </w:rPr>
        <w:t xml:space="preserve">barrier </w:t>
      </w:r>
      <w:proofErr w:type="gramStart"/>
      <w:r>
        <w:rPr>
          <w:sz w:val="24"/>
          <w:szCs w:val="24"/>
        </w:rPr>
        <w:t>that results</w:t>
      </w:r>
      <w:proofErr w:type="gramEnd"/>
      <w:r>
        <w:rPr>
          <w:sz w:val="24"/>
          <w:szCs w:val="24"/>
        </w:rPr>
        <w:t xml:space="preserve"> in </w:t>
      </w:r>
      <w:r w:rsidRPr="006D223D">
        <w:rPr>
          <w:sz w:val="24"/>
          <w:szCs w:val="24"/>
        </w:rPr>
        <w:t xml:space="preserve">a shrinkage in the pool </w:t>
      </w:r>
      <w:r>
        <w:rPr>
          <w:sz w:val="24"/>
          <w:szCs w:val="24"/>
        </w:rPr>
        <w:t xml:space="preserve">of available workers </w:t>
      </w:r>
      <w:r w:rsidRPr="006D223D">
        <w:rPr>
          <w:sz w:val="24"/>
          <w:szCs w:val="24"/>
        </w:rPr>
        <w:t>and pipeline, especially for people of color wanting to enter the field.</w:t>
      </w:r>
    </w:p>
    <w:p w:rsidR="00DA400A" w:rsidRPr="006D223D" w:rsidRDefault="00DA400A" w:rsidP="002352EC">
      <w:pPr>
        <w:pStyle w:val="ListParagraph"/>
        <w:numPr>
          <w:ilvl w:val="0"/>
          <w:numId w:val="4"/>
        </w:numPr>
        <w:contextualSpacing/>
        <w:rPr>
          <w:sz w:val="24"/>
          <w:szCs w:val="24"/>
        </w:rPr>
      </w:pPr>
      <w:r w:rsidRPr="006D223D">
        <w:rPr>
          <w:sz w:val="24"/>
          <w:szCs w:val="24"/>
        </w:rPr>
        <w:t>Regionalization seen as ability to provide more opportunity to have comprehensive public health services and services provided by adequately trained and credentialed staff.</w:t>
      </w:r>
    </w:p>
    <w:p w:rsidR="00DA400A" w:rsidRPr="006D223D" w:rsidRDefault="00DA400A" w:rsidP="002352EC">
      <w:pPr>
        <w:pStyle w:val="ListParagraph"/>
        <w:numPr>
          <w:ilvl w:val="0"/>
          <w:numId w:val="4"/>
        </w:numPr>
        <w:contextualSpacing/>
        <w:rPr>
          <w:sz w:val="24"/>
          <w:szCs w:val="24"/>
        </w:rPr>
      </w:pPr>
      <w:r w:rsidRPr="006D223D">
        <w:rPr>
          <w:sz w:val="24"/>
          <w:szCs w:val="24"/>
        </w:rPr>
        <w:t>Standards are overly ambitious and have financial implications – credentialing should be by choice; towns should be able to decide on specific requirements.</w:t>
      </w:r>
    </w:p>
    <w:p w:rsidR="00DA400A" w:rsidRPr="006D223D" w:rsidRDefault="00DA400A" w:rsidP="002352EC">
      <w:pPr>
        <w:pStyle w:val="ListParagraph"/>
        <w:numPr>
          <w:ilvl w:val="0"/>
          <w:numId w:val="4"/>
        </w:numPr>
        <w:contextualSpacing/>
        <w:rPr>
          <w:sz w:val="24"/>
          <w:szCs w:val="24"/>
        </w:rPr>
      </w:pPr>
      <w:r w:rsidRPr="006D223D">
        <w:rPr>
          <w:sz w:val="24"/>
          <w:szCs w:val="24"/>
        </w:rPr>
        <w:t>No instantaneous mandates; requirements should be phased in.</w:t>
      </w:r>
    </w:p>
    <w:p w:rsidR="00DA400A" w:rsidRPr="006D223D" w:rsidRDefault="00DA400A" w:rsidP="002352EC">
      <w:pPr>
        <w:pStyle w:val="ListParagraph"/>
        <w:numPr>
          <w:ilvl w:val="0"/>
          <w:numId w:val="4"/>
        </w:numPr>
        <w:contextualSpacing/>
        <w:rPr>
          <w:sz w:val="24"/>
          <w:szCs w:val="24"/>
        </w:rPr>
      </w:pPr>
      <w:r w:rsidRPr="00F45F2B">
        <w:rPr>
          <w:sz w:val="24"/>
          <w:szCs w:val="24"/>
        </w:rPr>
        <w:t xml:space="preserve">Positions do not always lend </w:t>
      </w:r>
      <w:r>
        <w:rPr>
          <w:sz w:val="24"/>
          <w:szCs w:val="24"/>
        </w:rPr>
        <w:t xml:space="preserve">themselves </w:t>
      </w:r>
      <w:r w:rsidRPr="00F45F2B">
        <w:rPr>
          <w:sz w:val="24"/>
          <w:szCs w:val="24"/>
        </w:rPr>
        <w:t>to being able to access traini</w:t>
      </w:r>
      <w:r>
        <w:rPr>
          <w:sz w:val="24"/>
          <w:szCs w:val="24"/>
        </w:rPr>
        <w:t xml:space="preserve">ng (work outside of 9-5 hours); </w:t>
      </w:r>
      <w:r w:rsidRPr="00F45F2B">
        <w:rPr>
          <w:sz w:val="24"/>
          <w:szCs w:val="24"/>
        </w:rPr>
        <w:t>may not have ability to attend trainings</w:t>
      </w:r>
      <w:r w:rsidRPr="006D223D">
        <w:rPr>
          <w:sz w:val="24"/>
          <w:szCs w:val="24"/>
        </w:rPr>
        <w:t>/educational classes, or have the money to pay for professional development due to low pay or no money from BOH.</w:t>
      </w:r>
    </w:p>
    <w:p w:rsidR="00DA400A" w:rsidRPr="006D223D" w:rsidRDefault="00DA400A" w:rsidP="002352EC">
      <w:pPr>
        <w:pStyle w:val="ListParagraph"/>
        <w:numPr>
          <w:ilvl w:val="0"/>
          <w:numId w:val="4"/>
        </w:numPr>
        <w:contextualSpacing/>
        <w:rPr>
          <w:sz w:val="24"/>
          <w:szCs w:val="24"/>
        </w:rPr>
      </w:pPr>
      <w:r>
        <w:rPr>
          <w:sz w:val="24"/>
          <w:szCs w:val="24"/>
        </w:rPr>
        <w:t xml:space="preserve">Rural communities have unique needs; </w:t>
      </w:r>
      <w:r w:rsidRPr="006D223D">
        <w:rPr>
          <w:sz w:val="24"/>
          <w:szCs w:val="24"/>
        </w:rPr>
        <w:t>may need the core staff with the core skills and credentials defined by the recommendations, but at the same time, these rural representatives express</w:t>
      </w:r>
      <w:r>
        <w:rPr>
          <w:sz w:val="24"/>
          <w:szCs w:val="24"/>
        </w:rPr>
        <w:t>ed</w:t>
      </w:r>
      <w:r w:rsidRPr="006D223D">
        <w:rPr>
          <w:sz w:val="24"/>
          <w:szCs w:val="24"/>
        </w:rPr>
        <w:t xml:space="preserve"> heightened concern about being overly burdened by costs; </w:t>
      </w:r>
      <w:r>
        <w:rPr>
          <w:sz w:val="24"/>
          <w:szCs w:val="24"/>
        </w:rPr>
        <w:t xml:space="preserve">sharing services seen </w:t>
      </w:r>
      <w:r w:rsidRPr="006D223D">
        <w:rPr>
          <w:sz w:val="24"/>
          <w:szCs w:val="24"/>
        </w:rPr>
        <w:t>by some as an option.</w:t>
      </w:r>
    </w:p>
    <w:p w:rsidR="00DA400A" w:rsidRPr="006D223D" w:rsidRDefault="00DA400A" w:rsidP="002352EC">
      <w:pPr>
        <w:pStyle w:val="ListParagraph"/>
        <w:numPr>
          <w:ilvl w:val="0"/>
          <w:numId w:val="4"/>
        </w:numPr>
        <w:contextualSpacing/>
        <w:rPr>
          <w:sz w:val="24"/>
          <w:szCs w:val="24"/>
        </w:rPr>
      </w:pPr>
      <w:r w:rsidRPr="006D223D">
        <w:rPr>
          <w:sz w:val="24"/>
          <w:szCs w:val="24"/>
        </w:rPr>
        <w:t>Workforce definitions need</w:t>
      </w:r>
      <w:r>
        <w:rPr>
          <w:sz w:val="24"/>
          <w:szCs w:val="24"/>
        </w:rPr>
        <w:t xml:space="preserve"> more detail to avoid confusion</w:t>
      </w:r>
      <w:r w:rsidRPr="006D223D">
        <w:rPr>
          <w:sz w:val="24"/>
          <w:szCs w:val="24"/>
        </w:rPr>
        <w:t>.</w:t>
      </w:r>
    </w:p>
    <w:p w:rsidR="00DA400A" w:rsidRPr="006D223D" w:rsidRDefault="00DA400A" w:rsidP="002352EC">
      <w:pPr>
        <w:pStyle w:val="ListParagraph"/>
        <w:numPr>
          <w:ilvl w:val="0"/>
          <w:numId w:val="4"/>
        </w:numPr>
        <w:contextualSpacing/>
        <w:rPr>
          <w:sz w:val="24"/>
          <w:szCs w:val="24"/>
        </w:rPr>
      </w:pPr>
      <w:r w:rsidRPr="006D223D">
        <w:rPr>
          <w:sz w:val="24"/>
          <w:szCs w:val="24"/>
        </w:rPr>
        <w:t>Support the division of local public health into two roles: BOH and LHD. LHD by definition provides all public health services/inspections, even if the sam</w:t>
      </w:r>
      <w:r w:rsidR="003E13DD">
        <w:rPr>
          <w:sz w:val="24"/>
          <w:szCs w:val="24"/>
        </w:rPr>
        <w:t xml:space="preserve">e people who serve as the BOH. </w:t>
      </w:r>
      <w:r w:rsidRPr="006D223D">
        <w:rPr>
          <w:sz w:val="24"/>
          <w:szCs w:val="24"/>
        </w:rPr>
        <w:t>All LHD must meet workforce standards and work towards meeting national and state standards</w:t>
      </w:r>
    </w:p>
    <w:p w:rsidR="00DA400A" w:rsidRPr="006D223D" w:rsidRDefault="00DA400A" w:rsidP="002352EC">
      <w:pPr>
        <w:pStyle w:val="ListParagraph"/>
        <w:numPr>
          <w:ilvl w:val="0"/>
          <w:numId w:val="4"/>
        </w:numPr>
        <w:contextualSpacing/>
        <w:rPr>
          <w:sz w:val="24"/>
          <w:szCs w:val="24"/>
        </w:rPr>
      </w:pPr>
      <w:r w:rsidRPr="006D223D">
        <w:rPr>
          <w:sz w:val="24"/>
          <w:szCs w:val="24"/>
        </w:rPr>
        <w:lastRenderedPageBreak/>
        <w:t xml:space="preserve">A recommendation was made to bring back the </w:t>
      </w:r>
      <w:r>
        <w:rPr>
          <w:sz w:val="24"/>
          <w:szCs w:val="24"/>
        </w:rPr>
        <w:t xml:space="preserve">DPH district </w:t>
      </w:r>
      <w:r w:rsidRPr="006D223D">
        <w:rPr>
          <w:sz w:val="24"/>
          <w:szCs w:val="24"/>
        </w:rPr>
        <w:t>health officers program.</w:t>
      </w:r>
    </w:p>
    <w:p w:rsidR="001C30FF" w:rsidRDefault="001C30FF" w:rsidP="00DA400A">
      <w:pPr>
        <w:rPr>
          <w:b/>
          <w:sz w:val="24"/>
          <w:szCs w:val="24"/>
        </w:rPr>
      </w:pPr>
    </w:p>
    <w:p w:rsidR="00DA400A" w:rsidRPr="006D223D" w:rsidRDefault="00DA400A" w:rsidP="00DA400A">
      <w:pPr>
        <w:rPr>
          <w:b/>
          <w:sz w:val="24"/>
          <w:szCs w:val="24"/>
        </w:rPr>
      </w:pPr>
      <w:r w:rsidRPr="006D223D">
        <w:rPr>
          <w:b/>
          <w:sz w:val="24"/>
          <w:szCs w:val="24"/>
        </w:rPr>
        <w:t>Management/Health Director</w:t>
      </w:r>
    </w:p>
    <w:p w:rsidR="00DA400A" w:rsidRPr="006D223D" w:rsidRDefault="00DA400A" w:rsidP="002352EC">
      <w:pPr>
        <w:pStyle w:val="ListParagraph"/>
        <w:numPr>
          <w:ilvl w:val="0"/>
          <w:numId w:val="9"/>
        </w:numPr>
        <w:contextualSpacing/>
        <w:rPr>
          <w:sz w:val="24"/>
          <w:szCs w:val="24"/>
        </w:rPr>
      </w:pPr>
      <w:r w:rsidRPr="006D223D">
        <w:rPr>
          <w:sz w:val="24"/>
          <w:szCs w:val="24"/>
        </w:rPr>
        <w:t xml:space="preserve">Categories of Management and Management/Health Agent were confusing without definitions for duties; the use </w:t>
      </w:r>
      <w:r>
        <w:rPr>
          <w:sz w:val="24"/>
          <w:szCs w:val="24"/>
        </w:rPr>
        <w:t>of “</w:t>
      </w:r>
      <w:r w:rsidRPr="006D223D">
        <w:rPr>
          <w:i/>
          <w:sz w:val="24"/>
          <w:szCs w:val="24"/>
        </w:rPr>
        <w:t>commissioner</w:t>
      </w:r>
      <w:r>
        <w:rPr>
          <w:i/>
          <w:sz w:val="24"/>
          <w:szCs w:val="24"/>
        </w:rPr>
        <w:t>”</w:t>
      </w:r>
      <w:r w:rsidRPr="006D223D">
        <w:rPr>
          <w:sz w:val="24"/>
          <w:szCs w:val="24"/>
        </w:rPr>
        <w:t xml:space="preserve"> should only be as defined in statute.</w:t>
      </w:r>
    </w:p>
    <w:p w:rsidR="00DA400A" w:rsidRDefault="00DA400A" w:rsidP="002352EC">
      <w:pPr>
        <w:pStyle w:val="ListParagraph"/>
        <w:numPr>
          <w:ilvl w:val="0"/>
          <w:numId w:val="9"/>
        </w:numPr>
        <w:contextualSpacing/>
        <w:rPr>
          <w:sz w:val="24"/>
          <w:szCs w:val="24"/>
        </w:rPr>
      </w:pPr>
      <w:r>
        <w:rPr>
          <w:sz w:val="24"/>
          <w:szCs w:val="24"/>
        </w:rPr>
        <w:t xml:space="preserve">Consider legislation to allow local health directors/health agents to have a three-year contract. This measure would be consistent with contracts for other positions in town government (e.g., town manager, accountants, </w:t>
      </w:r>
      <w:proofErr w:type="gramStart"/>
      <w:r>
        <w:rPr>
          <w:sz w:val="24"/>
          <w:szCs w:val="24"/>
        </w:rPr>
        <w:t>auditors</w:t>
      </w:r>
      <w:proofErr w:type="gramEnd"/>
      <w:r>
        <w:rPr>
          <w:sz w:val="24"/>
          <w:szCs w:val="24"/>
        </w:rPr>
        <w:t>) and foster employment security for senior health department staff.</w:t>
      </w:r>
    </w:p>
    <w:p w:rsidR="00DA400A" w:rsidRPr="006D223D" w:rsidRDefault="00DA400A" w:rsidP="002352EC">
      <w:pPr>
        <w:pStyle w:val="ListParagraph"/>
        <w:numPr>
          <w:ilvl w:val="0"/>
          <w:numId w:val="9"/>
        </w:numPr>
        <w:contextualSpacing/>
        <w:rPr>
          <w:sz w:val="24"/>
          <w:szCs w:val="24"/>
        </w:rPr>
      </w:pPr>
      <w:r w:rsidRPr="006D223D">
        <w:rPr>
          <w:sz w:val="24"/>
          <w:szCs w:val="24"/>
        </w:rPr>
        <w:t>Allow M</w:t>
      </w:r>
      <w:r>
        <w:rPr>
          <w:sz w:val="24"/>
          <w:szCs w:val="24"/>
        </w:rPr>
        <w:t>P</w:t>
      </w:r>
      <w:r w:rsidRPr="006D223D">
        <w:rPr>
          <w:sz w:val="24"/>
          <w:szCs w:val="24"/>
        </w:rPr>
        <w:t xml:space="preserve">HN </w:t>
      </w:r>
      <w:r>
        <w:rPr>
          <w:sz w:val="24"/>
          <w:szCs w:val="24"/>
        </w:rPr>
        <w:t xml:space="preserve">(nursing) </w:t>
      </w:r>
      <w:r w:rsidRPr="006D223D">
        <w:rPr>
          <w:sz w:val="24"/>
          <w:szCs w:val="24"/>
        </w:rPr>
        <w:t>as well as MPH as a credential for Management/Director position.</w:t>
      </w:r>
    </w:p>
    <w:p w:rsidR="00DA400A" w:rsidRPr="006D223D" w:rsidRDefault="00DA400A" w:rsidP="002352EC">
      <w:pPr>
        <w:pStyle w:val="ListParagraph"/>
        <w:numPr>
          <w:ilvl w:val="0"/>
          <w:numId w:val="9"/>
        </w:numPr>
        <w:contextualSpacing/>
        <w:rPr>
          <w:sz w:val="24"/>
          <w:szCs w:val="24"/>
        </w:rPr>
      </w:pPr>
      <w:r w:rsidRPr="006D223D">
        <w:rPr>
          <w:sz w:val="24"/>
          <w:szCs w:val="24"/>
        </w:rPr>
        <w:t xml:space="preserve">Define Management/Director as someone who supervises at least 1 full or part-time public health person and does not do inspections.  </w:t>
      </w:r>
    </w:p>
    <w:p w:rsidR="00DA400A" w:rsidRPr="006D223D" w:rsidRDefault="00DA400A" w:rsidP="002352EC">
      <w:pPr>
        <w:pStyle w:val="ListParagraph"/>
        <w:numPr>
          <w:ilvl w:val="0"/>
          <w:numId w:val="9"/>
        </w:numPr>
        <w:contextualSpacing/>
        <w:rPr>
          <w:sz w:val="24"/>
          <w:szCs w:val="24"/>
        </w:rPr>
      </w:pPr>
      <w:r w:rsidRPr="006D223D">
        <w:rPr>
          <w:sz w:val="24"/>
          <w:szCs w:val="24"/>
        </w:rPr>
        <w:t xml:space="preserve">Don’t require Management/Directors to have RS; position needs experience and training in public/population health/management/leadership versus environmental health.  </w:t>
      </w:r>
    </w:p>
    <w:p w:rsidR="00DA400A" w:rsidRPr="006D223D" w:rsidRDefault="00DA400A" w:rsidP="002352EC">
      <w:pPr>
        <w:pStyle w:val="ListParagraph"/>
        <w:numPr>
          <w:ilvl w:val="0"/>
          <w:numId w:val="9"/>
        </w:numPr>
        <w:contextualSpacing/>
        <w:rPr>
          <w:sz w:val="24"/>
          <w:szCs w:val="24"/>
        </w:rPr>
      </w:pPr>
      <w:r w:rsidRPr="006D223D">
        <w:rPr>
          <w:sz w:val="24"/>
          <w:szCs w:val="24"/>
        </w:rPr>
        <w:t xml:space="preserve">Allow at least 5 years for a person to meet requirements.  </w:t>
      </w:r>
    </w:p>
    <w:p w:rsidR="00DA400A" w:rsidRPr="006D223D" w:rsidRDefault="00DA400A" w:rsidP="002352EC">
      <w:pPr>
        <w:pStyle w:val="ListParagraph"/>
        <w:numPr>
          <w:ilvl w:val="0"/>
          <w:numId w:val="9"/>
        </w:numPr>
        <w:contextualSpacing/>
        <w:rPr>
          <w:sz w:val="24"/>
          <w:szCs w:val="24"/>
        </w:rPr>
      </w:pPr>
      <w:r w:rsidRPr="006D223D">
        <w:rPr>
          <w:sz w:val="24"/>
          <w:szCs w:val="24"/>
        </w:rPr>
        <w:t xml:space="preserve">Allow Districts to meet this standard for participating towns as long as the LHD staff participates regularly in the District. </w:t>
      </w:r>
    </w:p>
    <w:p w:rsidR="00DA400A" w:rsidRPr="006D223D" w:rsidRDefault="00DA400A" w:rsidP="002352EC">
      <w:pPr>
        <w:pStyle w:val="ListParagraph"/>
        <w:numPr>
          <w:ilvl w:val="0"/>
          <w:numId w:val="9"/>
        </w:numPr>
        <w:contextualSpacing/>
        <w:rPr>
          <w:sz w:val="24"/>
          <w:szCs w:val="24"/>
        </w:rPr>
      </w:pPr>
      <w:r>
        <w:rPr>
          <w:sz w:val="24"/>
          <w:szCs w:val="24"/>
        </w:rPr>
        <w:t>This position does not need a master’s degree</w:t>
      </w:r>
      <w:proofErr w:type="gramStart"/>
      <w:r w:rsidRPr="006D223D">
        <w:rPr>
          <w:sz w:val="24"/>
          <w:szCs w:val="24"/>
        </w:rPr>
        <w:t>;</w:t>
      </w:r>
      <w:proofErr w:type="gramEnd"/>
      <w:r w:rsidRPr="006D223D">
        <w:rPr>
          <w:sz w:val="24"/>
          <w:szCs w:val="24"/>
        </w:rPr>
        <w:t xml:space="preserve"> not a good return on investment (ROI).</w:t>
      </w:r>
    </w:p>
    <w:p w:rsidR="00DA400A" w:rsidRPr="006D223D" w:rsidRDefault="00DA400A" w:rsidP="002352EC">
      <w:pPr>
        <w:pStyle w:val="ListParagraph"/>
        <w:numPr>
          <w:ilvl w:val="0"/>
          <w:numId w:val="9"/>
        </w:numPr>
        <w:contextualSpacing/>
        <w:rPr>
          <w:sz w:val="24"/>
          <w:szCs w:val="24"/>
        </w:rPr>
      </w:pPr>
      <w:r w:rsidRPr="006D223D">
        <w:rPr>
          <w:sz w:val="24"/>
          <w:szCs w:val="24"/>
        </w:rPr>
        <w:t>Recommendations are no</w:t>
      </w:r>
      <w:r>
        <w:rPr>
          <w:sz w:val="24"/>
          <w:szCs w:val="24"/>
        </w:rPr>
        <w:t>t sufficient compared with the town p</w:t>
      </w:r>
      <w:r w:rsidRPr="006D223D">
        <w:rPr>
          <w:sz w:val="24"/>
          <w:szCs w:val="24"/>
        </w:rPr>
        <w:t>lanner requirements, which needs a college degree. LPH should have college training, especially since LPH is responsible for safety of the community.</w:t>
      </w:r>
    </w:p>
    <w:p w:rsidR="00DA400A" w:rsidRPr="006D223D" w:rsidRDefault="00DA400A" w:rsidP="002352EC">
      <w:pPr>
        <w:pStyle w:val="ListParagraph"/>
        <w:numPr>
          <w:ilvl w:val="0"/>
          <w:numId w:val="9"/>
        </w:numPr>
        <w:contextualSpacing/>
        <w:rPr>
          <w:sz w:val="24"/>
          <w:szCs w:val="24"/>
        </w:rPr>
      </w:pPr>
      <w:r w:rsidRPr="006D223D">
        <w:rPr>
          <w:sz w:val="24"/>
          <w:szCs w:val="24"/>
        </w:rPr>
        <w:t>Less stringent RS requirements because of concerns about pipeline and pool</w:t>
      </w:r>
      <w:proofErr w:type="gramStart"/>
      <w:r w:rsidRPr="006D223D">
        <w:rPr>
          <w:sz w:val="24"/>
          <w:szCs w:val="24"/>
        </w:rPr>
        <w:t>;</w:t>
      </w:r>
      <w:proofErr w:type="gramEnd"/>
      <w:r w:rsidRPr="006D223D">
        <w:rPr>
          <w:sz w:val="24"/>
          <w:szCs w:val="24"/>
        </w:rPr>
        <w:t xml:space="preserve"> having the RS credential means having a BA.</w:t>
      </w:r>
    </w:p>
    <w:p w:rsidR="00DA400A" w:rsidRPr="006D223D" w:rsidRDefault="00DA400A" w:rsidP="00DA400A">
      <w:pPr>
        <w:rPr>
          <w:sz w:val="24"/>
          <w:szCs w:val="24"/>
        </w:rPr>
      </w:pPr>
    </w:p>
    <w:p w:rsidR="00DA400A" w:rsidRPr="006D223D" w:rsidRDefault="00DA400A" w:rsidP="00DA400A">
      <w:pPr>
        <w:rPr>
          <w:b/>
          <w:sz w:val="24"/>
          <w:szCs w:val="24"/>
        </w:rPr>
      </w:pPr>
      <w:r w:rsidRPr="006D223D">
        <w:rPr>
          <w:b/>
          <w:sz w:val="24"/>
          <w:szCs w:val="24"/>
        </w:rPr>
        <w:t>Management/Health Agent/Sanitarian</w:t>
      </w:r>
    </w:p>
    <w:p w:rsidR="00DA400A" w:rsidRPr="006D223D" w:rsidRDefault="00DA400A" w:rsidP="002352EC">
      <w:pPr>
        <w:pStyle w:val="ListParagraph"/>
        <w:numPr>
          <w:ilvl w:val="0"/>
          <w:numId w:val="10"/>
        </w:numPr>
        <w:contextualSpacing/>
        <w:rPr>
          <w:sz w:val="24"/>
          <w:szCs w:val="24"/>
        </w:rPr>
      </w:pPr>
      <w:r w:rsidRPr="006D223D">
        <w:rPr>
          <w:sz w:val="24"/>
          <w:szCs w:val="24"/>
        </w:rPr>
        <w:t>Define Management/Agent as LHD Managers who do inspections</w:t>
      </w:r>
      <w:proofErr w:type="gramStart"/>
      <w:r w:rsidRPr="006D223D">
        <w:rPr>
          <w:sz w:val="24"/>
          <w:szCs w:val="24"/>
        </w:rPr>
        <w:t xml:space="preserve">.  </w:t>
      </w:r>
      <w:proofErr w:type="gramEnd"/>
      <w:r w:rsidRPr="006D223D">
        <w:rPr>
          <w:sz w:val="24"/>
          <w:szCs w:val="24"/>
        </w:rPr>
        <w:t xml:space="preserve">BOH who do any inspections would also need to meet the requirements under Management/Agents.  </w:t>
      </w:r>
    </w:p>
    <w:p w:rsidR="00DA400A" w:rsidRPr="006D223D" w:rsidRDefault="00DA400A" w:rsidP="002352EC">
      <w:pPr>
        <w:pStyle w:val="ListParagraph"/>
        <w:numPr>
          <w:ilvl w:val="0"/>
          <w:numId w:val="10"/>
        </w:numPr>
        <w:contextualSpacing/>
        <w:rPr>
          <w:sz w:val="24"/>
          <w:szCs w:val="24"/>
        </w:rPr>
      </w:pPr>
      <w:r>
        <w:rPr>
          <w:sz w:val="24"/>
          <w:szCs w:val="24"/>
        </w:rPr>
        <w:t>Require management/agents</w:t>
      </w:r>
      <w:r w:rsidRPr="006D223D">
        <w:rPr>
          <w:sz w:val="24"/>
          <w:szCs w:val="24"/>
        </w:rPr>
        <w:t xml:space="preserve"> to have an MPH/MPHN or to participate in regional </w:t>
      </w:r>
      <w:proofErr w:type="spellStart"/>
      <w:r w:rsidRPr="006D223D">
        <w:rPr>
          <w:sz w:val="24"/>
          <w:szCs w:val="24"/>
        </w:rPr>
        <w:t>collaboratives</w:t>
      </w:r>
      <w:proofErr w:type="spellEnd"/>
      <w:r w:rsidRPr="006D223D">
        <w:rPr>
          <w:sz w:val="24"/>
          <w:szCs w:val="24"/>
        </w:rPr>
        <w:t xml:space="preserve"> that have an MPH/MPHN and are working towards national standards to ensure equal access for public health planning for all towns.</w:t>
      </w:r>
    </w:p>
    <w:p w:rsidR="00DA400A" w:rsidRPr="006D223D" w:rsidRDefault="00DA400A" w:rsidP="002352EC">
      <w:pPr>
        <w:pStyle w:val="ListParagraph"/>
        <w:numPr>
          <w:ilvl w:val="0"/>
          <w:numId w:val="10"/>
        </w:numPr>
        <w:contextualSpacing/>
        <w:rPr>
          <w:sz w:val="24"/>
          <w:szCs w:val="24"/>
        </w:rPr>
      </w:pPr>
      <w:r w:rsidRPr="006D223D">
        <w:rPr>
          <w:sz w:val="24"/>
          <w:szCs w:val="24"/>
        </w:rPr>
        <w:t>Should have a BA.</w:t>
      </w:r>
    </w:p>
    <w:p w:rsidR="00DA400A" w:rsidRPr="006D223D" w:rsidRDefault="00DA400A" w:rsidP="002352EC">
      <w:pPr>
        <w:pStyle w:val="ListParagraph"/>
        <w:numPr>
          <w:ilvl w:val="0"/>
          <w:numId w:val="10"/>
        </w:numPr>
        <w:contextualSpacing/>
        <w:rPr>
          <w:sz w:val="24"/>
          <w:szCs w:val="24"/>
        </w:rPr>
      </w:pPr>
      <w:r w:rsidRPr="006D223D">
        <w:rPr>
          <w:sz w:val="24"/>
          <w:szCs w:val="24"/>
        </w:rPr>
        <w:t>Not realistic to require a BA within 6 years of hire but good benchmark for future workforce.</w:t>
      </w:r>
    </w:p>
    <w:p w:rsidR="00DA400A" w:rsidRPr="006D223D" w:rsidRDefault="00DA400A" w:rsidP="002352EC">
      <w:pPr>
        <w:pStyle w:val="ListParagraph"/>
        <w:numPr>
          <w:ilvl w:val="0"/>
          <w:numId w:val="10"/>
        </w:numPr>
        <w:contextualSpacing/>
        <w:rPr>
          <w:sz w:val="24"/>
          <w:szCs w:val="24"/>
        </w:rPr>
      </w:pPr>
      <w:r w:rsidRPr="006D223D">
        <w:rPr>
          <w:sz w:val="24"/>
          <w:szCs w:val="24"/>
        </w:rPr>
        <w:t>Less stringent RS requirements because may negatively impact pipeline and pool.</w:t>
      </w:r>
    </w:p>
    <w:p w:rsidR="00DA400A" w:rsidRPr="006D223D" w:rsidRDefault="00DA400A" w:rsidP="002352EC">
      <w:pPr>
        <w:pStyle w:val="ListParagraph"/>
        <w:numPr>
          <w:ilvl w:val="0"/>
          <w:numId w:val="10"/>
        </w:numPr>
        <w:contextualSpacing/>
        <w:rPr>
          <w:sz w:val="24"/>
          <w:szCs w:val="24"/>
        </w:rPr>
      </w:pPr>
      <w:r w:rsidRPr="006D223D">
        <w:rPr>
          <w:sz w:val="24"/>
          <w:szCs w:val="24"/>
        </w:rPr>
        <w:t>Should have Associates Degree and get on the job training.</w:t>
      </w:r>
    </w:p>
    <w:p w:rsidR="00DA400A" w:rsidRPr="006D223D" w:rsidRDefault="00DA400A" w:rsidP="002352EC">
      <w:pPr>
        <w:pStyle w:val="ListParagraph"/>
        <w:numPr>
          <w:ilvl w:val="0"/>
          <w:numId w:val="10"/>
        </w:numPr>
        <w:contextualSpacing/>
        <w:rPr>
          <w:sz w:val="24"/>
          <w:szCs w:val="24"/>
        </w:rPr>
      </w:pPr>
      <w:r w:rsidRPr="006D223D">
        <w:rPr>
          <w:sz w:val="24"/>
          <w:szCs w:val="24"/>
        </w:rPr>
        <w:t xml:space="preserve">Create a new category “Inspector” who must work under the supervision of a RS; RS providing oversight will have to have all the relevant training certifications and obtains annual CEUS as required for RS.  </w:t>
      </w:r>
    </w:p>
    <w:p w:rsidR="00DA400A" w:rsidRPr="006D223D" w:rsidRDefault="00DA400A" w:rsidP="002352EC">
      <w:pPr>
        <w:pStyle w:val="ListParagraph"/>
        <w:numPr>
          <w:ilvl w:val="0"/>
          <w:numId w:val="10"/>
        </w:numPr>
        <w:contextualSpacing/>
        <w:rPr>
          <w:sz w:val="24"/>
          <w:szCs w:val="24"/>
        </w:rPr>
      </w:pPr>
      <w:r w:rsidRPr="006D223D">
        <w:rPr>
          <w:sz w:val="24"/>
          <w:szCs w:val="24"/>
        </w:rPr>
        <w:t>Recommend RS for all Inspectors.</w:t>
      </w:r>
    </w:p>
    <w:p w:rsidR="00DA400A" w:rsidRPr="006D223D" w:rsidRDefault="00DA400A" w:rsidP="002352EC">
      <w:pPr>
        <w:pStyle w:val="ListParagraph"/>
        <w:numPr>
          <w:ilvl w:val="0"/>
          <w:numId w:val="10"/>
        </w:numPr>
        <w:contextualSpacing/>
        <w:rPr>
          <w:sz w:val="24"/>
          <w:szCs w:val="24"/>
        </w:rPr>
      </w:pPr>
      <w:r w:rsidRPr="006D223D">
        <w:rPr>
          <w:sz w:val="24"/>
          <w:szCs w:val="24"/>
        </w:rPr>
        <w:t>Meeting requirements under these position categories provides no return on investment for the individual due to generally low pay of field.</w:t>
      </w:r>
    </w:p>
    <w:p w:rsidR="001C30FF" w:rsidRDefault="001C30FF" w:rsidP="00DA400A">
      <w:pPr>
        <w:rPr>
          <w:b/>
          <w:sz w:val="24"/>
          <w:szCs w:val="24"/>
        </w:rPr>
      </w:pPr>
    </w:p>
    <w:p w:rsidR="00DA400A" w:rsidRPr="006D223D" w:rsidRDefault="00DA400A" w:rsidP="00DA400A">
      <w:pPr>
        <w:rPr>
          <w:b/>
          <w:sz w:val="24"/>
          <w:szCs w:val="24"/>
        </w:rPr>
      </w:pPr>
      <w:r w:rsidRPr="006D223D">
        <w:rPr>
          <w:b/>
          <w:sz w:val="24"/>
          <w:szCs w:val="24"/>
        </w:rPr>
        <w:t>Public Health Nurses</w:t>
      </w:r>
      <w:r>
        <w:rPr>
          <w:b/>
          <w:sz w:val="24"/>
          <w:szCs w:val="24"/>
        </w:rPr>
        <w:t xml:space="preserve"> (PHN)</w:t>
      </w:r>
    </w:p>
    <w:p w:rsidR="00DA400A" w:rsidRPr="006D223D" w:rsidRDefault="00DA400A" w:rsidP="002352EC">
      <w:pPr>
        <w:pStyle w:val="ListParagraph"/>
        <w:numPr>
          <w:ilvl w:val="0"/>
          <w:numId w:val="11"/>
        </w:numPr>
        <w:contextualSpacing/>
        <w:rPr>
          <w:sz w:val="24"/>
          <w:szCs w:val="24"/>
        </w:rPr>
      </w:pPr>
      <w:r w:rsidRPr="006D223D">
        <w:rPr>
          <w:sz w:val="24"/>
          <w:szCs w:val="24"/>
        </w:rPr>
        <w:t xml:space="preserve">Strongly recommend having a RN and BSN, especially for </w:t>
      </w:r>
      <w:r>
        <w:rPr>
          <w:sz w:val="24"/>
          <w:szCs w:val="24"/>
        </w:rPr>
        <w:t xml:space="preserve">Massachusetts Virtual Epidemiological Network </w:t>
      </w:r>
      <w:r w:rsidRPr="006D223D">
        <w:rPr>
          <w:sz w:val="24"/>
          <w:szCs w:val="24"/>
        </w:rPr>
        <w:t>MAVEN and follow up case management for communicable diseases.</w:t>
      </w:r>
    </w:p>
    <w:p w:rsidR="00DA400A" w:rsidRPr="006D223D" w:rsidRDefault="00DA400A" w:rsidP="002352EC">
      <w:pPr>
        <w:pStyle w:val="ListParagraph"/>
        <w:numPr>
          <w:ilvl w:val="0"/>
          <w:numId w:val="11"/>
        </w:numPr>
        <w:contextualSpacing/>
        <w:rPr>
          <w:sz w:val="24"/>
          <w:szCs w:val="24"/>
        </w:rPr>
      </w:pPr>
      <w:r w:rsidRPr="006D223D">
        <w:rPr>
          <w:sz w:val="24"/>
          <w:szCs w:val="24"/>
        </w:rPr>
        <w:t>Multiple comments on how essential PHNs are and all towns should have PHN; it is an efficient public health model and provides critical public health/clinical services.</w:t>
      </w:r>
    </w:p>
    <w:p w:rsidR="00DA400A" w:rsidRPr="006D223D" w:rsidRDefault="00DA400A" w:rsidP="002352EC">
      <w:pPr>
        <w:pStyle w:val="ListParagraph"/>
        <w:numPr>
          <w:ilvl w:val="0"/>
          <w:numId w:val="11"/>
        </w:numPr>
        <w:contextualSpacing/>
        <w:rPr>
          <w:sz w:val="24"/>
          <w:szCs w:val="24"/>
        </w:rPr>
      </w:pPr>
      <w:r w:rsidRPr="006D223D">
        <w:rPr>
          <w:sz w:val="24"/>
          <w:szCs w:val="24"/>
        </w:rPr>
        <w:t>PHN is critical for TB case management; MAVEN – com</w:t>
      </w:r>
      <w:r>
        <w:rPr>
          <w:sz w:val="24"/>
          <w:szCs w:val="24"/>
        </w:rPr>
        <w:t>municable disease surveillance and</w:t>
      </w:r>
      <w:r w:rsidRPr="006D223D">
        <w:rPr>
          <w:sz w:val="24"/>
          <w:szCs w:val="24"/>
        </w:rPr>
        <w:t xml:space="preserve"> follow-up; provides support to school nurses; rural towns not close to hospitals</w:t>
      </w:r>
      <w:proofErr w:type="gramStart"/>
      <w:r w:rsidRPr="006D223D">
        <w:rPr>
          <w:sz w:val="24"/>
          <w:szCs w:val="24"/>
        </w:rPr>
        <w:t xml:space="preserve">.  </w:t>
      </w:r>
      <w:proofErr w:type="gramEnd"/>
      <w:r w:rsidRPr="006D223D">
        <w:rPr>
          <w:sz w:val="24"/>
          <w:szCs w:val="24"/>
        </w:rPr>
        <w:t>The PHN provides needed services and is essential in an emergency when community is cut off.</w:t>
      </w:r>
    </w:p>
    <w:p w:rsidR="00DA400A" w:rsidRPr="006D223D" w:rsidRDefault="00DA400A" w:rsidP="002352EC">
      <w:pPr>
        <w:pStyle w:val="ListParagraph"/>
        <w:numPr>
          <w:ilvl w:val="0"/>
          <w:numId w:val="11"/>
        </w:numPr>
        <w:contextualSpacing/>
        <w:rPr>
          <w:sz w:val="24"/>
          <w:szCs w:val="24"/>
        </w:rPr>
      </w:pPr>
      <w:r w:rsidRPr="006D223D">
        <w:rPr>
          <w:sz w:val="24"/>
          <w:szCs w:val="24"/>
        </w:rPr>
        <w:t>Even though having a PHN raises concern about the pipeline and pool, still feel that a PHN for each town is necessary boots on the ground, especially in responding to emerging diseases or other emergencies.</w:t>
      </w:r>
    </w:p>
    <w:p w:rsidR="00DA400A" w:rsidRPr="006D223D" w:rsidRDefault="00DA400A" w:rsidP="002352EC">
      <w:pPr>
        <w:pStyle w:val="ListParagraph"/>
        <w:numPr>
          <w:ilvl w:val="0"/>
          <w:numId w:val="11"/>
        </w:numPr>
        <w:contextualSpacing/>
        <w:rPr>
          <w:sz w:val="24"/>
          <w:szCs w:val="24"/>
        </w:rPr>
      </w:pPr>
      <w:r>
        <w:rPr>
          <w:sz w:val="24"/>
          <w:szCs w:val="24"/>
        </w:rPr>
        <w:t>PHN should only serve one town rather than several towns.</w:t>
      </w:r>
    </w:p>
    <w:p w:rsidR="00DA400A" w:rsidRPr="006D223D" w:rsidRDefault="00DA400A" w:rsidP="002352EC">
      <w:pPr>
        <w:pStyle w:val="ListParagraph"/>
        <w:numPr>
          <w:ilvl w:val="0"/>
          <w:numId w:val="11"/>
        </w:numPr>
        <w:contextualSpacing/>
        <w:rPr>
          <w:sz w:val="24"/>
          <w:szCs w:val="24"/>
        </w:rPr>
      </w:pPr>
      <w:r w:rsidRPr="006D223D">
        <w:rPr>
          <w:sz w:val="24"/>
          <w:szCs w:val="24"/>
        </w:rPr>
        <w:t>A few comments stated that BA/BN should not be required, especially since the com</w:t>
      </w:r>
      <w:r>
        <w:rPr>
          <w:sz w:val="24"/>
          <w:szCs w:val="24"/>
        </w:rPr>
        <w:t xml:space="preserve">pensation is not commensurate with </w:t>
      </w:r>
      <w:r w:rsidRPr="006D223D">
        <w:rPr>
          <w:sz w:val="24"/>
          <w:szCs w:val="24"/>
        </w:rPr>
        <w:t>investment</w:t>
      </w:r>
      <w:r>
        <w:rPr>
          <w:sz w:val="24"/>
          <w:szCs w:val="24"/>
        </w:rPr>
        <w:t xml:space="preserve"> in degree</w:t>
      </w:r>
      <w:proofErr w:type="gramStart"/>
      <w:r w:rsidRPr="006D223D">
        <w:rPr>
          <w:sz w:val="24"/>
          <w:szCs w:val="24"/>
        </w:rPr>
        <w:t>;</w:t>
      </w:r>
      <w:proofErr w:type="gramEnd"/>
      <w:r w:rsidRPr="006D223D">
        <w:rPr>
          <w:sz w:val="24"/>
          <w:szCs w:val="24"/>
        </w:rPr>
        <w:t xml:space="preserve"> easier to hire diplomas in nursing </w:t>
      </w:r>
      <w:r>
        <w:rPr>
          <w:sz w:val="24"/>
          <w:szCs w:val="24"/>
        </w:rPr>
        <w:t xml:space="preserve">(RN) </w:t>
      </w:r>
      <w:r w:rsidRPr="006D223D">
        <w:rPr>
          <w:sz w:val="24"/>
          <w:szCs w:val="24"/>
        </w:rPr>
        <w:t>or AA – recommend allowing time to acquire BA or grandparent current staff.</w:t>
      </w:r>
    </w:p>
    <w:p w:rsidR="00DA400A" w:rsidRPr="006D223D" w:rsidRDefault="00DA400A" w:rsidP="00DA400A">
      <w:pPr>
        <w:rPr>
          <w:sz w:val="24"/>
          <w:szCs w:val="24"/>
        </w:rPr>
      </w:pPr>
    </w:p>
    <w:p w:rsidR="00DA400A" w:rsidRPr="006D223D" w:rsidRDefault="00DA400A" w:rsidP="00DA400A">
      <w:pPr>
        <w:rPr>
          <w:b/>
          <w:sz w:val="24"/>
          <w:szCs w:val="24"/>
        </w:rPr>
      </w:pPr>
      <w:r w:rsidRPr="006D223D">
        <w:rPr>
          <w:b/>
          <w:sz w:val="24"/>
          <w:szCs w:val="24"/>
        </w:rPr>
        <w:t>Clerical Staff</w:t>
      </w:r>
    </w:p>
    <w:p w:rsidR="00DA400A" w:rsidRPr="006D223D" w:rsidRDefault="00DA400A" w:rsidP="002352EC">
      <w:pPr>
        <w:pStyle w:val="ListParagraph"/>
        <w:numPr>
          <w:ilvl w:val="0"/>
          <w:numId w:val="12"/>
        </w:numPr>
        <w:contextualSpacing/>
        <w:rPr>
          <w:sz w:val="24"/>
          <w:szCs w:val="24"/>
        </w:rPr>
      </w:pPr>
      <w:r w:rsidRPr="006D223D">
        <w:rPr>
          <w:sz w:val="24"/>
          <w:szCs w:val="24"/>
        </w:rPr>
        <w:t>Each BOH needs clerical staff.</w:t>
      </w:r>
    </w:p>
    <w:p w:rsidR="00DA400A" w:rsidRPr="006D223D" w:rsidRDefault="00DA400A" w:rsidP="002352EC">
      <w:pPr>
        <w:pStyle w:val="ListParagraph"/>
        <w:numPr>
          <w:ilvl w:val="0"/>
          <w:numId w:val="12"/>
        </w:numPr>
        <w:contextualSpacing/>
        <w:rPr>
          <w:sz w:val="24"/>
          <w:szCs w:val="24"/>
        </w:rPr>
      </w:pPr>
      <w:r w:rsidRPr="006D223D">
        <w:rPr>
          <w:sz w:val="24"/>
          <w:szCs w:val="24"/>
        </w:rPr>
        <w:t>Require LHD clerical staff to take online course of study/test and complete annual CEU requirements.</w:t>
      </w:r>
    </w:p>
    <w:p w:rsidR="00DA400A" w:rsidRPr="006D223D" w:rsidRDefault="00DA400A" w:rsidP="00DA400A">
      <w:pPr>
        <w:rPr>
          <w:sz w:val="24"/>
          <w:szCs w:val="24"/>
        </w:rPr>
      </w:pPr>
    </w:p>
    <w:p w:rsidR="00DA400A" w:rsidRPr="006D223D" w:rsidRDefault="00DA400A" w:rsidP="00DA400A">
      <w:pPr>
        <w:rPr>
          <w:b/>
          <w:sz w:val="24"/>
          <w:szCs w:val="24"/>
        </w:rPr>
      </w:pPr>
      <w:r w:rsidRPr="006D223D">
        <w:rPr>
          <w:b/>
          <w:sz w:val="24"/>
          <w:szCs w:val="24"/>
        </w:rPr>
        <w:t>Members of Boards of Health</w:t>
      </w:r>
      <w:r>
        <w:rPr>
          <w:b/>
          <w:sz w:val="24"/>
          <w:szCs w:val="24"/>
        </w:rPr>
        <w:t xml:space="preserve"> (BOH)</w:t>
      </w:r>
    </w:p>
    <w:p w:rsidR="00DA400A" w:rsidRPr="006D223D" w:rsidRDefault="00DA400A" w:rsidP="002352EC">
      <w:pPr>
        <w:pStyle w:val="ListParagraph"/>
        <w:numPr>
          <w:ilvl w:val="0"/>
          <w:numId w:val="13"/>
        </w:numPr>
        <w:contextualSpacing/>
        <w:rPr>
          <w:sz w:val="24"/>
          <w:szCs w:val="24"/>
        </w:rPr>
      </w:pPr>
      <w:r w:rsidRPr="006D223D">
        <w:rPr>
          <w:sz w:val="24"/>
          <w:szCs w:val="24"/>
        </w:rPr>
        <w:t>Need training and support.</w:t>
      </w:r>
    </w:p>
    <w:p w:rsidR="00DA400A" w:rsidRPr="006D223D" w:rsidRDefault="00DA400A" w:rsidP="002352EC">
      <w:pPr>
        <w:pStyle w:val="ListParagraph"/>
        <w:numPr>
          <w:ilvl w:val="0"/>
          <w:numId w:val="13"/>
        </w:numPr>
        <w:contextualSpacing/>
        <w:rPr>
          <w:sz w:val="24"/>
          <w:szCs w:val="24"/>
        </w:rPr>
      </w:pPr>
      <w:r w:rsidRPr="006D223D">
        <w:rPr>
          <w:sz w:val="24"/>
          <w:szCs w:val="24"/>
        </w:rPr>
        <w:t>Consider further requirements, even though for elected BOH this may be challenging to enforce.</w:t>
      </w:r>
    </w:p>
    <w:p w:rsidR="00DA400A" w:rsidRPr="006D223D" w:rsidRDefault="00DA400A" w:rsidP="002352EC">
      <w:pPr>
        <w:pStyle w:val="ListParagraph"/>
        <w:numPr>
          <w:ilvl w:val="0"/>
          <w:numId w:val="13"/>
        </w:numPr>
        <w:contextualSpacing/>
        <w:rPr>
          <w:sz w:val="24"/>
          <w:szCs w:val="24"/>
        </w:rPr>
      </w:pPr>
      <w:r w:rsidRPr="006D223D">
        <w:rPr>
          <w:sz w:val="24"/>
          <w:szCs w:val="24"/>
        </w:rPr>
        <w:t xml:space="preserve">Many </w:t>
      </w:r>
      <w:r>
        <w:rPr>
          <w:sz w:val="24"/>
          <w:szCs w:val="24"/>
        </w:rPr>
        <w:t xml:space="preserve">BOH members </w:t>
      </w:r>
      <w:r w:rsidRPr="006D223D">
        <w:rPr>
          <w:sz w:val="24"/>
          <w:szCs w:val="24"/>
        </w:rPr>
        <w:t>do not understand their responsibilities; ill-prepared – especially for such activities as emergency preparedness</w:t>
      </w:r>
      <w:proofErr w:type="gramStart"/>
      <w:r w:rsidRPr="006D223D">
        <w:rPr>
          <w:sz w:val="24"/>
          <w:szCs w:val="24"/>
        </w:rPr>
        <w:t>;</w:t>
      </w:r>
      <w:proofErr w:type="gramEnd"/>
      <w:r w:rsidRPr="006D223D">
        <w:rPr>
          <w:sz w:val="24"/>
          <w:szCs w:val="24"/>
        </w:rPr>
        <w:t xml:space="preserve"> do not know about or understand the 10 Essential </w:t>
      </w:r>
      <w:r>
        <w:rPr>
          <w:sz w:val="24"/>
          <w:szCs w:val="24"/>
        </w:rPr>
        <w:t xml:space="preserve">Public Health </w:t>
      </w:r>
      <w:r w:rsidRPr="006D223D">
        <w:rPr>
          <w:sz w:val="24"/>
          <w:szCs w:val="24"/>
        </w:rPr>
        <w:t>Service</w:t>
      </w:r>
      <w:r>
        <w:rPr>
          <w:sz w:val="24"/>
          <w:szCs w:val="24"/>
        </w:rPr>
        <w:t>s</w:t>
      </w:r>
      <w:r w:rsidRPr="006D223D">
        <w:rPr>
          <w:sz w:val="24"/>
          <w:szCs w:val="24"/>
        </w:rPr>
        <w:t xml:space="preserve"> model.</w:t>
      </w:r>
    </w:p>
    <w:p w:rsidR="00DA400A" w:rsidRPr="006D223D" w:rsidRDefault="00DA400A" w:rsidP="002352EC">
      <w:pPr>
        <w:pStyle w:val="ListParagraph"/>
        <w:numPr>
          <w:ilvl w:val="0"/>
          <w:numId w:val="13"/>
        </w:numPr>
        <w:contextualSpacing/>
        <w:rPr>
          <w:sz w:val="24"/>
          <w:szCs w:val="24"/>
        </w:rPr>
      </w:pPr>
      <w:r w:rsidRPr="006D223D">
        <w:rPr>
          <w:sz w:val="24"/>
          <w:szCs w:val="24"/>
        </w:rPr>
        <w:t>High turnover – need continuous training/orientation.</w:t>
      </w:r>
    </w:p>
    <w:p w:rsidR="00DA400A" w:rsidRPr="006D223D" w:rsidRDefault="00DA400A" w:rsidP="002352EC">
      <w:pPr>
        <w:pStyle w:val="ListParagraph"/>
        <w:numPr>
          <w:ilvl w:val="0"/>
          <w:numId w:val="13"/>
        </w:numPr>
        <w:contextualSpacing/>
        <w:rPr>
          <w:sz w:val="24"/>
          <w:szCs w:val="24"/>
        </w:rPr>
      </w:pPr>
      <w:r w:rsidRPr="006D223D">
        <w:rPr>
          <w:sz w:val="24"/>
          <w:szCs w:val="24"/>
        </w:rPr>
        <w:t>Requirements may reduce volunteer pool.</w:t>
      </w:r>
    </w:p>
    <w:p w:rsidR="00DA400A" w:rsidRPr="006D223D" w:rsidRDefault="00DA400A" w:rsidP="002352EC">
      <w:pPr>
        <w:pStyle w:val="ListParagraph"/>
        <w:numPr>
          <w:ilvl w:val="0"/>
          <w:numId w:val="13"/>
        </w:numPr>
        <w:contextualSpacing/>
        <w:rPr>
          <w:sz w:val="24"/>
          <w:szCs w:val="24"/>
        </w:rPr>
      </w:pPr>
      <w:r>
        <w:rPr>
          <w:sz w:val="24"/>
          <w:szCs w:val="24"/>
        </w:rPr>
        <w:t xml:space="preserve">Massachusetts Association of Health Boards </w:t>
      </w:r>
      <w:r w:rsidRPr="006D223D">
        <w:rPr>
          <w:sz w:val="24"/>
          <w:szCs w:val="24"/>
        </w:rPr>
        <w:t>orientation is only training needed.</w:t>
      </w:r>
    </w:p>
    <w:p w:rsidR="00DA400A" w:rsidRPr="006D223D" w:rsidRDefault="00DA400A" w:rsidP="002352EC">
      <w:pPr>
        <w:pStyle w:val="ListParagraph"/>
        <w:numPr>
          <w:ilvl w:val="0"/>
          <w:numId w:val="13"/>
        </w:numPr>
        <w:contextualSpacing/>
        <w:rPr>
          <w:sz w:val="24"/>
          <w:szCs w:val="24"/>
        </w:rPr>
      </w:pPr>
      <w:r w:rsidRPr="006D223D">
        <w:rPr>
          <w:sz w:val="24"/>
          <w:szCs w:val="24"/>
        </w:rPr>
        <w:t>BOH members should not be doing inspections; it is a conflict of interest. They should provide oversight and not do the inspectional work. They should be trained to provide policy and procedural oversight.</w:t>
      </w:r>
    </w:p>
    <w:p w:rsidR="00DA400A" w:rsidRPr="006D223D" w:rsidRDefault="00DA400A" w:rsidP="002352EC">
      <w:pPr>
        <w:pStyle w:val="ListParagraph"/>
        <w:numPr>
          <w:ilvl w:val="0"/>
          <w:numId w:val="13"/>
        </w:numPr>
        <w:contextualSpacing/>
        <w:rPr>
          <w:sz w:val="24"/>
          <w:szCs w:val="24"/>
        </w:rPr>
      </w:pPr>
      <w:r w:rsidRPr="006D223D">
        <w:rPr>
          <w:sz w:val="24"/>
          <w:szCs w:val="24"/>
        </w:rPr>
        <w:t>Conflict when BOH works as agent or thinks knows better than the agent</w:t>
      </w:r>
      <w:proofErr w:type="gramStart"/>
      <w:r w:rsidRPr="006D223D">
        <w:rPr>
          <w:sz w:val="24"/>
          <w:szCs w:val="24"/>
        </w:rPr>
        <w:t xml:space="preserve">.  </w:t>
      </w:r>
      <w:proofErr w:type="gramEnd"/>
      <w:r w:rsidRPr="006D223D">
        <w:rPr>
          <w:sz w:val="24"/>
          <w:szCs w:val="24"/>
        </w:rPr>
        <w:t>How is oversight done when there is an appeal or hearing of issues the BOH member is involved</w:t>
      </w:r>
      <w:r>
        <w:rPr>
          <w:sz w:val="24"/>
          <w:szCs w:val="24"/>
        </w:rPr>
        <w:t xml:space="preserve"> with when acting in dual role?</w:t>
      </w:r>
    </w:p>
    <w:p w:rsidR="00DA400A" w:rsidRPr="006D223D" w:rsidRDefault="00DA400A" w:rsidP="00DA400A">
      <w:pPr>
        <w:rPr>
          <w:sz w:val="24"/>
          <w:szCs w:val="24"/>
        </w:rPr>
      </w:pPr>
    </w:p>
    <w:p w:rsidR="00DA400A" w:rsidRPr="006D223D" w:rsidRDefault="00DA400A" w:rsidP="00DA400A">
      <w:pPr>
        <w:rPr>
          <w:b/>
          <w:sz w:val="24"/>
          <w:szCs w:val="24"/>
        </w:rPr>
      </w:pPr>
      <w:r w:rsidRPr="006D223D">
        <w:rPr>
          <w:b/>
          <w:sz w:val="24"/>
          <w:szCs w:val="24"/>
        </w:rPr>
        <w:t>Training</w:t>
      </w:r>
    </w:p>
    <w:p w:rsidR="00DA400A" w:rsidRPr="006D223D" w:rsidRDefault="00DA400A" w:rsidP="002352EC">
      <w:pPr>
        <w:pStyle w:val="ListParagraph"/>
        <w:numPr>
          <w:ilvl w:val="0"/>
          <w:numId w:val="14"/>
        </w:numPr>
        <w:contextualSpacing/>
        <w:rPr>
          <w:sz w:val="24"/>
          <w:szCs w:val="24"/>
        </w:rPr>
      </w:pPr>
      <w:r w:rsidRPr="006D223D">
        <w:rPr>
          <w:sz w:val="24"/>
          <w:szCs w:val="24"/>
        </w:rPr>
        <w:t>State needs to provide and fund training.</w:t>
      </w:r>
    </w:p>
    <w:p w:rsidR="00DA400A" w:rsidRPr="006D223D" w:rsidRDefault="00DA400A" w:rsidP="002352EC">
      <w:pPr>
        <w:pStyle w:val="ListParagraph"/>
        <w:numPr>
          <w:ilvl w:val="0"/>
          <w:numId w:val="14"/>
        </w:numPr>
        <w:contextualSpacing/>
        <w:rPr>
          <w:sz w:val="24"/>
          <w:szCs w:val="24"/>
        </w:rPr>
      </w:pPr>
      <w:r w:rsidRPr="006D223D">
        <w:rPr>
          <w:sz w:val="24"/>
          <w:szCs w:val="24"/>
        </w:rPr>
        <w:t>Provide support to the following: L</w:t>
      </w:r>
      <w:r>
        <w:rPr>
          <w:sz w:val="24"/>
          <w:szCs w:val="24"/>
        </w:rPr>
        <w:t xml:space="preserve">ocal </w:t>
      </w:r>
      <w:r w:rsidRPr="006D223D">
        <w:rPr>
          <w:sz w:val="24"/>
          <w:szCs w:val="24"/>
        </w:rPr>
        <w:t>P</w:t>
      </w:r>
      <w:r>
        <w:rPr>
          <w:sz w:val="24"/>
          <w:szCs w:val="24"/>
        </w:rPr>
        <w:t xml:space="preserve">ublic </w:t>
      </w:r>
      <w:r w:rsidRPr="006D223D">
        <w:rPr>
          <w:sz w:val="24"/>
          <w:szCs w:val="24"/>
        </w:rPr>
        <w:t>H</w:t>
      </w:r>
      <w:r>
        <w:rPr>
          <w:sz w:val="24"/>
          <w:szCs w:val="24"/>
        </w:rPr>
        <w:t xml:space="preserve">ealth </w:t>
      </w:r>
      <w:r w:rsidRPr="006D223D">
        <w:rPr>
          <w:sz w:val="24"/>
          <w:szCs w:val="24"/>
        </w:rPr>
        <w:t>I</w:t>
      </w:r>
      <w:r>
        <w:rPr>
          <w:sz w:val="24"/>
          <w:szCs w:val="24"/>
        </w:rPr>
        <w:t>nstitute</w:t>
      </w:r>
      <w:r w:rsidRPr="006D223D">
        <w:rPr>
          <w:sz w:val="24"/>
          <w:szCs w:val="24"/>
        </w:rPr>
        <w:t>, M</w:t>
      </w:r>
      <w:r>
        <w:rPr>
          <w:sz w:val="24"/>
          <w:szCs w:val="24"/>
        </w:rPr>
        <w:t xml:space="preserve">assachusetts </w:t>
      </w:r>
      <w:r w:rsidRPr="006D223D">
        <w:rPr>
          <w:sz w:val="24"/>
          <w:szCs w:val="24"/>
        </w:rPr>
        <w:t>H</w:t>
      </w:r>
      <w:r>
        <w:rPr>
          <w:sz w:val="24"/>
          <w:szCs w:val="24"/>
        </w:rPr>
        <w:t xml:space="preserve">ealth </w:t>
      </w:r>
      <w:r w:rsidRPr="006D223D">
        <w:rPr>
          <w:sz w:val="24"/>
          <w:szCs w:val="24"/>
        </w:rPr>
        <w:t>O</w:t>
      </w:r>
      <w:r>
        <w:rPr>
          <w:sz w:val="24"/>
          <w:szCs w:val="24"/>
        </w:rPr>
        <w:t xml:space="preserve">fficers </w:t>
      </w:r>
      <w:r w:rsidRPr="006D223D">
        <w:rPr>
          <w:sz w:val="24"/>
          <w:szCs w:val="24"/>
        </w:rPr>
        <w:t>A</w:t>
      </w:r>
      <w:r>
        <w:rPr>
          <w:sz w:val="24"/>
          <w:szCs w:val="24"/>
        </w:rPr>
        <w:t>ssociation</w:t>
      </w:r>
      <w:r w:rsidRPr="006D223D">
        <w:rPr>
          <w:sz w:val="24"/>
          <w:szCs w:val="24"/>
        </w:rPr>
        <w:t>, M</w:t>
      </w:r>
      <w:r>
        <w:rPr>
          <w:sz w:val="24"/>
          <w:szCs w:val="24"/>
        </w:rPr>
        <w:t xml:space="preserve">assachusetts </w:t>
      </w:r>
      <w:r w:rsidRPr="006D223D">
        <w:rPr>
          <w:sz w:val="24"/>
          <w:szCs w:val="24"/>
        </w:rPr>
        <w:t>E</w:t>
      </w:r>
      <w:r>
        <w:rPr>
          <w:sz w:val="24"/>
          <w:szCs w:val="24"/>
        </w:rPr>
        <w:t xml:space="preserve">nvironmental </w:t>
      </w:r>
      <w:r w:rsidRPr="006D223D">
        <w:rPr>
          <w:sz w:val="24"/>
          <w:szCs w:val="24"/>
        </w:rPr>
        <w:t>H</w:t>
      </w:r>
      <w:r>
        <w:rPr>
          <w:sz w:val="24"/>
          <w:szCs w:val="24"/>
        </w:rPr>
        <w:t xml:space="preserve">ealth </w:t>
      </w:r>
      <w:r w:rsidRPr="006D223D">
        <w:rPr>
          <w:sz w:val="24"/>
          <w:szCs w:val="24"/>
        </w:rPr>
        <w:t>A</w:t>
      </w:r>
      <w:r>
        <w:rPr>
          <w:sz w:val="24"/>
          <w:szCs w:val="24"/>
        </w:rPr>
        <w:t xml:space="preserve">ssociation, MAHB, </w:t>
      </w:r>
      <w:r>
        <w:rPr>
          <w:sz w:val="24"/>
          <w:szCs w:val="24"/>
        </w:rPr>
        <w:lastRenderedPageBreak/>
        <w:t xml:space="preserve">Massachusetts Association of Public Health </w:t>
      </w:r>
      <w:proofErr w:type="gramStart"/>
      <w:r>
        <w:rPr>
          <w:sz w:val="24"/>
          <w:szCs w:val="24"/>
        </w:rPr>
        <w:t>Nurses</w:t>
      </w:r>
      <w:proofErr w:type="gramEnd"/>
      <w:r w:rsidRPr="006D223D">
        <w:rPr>
          <w:sz w:val="24"/>
          <w:szCs w:val="24"/>
        </w:rPr>
        <w:t xml:space="preserve"> and support on-going, affordable, accessible training, especially for Western Mass</w:t>
      </w:r>
      <w:r>
        <w:rPr>
          <w:sz w:val="24"/>
          <w:szCs w:val="24"/>
        </w:rPr>
        <w:t>achusetts</w:t>
      </w:r>
      <w:r w:rsidRPr="006D223D">
        <w:rPr>
          <w:sz w:val="24"/>
          <w:szCs w:val="24"/>
        </w:rPr>
        <w:t xml:space="preserve"> and rural communities, to keep up with innovations and train new-to-the-field LPH staff. </w:t>
      </w:r>
    </w:p>
    <w:p w:rsidR="00DA400A" w:rsidRPr="006D223D" w:rsidRDefault="00DA400A" w:rsidP="002352EC">
      <w:pPr>
        <w:pStyle w:val="ListParagraph"/>
        <w:numPr>
          <w:ilvl w:val="0"/>
          <w:numId w:val="14"/>
        </w:numPr>
        <w:contextualSpacing/>
        <w:rPr>
          <w:sz w:val="24"/>
          <w:szCs w:val="24"/>
        </w:rPr>
      </w:pPr>
      <w:r w:rsidRPr="006D223D">
        <w:rPr>
          <w:sz w:val="24"/>
          <w:szCs w:val="24"/>
        </w:rPr>
        <w:t>More opportunities and support are needed</w:t>
      </w:r>
      <w:proofErr w:type="gramStart"/>
      <w:r w:rsidRPr="006D223D">
        <w:rPr>
          <w:sz w:val="24"/>
          <w:szCs w:val="24"/>
        </w:rPr>
        <w:t>;</w:t>
      </w:r>
      <w:proofErr w:type="gramEnd"/>
      <w:r w:rsidRPr="006D223D">
        <w:rPr>
          <w:sz w:val="24"/>
          <w:szCs w:val="24"/>
        </w:rPr>
        <w:t xml:space="preserve"> especially with regulations or codes changes.</w:t>
      </w:r>
    </w:p>
    <w:p w:rsidR="00DA400A" w:rsidRPr="006D223D" w:rsidRDefault="00DA400A" w:rsidP="002352EC">
      <w:pPr>
        <w:pStyle w:val="ListParagraph"/>
        <w:numPr>
          <w:ilvl w:val="0"/>
          <w:numId w:val="14"/>
        </w:numPr>
        <w:contextualSpacing/>
        <w:rPr>
          <w:sz w:val="24"/>
          <w:szCs w:val="24"/>
        </w:rPr>
      </w:pPr>
      <w:r w:rsidRPr="006D223D">
        <w:rPr>
          <w:sz w:val="24"/>
          <w:szCs w:val="24"/>
        </w:rPr>
        <w:t xml:space="preserve">Need infrastructure; academia needs to be involved; currently Foundations </w:t>
      </w:r>
      <w:r>
        <w:rPr>
          <w:sz w:val="24"/>
          <w:szCs w:val="24"/>
        </w:rPr>
        <w:t xml:space="preserve">of Local Public Health Practice course or Massachusetts </w:t>
      </w:r>
      <w:r w:rsidRPr="006D223D">
        <w:rPr>
          <w:sz w:val="24"/>
          <w:szCs w:val="24"/>
        </w:rPr>
        <w:t>P</w:t>
      </w:r>
      <w:r>
        <w:rPr>
          <w:sz w:val="24"/>
          <w:szCs w:val="24"/>
        </w:rPr>
        <w:t xml:space="preserve">ublic </w:t>
      </w:r>
      <w:r w:rsidRPr="006D223D">
        <w:rPr>
          <w:sz w:val="24"/>
          <w:szCs w:val="24"/>
        </w:rPr>
        <w:t>H</w:t>
      </w:r>
      <w:r>
        <w:rPr>
          <w:sz w:val="24"/>
          <w:szCs w:val="24"/>
        </w:rPr>
        <w:t xml:space="preserve">ealth </w:t>
      </w:r>
      <w:r w:rsidRPr="006D223D">
        <w:rPr>
          <w:sz w:val="24"/>
          <w:szCs w:val="24"/>
        </w:rPr>
        <w:t>I</w:t>
      </w:r>
      <w:r>
        <w:rPr>
          <w:sz w:val="24"/>
          <w:szCs w:val="24"/>
        </w:rPr>
        <w:t xml:space="preserve">nspector </w:t>
      </w:r>
      <w:r w:rsidRPr="006D223D">
        <w:rPr>
          <w:sz w:val="24"/>
          <w:szCs w:val="24"/>
        </w:rPr>
        <w:t>T</w:t>
      </w:r>
      <w:r>
        <w:rPr>
          <w:sz w:val="24"/>
          <w:szCs w:val="24"/>
        </w:rPr>
        <w:t>raining program</w:t>
      </w:r>
      <w:r w:rsidRPr="006D223D">
        <w:rPr>
          <w:sz w:val="24"/>
          <w:szCs w:val="24"/>
        </w:rPr>
        <w:t xml:space="preserve">s are not offered enough to meet the requirements of recommendations; some courses do not currently exist; can have a </w:t>
      </w:r>
      <w:r w:rsidRPr="00B0547B">
        <w:rPr>
          <w:sz w:val="24"/>
          <w:szCs w:val="24"/>
        </w:rPr>
        <w:t>Foundations of Local Public Health Practice</w:t>
      </w:r>
      <w:r>
        <w:rPr>
          <w:i/>
          <w:sz w:val="24"/>
          <w:szCs w:val="24"/>
        </w:rPr>
        <w:t xml:space="preserve"> </w:t>
      </w:r>
      <w:r w:rsidRPr="006D223D">
        <w:rPr>
          <w:sz w:val="24"/>
          <w:szCs w:val="24"/>
        </w:rPr>
        <w:t>by LPHI or equivalent.</w:t>
      </w:r>
    </w:p>
    <w:p w:rsidR="00DA400A" w:rsidRPr="006D223D" w:rsidRDefault="00DA400A" w:rsidP="002352EC">
      <w:pPr>
        <w:pStyle w:val="ListParagraph"/>
        <w:numPr>
          <w:ilvl w:val="0"/>
          <w:numId w:val="14"/>
        </w:numPr>
        <w:contextualSpacing/>
        <w:rPr>
          <w:sz w:val="24"/>
          <w:szCs w:val="24"/>
        </w:rPr>
      </w:pPr>
      <w:r w:rsidRPr="006D223D">
        <w:rPr>
          <w:sz w:val="24"/>
          <w:szCs w:val="24"/>
        </w:rPr>
        <w:t xml:space="preserve">Field training is needed and is critical; the 2010 Competency Report </w:t>
      </w:r>
      <w:r>
        <w:rPr>
          <w:sz w:val="24"/>
          <w:szCs w:val="24"/>
        </w:rPr>
        <w:t xml:space="preserve">(by LPHI) </w:t>
      </w:r>
      <w:r w:rsidRPr="006D223D">
        <w:rPr>
          <w:sz w:val="24"/>
          <w:szCs w:val="24"/>
        </w:rPr>
        <w:t>recommended the need for field training but little movement has happened since.</w:t>
      </w:r>
    </w:p>
    <w:p w:rsidR="00DA400A" w:rsidRPr="006D223D" w:rsidRDefault="00DA400A" w:rsidP="002352EC">
      <w:pPr>
        <w:pStyle w:val="ListParagraph"/>
        <w:numPr>
          <w:ilvl w:val="0"/>
          <w:numId w:val="14"/>
        </w:numPr>
        <w:contextualSpacing/>
        <w:rPr>
          <w:sz w:val="24"/>
          <w:szCs w:val="24"/>
        </w:rPr>
      </w:pPr>
      <w:r w:rsidRPr="006D223D">
        <w:rPr>
          <w:sz w:val="24"/>
          <w:szCs w:val="24"/>
        </w:rPr>
        <w:t>Need training on data collection.</w:t>
      </w:r>
    </w:p>
    <w:p w:rsidR="00DA400A" w:rsidRPr="006D223D" w:rsidRDefault="00DA400A" w:rsidP="002352EC">
      <w:pPr>
        <w:pStyle w:val="ListParagraph"/>
        <w:numPr>
          <w:ilvl w:val="0"/>
          <w:numId w:val="14"/>
        </w:numPr>
        <w:contextualSpacing/>
        <w:rPr>
          <w:sz w:val="24"/>
          <w:szCs w:val="24"/>
        </w:rPr>
      </w:pPr>
      <w:r w:rsidRPr="006D223D">
        <w:rPr>
          <w:sz w:val="24"/>
          <w:szCs w:val="24"/>
        </w:rPr>
        <w:t>Towns need budget or adequate for training.</w:t>
      </w:r>
    </w:p>
    <w:p w:rsidR="00DA400A" w:rsidRPr="006D223D" w:rsidRDefault="00DA400A" w:rsidP="002352EC">
      <w:pPr>
        <w:pStyle w:val="ListParagraph"/>
        <w:numPr>
          <w:ilvl w:val="0"/>
          <w:numId w:val="14"/>
        </w:numPr>
        <w:contextualSpacing/>
        <w:rPr>
          <w:sz w:val="24"/>
          <w:szCs w:val="24"/>
        </w:rPr>
      </w:pPr>
      <w:r w:rsidRPr="006D223D">
        <w:rPr>
          <w:sz w:val="24"/>
          <w:szCs w:val="24"/>
        </w:rPr>
        <w:t>Need to coordinate with DEP to increase relevant training (Title 5/waste water).</w:t>
      </w:r>
    </w:p>
    <w:p w:rsidR="00DA400A" w:rsidRPr="006D223D" w:rsidRDefault="00DA400A" w:rsidP="002352EC">
      <w:pPr>
        <w:pStyle w:val="ListParagraph"/>
        <w:numPr>
          <w:ilvl w:val="0"/>
          <w:numId w:val="14"/>
        </w:numPr>
        <w:contextualSpacing/>
        <w:rPr>
          <w:sz w:val="24"/>
          <w:szCs w:val="24"/>
        </w:rPr>
      </w:pPr>
      <w:r w:rsidRPr="006D223D">
        <w:rPr>
          <w:sz w:val="24"/>
          <w:szCs w:val="24"/>
        </w:rPr>
        <w:t>Use school nurses training and credentialing model to garner support from state; school nurse training model includes training institute funding, consultants, evaluators, funds district schools, supports recruitment and retention.</w:t>
      </w:r>
    </w:p>
    <w:p w:rsidR="00DA400A" w:rsidRPr="006D223D" w:rsidRDefault="00DA400A" w:rsidP="002352EC">
      <w:pPr>
        <w:pStyle w:val="ListParagraph"/>
        <w:numPr>
          <w:ilvl w:val="0"/>
          <w:numId w:val="14"/>
        </w:numPr>
        <w:contextualSpacing/>
        <w:rPr>
          <w:sz w:val="24"/>
          <w:szCs w:val="24"/>
        </w:rPr>
      </w:pPr>
      <w:r w:rsidRPr="006D223D">
        <w:rPr>
          <w:sz w:val="24"/>
          <w:szCs w:val="24"/>
        </w:rPr>
        <w:t>Need more classroom type of training versus on-line.</w:t>
      </w:r>
    </w:p>
    <w:p w:rsidR="00DA400A" w:rsidRPr="006D223D" w:rsidRDefault="00DA400A" w:rsidP="002352EC">
      <w:pPr>
        <w:pStyle w:val="ListParagraph"/>
        <w:numPr>
          <w:ilvl w:val="0"/>
          <w:numId w:val="14"/>
        </w:numPr>
        <w:contextualSpacing/>
        <w:rPr>
          <w:sz w:val="24"/>
          <w:szCs w:val="24"/>
        </w:rPr>
      </w:pPr>
      <w:r w:rsidRPr="006D223D">
        <w:rPr>
          <w:sz w:val="24"/>
          <w:szCs w:val="24"/>
        </w:rPr>
        <w:t>Ask public colleges/universities to set reduced fees for LHD staff who are working towards meeting LHD workforce standards or consider a series of science exams that would meet the science requirements.</w:t>
      </w:r>
    </w:p>
    <w:p w:rsidR="00DA400A" w:rsidRPr="006D223D" w:rsidRDefault="00DA400A" w:rsidP="00DA400A">
      <w:pPr>
        <w:rPr>
          <w:sz w:val="24"/>
          <w:szCs w:val="24"/>
        </w:rPr>
      </w:pPr>
    </w:p>
    <w:p w:rsidR="00DA400A" w:rsidRPr="006D223D" w:rsidRDefault="00DA400A" w:rsidP="00DA400A">
      <w:pPr>
        <w:rPr>
          <w:b/>
          <w:sz w:val="24"/>
          <w:szCs w:val="24"/>
        </w:rPr>
      </w:pPr>
      <w:r w:rsidRPr="006D223D">
        <w:rPr>
          <w:b/>
          <w:sz w:val="24"/>
          <w:szCs w:val="24"/>
        </w:rPr>
        <w:t>Waivers</w:t>
      </w:r>
    </w:p>
    <w:p w:rsidR="00DA400A" w:rsidRPr="006D223D" w:rsidRDefault="00DA400A" w:rsidP="002352EC">
      <w:pPr>
        <w:pStyle w:val="ListParagraph"/>
        <w:numPr>
          <w:ilvl w:val="0"/>
          <w:numId w:val="15"/>
        </w:numPr>
        <w:contextualSpacing/>
        <w:rPr>
          <w:sz w:val="24"/>
          <w:szCs w:val="24"/>
        </w:rPr>
      </w:pPr>
      <w:r w:rsidRPr="006D223D">
        <w:rPr>
          <w:sz w:val="24"/>
          <w:szCs w:val="24"/>
        </w:rPr>
        <w:t xml:space="preserve">Allow waivers for staff with 5+ years of public health experience. </w:t>
      </w:r>
    </w:p>
    <w:p w:rsidR="00DA400A" w:rsidRPr="006D223D" w:rsidRDefault="00DA400A" w:rsidP="002352EC">
      <w:pPr>
        <w:pStyle w:val="ListParagraph"/>
        <w:numPr>
          <w:ilvl w:val="0"/>
          <w:numId w:val="15"/>
        </w:numPr>
        <w:contextualSpacing/>
        <w:rPr>
          <w:sz w:val="24"/>
          <w:szCs w:val="24"/>
        </w:rPr>
      </w:pPr>
      <w:r w:rsidRPr="006D223D">
        <w:rPr>
          <w:sz w:val="24"/>
          <w:szCs w:val="24"/>
        </w:rPr>
        <w:t xml:space="preserve">Require annual educational plan and CEUs reports for all waivers.  </w:t>
      </w:r>
    </w:p>
    <w:p w:rsidR="00DA400A" w:rsidRPr="006D223D" w:rsidRDefault="00DA400A" w:rsidP="002352EC">
      <w:pPr>
        <w:pStyle w:val="ListParagraph"/>
        <w:numPr>
          <w:ilvl w:val="0"/>
          <w:numId w:val="15"/>
        </w:numPr>
        <w:contextualSpacing/>
        <w:rPr>
          <w:sz w:val="24"/>
          <w:szCs w:val="24"/>
        </w:rPr>
      </w:pPr>
      <w:r w:rsidRPr="006D223D">
        <w:rPr>
          <w:sz w:val="24"/>
          <w:szCs w:val="24"/>
        </w:rPr>
        <w:t>All waivers should expire after 3 years, subject to 3 year-renewal for good cause.</w:t>
      </w:r>
    </w:p>
    <w:p w:rsidR="00DA400A" w:rsidRPr="006D223D" w:rsidRDefault="00DA400A" w:rsidP="002352EC">
      <w:pPr>
        <w:pStyle w:val="ListParagraph"/>
        <w:numPr>
          <w:ilvl w:val="0"/>
          <w:numId w:val="15"/>
        </w:numPr>
        <w:contextualSpacing/>
        <w:rPr>
          <w:sz w:val="24"/>
          <w:szCs w:val="24"/>
        </w:rPr>
      </w:pPr>
      <w:r w:rsidRPr="006D223D">
        <w:rPr>
          <w:sz w:val="24"/>
          <w:szCs w:val="24"/>
        </w:rPr>
        <w:t>Give to town and not transferrable – unless DPH for whatever reason approves.</w:t>
      </w:r>
    </w:p>
    <w:p w:rsidR="00DA400A" w:rsidRPr="006D223D" w:rsidRDefault="00DA400A" w:rsidP="002352EC">
      <w:pPr>
        <w:pStyle w:val="ListParagraph"/>
        <w:numPr>
          <w:ilvl w:val="0"/>
          <w:numId w:val="15"/>
        </w:numPr>
        <w:contextualSpacing/>
        <w:rPr>
          <w:sz w:val="24"/>
          <w:szCs w:val="24"/>
        </w:rPr>
      </w:pPr>
      <w:r w:rsidRPr="006D223D">
        <w:rPr>
          <w:sz w:val="24"/>
          <w:szCs w:val="24"/>
        </w:rPr>
        <w:t>Have consequences for when town does not meet standards and can’t apply for a waiver.</w:t>
      </w:r>
    </w:p>
    <w:p w:rsidR="00DA400A" w:rsidRPr="006D223D" w:rsidRDefault="00DA400A" w:rsidP="00DA400A">
      <w:pPr>
        <w:rPr>
          <w:sz w:val="24"/>
          <w:szCs w:val="24"/>
        </w:rPr>
      </w:pPr>
    </w:p>
    <w:p w:rsidR="00DA400A" w:rsidRPr="006D223D" w:rsidRDefault="00DA400A" w:rsidP="00DA400A">
      <w:pPr>
        <w:rPr>
          <w:b/>
          <w:sz w:val="24"/>
          <w:szCs w:val="24"/>
        </w:rPr>
      </w:pPr>
      <w:r w:rsidRPr="006D223D">
        <w:rPr>
          <w:b/>
          <w:sz w:val="24"/>
          <w:szCs w:val="24"/>
        </w:rPr>
        <w:t>“Grandfathering”</w:t>
      </w:r>
    </w:p>
    <w:p w:rsidR="00DA400A" w:rsidRPr="006D223D" w:rsidRDefault="00DA400A" w:rsidP="002352EC">
      <w:pPr>
        <w:pStyle w:val="ListParagraph"/>
        <w:numPr>
          <w:ilvl w:val="0"/>
          <w:numId w:val="16"/>
        </w:numPr>
        <w:contextualSpacing/>
        <w:rPr>
          <w:sz w:val="24"/>
          <w:szCs w:val="24"/>
        </w:rPr>
      </w:pPr>
      <w:r w:rsidRPr="006D223D">
        <w:rPr>
          <w:sz w:val="24"/>
          <w:szCs w:val="24"/>
        </w:rPr>
        <w:t>Support a process for allowing exceptions to meeting the standards.</w:t>
      </w:r>
    </w:p>
    <w:p w:rsidR="00DA400A" w:rsidRPr="006D223D" w:rsidRDefault="00DA400A" w:rsidP="002352EC">
      <w:pPr>
        <w:pStyle w:val="ListParagraph"/>
        <w:numPr>
          <w:ilvl w:val="0"/>
          <w:numId w:val="16"/>
        </w:numPr>
        <w:contextualSpacing/>
        <w:rPr>
          <w:sz w:val="24"/>
          <w:szCs w:val="24"/>
        </w:rPr>
      </w:pPr>
      <w:r w:rsidRPr="006D223D">
        <w:rPr>
          <w:sz w:val="24"/>
          <w:szCs w:val="24"/>
        </w:rPr>
        <w:t>Allow for existing management, inspectors, and PHNs without limitation to be waived, unless there is a break in service of more than 5 years.</w:t>
      </w:r>
    </w:p>
    <w:p w:rsidR="00DA400A" w:rsidRPr="006D223D" w:rsidRDefault="00DA400A" w:rsidP="00DA400A">
      <w:pPr>
        <w:rPr>
          <w:b/>
          <w:sz w:val="24"/>
          <w:szCs w:val="24"/>
        </w:rPr>
      </w:pPr>
    </w:p>
    <w:p w:rsidR="00DA400A" w:rsidRPr="006D223D" w:rsidRDefault="00DA400A" w:rsidP="00DA400A">
      <w:pPr>
        <w:rPr>
          <w:b/>
          <w:sz w:val="24"/>
          <w:szCs w:val="24"/>
        </w:rPr>
      </w:pPr>
      <w:r w:rsidRPr="006D223D">
        <w:rPr>
          <w:b/>
          <w:sz w:val="24"/>
          <w:szCs w:val="24"/>
        </w:rPr>
        <w:t>Trade Association Membership</w:t>
      </w:r>
    </w:p>
    <w:p w:rsidR="00DA400A" w:rsidRPr="006D223D" w:rsidRDefault="00DA400A" w:rsidP="002352EC">
      <w:pPr>
        <w:pStyle w:val="ListParagraph"/>
        <w:numPr>
          <w:ilvl w:val="0"/>
          <w:numId w:val="17"/>
        </w:numPr>
        <w:contextualSpacing/>
        <w:rPr>
          <w:sz w:val="24"/>
          <w:szCs w:val="24"/>
        </w:rPr>
      </w:pPr>
      <w:r w:rsidRPr="006D223D">
        <w:rPr>
          <w:sz w:val="24"/>
          <w:szCs w:val="24"/>
        </w:rPr>
        <w:t xml:space="preserve">Rationale needs to be clear. </w:t>
      </w:r>
    </w:p>
    <w:p w:rsidR="00DA400A" w:rsidRPr="006D223D" w:rsidRDefault="00DA400A" w:rsidP="002352EC">
      <w:pPr>
        <w:pStyle w:val="ListParagraph"/>
        <w:numPr>
          <w:ilvl w:val="0"/>
          <w:numId w:val="17"/>
        </w:numPr>
        <w:contextualSpacing/>
        <w:rPr>
          <w:sz w:val="24"/>
          <w:szCs w:val="24"/>
        </w:rPr>
      </w:pPr>
      <w:r w:rsidRPr="006D223D">
        <w:rPr>
          <w:sz w:val="24"/>
          <w:szCs w:val="24"/>
        </w:rPr>
        <w:t>Associations only have individual not department memberships. If the individual leaves, the membership goes with the person, so there is not an incentive for the town to pay or contribute. Recommend these organizations have department memberships.</w:t>
      </w:r>
    </w:p>
    <w:p w:rsidR="00DA400A" w:rsidRPr="006D223D" w:rsidRDefault="00DA400A" w:rsidP="002352EC">
      <w:pPr>
        <w:pStyle w:val="ListParagraph"/>
        <w:numPr>
          <w:ilvl w:val="0"/>
          <w:numId w:val="17"/>
        </w:numPr>
        <w:contextualSpacing/>
        <w:rPr>
          <w:sz w:val="24"/>
          <w:szCs w:val="24"/>
        </w:rPr>
      </w:pPr>
      <w:r w:rsidRPr="006D223D">
        <w:rPr>
          <w:sz w:val="24"/>
          <w:szCs w:val="24"/>
        </w:rPr>
        <w:t>BOH has no money to cover individual’s or town’s membership.</w:t>
      </w:r>
    </w:p>
    <w:p w:rsidR="003E13DD" w:rsidRPr="006D223D" w:rsidRDefault="003E13DD" w:rsidP="00DA400A">
      <w:pPr>
        <w:rPr>
          <w:b/>
          <w:sz w:val="24"/>
          <w:szCs w:val="24"/>
        </w:rPr>
      </w:pPr>
    </w:p>
    <w:p w:rsidR="00DA400A" w:rsidRPr="006D223D" w:rsidRDefault="00DA400A" w:rsidP="00DA400A">
      <w:pPr>
        <w:rPr>
          <w:rStyle w:val="normaltextrun1"/>
          <w:sz w:val="24"/>
          <w:szCs w:val="24"/>
        </w:rPr>
      </w:pPr>
    </w:p>
    <w:tbl>
      <w:tblPr>
        <w:tblStyle w:val="TableGrid"/>
        <w:tblW w:w="0" w:type="auto"/>
        <w:tblLook w:val="04A0" w:firstRow="1" w:lastRow="0" w:firstColumn="1" w:lastColumn="0" w:noHBand="0" w:noVBand="1"/>
      </w:tblPr>
      <w:tblGrid>
        <w:gridCol w:w="9576"/>
      </w:tblGrid>
      <w:tr w:rsidR="00DA400A" w:rsidRPr="006D223D" w:rsidTr="00DA400A">
        <w:trPr>
          <w:trHeight w:val="576"/>
        </w:trPr>
        <w:tc>
          <w:tcPr>
            <w:tcW w:w="9576" w:type="dxa"/>
            <w:shd w:val="clear" w:color="auto" w:fill="C4BC96" w:themeFill="background2" w:themeFillShade="BF"/>
            <w:vAlign w:val="center"/>
          </w:tcPr>
          <w:p w:rsidR="00DA400A" w:rsidRPr="00263F56" w:rsidRDefault="00DA400A" w:rsidP="00DA400A">
            <w:pPr>
              <w:pStyle w:val="paragraph"/>
              <w:textAlignment w:val="baseline"/>
              <w:rPr>
                <w:rFonts w:asciiTheme="minorHAnsi" w:hAnsiTheme="minorHAnsi"/>
                <w:sz w:val="28"/>
              </w:rPr>
            </w:pPr>
            <w:r w:rsidRPr="00263F56">
              <w:rPr>
                <w:rStyle w:val="normaltextrun1"/>
                <w:rFonts w:asciiTheme="minorHAnsi" w:hAnsiTheme="minorHAnsi"/>
                <w:b/>
                <w:bCs/>
                <w:sz w:val="28"/>
              </w:rPr>
              <w:t>Structure: Cross-jurisdictional Sharing/Regionalization</w:t>
            </w:r>
          </w:p>
        </w:tc>
      </w:tr>
    </w:tbl>
    <w:p w:rsidR="00DA400A" w:rsidRPr="006D223D" w:rsidRDefault="00DA400A" w:rsidP="00DA400A">
      <w:pPr>
        <w:pStyle w:val="paragraph"/>
        <w:textAlignment w:val="baseline"/>
        <w:rPr>
          <w:rFonts w:asciiTheme="minorHAnsi" w:hAnsiTheme="minorHAnsi"/>
        </w:rPr>
      </w:pPr>
    </w:p>
    <w:p w:rsidR="00DA400A" w:rsidRPr="006D223D" w:rsidRDefault="00DA400A" w:rsidP="00DA400A">
      <w:pPr>
        <w:pStyle w:val="paragraph"/>
        <w:textAlignment w:val="baseline"/>
        <w:rPr>
          <w:rFonts w:asciiTheme="minorHAnsi" w:hAnsiTheme="minorHAnsi"/>
        </w:rPr>
      </w:pPr>
      <w:r w:rsidRPr="006D223D">
        <w:rPr>
          <w:rStyle w:val="eop"/>
          <w:rFonts w:asciiTheme="minorHAnsi" w:eastAsiaTheme="minorEastAsia" w:hAnsiTheme="minorHAnsi"/>
        </w:rPr>
        <w:t> </w:t>
      </w:r>
      <w:r w:rsidRPr="006D223D">
        <w:rPr>
          <w:rStyle w:val="normaltextrun1"/>
          <w:rFonts w:asciiTheme="minorHAnsi" w:hAnsiTheme="minorHAnsi"/>
        </w:rPr>
        <w:t>Comments regarding regionalization and cross-jurisdictional sharing (CJS) were relatively modest in number, especially in comparison to workforce credentials</w:t>
      </w:r>
      <w:proofErr w:type="gramStart"/>
      <w:r w:rsidRPr="006D223D">
        <w:rPr>
          <w:rStyle w:val="normaltextrun1"/>
          <w:rFonts w:asciiTheme="minorHAnsi" w:hAnsiTheme="minorHAnsi"/>
        </w:rPr>
        <w:t>.  </w:t>
      </w:r>
      <w:r w:rsidRPr="006D223D">
        <w:rPr>
          <w:rStyle w:val="eop"/>
          <w:rFonts w:asciiTheme="minorHAnsi" w:eastAsiaTheme="minorEastAsia" w:hAnsiTheme="minorHAnsi"/>
        </w:rPr>
        <w:t> </w:t>
      </w:r>
      <w:proofErr w:type="gramEnd"/>
      <w:r w:rsidRPr="006D223D">
        <w:rPr>
          <w:rStyle w:val="eop"/>
          <w:rFonts w:asciiTheme="minorHAnsi" w:eastAsiaTheme="minorEastAsia" w:hAnsiTheme="minorHAnsi"/>
        </w:rPr>
        <w:t>Those comments submitted were generally supportive of regionalization as means of efficiently providing local health services in areas that are currently not meeting existing standards</w:t>
      </w:r>
      <w:proofErr w:type="gramStart"/>
      <w:r w:rsidRPr="006D223D">
        <w:rPr>
          <w:rStyle w:val="eop"/>
          <w:rFonts w:asciiTheme="minorHAnsi" w:eastAsiaTheme="minorEastAsia" w:hAnsiTheme="minorHAnsi"/>
        </w:rPr>
        <w:t xml:space="preserve">.  </w:t>
      </w:r>
      <w:proofErr w:type="gramEnd"/>
      <w:r w:rsidRPr="006D223D">
        <w:rPr>
          <w:rStyle w:val="normaltextrun1"/>
          <w:rFonts w:asciiTheme="minorHAnsi" w:hAnsiTheme="minorHAnsi"/>
        </w:rPr>
        <w:t>One theme from comments submitted is the idea that regionalization is most beneficial to smaller towns and of less direct benefit to larger towns that have more resources, but that was not a universal view.  </w:t>
      </w:r>
      <w:r w:rsidRPr="006D223D">
        <w:rPr>
          <w:rStyle w:val="eop"/>
          <w:rFonts w:asciiTheme="minorHAnsi" w:eastAsiaTheme="minorEastAsia" w:hAnsiTheme="minorHAnsi"/>
        </w:rPr>
        <w:t> </w:t>
      </w:r>
    </w:p>
    <w:p w:rsidR="00DA400A" w:rsidRPr="006D223D" w:rsidRDefault="00DA400A" w:rsidP="00DA400A">
      <w:pPr>
        <w:pStyle w:val="paragraph"/>
        <w:textAlignment w:val="baseline"/>
        <w:rPr>
          <w:rFonts w:asciiTheme="minorHAnsi" w:hAnsiTheme="minorHAnsi"/>
        </w:rPr>
      </w:pPr>
      <w:r w:rsidRPr="006D223D">
        <w:rPr>
          <w:rStyle w:val="eop"/>
          <w:rFonts w:asciiTheme="minorHAnsi" w:eastAsiaTheme="minorEastAsia" w:hAnsiTheme="minorHAnsi"/>
        </w:rPr>
        <w:t> </w:t>
      </w:r>
    </w:p>
    <w:p w:rsidR="00DA400A" w:rsidRPr="006D223D" w:rsidRDefault="00DA400A" w:rsidP="00DA400A">
      <w:pPr>
        <w:pStyle w:val="paragraph"/>
        <w:textAlignment w:val="baseline"/>
        <w:rPr>
          <w:rStyle w:val="eop"/>
          <w:rFonts w:asciiTheme="minorHAnsi" w:eastAsiaTheme="minorEastAsia" w:hAnsiTheme="minorHAnsi"/>
        </w:rPr>
      </w:pPr>
      <w:r w:rsidRPr="006D223D">
        <w:rPr>
          <w:rStyle w:val="normaltextrun1"/>
          <w:rFonts w:asciiTheme="minorHAnsi" w:hAnsiTheme="minorHAnsi"/>
        </w:rPr>
        <w:t>Funding was tied to regionalization in several comments</w:t>
      </w:r>
      <w:proofErr w:type="gramStart"/>
      <w:r w:rsidRPr="006D223D">
        <w:rPr>
          <w:rStyle w:val="normaltextrun1"/>
          <w:rFonts w:asciiTheme="minorHAnsi" w:hAnsiTheme="minorHAnsi"/>
        </w:rPr>
        <w:t xml:space="preserve">.  </w:t>
      </w:r>
      <w:proofErr w:type="gramEnd"/>
      <w:r w:rsidRPr="006D223D">
        <w:rPr>
          <w:rStyle w:val="normaltextrun1"/>
          <w:rFonts w:asciiTheme="minorHAnsi" w:hAnsiTheme="minorHAnsi"/>
        </w:rPr>
        <w:t>Regionalization in and of itself does not lead to enhanced services without additional financial resources to fund those services</w:t>
      </w:r>
      <w:proofErr w:type="gramStart"/>
      <w:r w:rsidRPr="006D223D">
        <w:rPr>
          <w:rStyle w:val="normaltextrun1"/>
          <w:rFonts w:asciiTheme="minorHAnsi" w:hAnsiTheme="minorHAnsi"/>
        </w:rPr>
        <w:t xml:space="preserve">.  </w:t>
      </w:r>
      <w:proofErr w:type="gramEnd"/>
      <w:r w:rsidRPr="006D223D">
        <w:rPr>
          <w:rStyle w:val="normaltextrun1"/>
          <w:rFonts w:asciiTheme="minorHAnsi" w:hAnsiTheme="minorHAnsi"/>
        </w:rPr>
        <w:t>Salient comment (paraphrased here) – </w:t>
      </w:r>
      <w:r w:rsidRPr="006D223D">
        <w:rPr>
          <w:rStyle w:val="eop"/>
          <w:rFonts w:asciiTheme="minorHAnsi" w:eastAsiaTheme="minorEastAsia" w:hAnsiTheme="minorHAnsi"/>
        </w:rPr>
        <w:t>“State initiatives come and go</w:t>
      </w:r>
      <w:proofErr w:type="gramStart"/>
      <w:r w:rsidRPr="006D223D">
        <w:rPr>
          <w:rStyle w:val="eop"/>
          <w:rFonts w:asciiTheme="minorHAnsi" w:eastAsiaTheme="minorEastAsia" w:hAnsiTheme="minorHAnsi"/>
        </w:rPr>
        <w:t xml:space="preserve">.  </w:t>
      </w:r>
      <w:proofErr w:type="gramEnd"/>
      <w:r w:rsidRPr="006D223D">
        <w:rPr>
          <w:rStyle w:val="eop"/>
          <w:rFonts w:asciiTheme="minorHAnsi" w:eastAsiaTheme="minorEastAsia" w:hAnsiTheme="minorHAnsi"/>
        </w:rPr>
        <w:t>Very difficult on the community level when they buy into the initiative and then they “go</w:t>
      </w:r>
      <w:proofErr w:type="gramStart"/>
      <w:r w:rsidRPr="006D223D">
        <w:rPr>
          <w:rStyle w:val="eop"/>
          <w:rFonts w:asciiTheme="minorHAnsi" w:eastAsiaTheme="minorEastAsia" w:hAnsiTheme="minorHAnsi"/>
        </w:rPr>
        <w:t>”,</w:t>
      </w:r>
      <w:proofErr w:type="gramEnd"/>
      <w:r w:rsidRPr="006D223D">
        <w:rPr>
          <w:rStyle w:val="eop"/>
          <w:rFonts w:asciiTheme="minorHAnsi" w:eastAsiaTheme="minorEastAsia" w:hAnsiTheme="minorHAnsi"/>
        </w:rPr>
        <w:t xml:space="preserve"> i.e., funding and support dry up”.</w:t>
      </w:r>
    </w:p>
    <w:p w:rsidR="00DA400A" w:rsidRPr="006D223D" w:rsidRDefault="00DA400A" w:rsidP="00DA400A">
      <w:pPr>
        <w:pStyle w:val="paragraph"/>
        <w:textAlignment w:val="baseline"/>
        <w:rPr>
          <w:rStyle w:val="eop"/>
          <w:rFonts w:asciiTheme="minorHAnsi" w:eastAsiaTheme="minorEastAsia" w:hAnsiTheme="minorHAnsi"/>
        </w:rPr>
      </w:pPr>
    </w:p>
    <w:p w:rsidR="00DA400A" w:rsidRPr="006D223D" w:rsidRDefault="00DA400A" w:rsidP="00DA400A">
      <w:pPr>
        <w:pStyle w:val="paragraph"/>
        <w:textAlignment w:val="baseline"/>
        <w:rPr>
          <w:rStyle w:val="eop"/>
          <w:rFonts w:asciiTheme="minorHAnsi" w:eastAsiaTheme="minorEastAsia" w:hAnsiTheme="minorHAnsi"/>
        </w:rPr>
      </w:pPr>
      <w:r w:rsidRPr="006D223D">
        <w:rPr>
          <w:rStyle w:val="eop"/>
          <w:rFonts w:asciiTheme="minorHAnsi" w:eastAsiaTheme="minorEastAsia" w:hAnsiTheme="minorHAnsi"/>
        </w:rPr>
        <w:t>Most of the comments regarding structure were submitted from jurisdictions that actively participate in regional public health district or alliance collaboration</w:t>
      </w:r>
      <w:proofErr w:type="gramStart"/>
      <w:r w:rsidRPr="006D223D">
        <w:rPr>
          <w:rStyle w:val="eop"/>
          <w:rFonts w:asciiTheme="minorHAnsi" w:eastAsiaTheme="minorEastAsia" w:hAnsiTheme="minorHAnsi"/>
        </w:rPr>
        <w:t xml:space="preserve">.  </w:t>
      </w:r>
      <w:proofErr w:type="gramEnd"/>
      <w:r w:rsidRPr="006D223D">
        <w:rPr>
          <w:rStyle w:val="eop"/>
          <w:rFonts w:asciiTheme="minorHAnsi" w:eastAsiaTheme="minorEastAsia" w:hAnsiTheme="minorHAnsi"/>
        </w:rPr>
        <w:t>These comments were mostly very positive</w:t>
      </w:r>
      <w:proofErr w:type="gramStart"/>
      <w:r w:rsidRPr="006D223D">
        <w:rPr>
          <w:rStyle w:val="eop"/>
          <w:rFonts w:asciiTheme="minorHAnsi" w:eastAsiaTheme="minorEastAsia" w:hAnsiTheme="minorHAnsi"/>
        </w:rPr>
        <w:t xml:space="preserve">.  </w:t>
      </w:r>
      <w:proofErr w:type="gramEnd"/>
      <w:r w:rsidRPr="006D223D">
        <w:rPr>
          <w:rStyle w:val="eop"/>
          <w:rFonts w:asciiTheme="minorHAnsi" w:eastAsiaTheme="minorEastAsia" w:hAnsiTheme="minorHAnsi"/>
        </w:rPr>
        <w:t>Specific comments included access to more services, increased access to better trained staff, and increased learning opportunities that are a result of cross-jurisdictional sharing and collaboration, These observations might suggest that the experience of regionalization in Massachusetts is positive and those who question its efficacy are largely those who have not had direct experience working in a regional setting that delivers CJS</w:t>
      </w:r>
      <w:proofErr w:type="gramStart"/>
      <w:r w:rsidRPr="006D223D">
        <w:rPr>
          <w:rStyle w:val="eop"/>
          <w:rFonts w:asciiTheme="minorHAnsi" w:eastAsiaTheme="minorEastAsia" w:hAnsiTheme="minorHAnsi"/>
        </w:rPr>
        <w:t xml:space="preserve">.  </w:t>
      </w:r>
      <w:proofErr w:type="gramEnd"/>
      <w:r w:rsidRPr="006D223D">
        <w:rPr>
          <w:rStyle w:val="eop"/>
          <w:rFonts w:asciiTheme="minorHAnsi" w:eastAsiaTheme="minorEastAsia" w:hAnsiTheme="minorHAnsi"/>
        </w:rPr>
        <w:t xml:space="preserve">One challenge that was cited regarding existing regional collaborations is it can be difficult for towns of differing size to find a way to collaborate “fairly”, so that one municipality is not in the position of having to subsidize another.  </w:t>
      </w:r>
    </w:p>
    <w:p w:rsidR="00DA400A" w:rsidRPr="006D223D" w:rsidRDefault="00DA400A" w:rsidP="00DA400A">
      <w:pPr>
        <w:pStyle w:val="paragraph"/>
        <w:textAlignment w:val="baseline"/>
        <w:rPr>
          <w:rStyle w:val="eop"/>
          <w:rFonts w:asciiTheme="minorHAnsi" w:eastAsiaTheme="minorEastAsia" w:hAnsiTheme="minorHAnsi"/>
        </w:rPr>
      </w:pPr>
    </w:p>
    <w:tbl>
      <w:tblPr>
        <w:tblStyle w:val="TableGrid"/>
        <w:tblW w:w="0" w:type="auto"/>
        <w:tblLook w:val="04A0" w:firstRow="1" w:lastRow="0" w:firstColumn="1" w:lastColumn="0" w:noHBand="0" w:noVBand="1"/>
      </w:tblPr>
      <w:tblGrid>
        <w:gridCol w:w="9576"/>
      </w:tblGrid>
      <w:tr w:rsidR="00DA400A" w:rsidRPr="00586EB8" w:rsidTr="00DA400A">
        <w:trPr>
          <w:trHeight w:val="576"/>
        </w:trPr>
        <w:tc>
          <w:tcPr>
            <w:tcW w:w="9576" w:type="dxa"/>
            <w:shd w:val="clear" w:color="auto" w:fill="F79646" w:themeFill="accent6"/>
            <w:vAlign w:val="center"/>
          </w:tcPr>
          <w:p w:rsidR="00DA400A" w:rsidRPr="00263F56" w:rsidRDefault="00DA400A" w:rsidP="00DA400A">
            <w:pPr>
              <w:pStyle w:val="paragraph"/>
              <w:textAlignment w:val="baseline"/>
              <w:rPr>
                <w:rStyle w:val="eop"/>
                <w:rFonts w:asciiTheme="minorHAnsi" w:eastAsiaTheme="minorEastAsia" w:hAnsiTheme="minorHAnsi"/>
                <w:b/>
                <w:sz w:val="28"/>
              </w:rPr>
            </w:pPr>
            <w:r w:rsidRPr="00263F56">
              <w:rPr>
                <w:rStyle w:val="eop"/>
                <w:rFonts w:asciiTheme="minorHAnsi" w:eastAsiaTheme="minorEastAsia" w:hAnsiTheme="minorHAnsi"/>
                <w:b/>
                <w:sz w:val="28"/>
              </w:rPr>
              <w:t>Data</w:t>
            </w:r>
          </w:p>
        </w:tc>
      </w:tr>
    </w:tbl>
    <w:p w:rsidR="00DA400A" w:rsidRPr="006D223D" w:rsidRDefault="00DA400A" w:rsidP="00DA400A">
      <w:pPr>
        <w:pStyle w:val="paragraph"/>
        <w:textAlignment w:val="baseline"/>
        <w:rPr>
          <w:rStyle w:val="eop"/>
          <w:rFonts w:asciiTheme="minorHAnsi" w:eastAsiaTheme="minorEastAsia" w:hAnsiTheme="minorHAnsi"/>
        </w:rPr>
      </w:pPr>
    </w:p>
    <w:p w:rsidR="00DA400A" w:rsidRPr="006D223D" w:rsidRDefault="00DA400A" w:rsidP="00DA400A">
      <w:pPr>
        <w:pStyle w:val="paragraph"/>
        <w:textAlignment w:val="baseline"/>
        <w:rPr>
          <w:rStyle w:val="normaltextrun1"/>
          <w:rFonts w:asciiTheme="minorHAnsi" w:hAnsiTheme="minorHAnsi"/>
        </w:rPr>
      </w:pPr>
      <w:r w:rsidRPr="006D223D">
        <w:rPr>
          <w:rStyle w:val="normaltextrun1"/>
          <w:rFonts w:asciiTheme="minorHAnsi" w:hAnsiTheme="minorHAnsi"/>
        </w:rPr>
        <w:t>Comments related to data were limited to feedback and concerns on the importance of small town data, timely data collection, coordinated dissemination efforts, and ways to strengthen data collection efforts in Massachusetts</w:t>
      </w:r>
      <w:proofErr w:type="gramStart"/>
      <w:r w:rsidRPr="006D223D">
        <w:rPr>
          <w:rStyle w:val="normaltextrun1"/>
          <w:rFonts w:asciiTheme="minorHAnsi" w:hAnsiTheme="minorHAnsi"/>
        </w:rPr>
        <w:t xml:space="preserve">.  </w:t>
      </w:r>
      <w:proofErr w:type="gramEnd"/>
      <w:r w:rsidRPr="006D223D">
        <w:rPr>
          <w:rStyle w:val="normaltextrun1"/>
          <w:rFonts w:asciiTheme="minorHAnsi" w:hAnsiTheme="minorHAnsi"/>
        </w:rPr>
        <w:t>The comments reflected many jurisdictions across the Commonwealth and are noted below in key themes – small towns, timely and coordinated data, lack of resources/unfunded mandates, and general ideas/suggestions.</w:t>
      </w:r>
    </w:p>
    <w:p w:rsidR="00DA400A" w:rsidRPr="006D223D" w:rsidRDefault="00DA400A" w:rsidP="00DA400A">
      <w:pPr>
        <w:pStyle w:val="paragraph"/>
        <w:textAlignment w:val="baseline"/>
        <w:rPr>
          <w:rStyle w:val="normaltextrun1"/>
          <w:rFonts w:asciiTheme="minorHAnsi" w:hAnsiTheme="minorHAnsi"/>
        </w:rPr>
      </w:pPr>
    </w:p>
    <w:p w:rsidR="001C30FF" w:rsidRDefault="001C30FF" w:rsidP="00DA400A">
      <w:pPr>
        <w:pStyle w:val="paragraph"/>
        <w:textAlignment w:val="baseline"/>
        <w:rPr>
          <w:rStyle w:val="normaltextrun1"/>
          <w:rFonts w:asciiTheme="minorHAnsi" w:hAnsiTheme="minorHAnsi"/>
          <w:b/>
        </w:rPr>
      </w:pPr>
    </w:p>
    <w:p w:rsidR="00DA400A" w:rsidRPr="006D223D" w:rsidRDefault="00DA400A" w:rsidP="00DA400A">
      <w:pPr>
        <w:pStyle w:val="paragraph"/>
        <w:textAlignment w:val="baseline"/>
        <w:rPr>
          <w:rStyle w:val="normaltextrun1"/>
          <w:rFonts w:asciiTheme="minorHAnsi" w:hAnsiTheme="minorHAnsi"/>
          <w:b/>
        </w:rPr>
      </w:pPr>
      <w:r w:rsidRPr="006D223D">
        <w:rPr>
          <w:rStyle w:val="normaltextrun1"/>
          <w:rFonts w:asciiTheme="minorHAnsi" w:hAnsiTheme="minorHAnsi"/>
          <w:b/>
        </w:rPr>
        <w:t>Small towns</w:t>
      </w:r>
    </w:p>
    <w:p w:rsidR="00DA400A" w:rsidRPr="006D223D" w:rsidRDefault="00DA400A" w:rsidP="002352EC">
      <w:pPr>
        <w:pStyle w:val="ListParagraph"/>
        <w:numPr>
          <w:ilvl w:val="0"/>
          <w:numId w:val="1"/>
        </w:numPr>
        <w:ind w:left="360"/>
        <w:contextualSpacing/>
        <w:rPr>
          <w:sz w:val="24"/>
          <w:szCs w:val="24"/>
        </w:rPr>
      </w:pPr>
      <w:r w:rsidRPr="006D223D">
        <w:rPr>
          <w:sz w:val="24"/>
          <w:szCs w:val="24"/>
        </w:rPr>
        <w:t>All cities and towns, regardless of size, need community-specific data for planning and grant writing.</w:t>
      </w:r>
    </w:p>
    <w:p w:rsidR="00DA400A" w:rsidRPr="006D223D" w:rsidRDefault="00DA400A" w:rsidP="002352EC">
      <w:pPr>
        <w:pStyle w:val="ListParagraph"/>
        <w:numPr>
          <w:ilvl w:val="0"/>
          <w:numId w:val="1"/>
        </w:numPr>
        <w:ind w:left="360"/>
        <w:contextualSpacing/>
        <w:rPr>
          <w:sz w:val="24"/>
          <w:szCs w:val="24"/>
        </w:rPr>
      </w:pPr>
      <w:r w:rsidRPr="006D223D">
        <w:rPr>
          <w:sz w:val="24"/>
          <w:szCs w:val="24"/>
        </w:rPr>
        <w:t>Concern expressed that DPH small town data is not always accurate or useful.</w:t>
      </w:r>
    </w:p>
    <w:p w:rsidR="00DA400A" w:rsidRPr="006D223D" w:rsidRDefault="00DA400A" w:rsidP="002352EC">
      <w:pPr>
        <w:pStyle w:val="ListParagraph"/>
        <w:numPr>
          <w:ilvl w:val="0"/>
          <w:numId w:val="1"/>
        </w:numPr>
        <w:ind w:left="360"/>
        <w:contextualSpacing/>
        <w:rPr>
          <w:sz w:val="24"/>
          <w:szCs w:val="24"/>
        </w:rPr>
      </w:pPr>
      <w:r w:rsidRPr="006D223D">
        <w:rPr>
          <w:sz w:val="24"/>
          <w:szCs w:val="24"/>
        </w:rPr>
        <w:t>Small towns need staff capacity to collect data and use it to plan and write grants. Most small health departments have a single person staff person who does not have time for data collection and analysis</w:t>
      </w:r>
      <w:proofErr w:type="gramStart"/>
      <w:r w:rsidRPr="006D223D">
        <w:rPr>
          <w:sz w:val="24"/>
          <w:szCs w:val="24"/>
        </w:rPr>
        <w:t>..</w:t>
      </w:r>
      <w:proofErr w:type="gramEnd"/>
    </w:p>
    <w:p w:rsidR="00DA400A" w:rsidRPr="006D223D" w:rsidRDefault="00DA400A" w:rsidP="00DA400A">
      <w:pPr>
        <w:pStyle w:val="paragraph"/>
        <w:textAlignment w:val="baseline"/>
        <w:rPr>
          <w:rStyle w:val="normaltextrun1"/>
          <w:rFonts w:asciiTheme="minorHAnsi" w:hAnsiTheme="minorHAnsi"/>
          <w:b/>
        </w:rPr>
      </w:pPr>
    </w:p>
    <w:p w:rsidR="00DA400A" w:rsidRPr="006D223D" w:rsidRDefault="00DA400A" w:rsidP="00DA400A">
      <w:pPr>
        <w:pStyle w:val="paragraph"/>
        <w:textAlignment w:val="baseline"/>
        <w:rPr>
          <w:rStyle w:val="normaltextrun1"/>
          <w:rFonts w:asciiTheme="minorHAnsi" w:hAnsiTheme="minorHAnsi"/>
          <w:b/>
        </w:rPr>
      </w:pPr>
      <w:r w:rsidRPr="006D223D">
        <w:rPr>
          <w:rStyle w:val="normaltextrun1"/>
          <w:rFonts w:asciiTheme="minorHAnsi" w:hAnsiTheme="minorHAnsi"/>
          <w:b/>
        </w:rPr>
        <w:t>Timely and coordinated</w:t>
      </w:r>
    </w:p>
    <w:p w:rsidR="00DA400A" w:rsidRPr="006D223D" w:rsidRDefault="00DA400A" w:rsidP="002352EC">
      <w:pPr>
        <w:pStyle w:val="ListParagraph"/>
        <w:numPr>
          <w:ilvl w:val="0"/>
          <w:numId w:val="1"/>
        </w:numPr>
        <w:ind w:left="360"/>
        <w:contextualSpacing/>
        <w:rPr>
          <w:sz w:val="24"/>
          <w:szCs w:val="24"/>
        </w:rPr>
      </w:pPr>
      <w:r w:rsidRPr="006D223D">
        <w:rPr>
          <w:sz w:val="24"/>
          <w:szCs w:val="24"/>
        </w:rPr>
        <w:t>Data collection and dissemination needs to be more timely and shared across/among communities. Older data (e.g., 2015 is most recent in some cases) is difficult to use at local level because of rapidly shifting demographics in some communities.</w:t>
      </w:r>
    </w:p>
    <w:p w:rsidR="00DA400A" w:rsidRPr="006D223D" w:rsidRDefault="00DA400A" w:rsidP="002352EC">
      <w:pPr>
        <w:pStyle w:val="ListParagraph"/>
        <w:numPr>
          <w:ilvl w:val="0"/>
          <w:numId w:val="1"/>
        </w:numPr>
        <w:ind w:left="360"/>
        <w:contextualSpacing/>
        <w:rPr>
          <w:sz w:val="24"/>
          <w:szCs w:val="24"/>
        </w:rPr>
      </w:pPr>
      <w:r w:rsidRPr="006D223D">
        <w:rPr>
          <w:sz w:val="24"/>
          <w:szCs w:val="24"/>
        </w:rPr>
        <w:t>Suggestion that DPH and DEP cooperate on data collection for recreational camps so that LHDs aren’t required to submit similar data sets to both agencies but in different formats.</w:t>
      </w:r>
    </w:p>
    <w:p w:rsidR="00DA400A" w:rsidRPr="006D223D" w:rsidRDefault="00DA400A" w:rsidP="002352EC">
      <w:pPr>
        <w:pStyle w:val="ListParagraph"/>
        <w:numPr>
          <w:ilvl w:val="0"/>
          <w:numId w:val="1"/>
        </w:numPr>
        <w:ind w:left="360"/>
        <w:contextualSpacing/>
        <w:rPr>
          <w:sz w:val="24"/>
          <w:szCs w:val="24"/>
        </w:rPr>
      </w:pPr>
      <w:r w:rsidRPr="006D223D">
        <w:rPr>
          <w:sz w:val="24"/>
          <w:szCs w:val="24"/>
        </w:rPr>
        <w:t>Current data compiled is “reactionary”</w:t>
      </w:r>
      <w:proofErr w:type="gramStart"/>
      <w:r w:rsidRPr="006D223D">
        <w:rPr>
          <w:sz w:val="24"/>
          <w:szCs w:val="24"/>
        </w:rPr>
        <w:t xml:space="preserve">.  </w:t>
      </w:r>
      <w:proofErr w:type="gramEnd"/>
      <w:r w:rsidRPr="006D223D">
        <w:rPr>
          <w:sz w:val="24"/>
          <w:szCs w:val="24"/>
        </w:rPr>
        <w:t>Need more proactive information about public health: contribute to a culture of health in communities.</w:t>
      </w:r>
    </w:p>
    <w:p w:rsidR="00DA400A" w:rsidRPr="006D223D" w:rsidRDefault="00DA400A" w:rsidP="002352EC">
      <w:pPr>
        <w:pStyle w:val="ListParagraph"/>
        <w:numPr>
          <w:ilvl w:val="0"/>
          <w:numId w:val="1"/>
        </w:numPr>
        <w:ind w:left="360"/>
        <w:contextualSpacing/>
        <w:rPr>
          <w:sz w:val="24"/>
          <w:szCs w:val="24"/>
        </w:rPr>
      </w:pPr>
      <w:r w:rsidRPr="006D223D">
        <w:rPr>
          <w:sz w:val="24"/>
          <w:szCs w:val="24"/>
        </w:rPr>
        <w:t>The drive for more data must be weighed against local administrative capacity and resources. Just asking for more data, will not always result in what is needed. Past DPH practice was to include in a requirement in regulations that the BOH forward data instead of requiring permit holders to send to DPH. The BOHs were in essence “the clerks for DPH</w:t>
      </w:r>
      <w:proofErr w:type="gramStart"/>
      <w:r w:rsidRPr="006D223D">
        <w:rPr>
          <w:sz w:val="24"/>
          <w:szCs w:val="24"/>
        </w:rPr>
        <w:t>”.</w:t>
      </w:r>
      <w:proofErr w:type="gramEnd"/>
      <w:r w:rsidRPr="006D223D">
        <w:rPr>
          <w:sz w:val="24"/>
          <w:szCs w:val="24"/>
        </w:rPr>
        <w:t xml:space="preserve"> A more effective tool is, for example, to require beach testing results to be sent to BOH and DPH simultaneously. DPH beach testing </w:t>
      </w:r>
      <w:proofErr w:type="gramStart"/>
      <w:r w:rsidRPr="006D223D">
        <w:rPr>
          <w:sz w:val="24"/>
          <w:szCs w:val="24"/>
        </w:rPr>
        <w:t>staff have</w:t>
      </w:r>
      <w:proofErr w:type="gramEnd"/>
      <w:r w:rsidRPr="006D223D">
        <w:rPr>
          <w:sz w:val="24"/>
          <w:szCs w:val="24"/>
        </w:rPr>
        <w:t xml:space="preserve"> established an email address to receive these reports. The result is data in real time instead of at the end of beach season. Easy to fill-in data sheets should accompany reporting requirements (for example, the DPH food inspections annual report.)</w:t>
      </w:r>
    </w:p>
    <w:p w:rsidR="00DA400A" w:rsidRPr="006D223D" w:rsidRDefault="00DA400A" w:rsidP="00DA400A">
      <w:pPr>
        <w:pStyle w:val="ListParagraph"/>
        <w:ind w:left="360"/>
        <w:rPr>
          <w:sz w:val="24"/>
          <w:szCs w:val="24"/>
        </w:rPr>
      </w:pPr>
    </w:p>
    <w:p w:rsidR="00DA400A" w:rsidRPr="006D223D" w:rsidRDefault="00DA400A" w:rsidP="00DA400A">
      <w:pPr>
        <w:pStyle w:val="paragraph"/>
        <w:textAlignment w:val="baseline"/>
        <w:rPr>
          <w:rStyle w:val="normaltextrun1"/>
          <w:rFonts w:asciiTheme="minorHAnsi" w:hAnsiTheme="minorHAnsi"/>
          <w:b/>
        </w:rPr>
      </w:pPr>
      <w:r w:rsidRPr="006D223D">
        <w:rPr>
          <w:rStyle w:val="normaltextrun1"/>
          <w:rFonts w:asciiTheme="minorHAnsi" w:hAnsiTheme="minorHAnsi"/>
          <w:b/>
        </w:rPr>
        <w:t>Lack of resources/unfunded mandates</w:t>
      </w:r>
    </w:p>
    <w:p w:rsidR="00DA400A" w:rsidRPr="006D223D" w:rsidRDefault="00DA400A" w:rsidP="002352EC">
      <w:pPr>
        <w:pStyle w:val="ListParagraph"/>
        <w:numPr>
          <w:ilvl w:val="0"/>
          <w:numId w:val="1"/>
        </w:numPr>
        <w:ind w:left="360"/>
        <w:contextualSpacing/>
        <w:rPr>
          <w:sz w:val="24"/>
          <w:szCs w:val="24"/>
        </w:rPr>
      </w:pPr>
      <w:r w:rsidRPr="006D223D">
        <w:rPr>
          <w:sz w:val="24"/>
          <w:szCs w:val="24"/>
        </w:rPr>
        <w:t>Local health departments don’t have resources to meet all current demands on data reporting; undercounting is likely (e.g., when DPH reports the number of local health departments that submit food inspection reports).</w:t>
      </w:r>
    </w:p>
    <w:p w:rsidR="00DA400A" w:rsidRPr="006D223D" w:rsidRDefault="00DA400A" w:rsidP="002352EC">
      <w:pPr>
        <w:pStyle w:val="ListParagraph"/>
        <w:numPr>
          <w:ilvl w:val="0"/>
          <w:numId w:val="1"/>
        </w:numPr>
        <w:ind w:left="360"/>
        <w:contextualSpacing/>
        <w:rPr>
          <w:sz w:val="24"/>
          <w:szCs w:val="24"/>
        </w:rPr>
      </w:pPr>
      <w:r w:rsidRPr="006D223D">
        <w:rPr>
          <w:sz w:val="24"/>
          <w:szCs w:val="24"/>
        </w:rPr>
        <w:t xml:space="preserve">When statute or regulations requires BOH to inspect housing upon request, food establishments a minimum of two times a year, recreational camps or pools, or to have a lead </w:t>
      </w:r>
      <w:proofErr w:type="spellStart"/>
      <w:r w:rsidRPr="006D223D">
        <w:rPr>
          <w:sz w:val="24"/>
          <w:szCs w:val="24"/>
        </w:rPr>
        <w:t>determinator</w:t>
      </w:r>
      <w:proofErr w:type="spellEnd"/>
      <w:r w:rsidRPr="006D223D">
        <w:rPr>
          <w:sz w:val="24"/>
          <w:szCs w:val="24"/>
        </w:rPr>
        <w:t xml:space="preserve">, consider the burden of the unfunded mandate. </w:t>
      </w:r>
    </w:p>
    <w:p w:rsidR="00DA400A" w:rsidRPr="006D223D" w:rsidRDefault="00DA400A" w:rsidP="002352EC">
      <w:pPr>
        <w:pStyle w:val="ListParagraph"/>
        <w:numPr>
          <w:ilvl w:val="0"/>
          <w:numId w:val="1"/>
        </w:numPr>
        <w:ind w:left="360"/>
        <w:contextualSpacing/>
        <w:rPr>
          <w:b/>
          <w:sz w:val="24"/>
          <w:szCs w:val="24"/>
        </w:rPr>
      </w:pPr>
      <w:r w:rsidRPr="006D223D">
        <w:rPr>
          <w:sz w:val="24"/>
          <w:szCs w:val="24"/>
        </w:rPr>
        <w:t xml:space="preserve">As state cut back DPH and DEP staff and resources, capacity at the local level was decreased. Re-energize DPH regional offices and mandates. Bring back the DPH district health officer program. </w:t>
      </w:r>
    </w:p>
    <w:p w:rsidR="00DA400A" w:rsidRPr="006D223D" w:rsidRDefault="00DA400A" w:rsidP="00DA400A">
      <w:pPr>
        <w:rPr>
          <w:b/>
          <w:sz w:val="24"/>
          <w:szCs w:val="24"/>
        </w:rPr>
      </w:pPr>
    </w:p>
    <w:p w:rsidR="00DA400A" w:rsidRPr="006D223D" w:rsidRDefault="00DA400A" w:rsidP="00DA400A">
      <w:pPr>
        <w:rPr>
          <w:b/>
          <w:sz w:val="24"/>
          <w:szCs w:val="24"/>
        </w:rPr>
      </w:pPr>
      <w:r>
        <w:rPr>
          <w:b/>
          <w:sz w:val="24"/>
          <w:szCs w:val="24"/>
        </w:rPr>
        <w:t>General ideas/suggestions</w:t>
      </w:r>
    </w:p>
    <w:p w:rsidR="00DA400A" w:rsidRPr="006D223D" w:rsidRDefault="00DA400A" w:rsidP="002352EC">
      <w:pPr>
        <w:pStyle w:val="ListParagraph"/>
        <w:numPr>
          <w:ilvl w:val="0"/>
          <w:numId w:val="1"/>
        </w:numPr>
        <w:ind w:left="360"/>
        <w:contextualSpacing/>
        <w:rPr>
          <w:sz w:val="24"/>
          <w:szCs w:val="24"/>
        </w:rPr>
      </w:pPr>
      <w:r w:rsidRPr="006D223D">
        <w:rPr>
          <w:sz w:val="24"/>
          <w:szCs w:val="24"/>
        </w:rPr>
        <w:t>The state auditor report on food inspections might be useful to make the case for increased local health resources and support. Report should be shared with the Commission.</w:t>
      </w:r>
    </w:p>
    <w:p w:rsidR="00DA400A" w:rsidRPr="006D223D" w:rsidRDefault="00DA400A" w:rsidP="002352EC">
      <w:pPr>
        <w:pStyle w:val="ListParagraph"/>
        <w:numPr>
          <w:ilvl w:val="0"/>
          <w:numId w:val="1"/>
        </w:numPr>
        <w:ind w:left="360"/>
        <w:contextualSpacing/>
        <w:rPr>
          <w:sz w:val="24"/>
          <w:szCs w:val="24"/>
        </w:rPr>
      </w:pPr>
      <w:r w:rsidRPr="006D223D">
        <w:rPr>
          <w:sz w:val="24"/>
          <w:szCs w:val="24"/>
        </w:rPr>
        <w:t>Continue a strong State Lab, Epidemiologists, Arbovirus support, and Food Protection Program, etc. to provide the technical assistance and guidance.</w:t>
      </w:r>
    </w:p>
    <w:p w:rsidR="00DA400A" w:rsidRPr="006D223D" w:rsidRDefault="00DA400A" w:rsidP="002352EC">
      <w:pPr>
        <w:pStyle w:val="ListParagraph"/>
        <w:numPr>
          <w:ilvl w:val="0"/>
          <w:numId w:val="1"/>
        </w:numPr>
        <w:ind w:left="360"/>
        <w:contextualSpacing/>
        <w:rPr>
          <w:sz w:val="24"/>
          <w:szCs w:val="24"/>
        </w:rPr>
      </w:pPr>
      <w:r w:rsidRPr="006D223D">
        <w:rPr>
          <w:sz w:val="24"/>
          <w:szCs w:val="24"/>
        </w:rPr>
        <w:lastRenderedPageBreak/>
        <w:t xml:space="preserve">Assess in statute, requirements for funding from state resources such reimbursement for capital expenses for health district, for half moving costs when LBOH condemn a dwelling, and TB-DOT reimbursement cost etc. </w:t>
      </w:r>
    </w:p>
    <w:p w:rsidR="00DA400A" w:rsidRPr="006D223D" w:rsidRDefault="00DA400A" w:rsidP="002352EC">
      <w:pPr>
        <w:pStyle w:val="ListParagraph"/>
        <w:numPr>
          <w:ilvl w:val="0"/>
          <w:numId w:val="1"/>
        </w:numPr>
        <w:ind w:left="360"/>
        <w:contextualSpacing/>
        <w:rPr>
          <w:sz w:val="24"/>
          <w:szCs w:val="24"/>
        </w:rPr>
      </w:pPr>
      <w:r w:rsidRPr="006D223D">
        <w:rPr>
          <w:sz w:val="24"/>
          <w:szCs w:val="24"/>
        </w:rPr>
        <w:t>Why aren’t camps used as a data set as it is a required report</w:t>
      </w:r>
    </w:p>
    <w:p w:rsidR="00DA400A" w:rsidRPr="006D223D" w:rsidRDefault="00DA400A" w:rsidP="002352EC">
      <w:pPr>
        <w:pStyle w:val="ListParagraph"/>
        <w:numPr>
          <w:ilvl w:val="0"/>
          <w:numId w:val="1"/>
        </w:numPr>
        <w:ind w:left="360"/>
        <w:contextualSpacing/>
        <w:rPr>
          <w:sz w:val="24"/>
          <w:szCs w:val="24"/>
        </w:rPr>
      </w:pPr>
      <w:r w:rsidRPr="006D223D">
        <w:rPr>
          <w:sz w:val="24"/>
          <w:szCs w:val="24"/>
        </w:rPr>
        <w:t>“Data on compliance with food inspector qualifications”- the question not explained is to what qualifications is the report referring?</w:t>
      </w:r>
    </w:p>
    <w:p w:rsidR="00DA400A" w:rsidRPr="006D223D" w:rsidRDefault="00DA400A" w:rsidP="00DA400A">
      <w:pPr>
        <w:pStyle w:val="paragraph"/>
        <w:textAlignment w:val="baseline"/>
        <w:rPr>
          <w:rStyle w:val="normaltextrun1"/>
          <w:rFonts w:asciiTheme="minorHAnsi" w:hAnsiTheme="minorHAnsi"/>
        </w:rPr>
      </w:pPr>
    </w:p>
    <w:tbl>
      <w:tblPr>
        <w:tblStyle w:val="TableGrid"/>
        <w:tblW w:w="0" w:type="auto"/>
        <w:tblLook w:val="04A0" w:firstRow="1" w:lastRow="0" w:firstColumn="1" w:lastColumn="0" w:noHBand="0" w:noVBand="1"/>
      </w:tblPr>
      <w:tblGrid>
        <w:gridCol w:w="9576"/>
      </w:tblGrid>
      <w:tr w:rsidR="00DA400A" w:rsidRPr="00586EB8" w:rsidTr="00DA400A">
        <w:trPr>
          <w:trHeight w:val="576"/>
        </w:trPr>
        <w:tc>
          <w:tcPr>
            <w:tcW w:w="9576" w:type="dxa"/>
            <w:shd w:val="clear" w:color="auto" w:fill="76923C" w:themeFill="accent3" w:themeFillShade="BF"/>
            <w:vAlign w:val="center"/>
          </w:tcPr>
          <w:p w:rsidR="00DA400A" w:rsidRPr="00263F56" w:rsidRDefault="00DA400A" w:rsidP="00DA400A">
            <w:pPr>
              <w:pStyle w:val="paragraph"/>
              <w:textAlignment w:val="baseline"/>
              <w:rPr>
                <w:rFonts w:asciiTheme="minorHAnsi" w:hAnsiTheme="minorHAnsi"/>
                <w:b/>
                <w:sz w:val="28"/>
              </w:rPr>
            </w:pPr>
            <w:r w:rsidRPr="00263F56">
              <w:rPr>
                <w:rFonts w:asciiTheme="minorHAnsi" w:hAnsiTheme="minorHAnsi"/>
                <w:b/>
                <w:sz w:val="28"/>
              </w:rPr>
              <w:t>Finance</w:t>
            </w:r>
          </w:p>
        </w:tc>
      </w:tr>
    </w:tbl>
    <w:p w:rsidR="00DA400A" w:rsidRPr="006D223D" w:rsidRDefault="00DA400A" w:rsidP="00DA400A">
      <w:pPr>
        <w:pStyle w:val="paragraph"/>
        <w:textAlignment w:val="baseline"/>
        <w:rPr>
          <w:rFonts w:asciiTheme="minorHAnsi" w:hAnsiTheme="minorHAnsi"/>
        </w:rPr>
      </w:pPr>
    </w:p>
    <w:p w:rsidR="00DA400A" w:rsidRPr="006D223D" w:rsidRDefault="00DA400A" w:rsidP="00DA400A">
      <w:pPr>
        <w:rPr>
          <w:b/>
          <w:sz w:val="24"/>
          <w:szCs w:val="24"/>
        </w:rPr>
      </w:pPr>
      <w:r w:rsidRPr="006D223D">
        <w:rPr>
          <w:b/>
          <w:sz w:val="24"/>
          <w:szCs w:val="24"/>
        </w:rPr>
        <w:t>General support</w:t>
      </w:r>
    </w:p>
    <w:p w:rsidR="00DA400A" w:rsidRPr="006D223D" w:rsidRDefault="00DA400A" w:rsidP="002352EC">
      <w:pPr>
        <w:pStyle w:val="ListParagraph"/>
        <w:numPr>
          <w:ilvl w:val="0"/>
          <w:numId w:val="6"/>
        </w:numPr>
        <w:contextualSpacing/>
        <w:rPr>
          <w:sz w:val="24"/>
          <w:szCs w:val="24"/>
        </w:rPr>
      </w:pPr>
      <w:r w:rsidRPr="006D223D">
        <w:rPr>
          <w:sz w:val="24"/>
          <w:szCs w:val="24"/>
        </w:rPr>
        <w:t xml:space="preserve">Communities need financial support to have adequate and well trained staff that </w:t>
      </w:r>
      <w:proofErr w:type="gramStart"/>
      <w:r w:rsidRPr="006D223D">
        <w:rPr>
          <w:sz w:val="24"/>
          <w:szCs w:val="24"/>
        </w:rPr>
        <w:t>meet  a</w:t>
      </w:r>
      <w:proofErr w:type="gramEnd"/>
      <w:r w:rsidRPr="006D223D">
        <w:rPr>
          <w:sz w:val="24"/>
          <w:szCs w:val="24"/>
        </w:rPr>
        <w:t xml:space="preserve"> wide range of requirements.</w:t>
      </w:r>
    </w:p>
    <w:p w:rsidR="00DA400A" w:rsidRPr="006D223D" w:rsidRDefault="00DA400A" w:rsidP="002352EC">
      <w:pPr>
        <w:pStyle w:val="ListParagraph"/>
        <w:numPr>
          <w:ilvl w:val="0"/>
          <w:numId w:val="6"/>
        </w:numPr>
        <w:contextualSpacing/>
        <w:rPr>
          <w:sz w:val="24"/>
          <w:szCs w:val="24"/>
        </w:rPr>
      </w:pPr>
      <w:r w:rsidRPr="006D223D">
        <w:rPr>
          <w:sz w:val="24"/>
          <w:szCs w:val="24"/>
        </w:rPr>
        <w:t xml:space="preserve">Disagree with the statement that ‘funding is not the sole answer’ – where you spend money is where the focus goes </w:t>
      </w:r>
    </w:p>
    <w:p w:rsidR="00DA400A" w:rsidRPr="006D223D" w:rsidRDefault="00DA400A" w:rsidP="002352EC">
      <w:pPr>
        <w:pStyle w:val="ListParagraph"/>
        <w:numPr>
          <w:ilvl w:val="0"/>
          <w:numId w:val="6"/>
        </w:numPr>
        <w:contextualSpacing/>
        <w:rPr>
          <w:sz w:val="24"/>
          <w:szCs w:val="24"/>
        </w:rPr>
      </w:pPr>
      <w:r w:rsidRPr="006D223D">
        <w:rPr>
          <w:sz w:val="24"/>
          <w:szCs w:val="24"/>
        </w:rPr>
        <w:t>State budget should have dedicated source of revenue for local public health.</w:t>
      </w:r>
    </w:p>
    <w:p w:rsidR="00DA400A" w:rsidRPr="006D223D" w:rsidRDefault="00DA400A" w:rsidP="002352EC">
      <w:pPr>
        <w:pStyle w:val="ListParagraph"/>
        <w:numPr>
          <w:ilvl w:val="0"/>
          <w:numId w:val="6"/>
        </w:numPr>
        <w:contextualSpacing/>
        <w:rPr>
          <w:sz w:val="24"/>
          <w:szCs w:val="24"/>
        </w:rPr>
      </w:pPr>
      <w:r w:rsidRPr="006D223D">
        <w:rPr>
          <w:sz w:val="24"/>
          <w:szCs w:val="24"/>
        </w:rPr>
        <w:t>Need funding to support the adequate staffing, training of staff, staff to plan, attend coalitions, collect data, provide public health promotion and disease prevention</w:t>
      </w:r>
    </w:p>
    <w:p w:rsidR="00DA400A" w:rsidRPr="006D223D" w:rsidRDefault="00DA400A" w:rsidP="002352EC">
      <w:pPr>
        <w:pStyle w:val="ListParagraph"/>
        <w:numPr>
          <w:ilvl w:val="0"/>
          <w:numId w:val="6"/>
        </w:numPr>
        <w:contextualSpacing/>
        <w:rPr>
          <w:sz w:val="24"/>
          <w:szCs w:val="24"/>
        </w:rPr>
      </w:pPr>
      <w:r w:rsidRPr="006D223D">
        <w:rPr>
          <w:sz w:val="24"/>
          <w:szCs w:val="24"/>
        </w:rPr>
        <w:t xml:space="preserve">Just a little bit of money for each community would go a long </w:t>
      </w:r>
      <w:proofErr w:type="gramStart"/>
      <w:r w:rsidRPr="006D223D">
        <w:rPr>
          <w:sz w:val="24"/>
          <w:szCs w:val="24"/>
        </w:rPr>
        <w:t>way.</w:t>
      </w:r>
      <w:proofErr w:type="gramEnd"/>
    </w:p>
    <w:p w:rsidR="00DA400A" w:rsidRPr="006D223D" w:rsidRDefault="00DA400A" w:rsidP="002352EC">
      <w:pPr>
        <w:pStyle w:val="ListParagraph"/>
        <w:numPr>
          <w:ilvl w:val="0"/>
          <w:numId w:val="6"/>
        </w:numPr>
        <w:contextualSpacing/>
        <w:rPr>
          <w:sz w:val="24"/>
          <w:szCs w:val="24"/>
        </w:rPr>
      </w:pPr>
      <w:r w:rsidRPr="006D223D">
        <w:rPr>
          <w:sz w:val="24"/>
          <w:szCs w:val="24"/>
        </w:rPr>
        <w:t>Categorical grant programs would be more efficient if distributed according to uniform catchment areas.</w:t>
      </w:r>
    </w:p>
    <w:p w:rsidR="00DA400A" w:rsidRPr="006D223D" w:rsidRDefault="00DA400A" w:rsidP="002352EC">
      <w:pPr>
        <w:pStyle w:val="ListParagraph"/>
        <w:numPr>
          <w:ilvl w:val="0"/>
          <w:numId w:val="6"/>
        </w:numPr>
        <w:contextualSpacing/>
        <w:rPr>
          <w:sz w:val="24"/>
          <w:szCs w:val="24"/>
        </w:rPr>
      </w:pPr>
      <w:r w:rsidRPr="006D223D">
        <w:rPr>
          <w:sz w:val="24"/>
          <w:szCs w:val="24"/>
        </w:rPr>
        <w:t>Need adequate and sustainable funding for towns such as revolving fund accounts and fee structures.</w:t>
      </w:r>
    </w:p>
    <w:p w:rsidR="00DA400A" w:rsidRPr="006D223D" w:rsidRDefault="00DA400A" w:rsidP="002352EC">
      <w:pPr>
        <w:pStyle w:val="ListParagraph"/>
        <w:numPr>
          <w:ilvl w:val="0"/>
          <w:numId w:val="6"/>
        </w:numPr>
        <w:contextualSpacing/>
        <w:rPr>
          <w:sz w:val="24"/>
          <w:szCs w:val="24"/>
          <w:shd w:val="clear" w:color="auto" w:fill="FFFFFF"/>
        </w:rPr>
      </w:pPr>
      <w:r w:rsidRPr="006D223D">
        <w:rPr>
          <w:sz w:val="24"/>
          <w:szCs w:val="24"/>
          <w:shd w:val="clear" w:color="auto" w:fill="FFFFFF"/>
        </w:rPr>
        <w:t>A Massachusetts Association of Public Health Nurses survey indicated that “lack of funding” for public health nurses is the largest barrier to addressing social determinants of health, second to “not having enough time.”</w:t>
      </w:r>
    </w:p>
    <w:p w:rsidR="00DA400A" w:rsidRPr="006D223D" w:rsidRDefault="00DA400A" w:rsidP="002352EC">
      <w:pPr>
        <w:numPr>
          <w:ilvl w:val="1"/>
          <w:numId w:val="6"/>
        </w:numPr>
        <w:rPr>
          <w:sz w:val="24"/>
          <w:szCs w:val="24"/>
        </w:rPr>
      </w:pPr>
      <w:r w:rsidRPr="006D223D">
        <w:rPr>
          <w:sz w:val="24"/>
          <w:szCs w:val="24"/>
        </w:rPr>
        <w:t xml:space="preserve">The legislature’s “subject to appropriation” clause creates insurmountable, irrecoverable, and cumulative funding gaps that significantly impact community services </w:t>
      </w:r>
    </w:p>
    <w:p w:rsidR="00DA400A" w:rsidRPr="001C30FF" w:rsidRDefault="00DA400A" w:rsidP="001C30FF">
      <w:pPr>
        <w:pStyle w:val="ListParagraph"/>
        <w:numPr>
          <w:ilvl w:val="1"/>
          <w:numId w:val="6"/>
        </w:numPr>
        <w:contextualSpacing/>
        <w:rPr>
          <w:sz w:val="24"/>
          <w:szCs w:val="24"/>
        </w:rPr>
      </w:pPr>
      <w:r w:rsidRPr="006D223D">
        <w:rPr>
          <w:sz w:val="24"/>
          <w:szCs w:val="24"/>
        </w:rPr>
        <w:t>Despite statement in status report regarding funding alone not the solution, need to point out that state support for categorical services has been stagnant</w:t>
      </w:r>
      <w:proofErr w:type="gramStart"/>
      <w:r w:rsidRPr="006D223D">
        <w:rPr>
          <w:sz w:val="24"/>
          <w:szCs w:val="24"/>
        </w:rPr>
        <w:t xml:space="preserve">.  </w:t>
      </w:r>
      <w:proofErr w:type="gramEnd"/>
      <w:r w:rsidRPr="006D223D">
        <w:rPr>
          <w:sz w:val="24"/>
          <w:szCs w:val="24"/>
        </w:rPr>
        <w:t>For example, the tobacco grants have not increased in 6-8 years and local BOHs are not able to deliver the same level of services today as they could in the past</w:t>
      </w:r>
      <w:proofErr w:type="gramStart"/>
      <w:r w:rsidRPr="006D223D">
        <w:rPr>
          <w:sz w:val="24"/>
          <w:szCs w:val="24"/>
        </w:rPr>
        <w:t xml:space="preserve">.  </w:t>
      </w:r>
      <w:proofErr w:type="gramEnd"/>
      <w:r w:rsidRPr="006D223D">
        <w:rPr>
          <w:sz w:val="24"/>
          <w:szCs w:val="24"/>
        </w:rPr>
        <w:t>A mechanism to increase funding to meet changing needs and demand (e.g.; e-cigarettes/vaping) is needed. Other demands continue to press on LHDs (opioids) and would benefit from increased financial support</w:t>
      </w:r>
    </w:p>
    <w:p w:rsidR="001C30FF" w:rsidRDefault="001C30FF" w:rsidP="00DA400A">
      <w:pPr>
        <w:rPr>
          <w:b/>
          <w:sz w:val="24"/>
          <w:szCs w:val="24"/>
        </w:rPr>
      </w:pPr>
    </w:p>
    <w:p w:rsidR="00DA400A" w:rsidRPr="006D223D" w:rsidRDefault="00DA400A" w:rsidP="00DA400A">
      <w:pPr>
        <w:rPr>
          <w:b/>
          <w:sz w:val="24"/>
          <w:szCs w:val="24"/>
        </w:rPr>
      </w:pPr>
      <w:r w:rsidRPr="006D223D">
        <w:rPr>
          <w:b/>
          <w:sz w:val="24"/>
          <w:szCs w:val="24"/>
        </w:rPr>
        <w:t>Cross-jurisdictional sharing support</w:t>
      </w:r>
    </w:p>
    <w:p w:rsidR="00DA400A" w:rsidRPr="006D223D" w:rsidRDefault="00DA400A" w:rsidP="002352EC">
      <w:pPr>
        <w:pStyle w:val="ListParagraph"/>
        <w:numPr>
          <w:ilvl w:val="0"/>
          <w:numId w:val="6"/>
        </w:numPr>
        <w:contextualSpacing/>
        <w:rPr>
          <w:sz w:val="24"/>
          <w:szCs w:val="24"/>
        </w:rPr>
      </w:pPr>
      <w:r w:rsidRPr="006D223D">
        <w:rPr>
          <w:sz w:val="24"/>
          <w:szCs w:val="24"/>
        </w:rPr>
        <w:t>Encourage the use of DPH funding to promote cross-jurisdictional sharing in an equitable way.</w:t>
      </w:r>
    </w:p>
    <w:p w:rsidR="00DA400A" w:rsidRPr="006D223D" w:rsidRDefault="00DA400A" w:rsidP="002352EC">
      <w:pPr>
        <w:pStyle w:val="ListParagraph"/>
        <w:numPr>
          <w:ilvl w:val="0"/>
          <w:numId w:val="6"/>
        </w:numPr>
        <w:contextualSpacing/>
        <w:rPr>
          <w:sz w:val="24"/>
          <w:szCs w:val="24"/>
        </w:rPr>
      </w:pPr>
      <w:r w:rsidRPr="006D223D">
        <w:rPr>
          <w:sz w:val="24"/>
          <w:szCs w:val="24"/>
        </w:rPr>
        <w:t xml:space="preserve">Consider the role that clearly delineated and adequately funded regional health districts could play in generating greater economy of scale to allow for consistent full-time public </w:t>
      </w:r>
      <w:r w:rsidRPr="006D223D">
        <w:rPr>
          <w:sz w:val="24"/>
          <w:szCs w:val="24"/>
        </w:rPr>
        <w:lastRenderedPageBreak/>
        <w:t xml:space="preserve">health staff that could help augment regional preparedness efforts, and assume greater leadership in leading municipal public health response. </w:t>
      </w:r>
    </w:p>
    <w:p w:rsidR="00DA400A" w:rsidRPr="006D223D" w:rsidRDefault="00DA400A" w:rsidP="002352EC">
      <w:pPr>
        <w:pStyle w:val="ListParagraph"/>
        <w:numPr>
          <w:ilvl w:val="0"/>
          <w:numId w:val="6"/>
        </w:numPr>
        <w:contextualSpacing/>
        <w:rPr>
          <w:sz w:val="24"/>
          <w:szCs w:val="24"/>
        </w:rPr>
      </w:pPr>
      <w:r w:rsidRPr="006D223D">
        <w:rPr>
          <w:sz w:val="24"/>
          <w:szCs w:val="24"/>
        </w:rPr>
        <w:t xml:space="preserve">The following districts are not mentioned in the status report:  Eastern Franklin County Health District, Foothills Health District, </w:t>
      </w:r>
      <w:proofErr w:type="spellStart"/>
      <w:r w:rsidRPr="006D223D">
        <w:rPr>
          <w:sz w:val="24"/>
          <w:szCs w:val="24"/>
        </w:rPr>
        <w:t>Quabbin</w:t>
      </w:r>
      <w:proofErr w:type="spellEnd"/>
      <w:r w:rsidRPr="006D223D">
        <w:rPr>
          <w:sz w:val="24"/>
          <w:szCs w:val="24"/>
        </w:rPr>
        <w:t xml:space="preserve"> Public Health District, and Tri-Town Health Department</w:t>
      </w:r>
      <w:proofErr w:type="gramStart"/>
      <w:r w:rsidRPr="006D223D">
        <w:rPr>
          <w:sz w:val="24"/>
          <w:szCs w:val="24"/>
        </w:rPr>
        <w:t xml:space="preserve">.  </w:t>
      </w:r>
      <w:proofErr w:type="gramEnd"/>
      <w:r w:rsidRPr="006D223D">
        <w:rPr>
          <w:sz w:val="24"/>
          <w:szCs w:val="24"/>
        </w:rPr>
        <w:t xml:space="preserve">Consider these smaller, </w:t>
      </w:r>
      <w:proofErr w:type="gramStart"/>
      <w:r w:rsidRPr="006D223D">
        <w:rPr>
          <w:sz w:val="24"/>
          <w:szCs w:val="24"/>
        </w:rPr>
        <w:t>leaner</w:t>
      </w:r>
      <w:proofErr w:type="gramEnd"/>
      <w:r w:rsidRPr="006D223D">
        <w:rPr>
          <w:sz w:val="24"/>
          <w:szCs w:val="24"/>
        </w:rPr>
        <w:t xml:space="preserve"> but scalable models for future funding in the state's efforts to promote shared public health services. </w:t>
      </w:r>
    </w:p>
    <w:p w:rsidR="00DA400A" w:rsidRDefault="00DA400A" w:rsidP="002352EC">
      <w:pPr>
        <w:pStyle w:val="ListParagraph"/>
        <w:numPr>
          <w:ilvl w:val="0"/>
          <w:numId w:val="6"/>
        </w:numPr>
        <w:contextualSpacing/>
        <w:rPr>
          <w:sz w:val="24"/>
          <w:szCs w:val="24"/>
        </w:rPr>
      </w:pPr>
      <w:r w:rsidRPr="006D223D">
        <w:rPr>
          <w:sz w:val="24"/>
          <w:szCs w:val="24"/>
        </w:rPr>
        <w:t xml:space="preserve">Shared nursing services have not worked out because often the nurse cannot get to all the communities to do the work. </w:t>
      </w:r>
    </w:p>
    <w:p w:rsidR="00DA400A" w:rsidRPr="006D223D" w:rsidRDefault="00DA400A" w:rsidP="00DA400A">
      <w:pPr>
        <w:pStyle w:val="ListParagraph"/>
        <w:ind w:left="360"/>
        <w:rPr>
          <w:sz w:val="24"/>
          <w:szCs w:val="24"/>
        </w:rPr>
      </w:pPr>
    </w:p>
    <w:p w:rsidR="00DA400A" w:rsidRPr="006D223D" w:rsidRDefault="00DA400A" w:rsidP="00DA400A">
      <w:pPr>
        <w:rPr>
          <w:b/>
          <w:sz w:val="24"/>
          <w:szCs w:val="24"/>
        </w:rPr>
      </w:pPr>
      <w:r w:rsidRPr="006D223D">
        <w:rPr>
          <w:b/>
          <w:sz w:val="24"/>
          <w:szCs w:val="24"/>
        </w:rPr>
        <w:t>Cities versus small towns</w:t>
      </w:r>
    </w:p>
    <w:p w:rsidR="00DA400A" w:rsidRPr="006D223D" w:rsidRDefault="00DA400A" w:rsidP="002352EC">
      <w:pPr>
        <w:pStyle w:val="ListParagraph"/>
        <w:numPr>
          <w:ilvl w:val="0"/>
          <w:numId w:val="6"/>
        </w:numPr>
        <w:contextualSpacing/>
        <w:rPr>
          <w:sz w:val="24"/>
          <w:szCs w:val="24"/>
        </w:rPr>
      </w:pPr>
      <w:r w:rsidRPr="006D223D">
        <w:rPr>
          <w:sz w:val="24"/>
          <w:szCs w:val="24"/>
        </w:rPr>
        <w:t>Gateway cities seem to get funding to respond to their problems but small towns are overlooked. Small towns have “big city problems” (major lead paint problem in old homes, homelessness, opioid overdoses, etc.) and other challenges (lack of lead screening, lack of transportation, lack of service providers, etc.). Small towns often cannot compete with large cities for grant funding.</w:t>
      </w:r>
    </w:p>
    <w:p w:rsidR="00DA400A" w:rsidRPr="006D223D" w:rsidRDefault="00DA400A" w:rsidP="002352EC">
      <w:pPr>
        <w:pStyle w:val="ListParagraph"/>
        <w:numPr>
          <w:ilvl w:val="0"/>
          <w:numId w:val="6"/>
        </w:numPr>
        <w:contextualSpacing/>
        <w:rPr>
          <w:sz w:val="24"/>
          <w:szCs w:val="24"/>
        </w:rPr>
      </w:pPr>
      <w:r w:rsidRPr="006D223D">
        <w:rPr>
          <w:sz w:val="24"/>
          <w:szCs w:val="24"/>
        </w:rPr>
        <w:t>Small towns with only on staff person do not have time to write grants, attend coalition meetings, etc.</w:t>
      </w:r>
    </w:p>
    <w:p w:rsidR="00DA400A" w:rsidRPr="006D223D" w:rsidRDefault="00DA400A" w:rsidP="002352EC">
      <w:pPr>
        <w:numPr>
          <w:ilvl w:val="0"/>
          <w:numId w:val="6"/>
        </w:numPr>
        <w:rPr>
          <w:sz w:val="24"/>
          <w:szCs w:val="24"/>
        </w:rPr>
      </w:pPr>
      <w:r w:rsidRPr="006D223D">
        <w:rPr>
          <w:sz w:val="24"/>
          <w:szCs w:val="24"/>
        </w:rPr>
        <w:t>Grant funding requirements and short deadlines eliminate many rural communities’ access to funding opportunities</w:t>
      </w:r>
    </w:p>
    <w:p w:rsidR="00DA400A" w:rsidRPr="006D223D" w:rsidRDefault="00DA400A" w:rsidP="002352EC">
      <w:pPr>
        <w:pStyle w:val="ListParagraph"/>
        <w:numPr>
          <w:ilvl w:val="0"/>
          <w:numId w:val="6"/>
        </w:numPr>
        <w:contextualSpacing/>
        <w:rPr>
          <w:sz w:val="24"/>
          <w:szCs w:val="24"/>
        </w:rPr>
      </w:pPr>
      <w:r w:rsidRPr="006D223D">
        <w:rPr>
          <w:sz w:val="24"/>
          <w:szCs w:val="24"/>
        </w:rPr>
        <w:t xml:space="preserve">We need to strengthen what exists, especially regarding reimbursement. </w:t>
      </w:r>
    </w:p>
    <w:p w:rsidR="00DA400A" w:rsidRPr="006D223D" w:rsidRDefault="00DA400A" w:rsidP="002352EC">
      <w:pPr>
        <w:pStyle w:val="ListParagraph"/>
        <w:numPr>
          <w:ilvl w:val="1"/>
          <w:numId w:val="6"/>
        </w:numPr>
        <w:contextualSpacing/>
        <w:rPr>
          <w:sz w:val="24"/>
          <w:szCs w:val="24"/>
        </w:rPr>
      </w:pPr>
      <w:r w:rsidRPr="006D223D">
        <w:rPr>
          <w:sz w:val="24"/>
          <w:szCs w:val="24"/>
        </w:rPr>
        <w:t xml:space="preserve">For example, for the tuberculosis fund reimbursement, the Commonwealth is required to provide payment for some of the local public health activities but often that does not happen.  </w:t>
      </w:r>
    </w:p>
    <w:p w:rsidR="00DA400A" w:rsidRPr="006D223D" w:rsidRDefault="00DA400A" w:rsidP="002352EC">
      <w:pPr>
        <w:pStyle w:val="ListParagraph"/>
        <w:numPr>
          <w:ilvl w:val="1"/>
          <w:numId w:val="6"/>
        </w:numPr>
        <w:contextualSpacing/>
        <w:rPr>
          <w:sz w:val="24"/>
          <w:szCs w:val="24"/>
        </w:rPr>
      </w:pPr>
      <w:r w:rsidRPr="006D223D">
        <w:rPr>
          <w:sz w:val="24"/>
          <w:szCs w:val="24"/>
        </w:rPr>
        <w:t>Can funding associated with Accountable Care Organizations be leveraged to support local public health nurses?</w:t>
      </w:r>
    </w:p>
    <w:p w:rsidR="00DA400A" w:rsidRDefault="00DA400A" w:rsidP="002352EC">
      <w:pPr>
        <w:pStyle w:val="ListParagraph"/>
        <w:numPr>
          <w:ilvl w:val="0"/>
          <w:numId w:val="6"/>
        </w:numPr>
        <w:contextualSpacing/>
        <w:rPr>
          <w:sz w:val="24"/>
          <w:szCs w:val="24"/>
        </w:rPr>
      </w:pPr>
      <w:r w:rsidRPr="006D223D">
        <w:rPr>
          <w:sz w:val="24"/>
          <w:szCs w:val="24"/>
        </w:rPr>
        <w:t>property taxes are the main source of revenue for small rural communities</w:t>
      </w:r>
    </w:p>
    <w:p w:rsidR="00DA400A" w:rsidRPr="006D223D" w:rsidRDefault="00DA400A" w:rsidP="00DA400A">
      <w:pPr>
        <w:pStyle w:val="ListParagraph"/>
        <w:ind w:left="360"/>
        <w:rPr>
          <w:sz w:val="24"/>
          <w:szCs w:val="24"/>
        </w:rPr>
      </w:pPr>
    </w:p>
    <w:p w:rsidR="00DA400A" w:rsidRPr="006D223D" w:rsidRDefault="00DA400A" w:rsidP="00DA400A">
      <w:pPr>
        <w:rPr>
          <w:b/>
          <w:sz w:val="24"/>
          <w:szCs w:val="24"/>
        </w:rPr>
      </w:pPr>
      <w:r w:rsidRPr="006D223D">
        <w:rPr>
          <w:b/>
          <w:sz w:val="24"/>
          <w:szCs w:val="24"/>
        </w:rPr>
        <w:t>Unfunded Mandates</w:t>
      </w:r>
    </w:p>
    <w:p w:rsidR="00DA400A" w:rsidRPr="006D223D" w:rsidRDefault="00DA400A" w:rsidP="002352EC">
      <w:pPr>
        <w:numPr>
          <w:ilvl w:val="0"/>
          <w:numId w:val="6"/>
        </w:numPr>
        <w:rPr>
          <w:sz w:val="24"/>
          <w:szCs w:val="24"/>
        </w:rPr>
      </w:pPr>
      <w:r w:rsidRPr="006D223D">
        <w:rPr>
          <w:sz w:val="24"/>
          <w:szCs w:val="24"/>
        </w:rPr>
        <w:t>Unfunded mandates (perhaps disproportionately) impact rural small communities</w:t>
      </w:r>
    </w:p>
    <w:p w:rsidR="00DA400A" w:rsidRPr="006D223D" w:rsidRDefault="00DA400A" w:rsidP="002352EC">
      <w:pPr>
        <w:pStyle w:val="ListParagraph"/>
        <w:numPr>
          <w:ilvl w:val="0"/>
          <w:numId w:val="6"/>
        </w:numPr>
        <w:contextualSpacing/>
        <w:rPr>
          <w:sz w:val="24"/>
          <w:szCs w:val="24"/>
        </w:rPr>
      </w:pPr>
      <w:r w:rsidRPr="006D223D">
        <w:rPr>
          <w:sz w:val="24"/>
          <w:szCs w:val="24"/>
        </w:rPr>
        <w:t>Local public health is part of the business sector. If you have unfunded mandates we cannot do the work</w:t>
      </w:r>
      <w:proofErr w:type="gramStart"/>
      <w:r w:rsidRPr="006D223D">
        <w:rPr>
          <w:sz w:val="24"/>
          <w:szCs w:val="24"/>
        </w:rPr>
        <w:t xml:space="preserve">.  </w:t>
      </w:r>
      <w:proofErr w:type="gramEnd"/>
      <w:r w:rsidRPr="006D223D">
        <w:rPr>
          <w:sz w:val="24"/>
          <w:szCs w:val="24"/>
        </w:rPr>
        <w:t>There needs to be a business-like provision when local public health is required to implement regulatory requirements. Massachusetts has a lot of mandates but it does not provide funding to meet the mandates. For example, the sharps collection program requires a lot of resources, including staff time but there are no resources provided to compensate local health departments.</w:t>
      </w:r>
    </w:p>
    <w:p w:rsidR="00DA400A" w:rsidRPr="006D223D" w:rsidRDefault="00DA400A" w:rsidP="002352EC">
      <w:pPr>
        <w:pStyle w:val="PlainText"/>
        <w:numPr>
          <w:ilvl w:val="0"/>
          <w:numId w:val="6"/>
        </w:numPr>
        <w:rPr>
          <w:rFonts w:asciiTheme="minorHAnsi" w:hAnsiTheme="minorHAnsi"/>
          <w:sz w:val="24"/>
          <w:szCs w:val="24"/>
        </w:rPr>
      </w:pPr>
      <w:r w:rsidRPr="006D223D">
        <w:rPr>
          <w:rFonts w:asciiTheme="minorHAnsi" w:hAnsiTheme="minorHAnsi"/>
          <w:sz w:val="24"/>
          <w:szCs w:val="24"/>
        </w:rPr>
        <w:t xml:space="preserve">Massachusetts should provide funding for all the mandates they place on local communities, also for regional PHEP requirements, including consultant salaries. </w:t>
      </w:r>
    </w:p>
    <w:p w:rsidR="00DA400A" w:rsidRPr="00C67E07" w:rsidRDefault="00DA400A" w:rsidP="002352EC">
      <w:pPr>
        <w:pStyle w:val="PlainText"/>
        <w:numPr>
          <w:ilvl w:val="0"/>
          <w:numId w:val="6"/>
        </w:numPr>
        <w:rPr>
          <w:rFonts w:asciiTheme="minorHAnsi" w:hAnsiTheme="minorHAnsi"/>
          <w:sz w:val="24"/>
          <w:szCs w:val="24"/>
        </w:rPr>
      </w:pPr>
      <w:r w:rsidRPr="006D223D">
        <w:rPr>
          <w:rFonts w:asciiTheme="minorHAnsi" w:hAnsiTheme="minorHAnsi"/>
          <w:color w:val="212121"/>
          <w:sz w:val="24"/>
          <w:szCs w:val="24"/>
        </w:rPr>
        <w:t>Mandated training should be paid for by the state because municipalities do not have the funds to pay for additional training</w:t>
      </w:r>
      <w:r>
        <w:rPr>
          <w:rFonts w:asciiTheme="minorHAnsi" w:hAnsiTheme="minorHAnsi"/>
          <w:color w:val="212121"/>
          <w:sz w:val="24"/>
          <w:szCs w:val="24"/>
        </w:rPr>
        <w:t>.</w:t>
      </w:r>
      <w:r w:rsidRPr="00C67E07">
        <w:rPr>
          <w:sz w:val="24"/>
          <w:szCs w:val="24"/>
        </w:rPr>
        <w:br w:type="page"/>
      </w:r>
    </w:p>
    <w:p w:rsidR="00DA400A" w:rsidRPr="006D223D" w:rsidRDefault="00DA400A" w:rsidP="00DA400A">
      <w:pPr>
        <w:pStyle w:val="NoSpacing"/>
        <w:pBdr>
          <w:bottom w:val="single" w:sz="12" w:space="1" w:color="auto"/>
        </w:pBdr>
        <w:jc w:val="center"/>
        <w:rPr>
          <w:b/>
          <w:smallCaps/>
          <w:color w:val="365F91" w:themeColor="accent1" w:themeShade="BF"/>
          <w:sz w:val="32"/>
          <w:szCs w:val="24"/>
        </w:rPr>
      </w:pPr>
      <w:r w:rsidRPr="006D223D">
        <w:rPr>
          <w:b/>
          <w:smallCaps/>
          <w:color w:val="365F91" w:themeColor="accent1" w:themeShade="BF"/>
          <w:sz w:val="32"/>
          <w:szCs w:val="24"/>
        </w:rPr>
        <w:lastRenderedPageBreak/>
        <w:t>Special Commission on Local and Regional Public Health</w:t>
      </w:r>
    </w:p>
    <w:p w:rsidR="00DA400A" w:rsidRPr="001274B2" w:rsidRDefault="00DA400A" w:rsidP="00DA400A">
      <w:pPr>
        <w:pStyle w:val="NoSpacing"/>
        <w:jc w:val="center"/>
        <w:rPr>
          <w:b/>
          <w:smallCaps/>
          <w:color w:val="002060"/>
          <w:sz w:val="32"/>
          <w:szCs w:val="24"/>
        </w:rPr>
      </w:pPr>
    </w:p>
    <w:p w:rsidR="00DA400A" w:rsidRPr="001274B2" w:rsidRDefault="00DA400A" w:rsidP="00DA400A">
      <w:pPr>
        <w:pStyle w:val="NoSpacing"/>
        <w:jc w:val="center"/>
        <w:rPr>
          <w:b/>
          <w:smallCaps/>
          <w:sz w:val="24"/>
          <w:szCs w:val="24"/>
        </w:rPr>
      </w:pPr>
      <w:r w:rsidRPr="001274B2">
        <w:rPr>
          <w:b/>
          <w:smallCaps/>
          <w:sz w:val="24"/>
          <w:szCs w:val="24"/>
        </w:rPr>
        <w:t>Attachment A</w:t>
      </w:r>
    </w:p>
    <w:p w:rsidR="00DA400A" w:rsidRPr="001274B2" w:rsidRDefault="00DA400A" w:rsidP="00DA400A">
      <w:pPr>
        <w:pStyle w:val="NoSpacing"/>
        <w:jc w:val="center"/>
        <w:rPr>
          <w:b/>
          <w:sz w:val="24"/>
          <w:szCs w:val="24"/>
        </w:rPr>
      </w:pPr>
      <w:r w:rsidRPr="001274B2">
        <w:rPr>
          <w:b/>
          <w:sz w:val="24"/>
          <w:szCs w:val="24"/>
        </w:rPr>
        <w:t>Schedule of Listening Sessions</w:t>
      </w:r>
    </w:p>
    <w:p w:rsidR="00DA400A" w:rsidRPr="001274B2" w:rsidRDefault="00DA400A" w:rsidP="00DA400A">
      <w:pPr>
        <w:pStyle w:val="NoSpacing"/>
        <w:jc w:val="center"/>
        <w:rPr>
          <w:b/>
          <w:sz w:val="24"/>
          <w:szCs w:val="24"/>
        </w:rPr>
      </w:pPr>
      <w:r w:rsidRPr="001274B2">
        <w:rPr>
          <w:b/>
          <w:sz w:val="24"/>
          <w:szCs w:val="24"/>
        </w:rPr>
        <w:t>June 2018</w:t>
      </w:r>
    </w:p>
    <w:p w:rsidR="00DA400A" w:rsidRPr="001274B2" w:rsidRDefault="00DA400A" w:rsidP="00DA400A">
      <w:pPr>
        <w:pStyle w:val="NoSpacing"/>
        <w:rPr>
          <w:sz w:val="24"/>
          <w:szCs w:val="24"/>
        </w:rPr>
      </w:pPr>
    </w:p>
    <w:p w:rsidR="00DA400A" w:rsidRPr="001274B2" w:rsidRDefault="00DA400A" w:rsidP="00DA400A">
      <w:pPr>
        <w:widowControl w:val="0"/>
        <w:rPr>
          <w:bCs/>
          <w:sz w:val="24"/>
          <w:szCs w:val="24"/>
        </w:rPr>
      </w:pPr>
      <w:r w:rsidRPr="001274B2">
        <w:rPr>
          <w:sz w:val="24"/>
          <w:szCs w:val="24"/>
        </w:rPr>
        <w:t xml:space="preserve">The Massachusetts </w:t>
      </w:r>
      <w:r w:rsidRPr="001274B2">
        <w:rPr>
          <w:bCs/>
          <w:sz w:val="24"/>
          <w:szCs w:val="24"/>
        </w:rPr>
        <w:t xml:space="preserve">Special Commission on Local and Regional Public Health </w:t>
      </w:r>
      <w:r w:rsidRPr="001274B2">
        <w:rPr>
          <w:sz w:val="24"/>
          <w:szCs w:val="24"/>
        </w:rPr>
        <w:t xml:space="preserve">seeks input from a wide range of stakeholders on its progress as described in its </w:t>
      </w:r>
      <w:r w:rsidRPr="001274B2">
        <w:rPr>
          <w:bCs/>
          <w:sz w:val="24"/>
          <w:szCs w:val="24"/>
        </w:rPr>
        <w:t xml:space="preserve">Status Report. The report is located at </w:t>
      </w:r>
      <w:hyperlink r:id="rId13" w:history="1">
        <w:r w:rsidRPr="001274B2">
          <w:rPr>
            <w:rStyle w:val="Hyperlink"/>
            <w:bCs/>
            <w:sz w:val="24"/>
            <w:szCs w:val="24"/>
          </w:rPr>
          <w:t>www.mass.gov/dph/olrh</w:t>
        </w:r>
      </w:hyperlink>
      <w:r w:rsidRPr="001274B2">
        <w:rPr>
          <w:bCs/>
          <w:sz w:val="24"/>
          <w:szCs w:val="24"/>
        </w:rPr>
        <w:t>.</w:t>
      </w:r>
    </w:p>
    <w:p w:rsidR="00DA400A" w:rsidRPr="001274B2" w:rsidRDefault="00DA400A" w:rsidP="00DA400A">
      <w:pPr>
        <w:widowControl w:val="0"/>
        <w:rPr>
          <w:sz w:val="24"/>
          <w:szCs w:val="24"/>
        </w:rPr>
      </w:pPr>
      <w:r w:rsidRPr="001274B2">
        <w:rPr>
          <w:sz w:val="24"/>
          <w:szCs w:val="24"/>
        </w:rPr>
        <w:t>  </w:t>
      </w:r>
    </w:p>
    <w:p w:rsidR="00DA400A" w:rsidRPr="001274B2" w:rsidRDefault="00DA400A" w:rsidP="00DA400A">
      <w:pPr>
        <w:widowControl w:val="0"/>
        <w:rPr>
          <w:bCs/>
          <w:sz w:val="24"/>
          <w:szCs w:val="24"/>
        </w:rPr>
      </w:pPr>
      <w:r w:rsidRPr="001274B2">
        <w:rPr>
          <w:sz w:val="24"/>
          <w:szCs w:val="24"/>
        </w:rPr>
        <w:t xml:space="preserve">If you are deaf, hard of hearing, or a person with a disability that requires accommodation, please contact </w:t>
      </w:r>
      <w:hyperlink r:id="rId14" w:history="1">
        <w:r w:rsidRPr="001274B2">
          <w:rPr>
            <w:rStyle w:val="Hyperlink"/>
            <w:bCs/>
            <w:sz w:val="24"/>
            <w:szCs w:val="24"/>
          </w:rPr>
          <w:t>jessica.ferland@state.ma.us</w:t>
        </w:r>
      </w:hyperlink>
      <w:r w:rsidRPr="001274B2">
        <w:rPr>
          <w:bCs/>
          <w:sz w:val="24"/>
          <w:szCs w:val="24"/>
        </w:rPr>
        <w:t xml:space="preserve"> , 781-774-6749, or TTY (</w:t>
      </w:r>
      <w:proofErr w:type="spellStart"/>
      <w:r w:rsidRPr="001274B2">
        <w:rPr>
          <w:bCs/>
          <w:sz w:val="24"/>
          <w:szCs w:val="24"/>
        </w:rPr>
        <w:t>MassRelay</w:t>
      </w:r>
      <w:proofErr w:type="spellEnd"/>
      <w:r w:rsidRPr="001274B2">
        <w:rPr>
          <w:bCs/>
          <w:sz w:val="24"/>
          <w:szCs w:val="24"/>
        </w:rPr>
        <w:t>):  800-720-3480</w:t>
      </w:r>
    </w:p>
    <w:p w:rsidR="00DA400A" w:rsidRPr="001274B2" w:rsidRDefault="00DA400A" w:rsidP="00DA400A">
      <w:pPr>
        <w:widowControl w:val="0"/>
        <w:rPr>
          <w:sz w:val="24"/>
          <w:szCs w:val="24"/>
        </w:rPr>
      </w:pPr>
      <w:proofErr w:type="gramStart"/>
      <w:r w:rsidRPr="001274B2">
        <w:rPr>
          <w:sz w:val="24"/>
          <w:szCs w:val="24"/>
        </w:rPr>
        <w:t>as</w:t>
      </w:r>
      <w:proofErr w:type="gramEnd"/>
      <w:r w:rsidRPr="001274B2">
        <w:rPr>
          <w:sz w:val="24"/>
          <w:szCs w:val="24"/>
        </w:rPr>
        <w:t xml:space="preserve"> soon as possible.</w:t>
      </w:r>
    </w:p>
    <w:p w:rsidR="00DA400A" w:rsidRPr="001274B2" w:rsidRDefault="00DA400A" w:rsidP="00DA400A">
      <w:pPr>
        <w:widowControl w:val="0"/>
        <w:rPr>
          <w:sz w:val="24"/>
          <w:szCs w:val="24"/>
        </w:rPr>
      </w:pPr>
    </w:p>
    <w:p w:rsidR="00DA400A" w:rsidRPr="001274B2" w:rsidRDefault="00DA400A" w:rsidP="00DA400A">
      <w:pPr>
        <w:widowControl w:val="0"/>
        <w:rPr>
          <w:sz w:val="24"/>
          <w:szCs w:val="24"/>
        </w:rPr>
      </w:pPr>
      <w:r>
        <w:rPr>
          <w:noProof/>
        </w:rPr>
        <w:drawing>
          <wp:anchor distT="36576" distB="36576" distL="36576" distR="36576" simplePos="0" relativeHeight="251700224" behindDoc="1" locked="0" layoutInCell="1" allowOverlap="1" wp14:anchorId="712AE312" wp14:editId="15562E3D">
            <wp:simplePos x="0" y="0"/>
            <wp:positionH relativeFrom="column">
              <wp:posOffset>101600</wp:posOffset>
            </wp:positionH>
            <wp:positionV relativeFrom="paragraph">
              <wp:posOffset>-2540</wp:posOffset>
            </wp:positionV>
            <wp:extent cx="1773555" cy="365760"/>
            <wp:effectExtent l="0" t="0" r="0" b="0"/>
            <wp:wrapThrough wrapText="bothSides">
              <wp:wrapPolygon edited="0">
                <wp:start x="0" y="0"/>
                <wp:lineTo x="0" y="20250"/>
                <wp:lineTo x="21345" y="20250"/>
                <wp:lineTo x="21345" y="0"/>
                <wp:lineTo x="0" y="0"/>
              </wp:wrapPolygon>
            </wp:wrapThrough>
            <wp:docPr id="16" name="Picture 1" descr="access-symbols-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symbols-bla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355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4B2">
        <w:rPr>
          <w:sz w:val="24"/>
          <w:szCs w:val="24"/>
        </w:rPr>
        <w:t> </w:t>
      </w:r>
    </w:p>
    <w:p w:rsidR="00DA400A" w:rsidRPr="001274B2" w:rsidRDefault="00DA400A" w:rsidP="00DA400A">
      <w:pPr>
        <w:pStyle w:val="NoSpacing"/>
        <w:rPr>
          <w:sz w:val="24"/>
          <w:szCs w:val="24"/>
        </w:rPr>
      </w:pPr>
    </w:p>
    <w:p w:rsidR="00DA400A" w:rsidRPr="001274B2" w:rsidRDefault="00DA400A" w:rsidP="00DA400A">
      <w:pPr>
        <w:pStyle w:val="NoSpacing"/>
        <w:jc w:val="center"/>
        <w:rPr>
          <w:sz w:val="24"/>
          <w:szCs w:val="24"/>
        </w:rPr>
      </w:pPr>
    </w:p>
    <w:p w:rsidR="00DA400A" w:rsidRPr="001274B2" w:rsidRDefault="00DA400A" w:rsidP="00DA400A">
      <w:pPr>
        <w:rPr>
          <w:b/>
          <w:sz w:val="24"/>
          <w:szCs w:val="24"/>
        </w:rPr>
      </w:pPr>
    </w:p>
    <w:p w:rsidR="00DA400A" w:rsidRPr="001274B2" w:rsidRDefault="00DA400A" w:rsidP="00DA400A">
      <w:pPr>
        <w:rPr>
          <w:b/>
          <w:sz w:val="24"/>
          <w:szCs w:val="24"/>
        </w:rPr>
      </w:pPr>
      <w:proofErr w:type="gramStart"/>
      <w:r w:rsidRPr="001274B2">
        <w:rPr>
          <w:b/>
          <w:sz w:val="24"/>
          <w:szCs w:val="24"/>
        </w:rPr>
        <w:t>Monday, June 4, 2018 | 2:00 p.m. to 4:00 p.m.</w:t>
      </w:r>
      <w:proofErr w:type="gramEnd"/>
    </w:p>
    <w:p w:rsidR="00DA400A" w:rsidRPr="001274B2" w:rsidRDefault="00DA400A" w:rsidP="00DA400A">
      <w:pPr>
        <w:rPr>
          <w:sz w:val="24"/>
          <w:szCs w:val="24"/>
        </w:rPr>
      </w:pPr>
      <w:r w:rsidRPr="001274B2">
        <w:rPr>
          <w:sz w:val="24"/>
          <w:szCs w:val="24"/>
        </w:rPr>
        <w:t>Franklin Regional Council of Governments</w:t>
      </w:r>
    </w:p>
    <w:p w:rsidR="00DA400A" w:rsidRPr="001274B2" w:rsidRDefault="00DA400A" w:rsidP="00DA400A">
      <w:pPr>
        <w:rPr>
          <w:sz w:val="24"/>
          <w:szCs w:val="24"/>
        </w:rPr>
      </w:pPr>
      <w:proofErr w:type="gramStart"/>
      <w:r w:rsidRPr="001274B2">
        <w:rPr>
          <w:sz w:val="24"/>
          <w:szCs w:val="24"/>
        </w:rPr>
        <w:t xml:space="preserve">John W. </w:t>
      </w:r>
      <w:proofErr w:type="spellStart"/>
      <w:r w:rsidRPr="001274B2">
        <w:rPr>
          <w:sz w:val="24"/>
          <w:szCs w:val="24"/>
        </w:rPr>
        <w:t>Olver</w:t>
      </w:r>
      <w:proofErr w:type="spellEnd"/>
      <w:r w:rsidRPr="001274B2">
        <w:rPr>
          <w:sz w:val="24"/>
          <w:szCs w:val="24"/>
        </w:rPr>
        <w:t xml:space="preserve"> Transit Center.</w:t>
      </w:r>
      <w:proofErr w:type="gramEnd"/>
      <w:r w:rsidRPr="001274B2">
        <w:rPr>
          <w:sz w:val="24"/>
          <w:szCs w:val="24"/>
        </w:rPr>
        <w:t xml:space="preserve"> 12 Olive Street #2, Greenfield</w:t>
      </w:r>
    </w:p>
    <w:p w:rsidR="00DA400A" w:rsidRPr="001274B2" w:rsidRDefault="00DA400A" w:rsidP="00DA400A">
      <w:pPr>
        <w:rPr>
          <w:sz w:val="24"/>
          <w:szCs w:val="24"/>
        </w:rPr>
      </w:pPr>
    </w:p>
    <w:p w:rsidR="00DA400A" w:rsidRPr="001274B2" w:rsidRDefault="00DA400A" w:rsidP="00DA400A">
      <w:pPr>
        <w:rPr>
          <w:b/>
          <w:sz w:val="24"/>
          <w:szCs w:val="24"/>
        </w:rPr>
      </w:pPr>
      <w:r w:rsidRPr="001274B2">
        <w:rPr>
          <w:b/>
          <w:sz w:val="24"/>
          <w:szCs w:val="24"/>
        </w:rPr>
        <w:t>Tuesday, June 5, 2018 | 10:00 a.m. to Noon</w:t>
      </w:r>
    </w:p>
    <w:p w:rsidR="00DA400A" w:rsidRPr="001274B2" w:rsidRDefault="00DA400A" w:rsidP="00DA400A">
      <w:pPr>
        <w:rPr>
          <w:sz w:val="24"/>
          <w:szCs w:val="24"/>
        </w:rPr>
      </w:pPr>
      <w:r w:rsidRPr="001274B2">
        <w:rPr>
          <w:sz w:val="24"/>
          <w:szCs w:val="24"/>
        </w:rPr>
        <w:t>Massachusetts Division of Fisheries and Wildlife, 1 Rabbit Hill Road, Westborough</w:t>
      </w:r>
    </w:p>
    <w:p w:rsidR="00DA400A" w:rsidRPr="001274B2" w:rsidRDefault="00DA400A" w:rsidP="00DA400A">
      <w:pPr>
        <w:rPr>
          <w:sz w:val="24"/>
          <w:szCs w:val="24"/>
        </w:rPr>
      </w:pPr>
    </w:p>
    <w:p w:rsidR="00DA400A" w:rsidRPr="001274B2" w:rsidRDefault="00DA400A" w:rsidP="00DA400A">
      <w:pPr>
        <w:rPr>
          <w:b/>
          <w:sz w:val="24"/>
          <w:szCs w:val="24"/>
        </w:rPr>
      </w:pPr>
      <w:r w:rsidRPr="001274B2">
        <w:rPr>
          <w:b/>
          <w:sz w:val="24"/>
          <w:szCs w:val="24"/>
        </w:rPr>
        <w:t>Friday, June 8, 2018 | 10:00 a.m. to Noon</w:t>
      </w:r>
    </w:p>
    <w:p w:rsidR="00DA400A" w:rsidRPr="001274B2" w:rsidRDefault="00DA400A" w:rsidP="00DA400A">
      <w:pPr>
        <w:rPr>
          <w:sz w:val="24"/>
          <w:szCs w:val="24"/>
        </w:rPr>
      </w:pPr>
      <w:r w:rsidRPr="001274B2">
        <w:rPr>
          <w:sz w:val="24"/>
          <w:szCs w:val="24"/>
        </w:rPr>
        <w:t>Waltham Public Library, Lecture Hall, 735 Main Street, Waltham</w:t>
      </w:r>
    </w:p>
    <w:p w:rsidR="00DA400A" w:rsidRPr="001274B2" w:rsidRDefault="00DA400A" w:rsidP="00DA400A">
      <w:pPr>
        <w:rPr>
          <w:sz w:val="24"/>
          <w:szCs w:val="24"/>
        </w:rPr>
      </w:pPr>
    </w:p>
    <w:p w:rsidR="00DA400A" w:rsidRPr="001274B2" w:rsidRDefault="00DA400A" w:rsidP="00DA400A">
      <w:pPr>
        <w:rPr>
          <w:sz w:val="24"/>
          <w:szCs w:val="24"/>
        </w:rPr>
      </w:pPr>
      <w:proofErr w:type="gramStart"/>
      <w:r w:rsidRPr="001274B2">
        <w:rPr>
          <w:b/>
          <w:sz w:val="24"/>
          <w:szCs w:val="24"/>
        </w:rPr>
        <w:t>Monday, June 11, 2018 | 2:00 p.m. to 4:00 p.m.</w:t>
      </w:r>
      <w:proofErr w:type="gramEnd"/>
    </w:p>
    <w:p w:rsidR="00DA400A" w:rsidRPr="001274B2" w:rsidRDefault="00DA400A" w:rsidP="00DA400A">
      <w:pPr>
        <w:rPr>
          <w:sz w:val="24"/>
          <w:szCs w:val="24"/>
        </w:rPr>
      </w:pPr>
      <w:r w:rsidRPr="001274B2">
        <w:rPr>
          <w:sz w:val="24"/>
          <w:szCs w:val="24"/>
        </w:rPr>
        <w:t>Peabody Municipal Light Plant, 201 Warren Street Extension, Peabody</w:t>
      </w:r>
    </w:p>
    <w:p w:rsidR="00DA400A" w:rsidRPr="001274B2" w:rsidRDefault="00DA400A" w:rsidP="00DA400A">
      <w:pPr>
        <w:rPr>
          <w:sz w:val="24"/>
          <w:szCs w:val="24"/>
        </w:rPr>
      </w:pPr>
    </w:p>
    <w:p w:rsidR="00DA400A" w:rsidRPr="001274B2" w:rsidRDefault="00DA400A" w:rsidP="00DA400A">
      <w:pPr>
        <w:rPr>
          <w:b/>
          <w:sz w:val="24"/>
          <w:szCs w:val="24"/>
        </w:rPr>
      </w:pPr>
      <w:proofErr w:type="gramStart"/>
      <w:r w:rsidRPr="001274B2">
        <w:rPr>
          <w:b/>
          <w:sz w:val="24"/>
          <w:szCs w:val="24"/>
        </w:rPr>
        <w:t>Wednesday, June 13, 2018 | 2:00 p.m. to 4:00 p.m.</w:t>
      </w:r>
      <w:proofErr w:type="gramEnd"/>
    </w:p>
    <w:p w:rsidR="00DA400A" w:rsidRPr="001274B2" w:rsidRDefault="00DA400A" w:rsidP="00DA400A">
      <w:pPr>
        <w:rPr>
          <w:sz w:val="24"/>
          <w:szCs w:val="24"/>
        </w:rPr>
      </w:pPr>
      <w:r w:rsidRPr="001274B2">
        <w:rPr>
          <w:sz w:val="24"/>
          <w:szCs w:val="24"/>
        </w:rPr>
        <w:t xml:space="preserve">Lakeville Public Library, Community Meeting Room, 4 Precinct Street, Lakeville </w:t>
      </w:r>
    </w:p>
    <w:p w:rsidR="00DA400A" w:rsidRPr="001274B2" w:rsidRDefault="00DA400A" w:rsidP="00DA400A">
      <w:pPr>
        <w:rPr>
          <w:sz w:val="24"/>
          <w:szCs w:val="24"/>
        </w:rPr>
      </w:pPr>
    </w:p>
    <w:p w:rsidR="00DA400A" w:rsidRPr="001274B2" w:rsidRDefault="00DA400A" w:rsidP="00DA400A">
      <w:pPr>
        <w:rPr>
          <w:b/>
          <w:sz w:val="24"/>
          <w:szCs w:val="24"/>
        </w:rPr>
      </w:pPr>
      <w:r w:rsidRPr="001274B2">
        <w:rPr>
          <w:b/>
          <w:sz w:val="24"/>
          <w:szCs w:val="24"/>
        </w:rPr>
        <w:t>Friday, June 15, 2018 | 10:00 a.m. to Noon</w:t>
      </w:r>
    </w:p>
    <w:p w:rsidR="00DA400A" w:rsidRPr="001274B2" w:rsidRDefault="00DA400A" w:rsidP="00DA400A">
      <w:pPr>
        <w:rPr>
          <w:sz w:val="24"/>
          <w:szCs w:val="24"/>
        </w:rPr>
      </w:pPr>
      <w:r w:rsidRPr="001274B2">
        <w:rPr>
          <w:sz w:val="24"/>
          <w:szCs w:val="24"/>
        </w:rPr>
        <w:t>Western Massachusetts Hospital, Conference Center, 91 East Mountain Road, Westfield</w:t>
      </w:r>
    </w:p>
    <w:p w:rsidR="00DA400A" w:rsidRPr="001274B2" w:rsidRDefault="00DA400A" w:rsidP="00DA400A">
      <w:pPr>
        <w:rPr>
          <w:sz w:val="24"/>
          <w:szCs w:val="24"/>
        </w:rPr>
      </w:pPr>
    </w:p>
    <w:p w:rsidR="00DA400A" w:rsidRPr="001274B2" w:rsidRDefault="00DA400A" w:rsidP="00DA400A">
      <w:pPr>
        <w:rPr>
          <w:sz w:val="24"/>
          <w:szCs w:val="24"/>
        </w:rPr>
      </w:pPr>
      <w:r w:rsidRPr="001274B2">
        <w:rPr>
          <w:sz w:val="24"/>
          <w:szCs w:val="24"/>
        </w:rPr>
        <w:t xml:space="preserve">Written comments may be submitted until 5:00 p.m. on Wednesday, June 20, 2018 to </w:t>
      </w:r>
    </w:p>
    <w:p w:rsidR="00DA400A" w:rsidRPr="001274B2" w:rsidRDefault="00DA400A" w:rsidP="00DA400A">
      <w:pPr>
        <w:jc w:val="center"/>
        <w:rPr>
          <w:sz w:val="24"/>
          <w:szCs w:val="24"/>
        </w:rPr>
      </w:pPr>
    </w:p>
    <w:p w:rsidR="00DA400A" w:rsidRPr="001274B2" w:rsidRDefault="00DA400A" w:rsidP="00DA400A">
      <w:pPr>
        <w:jc w:val="center"/>
        <w:rPr>
          <w:sz w:val="24"/>
          <w:szCs w:val="24"/>
        </w:rPr>
      </w:pPr>
      <w:hyperlink r:id="rId16" w:history="1">
        <w:r w:rsidRPr="001274B2">
          <w:rPr>
            <w:rStyle w:val="Hyperlink"/>
            <w:sz w:val="24"/>
            <w:szCs w:val="24"/>
          </w:rPr>
          <w:t>LocalRegionalPublicHealth@massmail.state.ma.us</w:t>
        </w:r>
      </w:hyperlink>
    </w:p>
    <w:p w:rsidR="00DA400A" w:rsidRPr="001274B2" w:rsidRDefault="00DA400A" w:rsidP="00DA400A">
      <w:pPr>
        <w:rPr>
          <w:rStyle w:val="Hyperlink"/>
          <w:sz w:val="24"/>
          <w:szCs w:val="24"/>
        </w:rPr>
      </w:pPr>
    </w:p>
    <w:p w:rsidR="00DA400A" w:rsidRPr="001274B2" w:rsidRDefault="00DA400A" w:rsidP="00DA400A">
      <w:pPr>
        <w:jc w:val="center"/>
        <w:rPr>
          <w:rStyle w:val="Hyperlink"/>
          <w:sz w:val="24"/>
          <w:szCs w:val="24"/>
        </w:rPr>
      </w:pPr>
      <w:r w:rsidRPr="001274B2">
        <w:rPr>
          <w:rStyle w:val="Hyperlink"/>
          <w:sz w:val="24"/>
          <w:szCs w:val="24"/>
        </w:rPr>
        <w:t>Please see listening sessions locations details on the next page.</w:t>
      </w:r>
    </w:p>
    <w:p w:rsidR="00DA400A" w:rsidRPr="001274B2" w:rsidRDefault="00DA400A" w:rsidP="00DA400A">
      <w:pPr>
        <w:rPr>
          <w:b/>
          <w:bCs/>
          <w:caps/>
          <w:color w:val="000080"/>
          <w:sz w:val="24"/>
          <w:szCs w:val="24"/>
        </w:rPr>
      </w:pPr>
      <w:r w:rsidRPr="001274B2">
        <w:rPr>
          <w:rStyle w:val="Hyperlink"/>
          <w:sz w:val="24"/>
          <w:szCs w:val="24"/>
        </w:rPr>
        <w:br w:type="page"/>
      </w:r>
      <w:r w:rsidRPr="001274B2">
        <w:rPr>
          <w:b/>
          <w:bCs/>
          <w:caps/>
          <w:color w:val="000080"/>
          <w:sz w:val="24"/>
          <w:szCs w:val="24"/>
        </w:rPr>
        <w:lastRenderedPageBreak/>
        <w:t>listening sessions locations details</w:t>
      </w:r>
    </w:p>
    <w:p w:rsidR="00DA400A" w:rsidRPr="001274B2" w:rsidRDefault="00DA400A" w:rsidP="00DA400A">
      <w:pPr>
        <w:widowControl w:val="0"/>
        <w:rPr>
          <w:b/>
          <w:bCs/>
          <w:caps/>
          <w:color w:val="000080"/>
          <w:sz w:val="24"/>
          <w:szCs w:val="24"/>
        </w:rPr>
      </w:pPr>
    </w:p>
    <w:p w:rsidR="00DA400A" w:rsidRPr="001274B2" w:rsidRDefault="00DA400A" w:rsidP="00DA400A">
      <w:pPr>
        <w:widowControl w:val="0"/>
        <w:rPr>
          <w:sz w:val="24"/>
          <w:szCs w:val="24"/>
        </w:rPr>
      </w:pPr>
      <w:r w:rsidRPr="001274B2">
        <w:rPr>
          <w:b/>
          <w:bCs/>
          <w:caps/>
          <w:color w:val="000080"/>
          <w:sz w:val="24"/>
          <w:szCs w:val="24"/>
        </w:rPr>
        <w:t>Greenfield (june 4)</w:t>
      </w:r>
      <w:r w:rsidRPr="001274B2">
        <w:rPr>
          <w:sz w:val="24"/>
          <w:szCs w:val="24"/>
        </w:rPr>
        <w:t xml:space="preserve">. There is no on-site parking (other than accessible spaces) at the John W. </w:t>
      </w:r>
      <w:proofErr w:type="spellStart"/>
      <w:r w:rsidRPr="001274B2">
        <w:rPr>
          <w:sz w:val="24"/>
          <w:szCs w:val="24"/>
        </w:rPr>
        <w:t>Olver</w:t>
      </w:r>
      <w:proofErr w:type="spellEnd"/>
      <w:r w:rsidRPr="001274B2">
        <w:rPr>
          <w:sz w:val="24"/>
          <w:szCs w:val="24"/>
        </w:rPr>
        <w:t xml:space="preserve"> Transit Center. Parking is available at one of the pay-and-display lots in Greenfield or at metered spots on Bank Row. Please plan to arrive ten minutes early to park and walk to the transit center.</w:t>
      </w:r>
    </w:p>
    <w:p w:rsidR="00DA400A" w:rsidRPr="001274B2" w:rsidRDefault="00DA400A" w:rsidP="00DA400A">
      <w:pPr>
        <w:rPr>
          <w:sz w:val="24"/>
          <w:szCs w:val="24"/>
        </w:rPr>
      </w:pPr>
      <w:r w:rsidRPr="001274B2">
        <w:rPr>
          <w:sz w:val="24"/>
          <w:szCs w:val="24"/>
        </w:rPr>
        <w:t> </w:t>
      </w:r>
    </w:p>
    <w:p w:rsidR="00DA400A" w:rsidRPr="001274B2" w:rsidRDefault="00DA400A" w:rsidP="00DA400A">
      <w:pPr>
        <w:widowControl w:val="0"/>
        <w:rPr>
          <w:b/>
          <w:bCs/>
          <w:caps/>
          <w:color w:val="000080"/>
          <w:sz w:val="24"/>
          <w:szCs w:val="24"/>
        </w:rPr>
      </w:pPr>
      <w:r w:rsidRPr="001274B2">
        <w:rPr>
          <w:b/>
          <w:bCs/>
          <w:caps/>
          <w:color w:val="000080"/>
          <w:sz w:val="24"/>
          <w:szCs w:val="24"/>
        </w:rPr>
        <w:t xml:space="preserve">Westborough (june 5). </w:t>
      </w:r>
      <w:r w:rsidRPr="001274B2">
        <w:rPr>
          <w:sz w:val="24"/>
          <w:szCs w:val="24"/>
        </w:rPr>
        <w:t>1 Rabbit Hill Road is off North Drive. There is a parking lot on site. Visitors are asked to carpool, if possible, because parking may be limited. Visitors can meet up at the park-and-ride at the corner of Oak and Milk Streets (right on Route 135) and ride up the hill in one car from there (2 minutes away). Please report to the reception desk upon arrival.</w:t>
      </w:r>
    </w:p>
    <w:p w:rsidR="00DA400A" w:rsidRPr="001274B2" w:rsidRDefault="00DA400A" w:rsidP="00DA400A">
      <w:pPr>
        <w:widowControl w:val="0"/>
        <w:rPr>
          <w:b/>
          <w:bCs/>
          <w:caps/>
          <w:color w:val="000080"/>
          <w:sz w:val="24"/>
          <w:szCs w:val="24"/>
        </w:rPr>
      </w:pPr>
    </w:p>
    <w:p w:rsidR="00DA400A" w:rsidRPr="001274B2" w:rsidRDefault="00DA400A" w:rsidP="00DA400A">
      <w:pPr>
        <w:rPr>
          <w:sz w:val="24"/>
          <w:szCs w:val="24"/>
        </w:rPr>
      </w:pPr>
      <w:r w:rsidRPr="001274B2">
        <w:rPr>
          <w:b/>
          <w:bCs/>
          <w:caps/>
          <w:color w:val="000080"/>
          <w:sz w:val="24"/>
          <w:szCs w:val="24"/>
        </w:rPr>
        <w:t xml:space="preserve">WALTHAM (june 8). </w:t>
      </w:r>
      <w:r w:rsidRPr="001274B2">
        <w:rPr>
          <w:sz w:val="24"/>
          <w:szCs w:val="24"/>
        </w:rPr>
        <w:t xml:space="preserve">There is a metered parking lot behind the library and metered on-street parking. A metered municipal lot is located one block from the library off of Lexington Street between Main Street and School Street. </w:t>
      </w:r>
    </w:p>
    <w:p w:rsidR="00DA400A" w:rsidRPr="001274B2" w:rsidRDefault="00DA400A" w:rsidP="00DA400A">
      <w:pPr>
        <w:rPr>
          <w:sz w:val="24"/>
          <w:szCs w:val="24"/>
        </w:rPr>
      </w:pPr>
    </w:p>
    <w:p w:rsidR="00DA400A" w:rsidRPr="001274B2" w:rsidRDefault="00DA400A" w:rsidP="00DA400A">
      <w:pPr>
        <w:widowControl w:val="0"/>
        <w:rPr>
          <w:sz w:val="24"/>
          <w:szCs w:val="24"/>
        </w:rPr>
      </w:pPr>
      <w:r w:rsidRPr="001274B2">
        <w:rPr>
          <w:b/>
          <w:bCs/>
          <w:caps/>
          <w:color w:val="000080"/>
          <w:sz w:val="24"/>
          <w:szCs w:val="24"/>
        </w:rPr>
        <w:t>Peabody (june 11).</w:t>
      </w:r>
      <w:r w:rsidRPr="001274B2">
        <w:rPr>
          <w:sz w:val="24"/>
          <w:szCs w:val="24"/>
        </w:rPr>
        <w:t xml:space="preserve"> There is parking lot at the Peabody Municipal Light Plant (PMLP). PMLP staff will direct you to the meeting room.</w:t>
      </w:r>
    </w:p>
    <w:p w:rsidR="00DA400A" w:rsidRPr="001274B2" w:rsidRDefault="00DA400A" w:rsidP="00DA400A">
      <w:pPr>
        <w:rPr>
          <w:sz w:val="24"/>
          <w:szCs w:val="24"/>
        </w:rPr>
      </w:pPr>
      <w:r w:rsidRPr="001274B2">
        <w:rPr>
          <w:sz w:val="24"/>
          <w:szCs w:val="24"/>
        </w:rPr>
        <w:t> </w:t>
      </w:r>
    </w:p>
    <w:p w:rsidR="00DA400A" w:rsidRPr="001274B2" w:rsidRDefault="00DA400A" w:rsidP="00DA400A">
      <w:pPr>
        <w:widowControl w:val="0"/>
        <w:rPr>
          <w:sz w:val="24"/>
          <w:szCs w:val="24"/>
        </w:rPr>
      </w:pPr>
      <w:r w:rsidRPr="001274B2">
        <w:rPr>
          <w:b/>
          <w:bCs/>
          <w:caps/>
          <w:color w:val="000080"/>
          <w:sz w:val="24"/>
          <w:szCs w:val="24"/>
        </w:rPr>
        <w:t xml:space="preserve">Lakeville (june 13). </w:t>
      </w:r>
      <w:r w:rsidRPr="001274B2">
        <w:rPr>
          <w:sz w:val="24"/>
          <w:szCs w:val="24"/>
        </w:rPr>
        <w:t>Please park in the Old Town Hall parking lot (at the bottom of the driveway of the library) or church parking lot across the street. The event will be held in the Community Meeting Room—on your left after entering the library.</w:t>
      </w:r>
    </w:p>
    <w:p w:rsidR="00DA400A" w:rsidRPr="001274B2" w:rsidRDefault="00DA400A" w:rsidP="00DA400A">
      <w:pPr>
        <w:rPr>
          <w:sz w:val="24"/>
          <w:szCs w:val="24"/>
        </w:rPr>
      </w:pPr>
      <w:r w:rsidRPr="001274B2">
        <w:rPr>
          <w:sz w:val="24"/>
          <w:szCs w:val="24"/>
        </w:rPr>
        <w:t> </w:t>
      </w:r>
    </w:p>
    <w:p w:rsidR="00DA400A" w:rsidRPr="001274B2" w:rsidRDefault="00DA400A" w:rsidP="00DA400A">
      <w:pPr>
        <w:widowControl w:val="0"/>
        <w:rPr>
          <w:sz w:val="24"/>
          <w:szCs w:val="24"/>
        </w:rPr>
      </w:pPr>
      <w:r w:rsidRPr="001274B2">
        <w:rPr>
          <w:b/>
          <w:bCs/>
          <w:caps/>
          <w:color w:val="000080"/>
          <w:sz w:val="24"/>
          <w:szCs w:val="24"/>
        </w:rPr>
        <w:t>Westfield (june 15).</w:t>
      </w:r>
      <w:r w:rsidRPr="001274B2">
        <w:rPr>
          <w:sz w:val="24"/>
          <w:szCs w:val="24"/>
        </w:rPr>
        <w:t xml:space="preserve"> On-campus parking with ADA accessible entrances is available in the front, rear, and northern section of the main building. The event will be held in the Conference Center.</w:t>
      </w:r>
    </w:p>
    <w:p w:rsidR="00DA400A" w:rsidRPr="001274B2" w:rsidRDefault="00DA400A" w:rsidP="00DA400A">
      <w:pPr>
        <w:rPr>
          <w:sz w:val="24"/>
          <w:szCs w:val="24"/>
        </w:rPr>
      </w:pPr>
      <w:r w:rsidRPr="001274B2">
        <w:rPr>
          <w:sz w:val="24"/>
          <w:szCs w:val="24"/>
        </w:rPr>
        <w:t xml:space="preserve">Public Transit: Onsite, public transportation pick-up is serviced by the Pioneer Valley Transit Authority (PVTA), route R10. Drop off, while not </w:t>
      </w:r>
      <w:proofErr w:type="gramStart"/>
      <w:r w:rsidRPr="001274B2">
        <w:rPr>
          <w:sz w:val="24"/>
          <w:szCs w:val="24"/>
        </w:rPr>
        <w:t>onsite,</w:t>
      </w:r>
      <w:proofErr w:type="gramEnd"/>
      <w:r w:rsidRPr="001274B2">
        <w:rPr>
          <w:sz w:val="24"/>
          <w:szCs w:val="24"/>
        </w:rPr>
        <w:t xml:space="preserve"> is proximate to the facility, approximately 200 yards away. The event will be held in the Conference Center.</w:t>
      </w:r>
    </w:p>
    <w:p w:rsidR="00DA400A" w:rsidRPr="001274B2" w:rsidRDefault="00DA400A" w:rsidP="00DA400A">
      <w:pPr>
        <w:rPr>
          <w:sz w:val="24"/>
          <w:szCs w:val="24"/>
        </w:rPr>
      </w:pPr>
    </w:p>
    <w:p w:rsidR="00DA400A" w:rsidRPr="001274B2" w:rsidRDefault="00DA400A" w:rsidP="00DA400A">
      <w:pPr>
        <w:rPr>
          <w:sz w:val="24"/>
          <w:szCs w:val="24"/>
        </w:rPr>
      </w:pPr>
      <w:r w:rsidRPr="001274B2">
        <w:br w:type="page"/>
      </w:r>
    </w:p>
    <w:p w:rsidR="00DA400A" w:rsidRPr="001274B2" w:rsidRDefault="00DA400A" w:rsidP="00DA400A">
      <w:pPr>
        <w:pBdr>
          <w:bottom w:val="single" w:sz="8" w:space="4" w:color="4F81BD" w:themeColor="accent1"/>
        </w:pBdr>
        <w:contextualSpacing/>
        <w:rPr>
          <w:rFonts w:eastAsiaTheme="majorEastAsia" w:cs="Calibri"/>
          <w:b/>
          <w:smallCaps/>
          <w:color w:val="17365D" w:themeColor="text2" w:themeShade="BF"/>
          <w:spacing w:val="5"/>
          <w:kern w:val="28"/>
          <w:sz w:val="32"/>
          <w:szCs w:val="36"/>
        </w:rPr>
        <w:sectPr w:rsidR="00DA400A" w:rsidRPr="001274B2" w:rsidSect="00DA400A">
          <w:footerReference w:type="default" r:id="rId17"/>
          <w:pgSz w:w="12240" w:h="15840"/>
          <w:pgMar w:top="1440" w:right="1440" w:bottom="1440" w:left="1440" w:header="720" w:footer="720" w:gutter="0"/>
          <w:cols w:space="720"/>
          <w:docGrid w:linePitch="360"/>
        </w:sectPr>
      </w:pPr>
    </w:p>
    <w:p w:rsidR="00DA400A" w:rsidRPr="001274B2" w:rsidRDefault="00DA400A" w:rsidP="00DA400A">
      <w:pPr>
        <w:pBdr>
          <w:bottom w:val="single" w:sz="8" w:space="4" w:color="4F81BD" w:themeColor="accent1"/>
        </w:pBdr>
        <w:contextualSpacing/>
        <w:jc w:val="center"/>
        <w:rPr>
          <w:rFonts w:eastAsiaTheme="majorEastAsia" w:cs="Calibri"/>
          <w:b/>
          <w:smallCaps/>
          <w:color w:val="17365D" w:themeColor="text2" w:themeShade="BF"/>
          <w:spacing w:val="5"/>
          <w:kern w:val="28"/>
          <w:sz w:val="32"/>
          <w:szCs w:val="36"/>
        </w:rPr>
      </w:pPr>
      <w:r w:rsidRPr="001274B2">
        <w:rPr>
          <w:rFonts w:eastAsiaTheme="majorEastAsia" w:cs="Calibri"/>
          <w:b/>
          <w:smallCaps/>
          <w:color w:val="17365D" w:themeColor="text2" w:themeShade="BF"/>
          <w:spacing w:val="5"/>
          <w:kern w:val="28"/>
          <w:sz w:val="32"/>
          <w:szCs w:val="36"/>
        </w:rPr>
        <w:lastRenderedPageBreak/>
        <w:t>Special Commission on Local and Regional Public Health</w:t>
      </w:r>
    </w:p>
    <w:p w:rsidR="00DA400A" w:rsidRPr="001274B2" w:rsidRDefault="00DA400A" w:rsidP="00DA400A"/>
    <w:p w:rsidR="00DA400A" w:rsidRPr="001274B2" w:rsidRDefault="00DA400A" w:rsidP="00DA400A">
      <w:pPr>
        <w:pStyle w:val="NoSpacing"/>
        <w:jc w:val="center"/>
        <w:rPr>
          <w:b/>
          <w:smallCaps/>
          <w:sz w:val="24"/>
          <w:szCs w:val="24"/>
        </w:rPr>
      </w:pPr>
      <w:r w:rsidRPr="001274B2">
        <w:rPr>
          <w:b/>
          <w:smallCaps/>
          <w:sz w:val="24"/>
          <w:szCs w:val="24"/>
        </w:rPr>
        <w:t>Attachment B</w:t>
      </w:r>
    </w:p>
    <w:p w:rsidR="00DA400A" w:rsidRDefault="00DA400A" w:rsidP="00DA400A">
      <w:pPr>
        <w:jc w:val="center"/>
        <w:rPr>
          <w:b/>
        </w:rPr>
      </w:pPr>
      <w:r w:rsidRPr="001274B2">
        <w:rPr>
          <w:b/>
        </w:rPr>
        <w:t>Participants in Stakeholder Listening Sessions – June 2018</w:t>
      </w:r>
    </w:p>
    <w:p w:rsidR="002352EC" w:rsidRPr="001274B2" w:rsidRDefault="002352EC" w:rsidP="00DA400A">
      <w:pPr>
        <w:jc w:val="center"/>
        <w:rPr>
          <w:b/>
        </w:rPr>
      </w:pPr>
    </w:p>
    <w:tbl>
      <w:tblPr>
        <w:tblStyle w:val="TableGrid"/>
        <w:tblW w:w="9936" w:type="dxa"/>
        <w:tblLook w:val="04A0" w:firstRow="1" w:lastRow="0" w:firstColumn="1" w:lastColumn="0" w:noHBand="0" w:noVBand="1"/>
      </w:tblPr>
      <w:tblGrid>
        <w:gridCol w:w="3312"/>
        <w:gridCol w:w="3312"/>
        <w:gridCol w:w="3312"/>
      </w:tblGrid>
      <w:tr w:rsidR="00DA400A" w:rsidRPr="001274B2" w:rsidTr="00DA400A">
        <w:trPr>
          <w:trHeight w:val="432"/>
        </w:trPr>
        <w:tc>
          <w:tcPr>
            <w:tcW w:w="9936" w:type="dxa"/>
            <w:gridSpan w:val="3"/>
            <w:shd w:val="clear" w:color="auto" w:fill="92CDDC" w:themeFill="accent5" w:themeFillTint="99"/>
            <w:vAlign w:val="center"/>
          </w:tcPr>
          <w:p w:rsidR="00DA400A" w:rsidRPr="001274B2" w:rsidRDefault="00DA400A" w:rsidP="00DA400A">
            <w:pPr>
              <w:rPr>
                <w:b/>
                <w:noProof/>
              </w:rPr>
            </w:pPr>
            <w:r w:rsidRPr="001274B2">
              <w:rPr>
                <w:b/>
                <w:noProof/>
              </w:rPr>
              <w:t>Greenfield – Persons Providing Comments</w:t>
            </w:r>
          </w:p>
        </w:tc>
      </w:tr>
      <w:tr w:rsidR="00DA400A" w:rsidRPr="001274B2" w:rsidTr="00DA400A">
        <w:trPr>
          <w:trHeight w:val="432"/>
        </w:trPr>
        <w:tc>
          <w:tcPr>
            <w:tcW w:w="3312" w:type="dxa"/>
            <w:vAlign w:val="center"/>
          </w:tcPr>
          <w:p w:rsidR="00DA400A" w:rsidRPr="001274B2" w:rsidRDefault="00DA400A" w:rsidP="00DA400A">
            <w:r w:rsidRPr="001274B2">
              <w:rPr>
                <w:noProof/>
              </w:rPr>
              <w:t>Bell-Perkins</w:t>
            </w:r>
            <w:r w:rsidRPr="001274B2">
              <w:t xml:space="preserve">, </w:t>
            </w:r>
            <w:r w:rsidRPr="001274B2">
              <w:rPr>
                <w:noProof/>
              </w:rPr>
              <w:t>Elizabeth</w:t>
            </w:r>
          </w:p>
        </w:tc>
        <w:tc>
          <w:tcPr>
            <w:tcW w:w="3312" w:type="dxa"/>
            <w:vAlign w:val="center"/>
          </w:tcPr>
          <w:p w:rsidR="00DA400A" w:rsidRPr="001274B2" w:rsidRDefault="00DA400A" w:rsidP="00DA400A">
            <w:r w:rsidRPr="001274B2">
              <w:rPr>
                <w:noProof/>
              </w:rPr>
              <w:t>Goshen Board of Health</w:t>
            </w:r>
          </w:p>
        </w:tc>
        <w:tc>
          <w:tcPr>
            <w:tcW w:w="3312" w:type="dxa"/>
            <w:vAlign w:val="center"/>
          </w:tcPr>
          <w:p w:rsidR="00DA400A" w:rsidRPr="001274B2" w:rsidRDefault="00DA400A" w:rsidP="00DA400A">
            <w:r w:rsidRPr="001274B2">
              <w:rPr>
                <w:noProof/>
              </w:rPr>
              <w:t>Board of Health Member</w:t>
            </w:r>
          </w:p>
        </w:tc>
      </w:tr>
      <w:tr w:rsidR="00DA400A" w:rsidRPr="001274B2" w:rsidTr="00DA400A">
        <w:trPr>
          <w:trHeight w:val="432"/>
        </w:trPr>
        <w:tc>
          <w:tcPr>
            <w:tcW w:w="3312" w:type="dxa"/>
            <w:vAlign w:val="center"/>
          </w:tcPr>
          <w:p w:rsidR="00DA400A" w:rsidRPr="001274B2" w:rsidRDefault="00DA400A" w:rsidP="00DA400A">
            <w:r w:rsidRPr="001274B2">
              <w:rPr>
                <w:noProof/>
              </w:rPr>
              <w:t>Benson</w:t>
            </w:r>
            <w:r w:rsidRPr="001274B2">
              <w:t xml:space="preserve">, </w:t>
            </w:r>
            <w:r w:rsidRPr="001274B2">
              <w:rPr>
                <w:noProof/>
              </w:rPr>
              <w:t>Kathie</w:t>
            </w:r>
          </w:p>
        </w:tc>
        <w:tc>
          <w:tcPr>
            <w:tcW w:w="3312" w:type="dxa"/>
            <w:vAlign w:val="center"/>
          </w:tcPr>
          <w:p w:rsidR="00DA400A" w:rsidRPr="001274B2" w:rsidRDefault="00DA400A" w:rsidP="00DA400A">
            <w:r>
              <w:rPr>
                <w:noProof/>
              </w:rPr>
              <w:t>Leyde</w:t>
            </w:r>
            <w:r w:rsidRPr="001274B2">
              <w:rPr>
                <w:noProof/>
              </w:rPr>
              <w:t>n Board of Health</w:t>
            </w:r>
          </w:p>
        </w:tc>
        <w:tc>
          <w:tcPr>
            <w:tcW w:w="3312" w:type="dxa"/>
            <w:vAlign w:val="center"/>
          </w:tcPr>
          <w:p w:rsidR="00DA400A" w:rsidRPr="001274B2" w:rsidRDefault="00DA400A" w:rsidP="00DA400A">
            <w:r w:rsidRPr="001274B2">
              <w:rPr>
                <w:noProof/>
              </w:rPr>
              <w:t>Board of Health Member</w:t>
            </w:r>
          </w:p>
        </w:tc>
      </w:tr>
      <w:tr w:rsidR="00DA400A" w:rsidRPr="001274B2" w:rsidTr="00DA400A">
        <w:trPr>
          <w:trHeight w:val="432"/>
        </w:trPr>
        <w:tc>
          <w:tcPr>
            <w:tcW w:w="3312" w:type="dxa"/>
            <w:vAlign w:val="center"/>
          </w:tcPr>
          <w:p w:rsidR="00DA400A" w:rsidRPr="001274B2" w:rsidRDefault="00DA400A" w:rsidP="00DA400A">
            <w:r w:rsidRPr="001274B2">
              <w:rPr>
                <w:noProof/>
              </w:rPr>
              <w:t>Fede</w:t>
            </w:r>
            <w:r>
              <w:rPr>
                <w:noProof/>
              </w:rPr>
              <w:t>r</w:t>
            </w:r>
            <w:r w:rsidRPr="001274B2">
              <w:rPr>
                <w:noProof/>
              </w:rPr>
              <w:t>man</w:t>
            </w:r>
            <w:r w:rsidRPr="001274B2">
              <w:t xml:space="preserve">, </w:t>
            </w:r>
            <w:r w:rsidRPr="001274B2">
              <w:rPr>
                <w:noProof/>
              </w:rPr>
              <w:t>Julie</w:t>
            </w:r>
          </w:p>
        </w:tc>
        <w:tc>
          <w:tcPr>
            <w:tcW w:w="3312" w:type="dxa"/>
            <w:vAlign w:val="center"/>
          </w:tcPr>
          <w:p w:rsidR="00DA400A" w:rsidRPr="001274B2" w:rsidRDefault="00DA400A" w:rsidP="00DA400A">
            <w:r w:rsidRPr="001274B2">
              <w:rPr>
                <w:noProof/>
              </w:rPr>
              <w:t>Amherst Health Department</w:t>
            </w:r>
          </w:p>
        </w:tc>
        <w:tc>
          <w:tcPr>
            <w:tcW w:w="3312" w:type="dxa"/>
            <w:vAlign w:val="center"/>
          </w:tcPr>
          <w:p w:rsidR="00DA400A" w:rsidRPr="001274B2" w:rsidRDefault="00DA400A" w:rsidP="00DA400A">
            <w:r w:rsidRPr="001274B2">
              <w:rPr>
                <w:noProof/>
              </w:rPr>
              <w:t>Health Director</w:t>
            </w:r>
          </w:p>
        </w:tc>
      </w:tr>
      <w:tr w:rsidR="00DA400A" w:rsidRPr="001274B2" w:rsidTr="00DA400A">
        <w:trPr>
          <w:trHeight w:val="432"/>
        </w:trPr>
        <w:tc>
          <w:tcPr>
            <w:tcW w:w="3312" w:type="dxa"/>
            <w:vAlign w:val="center"/>
          </w:tcPr>
          <w:p w:rsidR="00DA400A" w:rsidRPr="001274B2" w:rsidRDefault="00DA400A" w:rsidP="00DA400A">
            <w:r w:rsidRPr="001274B2">
              <w:rPr>
                <w:noProof/>
              </w:rPr>
              <w:t>Hirschhorn</w:t>
            </w:r>
            <w:r w:rsidRPr="001274B2">
              <w:t xml:space="preserve">, </w:t>
            </w:r>
            <w:r w:rsidRPr="001274B2">
              <w:rPr>
                <w:noProof/>
              </w:rPr>
              <w:t>Beverly</w:t>
            </w:r>
          </w:p>
        </w:tc>
        <w:tc>
          <w:tcPr>
            <w:tcW w:w="3312" w:type="dxa"/>
            <w:vAlign w:val="center"/>
          </w:tcPr>
          <w:p w:rsidR="00DA400A" w:rsidRPr="001274B2" w:rsidRDefault="00DA400A" w:rsidP="00DA400A">
            <w:r w:rsidRPr="001274B2">
              <w:rPr>
                <w:noProof/>
              </w:rPr>
              <w:t>Longmeadow Board of Health</w:t>
            </w:r>
          </w:p>
        </w:tc>
        <w:tc>
          <w:tcPr>
            <w:tcW w:w="3312" w:type="dxa"/>
            <w:vAlign w:val="center"/>
          </w:tcPr>
          <w:p w:rsidR="00DA400A" w:rsidRPr="001274B2" w:rsidRDefault="00DA400A" w:rsidP="00DA400A">
            <w:r w:rsidRPr="001274B2">
              <w:rPr>
                <w:noProof/>
              </w:rPr>
              <w:t>Health Director</w:t>
            </w:r>
          </w:p>
        </w:tc>
      </w:tr>
      <w:tr w:rsidR="00DA400A" w:rsidRPr="001274B2" w:rsidTr="00DA400A">
        <w:trPr>
          <w:trHeight w:val="432"/>
        </w:trPr>
        <w:tc>
          <w:tcPr>
            <w:tcW w:w="3312" w:type="dxa"/>
            <w:vAlign w:val="center"/>
          </w:tcPr>
          <w:p w:rsidR="00DA400A" w:rsidRPr="001274B2" w:rsidRDefault="00DA400A" w:rsidP="00DA400A">
            <w:r w:rsidRPr="001274B2">
              <w:rPr>
                <w:noProof/>
              </w:rPr>
              <w:t>Kovacs</w:t>
            </w:r>
            <w:r w:rsidRPr="001274B2">
              <w:t xml:space="preserve">, </w:t>
            </w:r>
            <w:r w:rsidRPr="001274B2">
              <w:rPr>
                <w:noProof/>
              </w:rPr>
              <w:t>Betsy</w:t>
            </w:r>
          </w:p>
        </w:tc>
        <w:tc>
          <w:tcPr>
            <w:tcW w:w="3312" w:type="dxa"/>
            <w:vAlign w:val="center"/>
          </w:tcPr>
          <w:p w:rsidR="00DA400A" w:rsidRPr="001274B2" w:rsidRDefault="00DA400A" w:rsidP="00DA400A">
            <w:r>
              <w:t>Heath Board of Health</w:t>
            </w:r>
          </w:p>
        </w:tc>
        <w:tc>
          <w:tcPr>
            <w:tcW w:w="3312" w:type="dxa"/>
            <w:vAlign w:val="center"/>
          </w:tcPr>
          <w:p w:rsidR="00DA400A" w:rsidRPr="001274B2" w:rsidRDefault="00DA400A" w:rsidP="00DA400A">
            <w:r>
              <w:rPr>
                <w:noProof/>
              </w:rPr>
              <w:t>Board of Health Member</w:t>
            </w:r>
          </w:p>
        </w:tc>
      </w:tr>
      <w:tr w:rsidR="00DA400A" w:rsidRPr="001274B2" w:rsidTr="00DA400A">
        <w:trPr>
          <w:trHeight w:val="432"/>
        </w:trPr>
        <w:tc>
          <w:tcPr>
            <w:tcW w:w="3312" w:type="dxa"/>
            <w:vAlign w:val="center"/>
          </w:tcPr>
          <w:p w:rsidR="00DA400A" w:rsidRPr="001274B2" w:rsidRDefault="00DA400A" w:rsidP="00DA400A">
            <w:r w:rsidRPr="001274B2">
              <w:rPr>
                <w:noProof/>
              </w:rPr>
              <w:t>Stoler</w:t>
            </w:r>
            <w:r w:rsidRPr="001274B2">
              <w:t xml:space="preserve">, </w:t>
            </w:r>
            <w:r w:rsidRPr="001274B2">
              <w:rPr>
                <w:noProof/>
              </w:rPr>
              <w:t>Rachel</w:t>
            </w:r>
          </w:p>
        </w:tc>
        <w:tc>
          <w:tcPr>
            <w:tcW w:w="3312" w:type="dxa"/>
            <w:vAlign w:val="center"/>
          </w:tcPr>
          <w:p w:rsidR="00DA400A" w:rsidRPr="001274B2" w:rsidRDefault="00DA400A" w:rsidP="00DA400A">
            <w:r w:rsidRPr="001274B2">
              <w:rPr>
                <w:noProof/>
              </w:rPr>
              <w:t>Franklin Regional Council of Governments</w:t>
            </w:r>
          </w:p>
        </w:tc>
        <w:tc>
          <w:tcPr>
            <w:tcW w:w="3312" w:type="dxa"/>
            <w:vAlign w:val="center"/>
          </w:tcPr>
          <w:p w:rsidR="00DA400A" w:rsidRPr="001274B2" w:rsidRDefault="00DA400A" w:rsidP="00DA400A">
            <w:r w:rsidRPr="001274B2">
              <w:rPr>
                <w:noProof/>
              </w:rPr>
              <w:t>Community Health Program Manager</w:t>
            </w:r>
          </w:p>
        </w:tc>
      </w:tr>
      <w:tr w:rsidR="00DA400A" w:rsidRPr="001274B2" w:rsidTr="00DA400A">
        <w:trPr>
          <w:trHeight w:val="432"/>
        </w:trPr>
        <w:tc>
          <w:tcPr>
            <w:tcW w:w="3312" w:type="dxa"/>
            <w:vAlign w:val="center"/>
          </w:tcPr>
          <w:p w:rsidR="00DA400A" w:rsidRPr="001274B2" w:rsidRDefault="00DA400A" w:rsidP="00DA400A">
            <w:r w:rsidRPr="001274B2">
              <w:rPr>
                <w:noProof/>
              </w:rPr>
              <w:t>Telling</w:t>
            </w:r>
            <w:r w:rsidRPr="001274B2">
              <w:t xml:space="preserve">, </w:t>
            </w:r>
            <w:r w:rsidRPr="001274B2">
              <w:rPr>
                <w:noProof/>
              </w:rPr>
              <w:t>Doug</w:t>
            </w:r>
          </w:p>
        </w:tc>
        <w:tc>
          <w:tcPr>
            <w:tcW w:w="3312" w:type="dxa"/>
            <w:vAlign w:val="center"/>
          </w:tcPr>
          <w:p w:rsidR="00DA400A" w:rsidRPr="001274B2" w:rsidRDefault="00DA400A" w:rsidP="00DA400A">
            <w:r w:rsidRPr="001274B2">
              <w:rPr>
                <w:noProof/>
              </w:rPr>
              <w:t>Charlemont Board of Health</w:t>
            </w:r>
          </w:p>
        </w:tc>
        <w:tc>
          <w:tcPr>
            <w:tcW w:w="3312" w:type="dxa"/>
            <w:vAlign w:val="center"/>
          </w:tcPr>
          <w:p w:rsidR="00DA400A" w:rsidRPr="001274B2" w:rsidRDefault="00DA400A" w:rsidP="00DA400A">
            <w:r w:rsidRPr="001274B2">
              <w:rPr>
                <w:noProof/>
              </w:rPr>
              <w:t>Board of Health Member</w:t>
            </w:r>
          </w:p>
        </w:tc>
      </w:tr>
      <w:tr w:rsidR="00DA400A" w:rsidRPr="001274B2" w:rsidTr="00DA400A">
        <w:trPr>
          <w:trHeight w:val="432"/>
        </w:trPr>
        <w:tc>
          <w:tcPr>
            <w:tcW w:w="3312" w:type="dxa"/>
            <w:vAlign w:val="center"/>
          </w:tcPr>
          <w:p w:rsidR="00DA400A" w:rsidRPr="001274B2" w:rsidRDefault="00DA400A" w:rsidP="00DA400A">
            <w:r w:rsidRPr="001274B2">
              <w:rPr>
                <w:noProof/>
              </w:rPr>
              <w:t>Vondal</w:t>
            </w:r>
            <w:r w:rsidRPr="001274B2">
              <w:t xml:space="preserve">, </w:t>
            </w:r>
            <w:r w:rsidRPr="001274B2">
              <w:rPr>
                <w:noProof/>
              </w:rPr>
              <w:t>Deborah</w:t>
            </w:r>
          </w:p>
        </w:tc>
        <w:tc>
          <w:tcPr>
            <w:tcW w:w="3312" w:type="dxa"/>
            <w:vAlign w:val="center"/>
          </w:tcPr>
          <w:p w:rsidR="00DA400A" w:rsidRPr="001274B2" w:rsidRDefault="00DA400A" w:rsidP="00DA400A">
            <w:r w:rsidRPr="001274B2">
              <w:rPr>
                <w:noProof/>
              </w:rPr>
              <w:t>Athol Board of Health</w:t>
            </w:r>
          </w:p>
        </w:tc>
        <w:tc>
          <w:tcPr>
            <w:tcW w:w="3312" w:type="dxa"/>
            <w:vAlign w:val="center"/>
          </w:tcPr>
          <w:p w:rsidR="00DA400A" w:rsidRPr="001274B2" w:rsidRDefault="00DA400A" w:rsidP="00DA400A">
            <w:r w:rsidRPr="001274B2">
              <w:rPr>
                <w:noProof/>
              </w:rPr>
              <w:t>Health Agent</w:t>
            </w:r>
          </w:p>
        </w:tc>
      </w:tr>
    </w:tbl>
    <w:p w:rsidR="00DA400A" w:rsidRPr="001274B2" w:rsidRDefault="00DA400A" w:rsidP="00DA400A"/>
    <w:tbl>
      <w:tblPr>
        <w:tblStyle w:val="TableGrid"/>
        <w:tblW w:w="9936" w:type="dxa"/>
        <w:tblLook w:val="04A0" w:firstRow="1" w:lastRow="0" w:firstColumn="1" w:lastColumn="0" w:noHBand="0" w:noVBand="1"/>
      </w:tblPr>
      <w:tblGrid>
        <w:gridCol w:w="3312"/>
        <w:gridCol w:w="3312"/>
        <w:gridCol w:w="3312"/>
      </w:tblGrid>
      <w:tr w:rsidR="00DA400A" w:rsidRPr="001274B2" w:rsidTr="00DA400A">
        <w:trPr>
          <w:trHeight w:val="432"/>
        </w:trPr>
        <w:tc>
          <w:tcPr>
            <w:tcW w:w="9936" w:type="dxa"/>
            <w:gridSpan w:val="3"/>
            <w:shd w:val="clear" w:color="auto" w:fill="92CDDC" w:themeFill="accent5" w:themeFillTint="99"/>
            <w:vAlign w:val="center"/>
          </w:tcPr>
          <w:p w:rsidR="00DA400A" w:rsidRPr="001274B2" w:rsidRDefault="00DA400A" w:rsidP="00DA400A">
            <w:pPr>
              <w:rPr>
                <w:b/>
                <w:noProof/>
              </w:rPr>
            </w:pPr>
            <w:r w:rsidRPr="001274B2">
              <w:rPr>
                <w:b/>
                <w:noProof/>
              </w:rPr>
              <w:t>Lakeville – Persons Providing Comments</w:t>
            </w:r>
          </w:p>
        </w:tc>
      </w:tr>
      <w:tr w:rsidR="00DA400A" w:rsidRPr="001274B2" w:rsidTr="00DA400A">
        <w:trPr>
          <w:trHeight w:val="432"/>
        </w:trPr>
        <w:tc>
          <w:tcPr>
            <w:tcW w:w="3312" w:type="dxa"/>
          </w:tcPr>
          <w:p w:rsidR="00DA400A" w:rsidRPr="001274B2" w:rsidRDefault="00DA400A" w:rsidP="00DA400A">
            <w:r w:rsidRPr="001274B2">
              <w:rPr>
                <w:noProof/>
              </w:rPr>
              <w:t>Cardarelli</w:t>
            </w:r>
            <w:r w:rsidRPr="001274B2">
              <w:t xml:space="preserve">, </w:t>
            </w:r>
            <w:r w:rsidRPr="001274B2">
              <w:rPr>
                <w:noProof/>
              </w:rPr>
              <w:t>Maureen</w:t>
            </w:r>
          </w:p>
        </w:tc>
        <w:tc>
          <w:tcPr>
            <w:tcW w:w="3312" w:type="dxa"/>
            <w:vAlign w:val="center"/>
          </w:tcPr>
          <w:p w:rsidR="00DA400A" w:rsidRPr="001274B2" w:rsidRDefault="00DA400A" w:rsidP="00DA400A">
            <w:r w:rsidRPr="001274B2">
              <w:rPr>
                <w:noProof/>
              </w:rPr>
              <w:t>Community VNA</w:t>
            </w:r>
          </w:p>
        </w:tc>
        <w:tc>
          <w:tcPr>
            <w:tcW w:w="3312" w:type="dxa"/>
          </w:tcPr>
          <w:p w:rsidR="00DA400A" w:rsidRPr="001274B2" w:rsidRDefault="00DA400A" w:rsidP="00DA400A">
            <w:r w:rsidRPr="001274B2">
              <w:rPr>
                <w:noProof/>
              </w:rPr>
              <w:t>Public Health Nurse</w:t>
            </w:r>
          </w:p>
        </w:tc>
      </w:tr>
      <w:tr w:rsidR="00DA400A" w:rsidRPr="001274B2" w:rsidTr="00DA400A">
        <w:trPr>
          <w:trHeight w:val="432"/>
        </w:trPr>
        <w:tc>
          <w:tcPr>
            <w:tcW w:w="3312" w:type="dxa"/>
          </w:tcPr>
          <w:p w:rsidR="00DA400A" w:rsidRPr="001274B2" w:rsidRDefault="00DA400A" w:rsidP="00DA400A">
            <w:r w:rsidRPr="001274B2">
              <w:rPr>
                <w:noProof/>
              </w:rPr>
              <w:t>Chaplin</w:t>
            </w:r>
            <w:r w:rsidRPr="001274B2">
              <w:t xml:space="preserve">, </w:t>
            </w:r>
            <w:r w:rsidRPr="001274B2">
              <w:rPr>
                <w:noProof/>
              </w:rPr>
              <w:t>Damon</w:t>
            </w:r>
          </w:p>
        </w:tc>
        <w:tc>
          <w:tcPr>
            <w:tcW w:w="3312" w:type="dxa"/>
            <w:vAlign w:val="center"/>
          </w:tcPr>
          <w:p w:rsidR="00DA400A" w:rsidRPr="001274B2" w:rsidRDefault="00DA400A" w:rsidP="00DA400A">
            <w:r w:rsidRPr="001274B2">
              <w:rPr>
                <w:noProof/>
              </w:rPr>
              <w:t>New Bedford Health Department</w:t>
            </w:r>
          </w:p>
        </w:tc>
        <w:tc>
          <w:tcPr>
            <w:tcW w:w="3312" w:type="dxa"/>
          </w:tcPr>
          <w:p w:rsidR="00DA400A" w:rsidRPr="001274B2" w:rsidRDefault="00DA400A" w:rsidP="00DA400A">
            <w:r w:rsidRPr="001274B2">
              <w:rPr>
                <w:noProof/>
              </w:rPr>
              <w:t>Health Director</w:t>
            </w:r>
          </w:p>
        </w:tc>
      </w:tr>
      <w:tr w:rsidR="00DA400A" w:rsidRPr="001274B2" w:rsidTr="00DA400A">
        <w:trPr>
          <w:trHeight w:val="432"/>
        </w:trPr>
        <w:tc>
          <w:tcPr>
            <w:tcW w:w="3312" w:type="dxa"/>
          </w:tcPr>
          <w:p w:rsidR="00DA400A" w:rsidRPr="001274B2" w:rsidRDefault="00DA400A" w:rsidP="00DA400A">
            <w:r w:rsidRPr="001274B2">
              <w:rPr>
                <w:noProof/>
              </w:rPr>
              <w:t>Donovan Palmer</w:t>
            </w:r>
            <w:r w:rsidRPr="001274B2">
              <w:t xml:space="preserve">, </w:t>
            </w:r>
            <w:r w:rsidRPr="001274B2">
              <w:rPr>
                <w:noProof/>
              </w:rPr>
              <w:t>Amy</w:t>
            </w:r>
          </w:p>
        </w:tc>
        <w:tc>
          <w:tcPr>
            <w:tcW w:w="3312" w:type="dxa"/>
            <w:vAlign w:val="center"/>
          </w:tcPr>
          <w:p w:rsidR="00DA400A" w:rsidRPr="001274B2" w:rsidRDefault="00DA400A" w:rsidP="00DA400A">
            <w:r w:rsidRPr="001274B2">
              <w:rPr>
                <w:noProof/>
              </w:rPr>
              <w:t>Mansfield Board of Health</w:t>
            </w:r>
          </w:p>
        </w:tc>
        <w:tc>
          <w:tcPr>
            <w:tcW w:w="3312" w:type="dxa"/>
          </w:tcPr>
          <w:p w:rsidR="00DA400A" w:rsidRPr="001274B2" w:rsidRDefault="00DA400A" w:rsidP="00DA400A">
            <w:r w:rsidRPr="001274B2">
              <w:rPr>
                <w:noProof/>
              </w:rPr>
              <w:t>Health Agent</w:t>
            </w:r>
          </w:p>
        </w:tc>
      </w:tr>
      <w:tr w:rsidR="00DA400A" w:rsidRPr="001274B2" w:rsidTr="00DA400A">
        <w:trPr>
          <w:trHeight w:val="432"/>
        </w:trPr>
        <w:tc>
          <w:tcPr>
            <w:tcW w:w="3312" w:type="dxa"/>
          </w:tcPr>
          <w:p w:rsidR="00DA400A" w:rsidRPr="001274B2" w:rsidRDefault="00DA400A" w:rsidP="00DA400A">
            <w:r w:rsidRPr="001274B2">
              <w:rPr>
                <w:noProof/>
              </w:rPr>
              <w:t>Downey</w:t>
            </w:r>
            <w:r w:rsidRPr="001274B2">
              <w:t xml:space="preserve">, </w:t>
            </w:r>
            <w:r w:rsidRPr="001274B2">
              <w:rPr>
                <w:noProof/>
              </w:rPr>
              <w:t>Kathy</w:t>
            </w:r>
          </w:p>
        </w:tc>
        <w:tc>
          <w:tcPr>
            <w:tcW w:w="3312" w:type="dxa"/>
            <w:vAlign w:val="center"/>
          </w:tcPr>
          <w:p w:rsidR="00DA400A" w:rsidRPr="001274B2" w:rsidRDefault="00DA400A" w:rsidP="00DA400A">
            <w:r w:rsidRPr="001274B2">
              <w:rPr>
                <w:noProof/>
              </w:rPr>
              <w:t>Marion Board of Health</w:t>
            </w:r>
          </w:p>
        </w:tc>
        <w:tc>
          <w:tcPr>
            <w:tcW w:w="3312" w:type="dxa"/>
          </w:tcPr>
          <w:p w:rsidR="00DA400A" w:rsidRPr="001274B2" w:rsidRDefault="00DA400A" w:rsidP="00DA400A">
            <w:r w:rsidRPr="001274B2">
              <w:rPr>
                <w:noProof/>
              </w:rPr>
              <w:t>Public Health Nurse</w:t>
            </w:r>
          </w:p>
        </w:tc>
      </w:tr>
      <w:tr w:rsidR="00DA400A" w:rsidRPr="001274B2" w:rsidTr="00DA400A">
        <w:trPr>
          <w:trHeight w:val="432"/>
        </w:trPr>
        <w:tc>
          <w:tcPr>
            <w:tcW w:w="3312" w:type="dxa"/>
          </w:tcPr>
          <w:p w:rsidR="00DA400A" w:rsidRPr="001274B2" w:rsidRDefault="00DA400A" w:rsidP="00DA400A">
            <w:r w:rsidRPr="001274B2">
              <w:rPr>
                <w:noProof/>
              </w:rPr>
              <w:t>McVarish</w:t>
            </w:r>
            <w:r w:rsidRPr="001274B2">
              <w:t xml:space="preserve">, </w:t>
            </w:r>
            <w:r w:rsidRPr="001274B2">
              <w:rPr>
                <w:noProof/>
              </w:rPr>
              <w:t>Kathleen</w:t>
            </w:r>
          </w:p>
        </w:tc>
        <w:tc>
          <w:tcPr>
            <w:tcW w:w="3312" w:type="dxa"/>
            <w:vAlign w:val="center"/>
          </w:tcPr>
          <w:p w:rsidR="00DA400A" w:rsidRPr="001274B2" w:rsidRDefault="00DA400A" w:rsidP="00DA400A">
            <w:r w:rsidRPr="001274B2">
              <w:rPr>
                <w:noProof/>
              </w:rPr>
              <w:t>Boston University School of Public Health</w:t>
            </w:r>
          </w:p>
        </w:tc>
        <w:tc>
          <w:tcPr>
            <w:tcW w:w="3312" w:type="dxa"/>
          </w:tcPr>
          <w:p w:rsidR="00DA400A" w:rsidRPr="001274B2" w:rsidRDefault="00DA400A" w:rsidP="00DA400A">
            <w:r w:rsidRPr="001274B2">
              <w:rPr>
                <w:noProof/>
              </w:rPr>
              <w:t>Academic Institution</w:t>
            </w:r>
          </w:p>
        </w:tc>
      </w:tr>
      <w:tr w:rsidR="00DA400A" w:rsidRPr="001274B2" w:rsidTr="00DA400A">
        <w:trPr>
          <w:trHeight w:val="432"/>
        </w:trPr>
        <w:tc>
          <w:tcPr>
            <w:tcW w:w="3312" w:type="dxa"/>
          </w:tcPr>
          <w:p w:rsidR="00DA400A" w:rsidRPr="001274B2" w:rsidRDefault="00DA400A" w:rsidP="00DA400A">
            <w:r w:rsidRPr="001274B2">
              <w:rPr>
                <w:noProof/>
              </w:rPr>
              <w:t>Michaud</w:t>
            </w:r>
            <w:r w:rsidRPr="001274B2">
              <w:t xml:space="preserve">, </w:t>
            </w:r>
            <w:r w:rsidRPr="001274B2">
              <w:rPr>
                <w:noProof/>
              </w:rPr>
              <w:t>Chris</w:t>
            </w:r>
          </w:p>
        </w:tc>
        <w:tc>
          <w:tcPr>
            <w:tcW w:w="3312" w:type="dxa"/>
            <w:vAlign w:val="center"/>
          </w:tcPr>
          <w:p w:rsidR="00DA400A" w:rsidRPr="001274B2" w:rsidRDefault="00DA400A" w:rsidP="00DA400A">
            <w:r w:rsidRPr="001274B2">
              <w:rPr>
                <w:noProof/>
              </w:rPr>
              <w:t>Dartmouth Board of Health</w:t>
            </w:r>
          </w:p>
        </w:tc>
        <w:tc>
          <w:tcPr>
            <w:tcW w:w="3312" w:type="dxa"/>
          </w:tcPr>
          <w:p w:rsidR="00DA400A" w:rsidRPr="001274B2" w:rsidRDefault="00DA400A" w:rsidP="00DA400A">
            <w:r w:rsidRPr="001274B2">
              <w:rPr>
                <w:noProof/>
              </w:rPr>
              <w:t>Health Director</w:t>
            </w:r>
          </w:p>
        </w:tc>
      </w:tr>
    </w:tbl>
    <w:p w:rsidR="00DA400A" w:rsidRPr="001274B2" w:rsidRDefault="00DA400A" w:rsidP="00DA400A"/>
    <w:tbl>
      <w:tblPr>
        <w:tblStyle w:val="TableGrid"/>
        <w:tblW w:w="9936" w:type="dxa"/>
        <w:tblLook w:val="04A0" w:firstRow="1" w:lastRow="0" w:firstColumn="1" w:lastColumn="0" w:noHBand="0" w:noVBand="1"/>
      </w:tblPr>
      <w:tblGrid>
        <w:gridCol w:w="3312"/>
        <w:gridCol w:w="3312"/>
        <w:gridCol w:w="3312"/>
      </w:tblGrid>
      <w:tr w:rsidR="00DA400A" w:rsidRPr="001274B2" w:rsidTr="00DA400A">
        <w:trPr>
          <w:trHeight w:val="432"/>
        </w:trPr>
        <w:tc>
          <w:tcPr>
            <w:tcW w:w="9936" w:type="dxa"/>
            <w:gridSpan w:val="3"/>
            <w:shd w:val="clear" w:color="auto" w:fill="92CDDC" w:themeFill="accent5" w:themeFillTint="99"/>
            <w:vAlign w:val="center"/>
          </w:tcPr>
          <w:p w:rsidR="00DA400A" w:rsidRPr="001274B2" w:rsidRDefault="00DA400A" w:rsidP="00DA400A">
            <w:pPr>
              <w:rPr>
                <w:b/>
                <w:noProof/>
              </w:rPr>
            </w:pPr>
            <w:r w:rsidRPr="001274B2">
              <w:rPr>
                <w:b/>
                <w:noProof/>
              </w:rPr>
              <w:t>Peabody – Persons Providing Comments</w:t>
            </w:r>
          </w:p>
        </w:tc>
      </w:tr>
      <w:tr w:rsidR="00DA400A" w:rsidRPr="001274B2" w:rsidTr="00DA400A">
        <w:trPr>
          <w:trHeight w:val="432"/>
        </w:trPr>
        <w:tc>
          <w:tcPr>
            <w:tcW w:w="3312" w:type="dxa"/>
            <w:vAlign w:val="center"/>
          </w:tcPr>
          <w:p w:rsidR="00DA400A" w:rsidRPr="001274B2" w:rsidRDefault="00DA400A" w:rsidP="00DA400A">
            <w:r w:rsidRPr="001274B2">
              <w:rPr>
                <w:noProof/>
              </w:rPr>
              <w:t>Carbone</w:t>
            </w:r>
            <w:r w:rsidRPr="001274B2">
              <w:t xml:space="preserve">, </w:t>
            </w:r>
            <w:r w:rsidRPr="001274B2">
              <w:rPr>
                <w:noProof/>
              </w:rPr>
              <w:t>Thomas</w:t>
            </w:r>
          </w:p>
        </w:tc>
        <w:tc>
          <w:tcPr>
            <w:tcW w:w="3312" w:type="dxa"/>
            <w:vAlign w:val="center"/>
          </w:tcPr>
          <w:p w:rsidR="00DA400A" w:rsidRPr="001274B2" w:rsidRDefault="00DA400A" w:rsidP="00DA400A">
            <w:r w:rsidRPr="001274B2">
              <w:rPr>
                <w:noProof/>
              </w:rPr>
              <w:t>Andover Health Department</w:t>
            </w:r>
          </w:p>
        </w:tc>
        <w:tc>
          <w:tcPr>
            <w:tcW w:w="3312" w:type="dxa"/>
            <w:vAlign w:val="center"/>
          </w:tcPr>
          <w:p w:rsidR="00DA400A" w:rsidRPr="001274B2" w:rsidRDefault="00DA400A" w:rsidP="00DA400A">
            <w:r w:rsidRPr="001274B2">
              <w:rPr>
                <w:noProof/>
              </w:rPr>
              <w:t>Health Director</w:t>
            </w:r>
          </w:p>
        </w:tc>
      </w:tr>
      <w:tr w:rsidR="00DA400A" w:rsidRPr="001274B2" w:rsidTr="00DA400A">
        <w:trPr>
          <w:trHeight w:val="432"/>
        </w:trPr>
        <w:tc>
          <w:tcPr>
            <w:tcW w:w="3312" w:type="dxa"/>
            <w:vAlign w:val="center"/>
          </w:tcPr>
          <w:p w:rsidR="00DA400A" w:rsidRPr="001274B2" w:rsidRDefault="00DA400A" w:rsidP="00DA400A">
            <w:r w:rsidRPr="001274B2">
              <w:rPr>
                <w:noProof/>
              </w:rPr>
              <w:t>Carroll</w:t>
            </w:r>
            <w:r w:rsidRPr="001274B2">
              <w:t xml:space="preserve">, </w:t>
            </w:r>
            <w:r w:rsidRPr="001274B2">
              <w:rPr>
                <w:noProof/>
              </w:rPr>
              <w:t>Karin</w:t>
            </w:r>
          </w:p>
        </w:tc>
        <w:tc>
          <w:tcPr>
            <w:tcW w:w="3312" w:type="dxa"/>
            <w:vAlign w:val="center"/>
          </w:tcPr>
          <w:p w:rsidR="00DA400A" w:rsidRPr="001274B2" w:rsidRDefault="00DA400A" w:rsidP="00DA400A">
            <w:r w:rsidRPr="001274B2">
              <w:rPr>
                <w:noProof/>
              </w:rPr>
              <w:t>Gloucester Health Department</w:t>
            </w:r>
          </w:p>
        </w:tc>
        <w:tc>
          <w:tcPr>
            <w:tcW w:w="3312" w:type="dxa"/>
            <w:vAlign w:val="center"/>
          </w:tcPr>
          <w:p w:rsidR="00DA400A" w:rsidRPr="001274B2" w:rsidRDefault="00DA400A" w:rsidP="00DA400A">
            <w:r w:rsidRPr="001274B2">
              <w:rPr>
                <w:noProof/>
              </w:rPr>
              <w:t>Health Director</w:t>
            </w:r>
          </w:p>
        </w:tc>
      </w:tr>
      <w:tr w:rsidR="00DA400A" w:rsidRPr="001274B2" w:rsidTr="00DA400A">
        <w:trPr>
          <w:trHeight w:val="432"/>
        </w:trPr>
        <w:tc>
          <w:tcPr>
            <w:tcW w:w="3312" w:type="dxa"/>
            <w:vAlign w:val="center"/>
          </w:tcPr>
          <w:p w:rsidR="00DA400A" w:rsidRPr="001274B2" w:rsidRDefault="00DA400A" w:rsidP="00DA400A">
            <w:r w:rsidRPr="001274B2">
              <w:rPr>
                <w:noProof/>
              </w:rPr>
              <w:t>Cosgrove</w:t>
            </w:r>
            <w:r w:rsidRPr="001274B2">
              <w:t xml:space="preserve">, </w:t>
            </w:r>
            <w:r w:rsidRPr="001274B2">
              <w:rPr>
                <w:noProof/>
              </w:rPr>
              <w:t>Edward</w:t>
            </w:r>
          </w:p>
        </w:tc>
        <w:tc>
          <w:tcPr>
            <w:tcW w:w="3312" w:type="dxa"/>
            <w:vAlign w:val="center"/>
          </w:tcPr>
          <w:p w:rsidR="00DA400A" w:rsidRPr="001274B2" w:rsidRDefault="00DA400A" w:rsidP="00DA400A">
            <w:r w:rsidRPr="001274B2">
              <w:rPr>
                <w:noProof/>
              </w:rPr>
              <w:t>Needham Board of Health</w:t>
            </w:r>
          </w:p>
        </w:tc>
        <w:tc>
          <w:tcPr>
            <w:tcW w:w="3312" w:type="dxa"/>
            <w:vAlign w:val="center"/>
          </w:tcPr>
          <w:p w:rsidR="00DA400A" w:rsidRPr="001274B2" w:rsidRDefault="00DA400A" w:rsidP="00DA400A">
            <w:r w:rsidRPr="001274B2">
              <w:rPr>
                <w:noProof/>
              </w:rPr>
              <w:t>Board of Health Member</w:t>
            </w:r>
          </w:p>
        </w:tc>
      </w:tr>
      <w:tr w:rsidR="00DA400A" w:rsidRPr="001274B2" w:rsidTr="00DA400A">
        <w:trPr>
          <w:trHeight w:val="432"/>
        </w:trPr>
        <w:tc>
          <w:tcPr>
            <w:tcW w:w="3312" w:type="dxa"/>
            <w:vAlign w:val="center"/>
          </w:tcPr>
          <w:p w:rsidR="00DA400A" w:rsidRPr="001274B2" w:rsidRDefault="00DA400A" w:rsidP="00DA400A">
            <w:r w:rsidRPr="001274B2">
              <w:rPr>
                <w:noProof/>
              </w:rPr>
              <w:t>McKenzie</w:t>
            </w:r>
            <w:r w:rsidRPr="001274B2">
              <w:t xml:space="preserve">, </w:t>
            </w:r>
            <w:r w:rsidRPr="001274B2">
              <w:rPr>
                <w:noProof/>
              </w:rPr>
              <w:t>Mary</w:t>
            </w:r>
          </w:p>
        </w:tc>
        <w:tc>
          <w:tcPr>
            <w:tcW w:w="3312" w:type="dxa"/>
            <w:vAlign w:val="center"/>
          </w:tcPr>
          <w:p w:rsidR="00DA400A" w:rsidRPr="001274B2" w:rsidRDefault="00DA400A" w:rsidP="00DA400A">
            <w:r w:rsidRPr="001274B2">
              <w:rPr>
                <w:noProof/>
              </w:rPr>
              <w:t>Saugus Health Department</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Stone</w:t>
            </w:r>
            <w:r w:rsidRPr="001274B2">
              <w:t xml:space="preserve">, </w:t>
            </w:r>
            <w:r w:rsidRPr="001274B2">
              <w:rPr>
                <w:noProof/>
              </w:rPr>
              <w:t>Jeff</w:t>
            </w:r>
          </w:p>
        </w:tc>
        <w:tc>
          <w:tcPr>
            <w:tcW w:w="3312" w:type="dxa"/>
            <w:vAlign w:val="center"/>
          </w:tcPr>
          <w:p w:rsidR="00DA400A" w:rsidRPr="001274B2" w:rsidRDefault="00DA400A" w:rsidP="00DA400A">
            <w:r w:rsidRPr="001274B2">
              <w:rPr>
                <w:noProof/>
              </w:rPr>
              <w:t>North Suffolk Public Health Collaborative</w:t>
            </w:r>
          </w:p>
        </w:tc>
        <w:tc>
          <w:tcPr>
            <w:tcW w:w="3312" w:type="dxa"/>
            <w:vAlign w:val="center"/>
          </w:tcPr>
          <w:p w:rsidR="00DA400A" w:rsidRPr="001274B2" w:rsidRDefault="00DA400A" w:rsidP="00DA400A">
            <w:r w:rsidRPr="001274B2">
              <w:rPr>
                <w:noProof/>
              </w:rPr>
              <w:t>Director</w:t>
            </w:r>
          </w:p>
        </w:tc>
      </w:tr>
    </w:tbl>
    <w:p w:rsidR="00DA400A" w:rsidRDefault="00DA400A" w:rsidP="00DA400A"/>
    <w:p w:rsidR="00DA400A" w:rsidRPr="001274B2" w:rsidRDefault="00DA400A" w:rsidP="00DA400A"/>
    <w:tbl>
      <w:tblPr>
        <w:tblStyle w:val="TableGrid"/>
        <w:tblW w:w="9936" w:type="dxa"/>
        <w:tblLook w:val="04A0" w:firstRow="1" w:lastRow="0" w:firstColumn="1" w:lastColumn="0" w:noHBand="0" w:noVBand="1"/>
      </w:tblPr>
      <w:tblGrid>
        <w:gridCol w:w="3312"/>
        <w:gridCol w:w="3312"/>
        <w:gridCol w:w="3312"/>
      </w:tblGrid>
      <w:tr w:rsidR="00DA400A" w:rsidRPr="001274B2" w:rsidTr="00DA400A">
        <w:trPr>
          <w:trHeight w:val="432"/>
          <w:tblHeader/>
        </w:trPr>
        <w:tc>
          <w:tcPr>
            <w:tcW w:w="9936" w:type="dxa"/>
            <w:gridSpan w:val="3"/>
            <w:shd w:val="clear" w:color="auto" w:fill="92CDDC" w:themeFill="accent5" w:themeFillTint="99"/>
            <w:vAlign w:val="center"/>
          </w:tcPr>
          <w:p w:rsidR="00DA400A" w:rsidRPr="001274B2" w:rsidRDefault="00DA400A" w:rsidP="00DA400A">
            <w:pPr>
              <w:rPr>
                <w:b/>
                <w:noProof/>
              </w:rPr>
            </w:pPr>
            <w:r w:rsidRPr="001274B2">
              <w:rPr>
                <w:b/>
                <w:noProof/>
              </w:rPr>
              <w:lastRenderedPageBreak/>
              <w:t>Waltham – Persons Providing Comments</w:t>
            </w:r>
          </w:p>
        </w:tc>
      </w:tr>
      <w:tr w:rsidR="00DA400A" w:rsidRPr="001274B2" w:rsidTr="00DA400A">
        <w:trPr>
          <w:trHeight w:val="432"/>
        </w:trPr>
        <w:tc>
          <w:tcPr>
            <w:tcW w:w="3312" w:type="dxa"/>
            <w:vAlign w:val="center"/>
          </w:tcPr>
          <w:p w:rsidR="00DA400A" w:rsidRPr="001274B2" w:rsidRDefault="00DA400A" w:rsidP="00DA400A">
            <w:r w:rsidRPr="001274B2">
              <w:rPr>
                <w:noProof/>
              </w:rPr>
              <w:t>Eckhouse</w:t>
            </w:r>
            <w:r w:rsidRPr="001274B2">
              <w:t xml:space="preserve">, </w:t>
            </w:r>
            <w:r w:rsidRPr="001274B2">
              <w:rPr>
                <w:noProof/>
              </w:rPr>
              <w:t>Seth</w:t>
            </w:r>
          </w:p>
        </w:tc>
        <w:tc>
          <w:tcPr>
            <w:tcW w:w="3312" w:type="dxa"/>
            <w:vAlign w:val="center"/>
          </w:tcPr>
          <w:p w:rsidR="00DA400A" w:rsidRPr="001274B2" w:rsidRDefault="00DA400A" w:rsidP="00DA400A">
            <w:r w:rsidRPr="001274B2">
              <w:rPr>
                <w:noProof/>
              </w:rPr>
              <w:t>Local Public Health Institute</w:t>
            </w:r>
          </w:p>
        </w:tc>
        <w:tc>
          <w:tcPr>
            <w:tcW w:w="3312" w:type="dxa"/>
            <w:vAlign w:val="center"/>
          </w:tcPr>
          <w:p w:rsidR="00DA400A" w:rsidRPr="001274B2" w:rsidRDefault="00DA400A" w:rsidP="00DA400A">
            <w:r w:rsidRPr="001274B2">
              <w:rPr>
                <w:noProof/>
              </w:rPr>
              <w:t>Academic Institution</w:t>
            </w:r>
          </w:p>
        </w:tc>
      </w:tr>
      <w:tr w:rsidR="00DA400A" w:rsidRPr="001274B2" w:rsidTr="00DA400A">
        <w:trPr>
          <w:trHeight w:val="432"/>
        </w:trPr>
        <w:tc>
          <w:tcPr>
            <w:tcW w:w="3312" w:type="dxa"/>
            <w:vAlign w:val="center"/>
          </w:tcPr>
          <w:p w:rsidR="00DA400A" w:rsidRPr="001274B2" w:rsidRDefault="00DA400A" w:rsidP="00DA400A">
            <w:r w:rsidRPr="001274B2">
              <w:rPr>
                <w:noProof/>
              </w:rPr>
              <w:t>Kinsella</w:t>
            </w:r>
            <w:r w:rsidRPr="001274B2">
              <w:t xml:space="preserve">, </w:t>
            </w:r>
            <w:r w:rsidRPr="001274B2">
              <w:rPr>
                <w:noProof/>
              </w:rPr>
              <w:t>Caroline</w:t>
            </w:r>
          </w:p>
        </w:tc>
        <w:tc>
          <w:tcPr>
            <w:tcW w:w="3312" w:type="dxa"/>
            <w:vAlign w:val="center"/>
          </w:tcPr>
          <w:p w:rsidR="00DA400A" w:rsidRPr="001274B2" w:rsidRDefault="00DA400A" w:rsidP="00DA400A">
            <w:r w:rsidRPr="001274B2">
              <w:rPr>
                <w:noProof/>
              </w:rPr>
              <w:t>Massachusetts Association of Public Health Nurses</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Kress</w:t>
            </w:r>
            <w:r w:rsidRPr="001274B2">
              <w:t xml:space="preserve">, </w:t>
            </w:r>
            <w:r w:rsidRPr="001274B2">
              <w:rPr>
                <w:noProof/>
              </w:rPr>
              <w:t>Doug</w:t>
            </w:r>
          </w:p>
        </w:tc>
        <w:tc>
          <w:tcPr>
            <w:tcW w:w="3312" w:type="dxa"/>
            <w:vAlign w:val="center"/>
          </w:tcPr>
          <w:p w:rsidR="00DA400A" w:rsidRPr="001274B2" w:rsidRDefault="00DA400A" w:rsidP="00DA400A">
            <w:r w:rsidRPr="001274B2">
              <w:rPr>
                <w:noProof/>
              </w:rPr>
              <w:t>Somerville Health and Human Services</w:t>
            </w:r>
          </w:p>
        </w:tc>
        <w:tc>
          <w:tcPr>
            <w:tcW w:w="3312" w:type="dxa"/>
            <w:vAlign w:val="center"/>
          </w:tcPr>
          <w:p w:rsidR="00DA400A" w:rsidRPr="001274B2" w:rsidRDefault="00DA400A" w:rsidP="00DA400A">
            <w:r w:rsidRPr="001274B2">
              <w:rPr>
                <w:noProof/>
              </w:rPr>
              <w:t>Health Director</w:t>
            </w:r>
          </w:p>
        </w:tc>
      </w:tr>
    </w:tbl>
    <w:p w:rsidR="00DA400A" w:rsidRPr="001274B2" w:rsidRDefault="00DA400A" w:rsidP="00DA400A"/>
    <w:tbl>
      <w:tblPr>
        <w:tblStyle w:val="TableGrid"/>
        <w:tblW w:w="9936" w:type="dxa"/>
        <w:tblLook w:val="04A0" w:firstRow="1" w:lastRow="0" w:firstColumn="1" w:lastColumn="0" w:noHBand="0" w:noVBand="1"/>
      </w:tblPr>
      <w:tblGrid>
        <w:gridCol w:w="3312"/>
        <w:gridCol w:w="3312"/>
        <w:gridCol w:w="3312"/>
      </w:tblGrid>
      <w:tr w:rsidR="00DA400A" w:rsidRPr="001274B2" w:rsidTr="00DA400A">
        <w:trPr>
          <w:trHeight w:val="432"/>
        </w:trPr>
        <w:tc>
          <w:tcPr>
            <w:tcW w:w="9936" w:type="dxa"/>
            <w:gridSpan w:val="3"/>
            <w:shd w:val="clear" w:color="auto" w:fill="92CDDC" w:themeFill="accent5" w:themeFillTint="99"/>
            <w:vAlign w:val="center"/>
          </w:tcPr>
          <w:p w:rsidR="00DA400A" w:rsidRPr="001274B2" w:rsidRDefault="00DA400A" w:rsidP="00DA400A">
            <w:pPr>
              <w:rPr>
                <w:b/>
                <w:noProof/>
              </w:rPr>
            </w:pPr>
            <w:r w:rsidRPr="001274B2">
              <w:rPr>
                <w:b/>
                <w:noProof/>
              </w:rPr>
              <w:t>Westborough – Person Providing Comments</w:t>
            </w:r>
          </w:p>
        </w:tc>
      </w:tr>
      <w:tr w:rsidR="00DA400A" w:rsidRPr="001274B2" w:rsidTr="00DA400A">
        <w:trPr>
          <w:trHeight w:val="432"/>
        </w:trPr>
        <w:tc>
          <w:tcPr>
            <w:tcW w:w="3312" w:type="dxa"/>
            <w:vAlign w:val="center"/>
          </w:tcPr>
          <w:p w:rsidR="00DA400A" w:rsidRPr="001274B2" w:rsidRDefault="00DA400A" w:rsidP="00DA400A">
            <w:r w:rsidRPr="001274B2">
              <w:rPr>
                <w:noProof/>
              </w:rPr>
              <w:t>Leger</w:t>
            </w:r>
            <w:r w:rsidRPr="001274B2">
              <w:t xml:space="preserve">, </w:t>
            </w:r>
            <w:r w:rsidRPr="001274B2">
              <w:rPr>
                <w:noProof/>
              </w:rPr>
              <w:t>Philip</w:t>
            </w:r>
          </w:p>
        </w:tc>
        <w:tc>
          <w:tcPr>
            <w:tcW w:w="3312" w:type="dxa"/>
            <w:vAlign w:val="center"/>
          </w:tcPr>
          <w:p w:rsidR="00DA400A" w:rsidRPr="001274B2" w:rsidRDefault="00DA400A" w:rsidP="00DA400A">
            <w:r w:rsidRPr="001274B2">
              <w:rPr>
                <w:noProof/>
              </w:rPr>
              <w:t>Worcester Dvision of Public Health, Royalston BOH</w:t>
            </w:r>
          </w:p>
        </w:tc>
        <w:tc>
          <w:tcPr>
            <w:tcW w:w="3312" w:type="dxa"/>
            <w:vAlign w:val="center"/>
          </w:tcPr>
          <w:p w:rsidR="00DA400A" w:rsidRPr="001274B2" w:rsidRDefault="00DA400A" w:rsidP="00DA400A">
            <w:r w:rsidRPr="001274B2">
              <w:rPr>
                <w:noProof/>
              </w:rPr>
              <w:t>Health Agent</w:t>
            </w:r>
          </w:p>
        </w:tc>
      </w:tr>
    </w:tbl>
    <w:p w:rsidR="00DA400A" w:rsidRPr="001274B2" w:rsidRDefault="00DA400A" w:rsidP="00DA400A"/>
    <w:tbl>
      <w:tblPr>
        <w:tblStyle w:val="TableGrid"/>
        <w:tblW w:w="9936" w:type="dxa"/>
        <w:tblLook w:val="04A0" w:firstRow="1" w:lastRow="0" w:firstColumn="1" w:lastColumn="0" w:noHBand="0" w:noVBand="1"/>
      </w:tblPr>
      <w:tblGrid>
        <w:gridCol w:w="3312"/>
        <w:gridCol w:w="3312"/>
        <w:gridCol w:w="3312"/>
      </w:tblGrid>
      <w:tr w:rsidR="00DA400A" w:rsidRPr="001274B2" w:rsidTr="00DA400A">
        <w:trPr>
          <w:trHeight w:val="432"/>
        </w:trPr>
        <w:tc>
          <w:tcPr>
            <w:tcW w:w="9936" w:type="dxa"/>
            <w:gridSpan w:val="3"/>
            <w:shd w:val="clear" w:color="auto" w:fill="92CDDC" w:themeFill="accent5" w:themeFillTint="99"/>
            <w:vAlign w:val="center"/>
          </w:tcPr>
          <w:p w:rsidR="00DA400A" w:rsidRPr="001274B2" w:rsidRDefault="00DA400A" w:rsidP="00DA400A">
            <w:pPr>
              <w:rPr>
                <w:b/>
                <w:noProof/>
              </w:rPr>
            </w:pPr>
            <w:r w:rsidRPr="001274B2">
              <w:rPr>
                <w:b/>
                <w:noProof/>
              </w:rPr>
              <w:t>Westfield – Persons Providing Comments</w:t>
            </w:r>
          </w:p>
        </w:tc>
      </w:tr>
      <w:tr w:rsidR="00DA400A" w:rsidRPr="001274B2" w:rsidTr="00DA400A">
        <w:trPr>
          <w:trHeight w:val="432"/>
        </w:trPr>
        <w:tc>
          <w:tcPr>
            <w:tcW w:w="3312" w:type="dxa"/>
            <w:vAlign w:val="center"/>
          </w:tcPr>
          <w:p w:rsidR="00DA400A" w:rsidRPr="001274B2" w:rsidRDefault="00DA400A" w:rsidP="00DA400A">
            <w:r w:rsidRPr="001274B2">
              <w:rPr>
                <w:noProof/>
              </w:rPr>
              <w:t>Bozigian-Merrick</w:t>
            </w:r>
            <w:r w:rsidRPr="001274B2">
              <w:t xml:space="preserve">, </w:t>
            </w:r>
            <w:r w:rsidRPr="001274B2">
              <w:rPr>
                <w:noProof/>
              </w:rPr>
              <w:t>Stephanie</w:t>
            </w:r>
          </w:p>
        </w:tc>
        <w:tc>
          <w:tcPr>
            <w:tcW w:w="3312" w:type="dxa"/>
            <w:vAlign w:val="center"/>
          </w:tcPr>
          <w:p w:rsidR="00DA400A" w:rsidRPr="001274B2" w:rsidRDefault="00DA400A" w:rsidP="00DA400A">
            <w:r w:rsidRPr="001274B2">
              <w:rPr>
                <w:noProof/>
              </w:rPr>
              <w:t>Pioneer Valley Planning Commission</w:t>
            </w:r>
          </w:p>
        </w:tc>
        <w:tc>
          <w:tcPr>
            <w:tcW w:w="3312" w:type="dxa"/>
            <w:vAlign w:val="center"/>
          </w:tcPr>
          <w:p w:rsidR="00DA400A" w:rsidRPr="001274B2" w:rsidRDefault="00DA400A" w:rsidP="00DA400A">
            <w:r w:rsidRPr="001274B2">
              <w:rPr>
                <w:noProof/>
              </w:rPr>
              <w:t>Regional Planning Agency</w:t>
            </w:r>
          </w:p>
        </w:tc>
      </w:tr>
      <w:tr w:rsidR="00DA400A" w:rsidRPr="001274B2" w:rsidTr="00DA400A">
        <w:trPr>
          <w:trHeight w:val="432"/>
        </w:trPr>
        <w:tc>
          <w:tcPr>
            <w:tcW w:w="3312" w:type="dxa"/>
            <w:vAlign w:val="center"/>
          </w:tcPr>
          <w:p w:rsidR="00DA400A" w:rsidRPr="001274B2" w:rsidRDefault="00DA400A" w:rsidP="00DA400A">
            <w:r w:rsidRPr="001274B2">
              <w:rPr>
                <w:noProof/>
              </w:rPr>
              <w:t>Meyer</w:t>
            </w:r>
            <w:r w:rsidRPr="001274B2">
              <w:t xml:space="preserve">, </w:t>
            </w:r>
            <w:r w:rsidRPr="001274B2">
              <w:rPr>
                <w:noProof/>
              </w:rPr>
              <w:t>Jenny</w:t>
            </w:r>
          </w:p>
        </w:tc>
        <w:tc>
          <w:tcPr>
            <w:tcW w:w="3312" w:type="dxa"/>
            <w:vAlign w:val="center"/>
          </w:tcPr>
          <w:p w:rsidR="00DA400A" w:rsidRPr="001274B2" w:rsidRDefault="00DA400A" w:rsidP="00DA400A">
            <w:r w:rsidRPr="001274B2">
              <w:rPr>
                <w:noProof/>
              </w:rPr>
              <w:t>Northampton Board of Health</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Petrucci</w:t>
            </w:r>
            <w:r w:rsidRPr="001274B2">
              <w:t xml:space="preserve">, </w:t>
            </w:r>
            <w:r w:rsidRPr="001274B2">
              <w:rPr>
                <w:noProof/>
              </w:rPr>
              <w:t>Sherry</w:t>
            </w:r>
          </w:p>
        </w:tc>
        <w:tc>
          <w:tcPr>
            <w:tcW w:w="3312" w:type="dxa"/>
            <w:vAlign w:val="center"/>
          </w:tcPr>
          <w:p w:rsidR="00DA400A" w:rsidRPr="001274B2" w:rsidRDefault="00DA400A" w:rsidP="00DA400A">
            <w:r w:rsidRPr="001274B2">
              <w:rPr>
                <w:noProof/>
              </w:rPr>
              <w:t>Agawam Health Department</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Proctor</w:t>
            </w:r>
            <w:r w:rsidRPr="001274B2">
              <w:t xml:space="preserve">, </w:t>
            </w:r>
            <w:r w:rsidRPr="001274B2">
              <w:rPr>
                <w:noProof/>
              </w:rPr>
              <w:t>Alison</w:t>
            </w:r>
          </w:p>
        </w:tc>
        <w:tc>
          <w:tcPr>
            <w:tcW w:w="3312" w:type="dxa"/>
            <w:vAlign w:val="center"/>
          </w:tcPr>
          <w:p w:rsidR="00DA400A" w:rsidRPr="001274B2" w:rsidRDefault="00DA400A" w:rsidP="00DA400A">
            <w:r w:rsidRPr="001274B2">
              <w:rPr>
                <w:noProof/>
              </w:rPr>
              <w:t>Springfield Health Department</w:t>
            </w:r>
          </w:p>
        </w:tc>
        <w:tc>
          <w:tcPr>
            <w:tcW w:w="3312" w:type="dxa"/>
            <w:vAlign w:val="center"/>
          </w:tcPr>
          <w:p w:rsidR="00DA400A" w:rsidRPr="001274B2" w:rsidRDefault="00DA400A" w:rsidP="00DA400A">
            <w:r w:rsidRPr="001274B2">
              <w:rPr>
                <w:noProof/>
              </w:rPr>
              <w:t>Program Director</w:t>
            </w:r>
          </w:p>
        </w:tc>
      </w:tr>
    </w:tbl>
    <w:p w:rsidR="00DA400A" w:rsidRPr="001274B2" w:rsidRDefault="00DA400A" w:rsidP="00DA400A"/>
    <w:tbl>
      <w:tblPr>
        <w:tblStyle w:val="TableGrid"/>
        <w:tblW w:w="9936" w:type="dxa"/>
        <w:tblLook w:val="04A0" w:firstRow="1" w:lastRow="0" w:firstColumn="1" w:lastColumn="0" w:noHBand="0" w:noVBand="1"/>
      </w:tblPr>
      <w:tblGrid>
        <w:gridCol w:w="3312"/>
        <w:gridCol w:w="3312"/>
        <w:gridCol w:w="3312"/>
      </w:tblGrid>
      <w:tr w:rsidR="00DA400A" w:rsidRPr="001274B2" w:rsidTr="00DA400A">
        <w:trPr>
          <w:trHeight w:val="432"/>
          <w:tblHeader/>
        </w:trPr>
        <w:tc>
          <w:tcPr>
            <w:tcW w:w="9936" w:type="dxa"/>
            <w:gridSpan w:val="3"/>
            <w:shd w:val="clear" w:color="auto" w:fill="C2D69B" w:themeFill="accent3" w:themeFillTint="99"/>
            <w:vAlign w:val="center"/>
          </w:tcPr>
          <w:p w:rsidR="00DA400A" w:rsidRPr="001274B2" w:rsidRDefault="00DA400A" w:rsidP="00DA400A">
            <w:pPr>
              <w:rPr>
                <w:b/>
                <w:noProof/>
              </w:rPr>
            </w:pPr>
            <w:r w:rsidRPr="001274B2">
              <w:rPr>
                <w:b/>
                <w:noProof/>
              </w:rPr>
              <w:t>Comments Submitted by E-mail</w:t>
            </w:r>
          </w:p>
        </w:tc>
      </w:tr>
      <w:tr w:rsidR="00DA400A" w:rsidRPr="001274B2" w:rsidTr="00DA400A">
        <w:trPr>
          <w:trHeight w:val="432"/>
        </w:trPr>
        <w:tc>
          <w:tcPr>
            <w:tcW w:w="3312" w:type="dxa"/>
            <w:vAlign w:val="center"/>
          </w:tcPr>
          <w:p w:rsidR="00DA400A" w:rsidRPr="001274B2" w:rsidRDefault="00DA400A" w:rsidP="00DA400A">
            <w:r w:rsidRPr="001274B2">
              <w:rPr>
                <w:noProof/>
              </w:rPr>
              <w:t>Clay</w:t>
            </w:r>
            <w:r w:rsidRPr="001274B2">
              <w:t xml:space="preserve">, </w:t>
            </w:r>
            <w:r w:rsidRPr="001274B2">
              <w:rPr>
                <w:noProof/>
              </w:rPr>
              <w:t>Ruth</w:t>
            </w:r>
          </w:p>
        </w:tc>
        <w:tc>
          <w:tcPr>
            <w:tcW w:w="3312" w:type="dxa"/>
            <w:vAlign w:val="center"/>
          </w:tcPr>
          <w:p w:rsidR="00DA400A" w:rsidRPr="001274B2" w:rsidRDefault="00DA400A" w:rsidP="00DA400A">
            <w:r w:rsidRPr="001274B2">
              <w:rPr>
                <w:noProof/>
              </w:rPr>
              <w:t>Towns of Wakefield and Melrose</w:t>
            </w:r>
          </w:p>
        </w:tc>
        <w:tc>
          <w:tcPr>
            <w:tcW w:w="3312" w:type="dxa"/>
            <w:vAlign w:val="center"/>
          </w:tcPr>
          <w:p w:rsidR="00DA400A" w:rsidRPr="001274B2" w:rsidRDefault="00DA400A" w:rsidP="00DA400A">
            <w:r w:rsidRPr="001274B2">
              <w:rPr>
                <w:noProof/>
              </w:rPr>
              <w:t>Health Director</w:t>
            </w:r>
          </w:p>
        </w:tc>
      </w:tr>
      <w:tr w:rsidR="00DA400A" w:rsidRPr="001274B2" w:rsidTr="00DA400A">
        <w:trPr>
          <w:trHeight w:val="432"/>
        </w:trPr>
        <w:tc>
          <w:tcPr>
            <w:tcW w:w="3312" w:type="dxa"/>
            <w:vAlign w:val="center"/>
          </w:tcPr>
          <w:p w:rsidR="00DA400A" w:rsidRPr="001274B2" w:rsidRDefault="00DA400A" w:rsidP="00DA400A">
            <w:r w:rsidRPr="001274B2">
              <w:rPr>
                <w:noProof/>
              </w:rPr>
              <w:t>Collins</w:t>
            </w:r>
            <w:r w:rsidRPr="001274B2">
              <w:t xml:space="preserve">, </w:t>
            </w:r>
            <w:r w:rsidRPr="001274B2">
              <w:rPr>
                <w:noProof/>
              </w:rPr>
              <w:t>Bethany</w:t>
            </w:r>
          </w:p>
        </w:tc>
        <w:tc>
          <w:tcPr>
            <w:tcW w:w="3312" w:type="dxa"/>
            <w:vAlign w:val="center"/>
          </w:tcPr>
          <w:p w:rsidR="00DA400A" w:rsidRPr="001274B2" w:rsidRDefault="00DA400A" w:rsidP="00DA400A">
            <w:r w:rsidRPr="001274B2">
              <w:rPr>
                <w:noProof/>
              </w:rPr>
              <w:t>Dighton Board of Health</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Conlon</w:t>
            </w:r>
            <w:r w:rsidRPr="001274B2">
              <w:t xml:space="preserve">, </w:t>
            </w:r>
            <w:r w:rsidRPr="001274B2">
              <w:rPr>
                <w:noProof/>
              </w:rPr>
              <w:t>Jaime</w:t>
            </w:r>
          </w:p>
        </w:tc>
        <w:tc>
          <w:tcPr>
            <w:tcW w:w="3312" w:type="dxa"/>
            <w:vAlign w:val="center"/>
          </w:tcPr>
          <w:p w:rsidR="00DA400A" w:rsidRPr="001274B2" w:rsidRDefault="00DA400A" w:rsidP="00DA400A">
            <w:r w:rsidRPr="001274B2">
              <w:rPr>
                <w:noProof/>
              </w:rPr>
              <w:t>Rehoboth Board of Health</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Crochier</w:t>
            </w:r>
            <w:r w:rsidRPr="001274B2">
              <w:t xml:space="preserve">, </w:t>
            </w:r>
            <w:r w:rsidRPr="001274B2">
              <w:rPr>
                <w:noProof/>
              </w:rPr>
              <w:t>Randy</w:t>
            </w:r>
          </w:p>
        </w:tc>
        <w:tc>
          <w:tcPr>
            <w:tcW w:w="3312" w:type="dxa"/>
            <w:vAlign w:val="center"/>
          </w:tcPr>
          <w:p w:rsidR="00DA400A" w:rsidRPr="001274B2" w:rsidRDefault="00DA400A" w:rsidP="00DA400A">
            <w:r w:rsidRPr="001274B2">
              <w:rPr>
                <w:noProof/>
              </w:rPr>
              <w:t>Gill Board of Health</w:t>
            </w:r>
          </w:p>
        </w:tc>
        <w:tc>
          <w:tcPr>
            <w:tcW w:w="3312" w:type="dxa"/>
            <w:vAlign w:val="center"/>
          </w:tcPr>
          <w:p w:rsidR="00DA400A" w:rsidRPr="001274B2" w:rsidRDefault="00DA400A" w:rsidP="00DA400A">
            <w:r w:rsidRPr="001274B2">
              <w:rPr>
                <w:noProof/>
              </w:rPr>
              <w:t>Board of Health Member</w:t>
            </w:r>
            <w:r>
              <w:rPr>
                <w:noProof/>
              </w:rPr>
              <w:t>, Selectboard Member</w:t>
            </w:r>
          </w:p>
        </w:tc>
      </w:tr>
      <w:tr w:rsidR="00DA400A" w:rsidRPr="001274B2" w:rsidTr="00DA400A">
        <w:trPr>
          <w:trHeight w:val="432"/>
        </w:trPr>
        <w:tc>
          <w:tcPr>
            <w:tcW w:w="3312" w:type="dxa"/>
            <w:vAlign w:val="center"/>
          </w:tcPr>
          <w:p w:rsidR="00DA400A" w:rsidRPr="001274B2" w:rsidRDefault="00DA400A" w:rsidP="00DA400A">
            <w:r w:rsidRPr="001274B2">
              <w:rPr>
                <w:noProof/>
              </w:rPr>
              <w:t>DeCampo, Karen</w:t>
            </w:r>
          </w:p>
        </w:tc>
        <w:tc>
          <w:tcPr>
            <w:tcW w:w="3312" w:type="dxa"/>
            <w:vAlign w:val="center"/>
          </w:tcPr>
          <w:p w:rsidR="00DA400A" w:rsidRPr="001274B2" w:rsidRDefault="00DA400A" w:rsidP="00DA400A">
            <w:r w:rsidRPr="001274B2">
              <w:rPr>
                <w:noProof/>
              </w:rPr>
              <w:t>Woburn Board of Health</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DePalo</w:t>
            </w:r>
            <w:r w:rsidRPr="001274B2">
              <w:t xml:space="preserve">, </w:t>
            </w:r>
            <w:r w:rsidRPr="001274B2">
              <w:rPr>
                <w:noProof/>
              </w:rPr>
              <w:t>Alexandra</w:t>
            </w:r>
          </w:p>
        </w:tc>
        <w:tc>
          <w:tcPr>
            <w:tcW w:w="3312" w:type="dxa"/>
            <w:vAlign w:val="center"/>
          </w:tcPr>
          <w:p w:rsidR="00DA400A" w:rsidRPr="001274B2" w:rsidRDefault="00DA400A" w:rsidP="00DA400A">
            <w:r w:rsidRPr="001274B2">
              <w:rPr>
                <w:noProof/>
              </w:rPr>
              <w:t>Framingham Board of Health</w:t>
            </w:r>
          </w:p>
        </w:tc>
        <w:tc>
          <w:tcPr>
            <w:tcW w:w="3312" w:type="dxa"/>
            <w:vAlign w:val="center"/>
          </w:tcPr>
          <w:p w:rsidR="00DA400A" w:rsidRPr="001274B2" w:rsidRDefault="00DA400A" w:rsidP="00DA400A">
            <w:r w:rsidRPr="001274B2">
              <w:rPr>
                <w:noProof/>
              </w:rPr>
              <w:t>Deputy Health Director</w:t>
            </w:r>
          </w:p>
        </w:tc>
      </w:tr>
      <w:tr w:rsidR="00DA400A" w:rsidRPr="001274B2" w:rsidTr="00DA400A">
        <w:trPr>
          <w:trHeight w:val="432"/>
        </w:trPr>
        <w:tc>
          <w:tcPr>
            <w:tcW w:w="3312" w:type="dxa"/>
            <w:vAlign w:val="center"/>
          </w:tcPr>
          <w:p w:rsidR="00DA400A" w:rsidRPr="001274B2" w:rsidRDefault="00DA400A" w:rsidP="00DA400A">
            <w:r w:rsidRPr="001274B2">
              <w:rPr>
                <w:noProof/>
              </w:rPr>
              <w:t>Donovan Palmer</w:t>
            </w:r>
            <w:r w:rsidRPr="001274B2">
              <w:t xml:space="preserve">, </w:t>
            </w:r>
            <w:r w:rsidRPr="001274B2">
              <w:rPr>
                <w:noProof/>
              </w:rPr>
              <w:t>Amy</w:t>
            </w:r>
          </w:p>
        </w:tc>
        <w:tc>
          <w:tcPr>
            <w:tcW w:w="3312" w:type="dxa"/>
            <w:vAlign w:val="center"/>
          </w:tcPr>
          <w:p w:rsidR="00DA400A" w:rsidRPr="001274B2" w:rsidRDefault="00DA400A" w:rsidP="00DA400A">
            <w:r w:rsidRPr="001274B2">
              <w:rPr>
                <w:noProof/>
              </w:rPr>
              <w:t>Mansfield Board of Health</w:t>
            </w:r>
          </w:p>
        </w:tc>
        <w:tc>
          <w:tcPr>
            <w:tcW w:w="3312" w:type="dxa"/>
            <w:vAlign w:val="center"/>
          </w:tcPr>
          <w:p w:rsidR="00DA400A" w:rsidRPr="001274B2" w:rsidRDefault="00DA400A" w:rsidP="00DA400A">
            <w:r w:rsidRPr="001274B2">
              <w:rPr>
                <w:noProof/>
              </w:rPr>
              <w:t>Health Agent</w:t>
            </w:r>
          </w:p>
        </w:tc>
      </w:tr>
      <w:tr w:rsidR="00DA400A" w:rsidRPr="001274B2" w:rsidTr="00DA400A">
        <w:trPr>
          <w:trHeight w:val="432"/>
        </w:trPr>
        <w:tc>
          <w:tcPr>
            <w:tcW w:w="3312" w:type="dxa"/>
            <w:vAlign w:val="center"/>
          </w:tcPr>
          <w:p w:rsidR="00DA400A" w:rsidRPr="001274B2" w:rsidRDefault="00DA400A" w:rsidP="00DA400A">
            <w:r w:rsidRPr="001274B2">
              <w:rPr>
                <w:noProof/>
              </w:rPr>
              <w:t>Drummey,</w:t>
            </w:r>
            <w:r w:rsidRPr="001274B2">
              <w:t xml:space="preserve"> </w:t>
            </w:r>
            <w:r w:rsidRPr="001274B2">
              <w:rPr>
                <w:noProof/>
              </w:rPr>
              <w:t>Peg</w:t>
            </w:r>
          </w:p>
        </w:tc>
        <w:tc>
          <w:tcPr>
            <w:tcW w:w="3312" w:type="dxa"/>
            <w:vAlign w:val="center"/>
          </w:tcPr>
          <w:p w:rsidR="00DA400A" w:rsidRPr="001274B2" w:rsidRDefault="00DA400A" w:rsidP="00DA400A">
            <w:r w:rsidRPr="001274B2">
              <w:rPr>
                <w:noProof/>
              </w:rPr>
              <w:t>Stoneham Board of Health</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Dukes</w:t>
            </w:r>
            <w:r w:rsidRPr="001274B2">
              <w:t xml:space="preserve">, </w:t>
            </w:r>
            <w:r w:rsidRPr="001274B2">
              <w:rPr>
                <w:noProof/>
              </w:rPr>
              <w:t>Cheryl</w:t>
            </w:r>
          </w:p>
        </w:tc>
        <w:tc>
          <w:tcPr>
            <w:tcW w:w="3312" w:type="dxa"/>
            <w:vAlign w:val="center"/>
          </w:tcPr>
          <w:p w:rsidR="00DA400A" w:rsidRPr="001274B2" w:rsidRDefault="00DA400A" w:rsidP="00DA400A">
            <w:r w:rsidRPr="001274B2">
              <w:rPr>
                <w:noProof/>
              </w:rPr>
              <w:t>UMass Amherst School of Nursing</w:t>
            </w:r>
          </w:p>
        </w:tc>
        <w:tc>
          <w:tcPr>
            <w:tcW w:w="3312" w:type="dxa"/>
            <w:vAlign w:val="center"/>
          </w:tcPr>
          <w:p w:rsidR="00DA400A" w:rsidRPr="001274B2" w:rsidRDefault="00DA400A" w:rsidP="00DA400A">
            <w:r w:rsidRPr="001274B2">
              <w:rPr>
                <w:noProof/>
              </w:rPr>
              <w:t>Academic Institution</w:t>
            </w:r>
          </w:p>
        </w:tc>
      </w:tr>
      <w:tr w:rsidR="00DA400A" w:rsidRPr="001274B2" w:rsidTr="00DA400A">
        <w:trPr>
          <w:trHeight w:val="432"/>
        </w:trPr>
        <w:tc>
          <w:tcPr>
            <w:tcW w:w="3312" w:type="dxa"/>
            <w:vAlign w:val="center"/>
          </w:tcPr>
          <w:p w:rsidR="00DA400A" w:rsidRPr="001274B2" w:rsidRDefault="00DA400A" w:rsidP="00DA400A">
            <w:r w:rsidRPr="001274B2">
              <w:rPr>
                <w:noProof/>
              </w:rPr>
              <w:t>Fortino</w:t>
            </w:r>
            <w:r w:rsidRPr="001274B2">
              <w:t xml:space="preserve">, </w:t>
            </w:r>
            <w:r w:rsidRPr="001274B2">
              <w:rPr>
                <w:noProof/>
              </w:rPr>
              <w:t>Fran</w:t>
            </w:r>
          </w:p>
        </w:tc>
        <w:tc>
          <w:tcPr>
            <w:tcW w:w="3312" w:type="dxa"/>
            <w:vAlign w:val="center"/>
          </w:tcPr>
          <w:p w:rsidR="00DA400A" w:rsidRPr="001274B2" w:rsidRDefault="00DA400A" w:rsidP="00DA400A">
            <w:r w:rsidRPr="001274B2">
              <w:rPr>
                <w:noProof/>
              </w:rPr>
              <w:t>Whately Board of Health, Foothills Health District</w:t>
            </w:r>
          </w:p>
        </w:tc>
        <w:tc>
          <w:tcPr>
            <w:tcW w:w="3312" w:type="dxa"/>
            <w:vAlign w:val="center"/>
          </w:tcPr>
          <w:p w:rsidR="00DA400A" w:rsidRPr="001274B2" w:rsidRDefault="00DA400A" w:rsidP="00DA400A">
            <w:r w:rsidRPr="001274B2">
              <w:rPr>
                <w:noProof/>
              </w:rPr>
              <w:t>Board of Health Member</w:t>
            </w:r>
          </w:p>
        </w:tc>
      </w:tr>
      <w:tr w:rsidR="00DA400A" w:rsidRPr="001274B2" w:rsidTr="00DA400A">
        <w:trPr>
          <w:trHeight w:val="432"/>
        </w:trPr>
        <w:tc>
          <w:tcPr>
            <w:tcW w:w="3312" w:type="dxa"/>
            <w:vAlign w:val="center"/>
          </w:tcPr>
          <w:p w:rsidR="00DA400A" w:rsidRPr="001274B2" w:rsidRDefault="00DA400A" w:rsidP="00DA400A">
            <w:r w:rsidRPr="001274B2">
              <w:rPr>
                <w:noProof/>
              </w:rPr>
              <w:t>Guarino</w:t>
            </w:r>
            <w:r w:rsidRPr="001274B2">
              <w:t xml:space="preserve">, </w:t>
            </w:r>
            <w:r w:rsidRPr="001274B2">
              <w:rPr>
                <w:noProof/>
              </w:rPr>
              <w:t>Terri</w:t>
            </w:r>
          </w:p>
        </w:tc>
        <w:tc>
          <w:tcPr>
            <w:tcW w:w="3312" w:type="dxa"/>
            <w:vAlign w:val="center"/>
          </w:tcPr>
          <w:p w:rsidR="00DA400A" w:rsidRPr="001274B2" w:rsidRDefault="00DA400A" w:rsidP="00DA400A">
            <w:r w:rsidRPr="001274B2">
              <w:rPr>
                <w:noProof/>
              </w:rPr>
              <w:t>Bourne Board of Health</w:t>
            </w:r>
          </w:p>
        </w:tc>
        <w:tc>
          <w:tcPr>
            <w:tcW w:w="3312" w:type="dxa"/>
            <w:vAlign w:val="center"/>
          </w:tcPr>
          <w:p w:rsidR="00DA400A" w:rsidRPr="001274B2" w:rsidRDefault="00DA400A" w:rsidP="00DA400A">
            <w:r w:rsidRPr="001274B2">
              <w:rPr>
                <w:noProof/>
              </w:rPr>
              <w:t>Health Agent</w:t>
            </w:r>
          </w:p>
        </w:tc>
      </w:tr>
      <w:tr w:rsidR="00DA400A" w:rsidRPr="001274B2" w:rsidTr="00DA400A">
        <w:trPr>
          <w:trHeight w:val="432"/>
        </w:trPr>
        <w:tc>
          <w:tcPr>
            <w:tcW w:w="3312" w:type="dxa"/>
            <w:vAlign w:val="center"/>
          </w:tcPr>
          <w:p w:rsidR="00DA400A" w:rsidRPr="001274B2" w:rsidRDefault="00DA400A" w:rsidP="00DA400A">
            <w:r w:rsidRPr="001274B2">
              <w:rPr>
                <w:noProof/>
              </w:rPr>
              <w:t>Keppard</w:t>
            </w:r>
            <w:r w:rsidRPr="001274B2">
              <w:t xml:space="preserve">, </w:t>
            </w:r>
            <w:r w:rsidRPr="001274B2">
              <w:rPr>
                <w:noProof/>
              </w:rPr>
              <w:t>Barry</w:t>
            </w:r>
          </w:p>
        </w:tc>
        <w:tc>
          <w:tcPr>
            <w:tcW w:w="3312" w:type="dxa"/>
            <w:vAlign w:val="center"/>
          </w:tcPr>
          <w:p w:rsidR="00DA400A" w:rsidRPr="001274B2" w:rsidRDefault="00DA400A" w:rsidP="00DA400A">
            <w:r w:rsidRPr="001274B2">
              <w:rPr>
                <w:noProof/>
              </w:rPr>
              <w:t>Metropolitan Area Planning Council</w:t>
            </w:r>
          </w:p>
        </w:tc>
        <w:tc>
          <w:tcPr>
            <w:tcW w:w="3312" w:type="dxa"/>
            <w:vAlign w:val="center"/>
          </w:tcPr>
          <w:p w:rsidR="00DA400A" w:rsidRPr="001274B2" w:rsidRDefault="00DA400A" w:rsidP="00DA400A">
            <w:r w:rsidRPr="001274B2">
              <w:rPr>
                <w:noProof/>
              </w:rPr>
              <w:t>Regional Planning Agency</w:t>
            </w:r>
          </w:p>
        </w:tc>
      </w:tr>
      <w:tr w:rsidR="00DA400A" w:rsidRPr="001274B2" w:rsidTr="00DA400A">
        <w:trPr>
          <w:trHeight w:val="432"/>
        </w:trPr>
        <w:tc>
          <w:tcPr>
            <w:tcW w:w="3312" w:type="dxa"/>
            <w:vAlign w:val="center"/>
          </w:tcPr>
          <w:p w:rsidR="00DA400A" w:rsidRPr="001274B2" w:rsidRDefault="00DA400A" w:rsidP="00DA400A">
            <w:r w:rsidRPr="001274B2">
              <w:rPr>
                <w:noProof/>
              </w:rPr>
              <w:t>Kinsella</w:t>
            </w:r>
            <w:r w:rsidRPr="001274B2">
              <w:t xml:space="preserve">, </w:t>
            </w:r>
            <w:r w:rsidRPr="001274B2">
              <w:rPr>
                <w:noProof/>
              </w:rPr>
              <w:t>Caroline</w:t>
            </w:r>
          </w:p>
        </w:tc>
        <w:tc>
          <w:tcPr>
            <w:tcW w:w="3312" w:type="dxa"/>
            <w:vAlign w:val="center"/>
          </w:tcPr>
          <w:p w:rsidR="00DA400A" w:rsidRPr="001274B2" w:rsidRDefault="00DA400A" w:rsidP="00DA400A">
            <w:r w:rsidRPr="001274B2">
              <w:rPr>
                <w:noProof/>
              </w:rPr>
              <w:t>Milton Health Department</w:t>
            </w:r>
          </w:p>
        </w:tc>
        <w:tc>
          <w:tcPr>
            <w:tcW w:w="3312" w:type="dxa"/>
            <w:vAlign w:val="center"/>
          </w:tcPr>
          <w:p w:rsidR="00DA400A" w:rsidRPr="001274B2" w:rsidRDefault="00DA400A" w:rsidP="00DA400A">
            <w:r w:rsidRPr="001274B2">
              <w:rPr>
                <w:noProof/>
              </w:rPr>
              <w:t>Health Director</w:t>
            </w:r>
          </w:p>
        </w:tc>
      </w:tr>
      <w:tr w:rsidR="00DA400A" w:rsidRPr="001274B2" w:rsidTr="00DA400A">
        <w:trPr>
          <w:trHeight w:val="432"/>
        </w:trPr>
        <w:tc>
          <w:tcPr>
            <w:tcW w:w="3312" w:type="dxa"/>
            <w:vAlign w:val="center"/>
          </w:tcPr>
          <w:p w:rsidR="00DA400A" w:rsidRPr="001274B2" w:rsidRDefault="00DA400A" w:rsidP="00DA400A">
            <w:r w:rsidRPr="001274B2">
              <w:rPr>
                <w:noProof/>
              </w:rPr>
              <w:lastRenderedPageBreak/>
              <w:t>Lebrun</w:t>
            </w:r>
            <w:r w:rsidRPr="001274B2">
              <w:t xml:space="preserve">, </w:t>
            </w:r>
            <w:r w:rsidRPr="001274B2">
              <w:rPr>
                <w:noProof/>
              </w:rPr>
              <w:t>Evelyn</w:t>
            </w:r>
          </w:p>
        </w:tc>
        <w:tc>
          <w:tcPr>
            <w:tcW w:w="3312" w:type="dxa"/>
            <w:vAlign w:val="center"/>
          </w:tcPr>
          <w:p w:rsidR="00DA400A" w:rsidRPr="001274B2" w:rsidRDefault="00DA400A" w:rsidP="00DA400A">
            <w:r w:rsidRPr="001274B2">
              <w:rPr>
                <w:noProof/>
              </w:rPr>
              <w:t>Brockton Board of Health</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Leger</w:t>
            </w:r>
            <w:r w:rsidRPr="001274B2">
              <w:t xml:space="preserve">, </w:t>
            </w:r>
            <w:r w:rsidRPr="001274B2">
              <w:rPr>
                <w:noProof/>
              </w:rPr>
              <w:t>Philip</w:t>
            </w:r>
          </w:p>
        </w:tc>
        <w:tc>
          <w:tcPr>
            <w:tcW w:w="3312" w:type="dxa"/>
            <w:vAlign w:val="center"/>
          </w:tcPr>
          <w:p w:rsidR="00DA400A" w:rsidRPr="001274B2" w:rsidRDefault="00DA400A" w:rsidP="00DA400A">
            <w:r w:rsidRPr="001274B2">
              <w:rPr>
                <w:noProof/>
              </w:rPr>
              <w:t>Worcester Dvision of Public Health, Royalston BOH</w:t>
            </w:r>
          </w:p>
        </w:tc>
        <w:tc>
          <w:tcPr>
            <w:tcW w:w="3312" w:type="dxa"/>
            <w:vAlign w:val="center"/>
          </w:tcPr>
          <w:p w:rsidR="00DA400A" w:rsidRPr="001274B2" w:rsidRDefault="00DA400A" w:rsidP="00DA400A">
            <w:r w:rsidRPr="001274B2">
              <w:rPr>
                <w:noProof/>
              </w:rPr>
              <w:t>Health Agent</w:t>
            </w:r>
          </w:p>
        </w:tc>
      </w:tr>
      <w:tr w:rsidR="00DA400A" w:rsidRPr="001274B2" w:rsidTr="00DA400A">
        <w:trPr>
          <w:trHeight w:val="432"/>
        </w:trPr>
        <w:tc>
          <w:tcPr>
            <w:tcW w:w="3312" w:type="dxa"/>
            <w:vAlign w:val="center"/>
          </w:tcPr>
          <w:p w:rsidR="00DA400A" w:rsidRPr="001274B2" w:rsidRDefault="00DA400A" w:rsidP="00DA400A">
            <w:r w:rsidRPr="001274B2">
              <w:rPr>
                <w:noProof/>
              </w:rPr>
              <w:t>Litchfield, Sheila</w:t>
            </w:r>
          </w:p>
        </w:tc>
        <w:tc>
          <w:tcPr>
            <w:tcW w:w="3312" w:type="dxa"/>
            <w:vAlign w:val="center"/>
          </w:tcPr>
          <w:p w:rsidR="00DA400A" w:rsidRPr="001274B2" w:rsidRDefault="00DA400A" w:rsidP="00DA400A">
            <w:r w:rsidRPr="001274B2">
              <w:rPr>
                <w:noProof/>
              </w:rPr>
              <w:t>Rowe Board of Health</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Maloni</w:t>
            </w:r>
            <w:r w:rsidRPr="001274B2">
              <w:t xml:space="preserve">, </w:t>
            </w:r>
            <w:r w:rsidRPr="001274B2">
              <w:rPr>
                <w:noProof/>
              </w:rPr>
              <w:t>Mark</w:t>
            </w:r>
          </w:p>
        </w:tc>
        <w:tc>
          <w:tcPr>
            <w:tcW w:w="3312" w:type="dxa"/>
            <w:vAlign w:val="center"/>
          </w:tcPr>
          <w:p w:rsidR="00DA400A" w:rsidRPr="001274B2" w:rsidRDefault="00DA400A" w:rsidP="00DA400A">
            <w:r w:rsidRPr="001274B2">
              <w:rPr>
                <w:noProof/>
              </w:rPr>
              <w:t>Franklin Regional Council of Governments</w:t>
            </w:r>
          </w:p>
        </w:tc>
        <w:tc>
          <w:tcPr>
            <w:tcW w:w="3312" w:type="dxa"/>
            <w:vAlign w:val="center"/>
          </w:tcPr>
          <w:p w:rsidR="00DA400A" w:rsidRPr="001274B2" w:rsidRDefault="00DA400A" w:rsidP="00DA400A">
            <w:r w:rsidRPr="001274B2">
              <w:rPr>
                <w:noProof/>
              </w:rPr>
              <w:t>Public Health Planner</w:t>
            </w:r>
          </w:p>
        </w:tc>
      </w:tr>
      <w:tr w:rsidR="00DA400A" w:rsidRPr="001274B2" w:rsidTr="00DA400A">
        <w:trPr>
          <w:trHeight w:val="432"/>
        </w:trPr>
        <w:tc>
          <w:tcPr>
            <w:tcW w:w="3312" w:type="dxa"/>
            <w:vAlign w:val="center"/>
          </w:tcPr>
          <w:p w:rsidR="00DA400A" w:rsidRPr="001274B2" w:rsidRDefault="00DA400A" w:rsidP="00DA400A">
            <w:r w:rsidRPr="001274B2">
              <w:rPr>
                <w:noProof/>
              </w:rPr>
              <w:t>Martin</w:t>
            </w:r>
            <w:r w:rsidRPr="001274B2">
              <w:t xml:space="preserve">, </w:t>
            </w:r>
            <w:r w:rsidRPr="001274B2">
              <w:rPr>
                <w:noProof/>
              </w:rPr>
              <w:t>Sandra</w:t>
            </w:r>
          </w:p>
        </w:tc>
        <w:tc>
          <w:tcPr>
            <w:tcW w:w="3312" w:type="dxa"/>
            <w:vAlign w:val="center"/>
          </w:tcPr>
          <w:p w:rsidR="00DA400A" w:rsidRPr="001274B2" w:rsidRDefault="00DA400A" w:rsidP="00DA400A">
            <w:r w:rsidRPr="001274B2">
              <w:rPr>
                <w:noProof/>
              </w:rPr>
              <w:t>Berkshire Regional Planning Commission</w:t>
            </w:r>
          </w:p>
        </w:tc>
        <w:tc>
          <w:tcPr>
            <w:tcW w:w="3312" w:type="dxa"/>
            <w:vAlign w:val="center"/>
          </w:tcPr>
          <w:p w:rsidR="00DA400A" w:rsidRPr="001274B2" w:rsidRDefault="00DA400A" w:rsidP="00DA400A">
            <w:r w:rsidRPr="001274B2">
              <w:rPr>
                <w:noProof/>
              </w:rPr>
              <w:t>Regional Planning Agency</w:t>
            </w:r>
          </w:p>
        </w:tc>
      </w:tr>
      <w:tr w:rsidR="00DA400A" w:rsidRPr="001274B2" w:rsidTr="00DA400A">
        <w:trPr>
          <w:trHeight w:val="432"/>
        </w:trPr>
        <w:tc>
          <w:tcPr>
            <w:tcW w:w="3312" w:type="dxa"/>
            <w:vAlign w:val="center"/>
          </w:tcPr>
          <w:p w:rsidR="00DA400A" w:rsidRPr="001274B2" w:rsidRDefault="00DA400A" w:rsidP="00DA400A">
            <w:r w:rsidRPr="001274B2">
              <w:rPr>
                <w:noProof/>
              </w:rPr>
              <w:t>Michaud</w:t>
            </w:r>
            <w:r w:rsidRPr="001274B2">
              <w:t xml:space="preserve">, </w:t>
            </w:r>
            <w:r w:rsidRPr="001274B2">
              <w:rPr>
                <w:noProof/>
              </w:rPr>
              <w:t>Chris</w:t>
            </w:r>
          </w:p>
        </w:tc>
        <w:tc>
          <w:tcPr>
            <w:tcW w:w="3312" w:type="dxa"/>
            <w:vAlign w:val="center"/>
          </w:tcPr>
          <w:p w:rsidR="00DA400A" w:rsidRPr="001274B2" w:rsidRDefault="00DA400A" w:rsidP="00DA400A">
            <w:r w:rsidRPr="001274B2">
              <w:rPr>
                <w:noProof/>
              </w:rPr>
              <w:t>Dartmouth Board of Health</w:t>
            </w:r>
          </w:p>
        </w:tc>
        <w:tc>
          <w:tcPr>
            <w:tcW w:w="3312" w:type="dxa"/>
            <w:vAlign w:val="center"/>
          </w:tcPr>
          <w:p w:rsidR="00DA400A" w:rsidRPr="001274B2" w:rsidRDefault="00DA400A" w:rsidP="00DA400A">
            <w:r w:rsidRPr="001274B2">
              <w:rPr>
                <w:noProof/>
              </w:rPr>
              <w:t>Health Director</w:t>
            </w:r>
          </w:p>
        </w:tc>
      </w:tr>
      <w:tr w:rsidR="00DA400A" w:rsidRPr="001274B2" w:rsidTr="00DA400A">
        <w:trPr>
          <w:trHeight w:val="432"/>
        </w:trPr>
        <w:tc>
          <w:tcPr>
            <w:tcW w:w="3312" w:type="dxa"/>
            <w:vAlign w:val="center"/>
          </w:tcPr>
          <w:p w:rsidR="00DA400A" w:rsidRPr="001274B2" w:rsidRDefault="00DA400A" w:rsidP="00DA400A">
            <w:r w:rsidRPr="001274B2">
              <w:rPr>
                <w:noProof/>
              </w:rPr>
              <w:t>Mori</w:t>
            </w:r>
            <w:r w:rsidRPr="001274B2">
              <w:t xml:space="preserve">, </w:t>
            </w:r>
            <w:r w:rsidRPr="001274B2">
              <w:rPr>
                <w:noProof/>
              </w:rPr>
              <w:t>Ruth</w:t>
            </w:r>
          </w:p>
        </w:tc>
        <w:tc>
          <w:tcPr>
            <w:tcW w:w="3312" w:type="dxa"/>
            <w:vAlign w:val="center"/>
          </w:tcPr>
          <w:p w:rsidR="00DA400A" w:rsidRPr="001274B2" w:rsidRDefault="00DA400A" w:rsidP="00DA400A">
            <w:r w:rsidRPr="001274B2">
              <w:rPr>
                <w:noProof/>
              </w:rPr>
              <w:t>Wayland Board of Health</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Perlman</w:t>
            </w:r>
            <w:r w:rsidRPr="001274B2">
              <w:t xml:space="preserve">, </w:t>
            </w:r>
            <w:r w:rsidRPr="001274B2">
              <w:rPr>
                <w:noProof/>
              </w:rPr>
              <w:t>Bill</w:t>
            </w:r>
          </w:p>
        </w:tc>
        <w:tc>
          <w:tcPr>
            <w:tcW w:w="3312" w:type="dxa"/>
            <w:vAlign w:val="center"/>
          </w:tcPr>
          <w:p w:rsidR="00DA400A" w:rsidRPr="001274B2" w:rsidRDefault="00DA400A" w:rsidP="00DA400A">
            <w:r w:rsidRPr="001274B2">
              <w:rPr>
                <w:noProof/>
              </w:rPr>
              <w:t>Franklin Regional Council of Governments</w:t>
            </w:r>
          </w:p>
        </w:tc>
        <w:tc>
          <w:tcPr>
            <w:tcW w:w="3312" w:type="dxa"/>
            <w:vAlign w:val="center"/>
          </w:tcPr>
          <w:p w:rsidR="00DA400A" w:rsidRPr="001274B2" w:rsidRDefault="00DA400A" w:rsidP="00DA400A">
            <w:r w:rsidRPr="001274B2">
              <w:rPr>
                <w:noProof/>
              </w:rPr>
              <w:t>Executive Committee Chair</w:t>
            </w:r>
          </w:p>
        </w:tc>
      </w:tr>
      <w:tr w:rsidR="00DA400A" w:rsidRPr="001274B2" w:rsidTr="00DA400A">
        <w:trPr>
          <w:trHeight w:val="432"/>
        </w:trPr>
        <w:tc>
          <w:tcPr>
            <w:tcW w:w="3312" w:type="dxa"/>
            <w:vAlign w:val="center"/>
          </w:tcPr>
          <w:p w:rsidR="00DA400A" w:rsidRPr="001274B2" w:rsidRDefault="00DA400A" w:rsidP="00DA400A">
            <w:r w:rsidRPr="001274B2">
              <w:rPr>
                <w:noProof/>
              </w:rPr>
              <w:t>Poirier</w:t>
            </w:r>
            <w:r w:rsidRPr="001274B2">
              <w:t xml:space="preserve">, </w:t>
            </w:r>
            <w:r w:rsidRPr="001274B2">
              <w:rPr>
                <w:noProof/>
              </w:rPr>
              <w:t>Susan</w:t>
            </w:r>
          </w:p>
        </w:tc>
        <w:tc>
          <w:tcPr>
            <w:tcW w:w="3312" w:type="dxa"/>
            <w:vAlign w:val="center"/>
          </w:tcPr>
          <w:p w:rsidR="00DA400A" w:rsidRPr="001274B2" w:rsidRDefault="00DA400A" w:rsidP="00DA400A">
            <w:r w:rsidRPr="001274B2">
              <w:rPr>
                <w:noProof/>
              </w:rPr>
              <w:t>Milton Health Department</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Sarni</w:t>
            </w:r>
            <w:r w:rsidRPr="001274B2">
              <w:t xml:space="preserve">, </w:t>
            </w:r>
            <w:r w:rsidRPr="001274B2">
              <w:rPr>
                <w:noProof/>
              </w:rPr>
              <w:t>Susan</w:t>
            </w:r>
          </w:p>
        </w:tc>
        <w:tc>
          <w:tcPr>
            <w:tcW w:w="3312" w:type="dxa"/>
            <w:vAlign w:val="center"/>
          </w:tcPr>
          <w:p w:rsidR="00DA400A" w:rsidRPr="001274B2" w:rsidRDefault="00DA400A" w:rsidP="00DA400A">
            <w:r w:rsidRPr="001274B2">
              <w:rPr>
                <w:noProof/>
              </w:rPr>
              <w:t>Town of Hingham</w:t>
            </w:r>
          </w:p>
        </w:tc>
        <w:tc>
          <w:tcPr>
            <w:tcW w:w="3312" w:type="dxa"/>
            <w:vAlign w:val="center"/>
          </w:tcPr>
          <w:p w:rsidR="00DA400A" w:rsidRPr="001274B2" w:rsidRDefault="00DA400A" w:rsidP="00DA400A">
            <w:r w:rsidRPr="001274B2">
              <w:rPr>
                <w:noProof/>
              </w:rPr>
              <w:t>Health Director</w:t>
            </w:r>
          </w:p>
        </w:tc>
      </w:tr>
      <w:tr w:rsidR="00DA400A" w:rsidRPr="001274B2" w:rsidTr="00DA400A">
        <w:trPr>
          <w:trHeight w:val="432"/>
        </w:trPr>
        <w:tc>
          <w:tcPr>
            <w:tcW w:w="3312" w:type="dxa"/>
            <w:vAlign w:val="center"/>
          </w:tcPr>
          <w:p w:rsidR="00DA400A" w:rsidRPr="001274B2" w:rsidRDefault="00DA400A" w:rsidP="00DA400A">
            <w:r w:rsidRPr="001274B2">
              <w:rPr>
                <w:noProof/>
              </w:rPr>
              <w:t>Sullivan, Joyce</w:t>
            </w:r>
          </w:p>
        </w:tc>
        <w:tc>
          <w:tcPr>
            <w:tcW w:w="3312" w:type="dxa"/>
            <w:vAlign w:val="center"/>
          </w:tcPr>
          <w:p w:rsidR="00DA400A" w:rsidRPr="001274B2" w:rsidRDefault="00DA400A" w:rsidP="00DA400A">
            <w:r w:rsidRPr="001274B2">
              <w:rPr>
                <w:noProof/>
              </w:rPr>
              <w:t>Hull Board of Health</w:t>
            </w:r>
          </w:p>
        </w:tc>
        <w:tc>
          <w:tcPr>
            <w:tcW w:w="3312" w:type="dxa"/>
            <w:vAlign w:val="center"/>
          </w:tcPr>
          <w:p w:rsidR="00DA400A" w:rsidRPr="001274B2" w:rsidRDefault="00DA400A" w:rsidP="00DA400A">
            <w:r w:rsidRPr="001274B2">
              <w:rPr>
                <w:noProof/>
              </w:rPr>
              <w:t>Health Director</w:t>
            </w:r>
          </w:p>
        </w:tc>
      </w:tr>
      <w:tr w:rsidR="00DA400A" w:rsidRPr="001274B2" w:rsidTr="00DA400A">
        <w:trPr>
          <w:trHeight w:val="432"/>
        </w:trPr>
        <w:tc>
          <w:tcPr>
            <w:tcW w:w="3312" w:type="dxa"/>
            <w:vAlign w:val="center"/>
          </w:tcPr>
          <w:p w:rsidR="00DA400A" w:rsidRPr="001274B2" w:rsidRDefault="00DA400A" w:rsidP="00DA400A">
            <w:r w:rsidRPr="001274B2">
              <w:rPr>
                <w:noProof/>
              </w:rPr>
              <w:t>Taverna,</w:t>
            </w:r>
            <w:r w:rsidRPr="001274B2">
              <w:t xml:space="preserve">, </w:t>
            </w:r>
            <w:r w:rsidRPr="001274B2">
              <w:rPr>
                <w:noProof/>
              </w:rPr>
              <w:t>Joan</w:t>
            </w:r>
          </w:p>
        </w:tc>
        <w:tc>
          <w:tcPr>
            <w:tcW w:w="3312" w:type="dxa"/>
            <w:vAlign w:val="center"/>
          </w:tcPr>
          <w:p w:rsidR="00DA400A" w:rsidRPr="001274B2" w:rsidRDefault="00DA400A" w:rsidP="00DA400A">
            <w:r w:rsidRPr="001274B2">
              <w:rPr>
                <w:noProof/>
              </w:rPr>
              <w:t>Hull Board of Health</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Telling</w:t>
            </w:r>
            <w:r w:rsidRPr="001274B2">
              <w:t xml:space="preserve">, </w:t>
            </w:r>
            <w:r w:rsidRPr="001274B2">
              <w:rPr>
                <w:noProof/>
              </w:rPr>
              <w:t>Doug</w:t>
            </w:r>
          </w:p>
        </w:tc>
        <w:tc>
          <w:tcPr>
            <w:tcW w:w="3312" w:type="dxa"/>
            <w:vAlign w:val="center"/>
          </w:tcPr>
          <w:p w:rsidR="00DA400A" w:rsidRPr="001274B2" w:rsidRDefault="00DA400A" w:rsidP="00DA400A">
            <w:r w:rsidRPr="001274B2">
              <w:rPr>
                <w:noProof/>
              </w:rPr>
              <w:t>Charlemont Board of Health</w:t>
            </w:r>
          </w:p>
        </w:tc>
        <w:tc>
          <w:tcPr>
            <w:tcW w:w="3312" w:type="dxa"/>
            <w:vAlign w:val="center"/>
          </w:tcPr>
          <w:p w:rsidR="00DA400A" w:rsidRPr="001274B2" w:rsidRDefault="00DA400A" w:rsidP="00DA400A">
            <w:r w:rsidRPr="001274B2">
              <w:rPr>
                <w:noProof/>
              </w:rPr>
              <w:t>Board of Health Member</w:t>
            </w:r>
          </w:p>
        </w:tc>
      </w:tr>
      <w:tr w:rsidR="00DA400A" w:rsidRPr="001274B2" w:rsidTr="00DA400A">
        <w:trPr>
          <w:trHeight w:val="432"/>
        </w:trPr>
        <w:tc>
          <w:tcPr>
            <w:tcW w:w="3312" w:type="dxa"/>
            <w:vAlign w:val="center"/>
          </w:tcPr>
          <w:p w:rsidR="00DA400A" w:rsidRPr="001274B2" w:rsidRDefault="00DA400A" w:rsidP="00DA400A">
            <w:r w:rsidRPr="001274B2">
              <w:rPr>
                <w:noProof/>
              </w:rPr>
              <w:t>Tracy</w:t>
            </w:r>
            <w:r w:rsidRPr="001274B2">
              <w:t xml:space="preserve">, </w:t>
            </w:r>
            <w:r w:rsidRPr="001274B2">
              <w:rPr>
                <w:noProof/>
              </w:rPr>
              <w:t>Jessica</w:t>
            </w:r>
          </w:p>
        </w:tc>
        <w:tc>
          <w:tcPr>
            <w:tcW w:w="3312" w:type="dxa"/>
            <w:vAlign w:val="center"/>
          </w:tcPr>
          <w:p w:rsidR="00DA400A" w:rsidRPr="001274B2" w:rsidRDefault="00DA400A" w:rsidP="00DA400A">
            <w:r w:rsidRPr="001274B2">
              <w:rPr>
                <w:noProof/>
              </w:rPr>
              <w:t>Dedham Health Department</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White</w:t>
            </w:r>
            <w:r w:rsidRPr="001274B2">
              <w:t xml:space="preserve">, </w:t>
            </w:r>
            <w:r w:rsidRPr="001274B2">
              <w:rPr>
                <w:noProof/>
              </w:rPr>
              <w:t>Lisa</w:t>
            </w:r>
          </w:p>
        </w:tc>
        <w:tc>
          <w:tcPr>
            <w:tcW w:w="3312" w:type="dxa"/>
            <w:vAlign w:val="center"/>
          </w:tcPr>
          <w:p w:rsidR="00DA400A" w:rsidRPr="001274B2" w:rsidRDefault="00DA400A" w:rsidP="00DA400A">
            <w:r w:rsidRPr="001274B2">
              <w:rPr>
                <w:noProof/>
              </w:rPr>
              <w:t>Franklin Regional Council of Governments</w:t>
            </w:r>
          </w:p>
        </w:tc>
        <w:tc>
          <w:tcPr>
            <w:tcW w:w="3312" w:type="dxa"/>
            <w:vAlign w:val="center"/>
          </w:tcPr>
          <w:p w:rsidR="00DA400A" w:rsidRPr="001274B2" w:rsidRDefault="00DA400A" w:rsidP="00DA400A">
            <w:r w:rsidRPr="001274B2">
              <w:rPr>
                <w:noProof/>
              </w:rPr>
              <w:t>Public Health Nurse</w:t>
            </w:r>
          </w:p>
        </w:tc>
      </w:tr>
      <w:tr w:rsidR="00DA400A" w:rsidRPr="001274B2" w:rsidTr="00DA400A">
        <w:trPr>
          <w:trHeight w:val="432"/>
        </w:trPr>
        <w:tc>
          <w:tcPr>
            <w:tcW w:w="3312" w:type="dxa"/>
            <w:vAlign w:val="center"/>
          </w:tcPr>
          <w:p w:rsidR="00DA400A" w:rsidRPr="001274B2" w:rsidRDefault="00DA400A" w:rsidP="00DA400A">
            <w:r w:rsidRPr="001274B2">
              <w:rPr>
                <w:noProof/>
              </w:rPr>
              <w:t>Zajdel</w:t>
            </w:r>
            <w:r w:rsidRPr="001274B2">
              <w:t xml:space="preserve">, </w:t>
            </w:r>
            <w:r w:rsidRPr="001274B2">
              <w:rPr>
                <w:noProof/>
              </w:rPr>
              <w:t>Pauline</w:t>
            </w:r>
          </w:p>
        </w:tc>
        <w:tc>
          <w:tcPr>
            <w:tcW w:w="3312" w:type="dxa"/>
            <w:vAlign w:val="center"/>
          </w:tcPr>
          <w:p w:rsidR="00DA400A" w:rsidRPr="001274B2" w:rsidRDefault="00DA400A" w:rsidP="00DA400A">
            <w:r w:rsidRPr="001274B2">
              <w:rPr>
                <w:noProof/>
              </w:rPr>
              <w:t>Town of Foxboro</w:t>
            </w:r>
          </w:p>
        </w:tc>
        <w:tc>
          <w:tcPr>
            <w:tcW w:w="3312" w:type="dxa"/>
            <w:vAlign w:val="center"/>
          </w:tcPr>
          <w:p w:rsidR="00DA400A" w:rsidRPr="001274B2" w:rsidRDefault="00DA400A" w:rsidP="00DA400A">
            <w:r w:rsidRPr="001274B2">
              <w:rPr>
                <w:noProof/>
              </w:rPr>
              <w:t>Health Director</w:t>
            </w:r>
          </w:p>
        </w:tc>
      </w:tr>
    </w:tbl>
    <w:p w:rsidR="00DA400A" w:rsidRPr="001274B2" w:rsidRDefault="00DA400A" w:rsidP="00DA400A"/>
    <w:tbl>
      <w:tblPr>
        <w:tblStyle w:val="TableGrid"/>
        <w:tblW w:w="9918" w:type="dxa"/>
        <w:tblLook w:val="04A0" w:firstRow="1" w:lastRow="0" w:firstColumn="1" w:lastColumn="0" w:noHBand="0" w:noVBand="1"/>
      </w:tblPr>
      <w:tblGrid>
        <w:gridCol w:w="2178"/>
        <w:gridCol w:w="2970"/>
        <w:gridCol w:w="3060"/>
        <w:gridCol w:w="1710"/>
      </w:tblGrid>
      <w:tr w:rsidR="00DA400A" w:rsidRPr="001274B2" w:rsidTr="00DA400A">
        <w:trPr>
          <w:trHeight w:val="432"/>
          <w:tblHeader/>
        </w:trPr>
        <w:tc>
          <w:tcPr>
            <w:tcW w:w="9918" w:type="dxa"/>
            <w:gridSpan w:val="4"/>
            <w:shd w:val="clear" w:color="auto" w:fill="FABF8F" w:themeFill="accent6" w:themeFillTint="99"/>
            <w:vAlign w:val="center"/>
          </w:tcPr>
          <w:p w:rsidR="00DA400A" w:rsidRPr="001274B2" w:rsidRDefault="00DA400A" w:rsidP="00DA400A">
            <w:pPr>
              <w:rPr>
                <w:b/>
                <w:noProof/>
              </w:rPr>
            </w:pPr>
            <w:r w:rsidRPr="001274B2">
              <w:rPr>
                <w:b/>
                <w:noProof/>
              </w:rPr>
              <w:t>Attended Listening Session but Did Not Comment</w:t>
            </w:r>
          </w:p>
        </w:tc>
      </w:tr>
      <w:tr w:rsidR="00DA400A" w:rsidRPr="001274B2" w:rsidTr="00DA400A">
        <w:trPr>
          <w:trHeight w:val="432"/>
        </w:trPr>
        <w:tc>
          <w:tcPr>
            <w:tcW w:w="2178" w:type="dxa"/>
            <w:vAlign w:val="center"/>
          </w:tcPr>
          <w:p w:rsidR="00DA400A" w:rsidRPr="001274B2" w:rsidRDefault="00DA400A" w:rsidP="00DA400A">
            <w:r w:rsidRPr="001274B2">
              <w:rPr>
                <w:noProof/>
              </w:rPr>
              <w:t>Pierce</w:t>
            </w:r>
            <w:r w:rsidRPr="001274B2">
              <w:t xml:space="preserve">, </w:t>
            </w:r>
            <w:r w:rsidRPr="001274B2">
              <w:rPr>
                <w:noProof/>
              </w:rPr>
              <w:t>Kathern</w:t>
            </w:r>
          </w:p>
        </w:tc>
        <w:tc>
          <w:tcPr>
            <w:tcW w:w="2970" w:type="dxa"/>
            <w:vAlign w:val="center"/>
          </w:tcPr>
          <w:p w:rsidR="00DA400A" w:rsidRPr="001274B2" w:rsidRDefault="00DA400A" w:rsidP="00DA400A">
            <w:r w:rsidRPr="001274B2">
              <w:rPr>
                <w:noProof/>
              </w:rPr>
              <w:t>Montague Board of Health</w:t>
            </w:r>
          </w:p>
        </w:tc>
        <w:tc>
          <w:tcPr>
            <w:tcW w:w="3060" w:type="dxa"/>
            <w:vAlign w:val="center"/>
          </w:tcPr>
          <w:p w:rsidR="00DA400A" w:rsidRPr="001274B2" w:rsidRDefault="00DA400A" w:rsidP="00DA400A">
            <w:r w:rsidRPr="001274B2">
              <w:rPr>
                <w:noProof/>
              </w:rPr>
              <w:t>Health Inspector</w:t>
            </w:r>
          </w:p>
        </w:tc>
        <w:tc>
          <w:tcPr>
            <w:tcW w:w="1710" w:type="dxa"/>
            <w:vAlign w:val="center"/>
          </w:tcPr>
          <w:p w:rsidR="00DA400A" w:rsidRPr="001274B2" w:rsidRDefault="00DA400A" w:rsidP="00DA400A">
            <w:r w:rsidRPr="001274B2">
              <w:rPr>
                <w:noProof/>
              </w:rPr>
              <w:t>Greenfield</w:t>
            </w:r>
          </w:p>
        </w:tc>
      </w:tr>
      <w:tr w:rsidR="00DA400A" w:rsidRPr="001274B2" w:rsidTr="00DA400A">
        <w:trPr>
          <w:trHeight w:val="432"/>
        </w:trPr>
        <w:tc>
          <w:tcPr>
            <w:tcW w:w="2178" w:type="dxa"/>
            <w:vAlign w:val="center"/>
          </w:tcPr>
          <w:p w:rsidR="00DA400A" w:rsidRPr="001274B2" w:rsidRDefault="00DA400A" w:rsidP="00DA400A">
            <w:r w:rsidRPr="001274B2">
              <w:rPr>
                <w:noProof/>
              </w:rPr>
              <w:t>Puleo</w:t>
            </w:r>
            <w:r w:rsidRPr="001274B2">
              <w:t xml:space="preserve">, </w:t>
            </w:r>
            <w:r w:rsidRPr="001274B2">
              <w:rPr>
                <w:noProof/>
              </w:rPr>
              <w:t>Elaine</w:t>
            </w:r>
          </w:p>
        </w:tc>
        <w:tc>
          <w:tcPr>
            <w:tcW w:w="2970" w:type="dxa"/>
            <w:vAlign w:val="center"/>
          </w:tcPr>
          <w:p w:rsidR="00DA400A" w:rsidRPr="001274B2" w:rsidRDefault="00DA400A" w:rsidP="00DA400A">
            <w:r w:rsidRPr="001274B2">
              <w:rPr>
                <w:noProof/>
              </w:rPr>
              <w:t>Shutesbury Select Board</w:t>
            </w:r>
          </w:p>
        </w:tc>
        <w:tc>
          <w:tcPr>
            <w:tcW w:w="3060" w:type="dxa"/>
            <w:vAlign w:val="center"/>
          </w:tcPr>
          <w:p w:rsidR="00DA400A" w:rsidRPr="001274B2" w:rsidRDefault="00DA400A" w:rsidP="00DA400A">
            <w:r w:rsidRPr="001274B2">
              <w:rPr>
                <w:noProof/>
              </w:rPr>
              <w:t>Board of Selectmen Member</w:t>
            </w:r>
          </w:p>
        </w:tc>
        <w:tc>
          <w:tcPr>
            <w:tcW w:w="1710" w:type="dxa"/>
            <w:vAlign w:val="center"/>
          </w:tcPr>
          <w:p w:rsidR="00DA400A" w:rsidRPr="001274B2" w:rsidRDefault="00DA400A" w:rsidP="00DA400A">
            <w:r w:rsidRPr="001274B2">
              <w:rPr>
                <w:noProof/>
              </w:rPr>
              <w:t>Greenfield</w:t>
            </w:r>
          </w:p>
        </w:tc>
      </w:tr>
      <w:tr w:rsidR="00DA400A" w:rsidRPr="001274B2" w:rsidTr="00DA400A">
        <w:trPr>
          <w:trHeight w:val="432"/>
        </w:trPr>
        <w:tc>
          <w:tcPr>
            <w:tcW w:w="2178" w:type="dxa"/>
            <w:vAlign w:val="center"/>
          </w:tcPr>
          <w:p w:rsidR="00DA400A" w:rsidRPr="001274B2" w:rsidRDefault="00DA400A" w:rsidP="00DA400A">
            <w:r w:rsidRPr="001274B2">
              <w:rPr>
                <w:noProof/>
              </w:rPr>
              <w:t>Solomon</w:t>
            </w:r>
            <w:r w:rsidRPr="001274B2">
              <w:t xml:space="preserve">, </w:t>
            </w:r>
            <w:r w:rsidRPr="001274B2">
              <w:rPr>
                <w:noProof/>
              </w:rPr>
              <w:t>Josh</w:t>
            </w:r>
          </w:p>
        </w:tc>
        <w:tc>
          <w:tcPr>
            <w:tcW w:w="2970" w:type="dxa"/>
            <w:vAlign w:val="center"/>
          </w:tcPr>
          <w:p w:rsidR="00DA400A" w:rsidRPr="001274B2" w:rsidRDefault="00DA400A" w:rsidP="00DA400A">
            <w:r w:rsidRPr="001274B2">
              <w:rPr>
                <w:noProof/>
              </w:rPr>
              <w:t>The Recorder (Greenfield)</w:t>
            </w:r>
          </w:p>
        </w:tc>
        <w:tc>
          <w:tcPr>
            <w:tcW w:w="3060" w:type="dxa"/>
            <w:vAlign w:val="center"/>
          </w:tcPr>
          <w:p w:rsidR="00DA400A" w:rsidRPr="001274B2" w:rsidRDefault="00DA400A" w:rsidP="00DA400A">
            <w:r w:rsidRPr="001274B2">
              <w:rPr>
                <w:noProof/>
              </w:rPr>
              <w:t>Reporter</w:t>
            </w:r>
          </w:p>
        </w:tc>
        <w:tc>
          <w:tcPr>
            <w:tcW w:w="1710" w:type="dxa"/>
            <w:vAlign w:val="center"/>
          </w:tcPr>
          <w:p w:rsidR="00DA400A" w:rsidRPr="001274B2" w:rsidRDefault="00DA400A" w:rsidP="00DA400A">
            <w:r w:rsidRPr="001274B2">
              <w:rPr>
                <w:noProof/>
              </w:rPr>
              <w:t>Greenfield</w:t>
            </w:r>
          </w:p>
        </w:tc>
      </w:tr>
      <w:tr w:rsidR="00DA400A" w:rsidRPr="001274B2" w:rsidTr="00DA400A">
        <w:trPr>
          <w:trHeight w:val="432"/>
        </w:trPr>
        <w:tc>
          <w:tcPr>
            <w:tcW w:w="2178" w:type="dxa"/>
            <w:vAlign w:val="center"/>
          </w:tcPr>
          <w:p w:rsidR="00DA400A" w:rsidRPr="001274B2" w:rsidRDefault="00DA400A" w:rsidP="00DA400A">
            <w:r w:rsidRPr="001274B2">
              <w:rPr>
                <w:noProof/>
              </w:rPr>
              <w:t>Volpe</w:t>
            </w:r>
            <w:r w:rsidRPr="001274B2">
              <w:t xml:space="preserve">, </w:t>
            </w:r>
            <w:r w:rsidRPr="001274B2">
              <w:rPr>
                <w:noProof/>
              </w:rPr>
              <w:t>Cheryl</w:t>
            </w:r>
          </w:p>
        </w:tc>
        <w:tc>
          <w:tcPr>
            <w:tcW w:w="2970" w:type="dxa"/>
            <w:vAlign w:val="center"/>
          </w:tcPr>
          <w:p w:rsidR="00DA400A" w:rsidRPr="001274B2" w:rsidRDefault="00DA400A" w:rsidP="00DA400A">
            <w:r w:rsidRPr="001274B2">
              <w:rPr>
                <w:noProof/>
              </w:rPr>
              <w:t>Greenfield Board of Health</w:t>
            </w:r>
          </w:p>
        </w:tc>
        <w:tc>
          <w:tcPr>
            <w:tcW w:w="3060" w:type="dxa"/>
            <w:vAlign w:val="center"/>
          </w:tcPr>
          <w:p w:rsidR="00DA400A" w:rsidRPr="001274B2" w:rsidRDefault="00DA400A" w:rsidP="00DA400A">
            <w:r w:rsidRPr="001274B2">
              <w:rPr>
                <w:noProof/>
              </w:rPr>
              <w:t>Public Health Nurse</w:t>
            </w:r>
          </w:p>
        </w:tc>
        <w:tc>
          <w:tcPr>
            <w:tcW w:w="1710" w:type="dxa"/>
            <w:vAlign w:val="center"/>
          </w:tcPr>
          <w:p w:rsidR="00DA400A" w:rsidRPr="001274B2" w:rsidRDefault="00DA400A" w:rsidP="00DA400A">
            <w:r w:rsidRPr="001274B2">
              <w:rPr>
                <w:noProof/>
              </w:rPr>
              <w:t>Greenfield</w:t>
            </w:r>
          </w:p>
        </w:tc>
      </w:tr>
      <w:tr w:rsidR="00DA400A" w:rsidRPr="001274B2" w:rsidTr="00DA400A">
        <w:trPr>
          <w:trHeight w:val="432"/>
        </w:trPr>
        <w:tc>
          <w:tcPr>
            <w:tcW w:w="2178" w:type="dxa"/>
            <w:vAlign w:val="center"/>
          </w:tcPr>
          <w:p w:rsidR="00DA400A" w:rsidRPr="001274B2" w:rsidRDefault="00DA400A" w:rsidP="00DA400A">
            <w:r w:rsidRPr="001274B2">
              <w:rPr>
                <w:noProof/>
              </w:rPr>
              <w:t>Desmarais</w:t>
            </w:r>
            <w:r w:rsidRPr="001274B2">
              <w:t xml:space="preserve">, </w:t>
            </w:r>
            <w:r w:rsidRPr="001274B2">
              <w:rPr>
                <w:noProof/>
              </w:rPr>
              <w:t>Lori</w:t>
            </w:r>
          </w:p>
        </w:tc>
        <w:tc>
          <w:tcPr>
            <w:tcW w:w="2970" w:type="dxa"/>
            <w:vAlign w:val="center"/>
          </w:tcPr>
          <w:p w:rsidR="00DA400A" w:rsidRPr="001274B2" w:rsidRDefault="00DA400A" w:rsidP="00DA400A">
            <w:r w:rsidRPr="001274B2">
              <w:rPr>
                <w:noProof/>
              </w:rPr>
              <w:t>Freetown/Lakeville</w:t>
            </w:r>
          </w:p>
        </w:tc>
        <w:tc>
          <w:tcPr>
            <w:tcW w:w="3060" w:type="dxa"/>
            <w:vAlign w:val="center"/>
          </w:tcPr>
          <w:p w:rsidR="00DA400A" w:rsidRPr="001274B2" w:rsidRDefault="00DA400A" w:rsidP="00DA400A">
            <w:r w:rsidRPr="001274B2">
              <w:rPr>
                <w:noProof/>
              </w:rPr>
              <w:t>Public Health Nurse</w:t>
            </w:r>
          </w:p>
        </w:tc>
        <w:tc>
          <w:tcPr>
            <w:tcW w:w="1710" w:type="dxa"/>
            <w:vAlign w:val="center"/>
          </w:tcPr>
          <w:p w:rsidR="00DA400A" w:rsidRPr="001274B2" w:rsidRDefault="00DA400A" w:rsidP="00DA400A">
            <w:r w:rsidRPr="001274B2">
              <w:rPr>
                <w:noProof/>
              </w:rPr>
              <w:t>Lakeville</w:t>
            </w:r>
          </w:p>
        </w:tc>
      </w:tr>
      <w:tr w:rsidR="00DA400A" w:rsidRPr="001274B2" w:rsidTr="00DA400A">
        <w:trPr>
          <w:trHeight w:val="432"/>
        </w:trPr>
        <w:tc>
          <w:tcPr>
            <w:tcW w:w="2178" w:type="dxa"/>
            <w:vAlign w:val="center"/>
          </w:tcPr>
          <w:p w:rsidR="00DA400A" w:rsidRPr="001274B2" w:rsidRDefault="00DA400A" w:rsidP="00DA400A">
            <w:r w:rsidRPr="001274B2">
              <w:rPr>
                <w:noProof/>
              </w:rPr>
              <w:t>Hall</w:t>
            </w:r>
            <w:r w:rsidRPr="001274B2">
              <w:t xml:space="preserve">, </w:t>
            </w:r>
            <w:r w:rsidRPr="001274B2">
              <w:rPr>
                <w:noProof/>
              </w:rPr>
              <w:t>Stacey</w:t>
            </w:r>
          </w:p>
        </w:tc>
        <w:tc>
          <w:tcPr>
            <w:tcW w:w="2970" w:type="dxa"/>
            <w:vAlign w:val="center"/>
          </w:tcPr>
          <w:p w:rsidR="00DA400A" w:rsidRPr="001274B2" w:rsidRDefault="00DA400A" w:rsidP="00DA400A">
            <w:r w:rsidRPr="001274B2">
              <w:rPr>
                <w:noProof/>
              </w:rPr>
              <w:t>Marion Board of Health</w:t>
            </w:r>
          </w:p>
        </w:tc>
        <w:tc>
          <w:tcPr>
            <w:tcW w:w="3060" w:type="dxa"/>
            <w:vAlign w:val="center"/>
          </w:tcPr>
          <w:p w:rsidR="00DA400A" w:rsidRPr="001274B2" w:rsidRDefault="00DA400A" w:rsidP="00DA400A">
            <w:r w:rsidRPr="001274B2">
              <w:rPr>
                <w:noProof/>
              </w:rPr>
              <w:t>Unkown</w:t>
            </w:r>
          </w:p>
        </w:tc>
        <w:tc>
          <w:tcPr>
            <w:tcW w:w="1710" w:type="dxa"/>
            <w:vAlign w:val="center"/>
          </w:tcPr>
          <w:p w:rsidR="00DA400A" w:rsidRPr="001274B2" w:rsidRDefault="00DA400A" w:rsidP="00DA400A">
            <w:r w:rsidRPr="001274B2">
              <w:rPr>
                <w:noProof/>
              </w:rPr>
              <w:t>Lakeville</w:t>
            </w:r>
          </w:p>
        </w:tc>
      </w:tr>
      <w:tr w:rsidR="00DA400A" w:rsidRPr="001274B2" w:rsidTr="00DA400A">
        <w:trPr>
          <w:trHeight w:val="432"/>
        </w:trPr>
        <w:tc>
          <w:tcPr>
            <w:tcW w:w="2178" w:type="dxa"/>
            <w:vAlign w:val="center"/>
          </w:tcPr>
          <w:p w:rsidR="00DA400A" w:rsidRPr="001274B2" w:rsidRDefault="00DA400A" w:rsidP="00DA400A">
            <w:r w:rsidRPr="001274B2">
              <w:rPr>
                <w:noProof/>
              </w:rPr>
              <w:t>Lebrun</w:t>
            </w:r>
            <w:r w:rsidRPr="001274B2">
              <w:t xml:space="preserve">, </w:t>
            </w:r>
            <w:r w:rsidRPr="001274B2">
              <w:rPr>
                <w:noProof/>
              </w:rPr>
              <w:t>Evelyn</w:t>
            </w:r>
          </w:p>
        </w:tc>
        <w:tc>
          <w:tcPr>
            <w:tcW w:w="2970" w:type="dxa"/>
            <w:vAlign w:val="center"/>
          </w:tcPr>
          <w:p w:rsidR="00DA400A" w:rsidRPr="001274B2" w:rsidRDefault="00DA400A" w:rsidP="00DA400A">
            <w:r w:rsidRPr="001274B2">
              <w:rPr>
                <w:noProof/>
              </w:rPr>
              <w:t>Brockton Board of Health</w:t>
            </w:r>
          </w:p>
        </w:tc>
        <w:tc>
          <w:tcPr>
            <w:tcW w:w="3060" w:type="dxa"/>
            <w:vAlign w:val="center"/>
          </w:tcPr>
          <w:p w:rsidR="00DA400A" w:rsidRPr="001274B2" w:rsidRDefault="00DA400A" w:rsidP="00DA400A">
            <w:r w:rsidRPr="001274B2">
              <w:rPr>
                <w:noProof/>
              </w:rPr>
              <w:t>Public Health Nurse</w:t>
            </w:r>
          </w:p>
        </w:tc>
        <w:tc>
          <w:tcPr>
            <w:tcW w:w="1710" w:type="dxa"/>
            <w:vAlign w:val="center"/>
          </w:tcPr>
          <w:p w:rsidR="00DA400A" w:rsidRPr="001274B2" w:rsidRDefault="00DA400A" w:rsidP="00DA400A">
            <w:r w:rsidRPr="001274B2">
              <w:rPr>
                <w:noProof/>
              </w:rPr>
              <w:t>Lakeville</w:t>
            </w:r>
          </w:p>
        </w:tc>
      </w:tr>
      <w:tr w:rsidR="00DA400A" w:rsidRPr="001274B2" w:rsidTr="00DA400A">
        <w:trPr>
          <w:trHeight w:val="432"/>
        </w:trPr>
        <w:tc>
          <w:tcPr>
            <w:tcW w:w="2178" w:type="dxa"/>
            <w:vAlign w:val="center"/>
          </w:tcPr>
          <w:p w:rsidR="00DA400A" w:rsidRPr="001274B2" w:rsidRDefault="00DA400A" w:rsidP="00DA400A">
            <w:r w:rsidRPr="001274B2">
              <w:rPr>
                <w:noProof/>
              </w:rPr>
              <w:t>Desmarais</w:t>
            </w:r>
            <w:r w:rsidRPr="001274B2">
              <w:t xml:space="preserve">, </w:t>
            </w:r>
            <w:r w:rsidRPr="001274B2">
              <w:rPr>
                <w:noProof/>
              </w:rPr>
              <w:t>Michelle</w:t>
            </w:r>
          </w:p>
        </w:tc>
        <w:tc>
          <w:tcPr>
            <w:tcW w:w="2970" w:type="dxa"/>
            <w:vAlign w:val="center"/>
          </w:tcPr>
          <w:p w:rsidR="00DA400A" w:rsidRPr="001274B2" w:rsidRDefault="00DA400A" w:rsidP="00DA400A">
            <w:r w:rsidRPr="001274B2">
              <w:rPr>
                <w:noProof/>
              </w:rPr>
              <w:t>Lynn Health Department</w:t>
            </w:r>
          </w:p>
        </w:tc>
        <w:tc>
          <w:tcPr>
            <w:tcW w:w="3060" w:type="dxa"/>
            <w:vAlign w:val="center"/>
          </w:tcPr>
          <w:p w:rsidR="00DA400A" w:rsidRPr="001274B2" w:rsidRDefault="00DA400A" w:rsidP="00DA400A">
            <w:r w:rsidRPr="001274B2">
              <w:rPr>
                <w:noProof/>
              </w:rPr>
              <w:t>Health Director</w:t>
            </w:r>
          </w:p>
        </w:tc>
        <w:tc>
          <w:tcPr>
            <w:tcW w:w="1710" w:type="dxa"/>
            <w:vAlign w:val="center"/>
          </w:tcPr>
          <w:p w:rsidR="00DA400A" w:rsidRPr="001274B2" w:rsidRDefault="00DA400A" w:rsidP="00DA400A">
            <w:r w:rsidRPr="001274B2">
              <w:rPr>
                <w:noProof/>
              </w:rPr>
              <w:t>Peabody</w:t>
            </w:r>
          </w:p>
        </w:tc>
      </w:tr>
      <w:tr w:rsidR="00DA400A" w:rsidRPr="001274B2" w:rsidTr="00DA400A">
        <w:trPr>
          <w:trHeight w:val="432"/>
        </w:trPr>
        <w:tc>
          <w:tcPr>
            <w:tcW w:w="2178" w:type="dxa"/>
            <w:vAlign w:val="center"/>
          </w:tcPr>
          <w:p w:rsidR="00DA400A" w:rsidRPr="001274B2" w:rsidRDefault="00DA400A" w:rsidP="00DA400A">
            <w:r w:rsidRPr="001274B2">
              <w:rPr>
                <w:noProof/>
              </w:rPr>
              <w:t>Greenbaum</w:t>
            </w:r>
            <w:r w:rsidRPr="001274B2">
              <w:t xml:space="preserve">, </w:t>
            </w:r>
            <w:r w:rsidRPr="001274B2">
              <w:rPr>
                <w:noProof/>
              </w:rPr>
              <w:t>Dave</w:t>
            </w:r>
          </w:p>
        </w:tc>
        <w:tc>
          <w:tcPr>
            <w:tcW w:w="2970" w:type="dxa"/>
            <w:vAlign w:val="center"/>
          </w:tcPr>
          <w:p w:rsidR="00DA400A" w:rsidRPr="001274B2" w:rsidRDefault="00DA400A" w:rsidP="00DA400A">
            <w:r w:rsidRPr="001274B2">
              <w:rPr>
                <w:noProof/>
              </w:rPr>
              <w:t>Saugus Health Department</w:t>
            </w:r>
          </w:p>
        </w:tc>
        <w:tc>
          <w:tcPr>
            <w:tcW w:w="3060" w:type="dxa"/>
            <w:vAlign w:val="center"/>
          </w:tcPr>
          <w:p w:rsidR="00DA400A" w:rsidRPr="001274B2" w:rsidRDefault="00DA400A" w:rsidP="00DA400A">
            <w:r w:rsidRPr="001274B2">
              <w:rPr>
                <w:noProof/>
              </w:rPr>
              <w:t>Health Director</w:t>
            </w:r>
          </w:p>
        </w:tc>
        <w:tc>
          <w:tcPr>
            <w:tcW w:w="1710" w:type="dxa"/>
            <w:vAlign w:val="center"/>
          </w:tcPr>
          <w:p w:rsidR="00DA400A" w:rsidRPr="001274B2" w:rsidRDefault="00DA400A" w:rsidP="00DA400A">
            <w:r w:rsidRPr="001274B2">
              <w:rPr>
                <w:noProof/>
              </w:rPr>
              <w:t>Peabody</w:t>
            </w:r>
          </w:p>
        </w:tc>
      </w:tr>
      <w:tr w:rsidR="00DA400A" w:rsidRPr="001274B2" w:rsidTr="00DA400A">
        <w:trPr>
          <w:trHeight w:val="432"/>
        </w:trPr>
        <w:tc>
          <w:tcPr>
            <w:tcW w:w="2178" w:type="dxa"/>
            <w:vAlign w:val="center"/>
          </w:tcPr>
          <w:p w:rsidR="00DA400A" w:rsidRPr="001274B2" w:rsidRDefault="00DA400A" w:rsidP="00DA400A">
            <w:r w:rsidRPr="001274B2">
              <w:rPr>
                <w:noProof/>
              </w:rPr>
              <w:lastRenderedPageBreak/>
              <w:t>Kaufman</w:t>
            </w:r>
            <w:r w:rsidRPr="001274B2">
              <w:t xml:space="preserve">, </w:t>
            </w:r>
            <w:r w:rsidRPr="001274B2">
              <w:rPr>
                <w:noProof/>
              </w:rPr>
              <w:t>Barbara</w:t>
            </w:r>
          </w:p>
        </w:tc>
        <w:tc>
          <w:tcPr>
            <w:tcW w:w="2970" w:type="dxa"/>
            <w:vAlign w:val="center"/>
          </w:tcPr>
          <w:p w:rsidR="00DA400A" w:rsidRPr="001274B2" w:rsidRDefault="00DA400A" w:rsidP="00DA400A">
            <w:r w:rsidRPr="001274B2">
              <w:rPr>
                <w:noProof/>
              </w:rPr>
              <w:t>Melrose-Wakefield Healthcare</w:t>
            </w:r>
          </w:p>
        </w:tc>
        <w:tc>
          <w:tcPr>
            <w:tcW w:w="3060" w:type="dxa"/>
            <w:vAlign w:val="center"/>
          </w:tcPr>
          <w:p w:rsidR="00DA400A" w:rsidRPr="001274B2" w:rsidRDefault="00DA400A" w:rsidP="00DA400A">
            <w:r w:rsidRPr="001274B2">
              <w:rPr>
                <w:noProof/>
              </w:rPr>
              <w:t>Health Care</w:t>
            </w:r>
          </w:p>
        </w:tc>
        <w:tc>
          <w:tcPr>
            <w:tcW w:w="1710" w:type="dxa"/>
            <w:vAlign w:val="center"/>
          </w:tcPr>
          <w:p w:rsidR="00DA400A" w:rsidRPr="001274B2" w:rsidRDefault="00DA400A" w:rsidP="00DA400A">
            <w:r w:rsidRPr="001274B2">
              <w:rPr>
                <w:noProof/>
              </w:rPr>
              <w:t>Peabody</w:t>
            </w:r>
          </w:p>
        </w:tc>
      </w:tr>
      <w:tr w:rsidR="00DA400A" w:rsidRPr="001274B2" w:rsidTr="00DA400A">
        <w:trPr>
          <w:trHeight w:val="432"/>
        </w:trPr>
        <w:tc>
          <w:tcPr>
            <w:tcW w:w="2178" w:type="dxa"/>
            <w:vAlign w:val="center"/>
          </w:tcPr>
          <w:p w:rsidR="00DA400A" w:rsidRPr="001274B2" w:rsidRDefault="00DA400A" w:rsidP="00DA400A">
            <w:r w:rsidRPr="001274B2">
              <w:rPr>
                <w:noProof/>
              </w:rPr>
              <w:t>Mello</w:t>
            </w:r>
            <w:r w:rsidRPr="001274B2">
              <w:t xml:space="preserve">, </w:t>
            </w:r>
            <w:r w:rsidRPr="001274B2">
              <w:rPr>
                <w:noProof/>
              </w:rPr>
              <w:t>Traci</w:t>
            </w:r>
          </w:p>
        </w:tc>
        <w:tc>
          <w:tcPr>
            <w:tcW w:w="2970" w:type="dxa"/>
            <w:vAlign w:val="center"/>
          </w:tcPr>
          <w:p w:rsidR="00DA400A" w:rsidRPr="001274B2" w:rsidRDefault="00DA400A" w:rsidP="00DA400A">
            <w:r w:rsidRPr="001274B2">
              <w:rPr>
                <w:noProof/>
              </w:rPr>
              <w:t>Wilmington/ Middleton BOH</w:t>
            </w:r>
          </w:p>
        </w:tc>
        <w:tc>
          <w:tcPr>
            <w:tcW w:w="3060" w:type="dxa"/>
            <w:vAlign w:val="center"/>
          </w:tcPr>
          <w:p w:rsidR="00DA400A" w:rsidRPr="001274B2" w:rsidRDefault="00DA400A" w:rsidP="00DA400A">
            <w:r w:rsidRPr="001274B2">
              <w:rPr>
                <w:noProof/>
              </w:rPr>
              <w:t>Public Health Nurse</w:t>
            </w:r>
          </w:p>
        </w:tc>
        <w:tc>
          <w:tcPr>
            <w:tcW w:w="1710" w:type="dxa"/>
            <w:vAlign w:val="center"/>
          </w:tcPr>
          <w:p w:rsidR="00DA400A" w:rsidRPr="001274B2" w:rsidRDefault="00DA400A" w:rsidP="00DA400A">
            <w:r w:rsidRPr="001274B2">
              <w:rPr>
                <w:noProof/>
              </w:rPr>
              <w:t>Peabody</w:t>
            </w:r>
          </w:p>
        </w:tc>
      </w:tr>
      <w:tr w:rsidR="00DA400A" w:rsidRPr="001274B2" w:rsidTr="00DA400A">
        <w:trPr>
          <w:trHeight w:val="432"/>
        </w:trPr>
        <w:tc>
          <w:tcPr>
            <w:tcW w:w="2178" w:type="dxa"/>
            <w:vAlign w:val="center"/>
          </w:tcPr>
          <w:p w:rsidR="00DA400A" w:rsidRPr="001274B2" w:rsidRDefault="00DA400A" w:rsidP="00DA400A">
            <w:r w:rsidRPr="001274B2">
              <w:rPr>
                <w:noProof/>
              </w:rPr>
              <w:t>Waller</w:t>
            </w:r>
            <w:r w:rsidRPr="001274B2">
              <w:t xml:space="preserve">, </w:t>
            </w:r>
            <w:r w:rsidRPr="001274B2">
              <w:rPr>
                <w:noProof/>
              </w:rPr>
              <w:t>Kim</w:t>
            </w:r>
          </w:p>
        </w:tc>
        <w:tc>
          <w:tcPr>
            <w:tcW w:w="2970" w:type="dxa"/>
            <w:vAlign w:val="center"/>
          </w:tcPr>
          <w:p w:rsidR="00DA400A" w:rsidRPr="001274B2" w:rsidRDefault="00DA400A" w:rsidP="00DA400A">
            <w:r w:rsidRPr="001274B2">
              <w:rPr>
                <w:noProof/>
              </w:rPr>
              <w:t>Salem</w:t>
            </w:r>
          </w:p>
        </w:tc>
        <w:tc>
          <w:tcPr>
            <w:tcW w:w="3060" w:type="dxa"/>
            <w:vAlign w:val="center"/>
          </w:tcPr>
          <w:p w:rsidR="00DA400A" w:rsidRPr="001274B2" w:rsidRDefault="00DA400A" w:rsidP="00DA400A">
            <w:r w:rsidRPr="001274B2">
              <w:rPr>
                <w:noProof/>
              </w:rPr>
              <w:t>Academic Institution</w:t>
            </w:r>
          </w:p>
        </w:tc>
        <w:tc>
          <w:tcPr>
            <w:tcW w:w="1710" w:type="dxa"/>
            <w:vAlign w:val="center"/>
          </w:tcPr>
          <w:p w:rsidR="00DA400A" w:rsidRPr="001274B2" w:rsidRDefault="00DA400A" w:rsidP="00DA400A">
            <w:r w:rsidRPr="001274B2">
              <w:rPr>
                <w:noProof/>
              </w:rPr>
              <w:t>Peabody</w:t>
            </w:r>
          </w:p>
        </w:tc>
      </w:tr>
      <w:tr w:rsidR="00DA400A" w:rsidRPr="001274B2" w:rsidTr="00DA400A">
        <w:trPr>
          <w:trHeight w:val="432"/>
        </w:trPr>
        <w:tc>
          <w:tcPr>
            <w:tcW w:w="2178" w:type="dxa"/>
            <w:vAlign w:val="center"/>
          </w:tcPr>
          <w:p w:rsidR="00DA400A" w:rsidRPr="001274B2" w:rsidRDefault="00DA400A" w:rsidP="00DA400A">
            <w:r w:rsidRPr="001274B2">
              <w:rPr>
                <w:noProof/>
              </w:rPr>
              <w:t>Younger</w:t>
            </w:r>
            <w:r w:rsidRPr="001274B2">
              <w:t xml:space="preserve">, </w:t>
            </w:r>
            <w:r w:rsidRPr="001274B2">
              <w:rPr>
                <w:noProof/>
              </w:rPr>
              <w:t>Tom</w:t>
            </w:r>
          </w:p>
        </w:tc>
        <w:tc>
          <w:tcPr>
            <w:tcW w:w="2970" w:type="dxa"/>
            <w:vAlign w:val="center"/>
          </w:tcPr>
          <w:p w:rsidR="00DA400A" w:rsidRPr="001274B2" w:rsidRDefault="00DA400A" w:rsidP="00DA400A">
            <w:r w:rsidRPr="001274B2">
              <w:rPr>
                <w:noProof/>
              </w:rPr>
              <w:t>Stoneham</w:t>
            </w:r>
          </w:p>
        </w:tc>
        <w:tc>
          <w:tcPr>
            <w:tcW w:w="3060" w:type="dxa"/>
            <w:vAlign w:val="center"/>
          </w:tcPr>
          <w:p w:rsidR="00DA400A" w:rsidRPr="001274B2" w:rsidRDefault="00DA400A" w:rsidP="00DA400A">
            <w:r w:rsidRPr="001274B2">
              <w:rPr>
                <w:noProof/>
              </w:rPr>
              <w:t>Town Adminstrator</w:t>
            </w:r>
          </w:p>
        </w:tc>
        <w:tc>
          <w:tcPr>
            <w:tcW w:w="1710" w:type="dxa"/>
            <w:vAlign w:val="center"/>
          </w:tcPr>
          <w:p w:rsidR="00DA400A" w:rsidRPr="001274B2" w:rsidRDefault="00DA400A" w:rsidP="00DA400A">
            <w:r w:rsidRPr="001274B2">
              <w:rPr>
                <w:noProof/>
              </w:rPr>
              <w:t>Peabody</w:t>
            </w:r>
          </w:p>
        </w:tc>
      </w:tr>
      <w:tr w:rsidR="00DA400A" w:rsidRPr="001274B2" w:rsidTr="00DA400A">
        <w:trPr>
          <w:trHeight w:val="432"/>
        </w:trPr>
        <w:tc>
          <w:tcPr>
            <w:tcW w:w="2178" w:type="dxa"/>
            <w:vAlign w:val="center"/>
          </w:tcPr>
          <w:p w:rsidR="00DA400A" w:rsidRPr="001274B2" w:rsidRDefault="00DA400A" w:rsidP="00DA400A">
            <w:r w:rsidRPr="001274B2">
              <w:rPr>
                <w:noProof/>
              </w:rPr>
              <w:t>Murphy</w:t>
            </w:r>
            <w:r w:rsidRPr="001274B2">
              <w:t xml:space="preserve">, </w:t>
            </w:r>
            <w:r w:rsidRPr="001274B2">
              <w:rPr>
                <w:noProof/>
              </w:rPr>
              <w:t>Jennifer</w:t>
            </w:r>
          </w:p>
        </w:tc>
        <w:tc>
          <w:tcPr>
            <w:tcW w:w="2970" w:type="dxa"/>
            <w:vAlign w:val="center"/>
          </w:tcPr>
          <w:p w:rsidR="00DA400A" w:rsidRPr="001274B2" w:rsidRDefault="00DA400A" w:rsidP="00DA400A">
            <w:r w:rsidRPr="001274B2">
              <w:rPr>
                <w:noProof/>
              </w:rPr>
              <w:t>Winchester Health  Dept.</w:t>
            </w:r>
          </w:p>
        </w:tc>
        <w:tc>
          <w:tcPr>
            <w:tcW w:w="3060" w:type="dxa"/>
            <w:vAlign w:val="center"/>
          </w:tcPr>
          <w:p w:rsidR="00DA400A" w:rsidRPr="001274B2" w:rsidRDefault="00DA400A" w:rsidP="00DA400A">
            <w:r w:rsidRPr="001274B2">
              <w:rPr>
                <w:noProof/>
              </w:rPr>
              <w:t>Health Director</w:t>
            </w:r>
          </w:p>
        </w:tc>
        <w:tc>
          <w:tcPr>
            <w:tcW w:w="1710" w:type="dxa"/>
            <w:vAlign w:val="center"/>
          </w:tcPr>
          <w:p w:rsidR="00DA400A" w:rsidRPr="001274B2" w:rsidRDefault="00DA400A" w:rsidP="00DA400A">
            <w:r w:rsidRPr="001274B2">
              <w:rPr>
                <w:noProof/>
              </w:rPr>
              <w:t>Waltham</w:t>
            </w:r>
          </w:p>
        </w:tc>
      </w:tr>
      <w:tr w:rsidR="00DA400A" w:rsidRPr="001274B2" w:rsidTr="00DA400A">
        <w:trPr>
          <w:trHeight w:val="432"/>
        </w:trPr>
        <w:tc>
          <w:tcPr>
            <w:tcW w:w="2178" w:type="dxa"/>
            <w:vAlign w:val="center"/>
          </w:tcPr>
          <w:p w:rsidR="00DA400A" w:rsidRPr="001274B2" w:rsidRDefault="00DA400A" w:rsidP="00DA400A">
            <w:r w:rsidRPr="001274B2">
              <w:rPr>
                <w:noProof/>
              </w:rPr>
              <w:t>Anglin</w:t>
            </w:r>
            <w:r w:rsidRPr="001274B2">
              <w:t xml:space="preserve">, </w:t>
            </w:r>
            <w:r w:rsidRPr="001274B2">
              <w:rPr>
                <w:noProof/>
              </w:rPr>
              <w:t>Najheen</w:t>
            </w:r>
          </w:p>
        </w:tc>
        <w:tc>
          <w:tcPr>
            <w:tcW w:w="2970" w:type="dxa"/>
            <w:vAlign w:val="center"/>
          </w:tcPr>
          <w:p w:rsidR="00DA400A" w:rsidRPr="001274B2" w:rsidRDefault="00DA400A" w:rsidP="00DA400A">
            <w:r w:rsidRPr="001274B2">
              <w:rPr>
                <w:noProof/>
              </w:rPr>
              <w:t>Longmeadow Board of Health</w:t>
            </w:r>
          </w:p>
        </w:tc>
        <w:tc>
          <w:tcPr>
            <w:tcW w:w="3060" w:type="dxa"/>
            <w:vAlign w:val="center"/>
          </w:tcPr>
          <w:p w:rsidR="00DA400A" w:rsidRPr="001274B2" w:rsidRDefault="00DA400A" w:rsidP="00DA400A">
            <w:r w:rsidRPr="001274B2">
              <w:rPr>
                <w:noProof/>
              </w:rPr>
              <w:t>Student</w:t>
            </w:r>
          </w:p>
        </w:tc>
        <w:tc>
          <w:tcPr>
            <w:tcW w:w="1710" w:type="dxa"/>
            <w:vAlign w:val="center"/>
          </w:tcPr>
          <w:p w:rsidR="00DA400A" w:rsidRPr="001274B2" w:rsidRDefault="00DA400A" w:rsidP="00DA400A">
            <w:r w:rsidRPr="001274B2">
              <w:rPr>
                <w:noProof/>
              </w:rPr>
              <w:t>Westborough</w:t>
            </w:r>
          </w:p>
        </w:tc>
      </w:tr>
      <w:tr w:rsidR="00DA400A" w:rsidRPr="001274B2" w:rsidTr="00DA400A">
        <w:trPr>
          <w:trHeight w:val="432"/>
        </w:trPr>
        <w:tc>
          <w:tcPr>
            <w:tcW w:w="2178" w:type="dxa"/>
            <w:vAlign w:val="center"/>
          </w:tcPr>
          <w:p w:rsidR="00DA400A" w:rsidRPr="001274B2" w:rsidRDefault="00DA400A" w:rsidP="00DA400A">
            <w:r w:rsidRPr="001274B2">
              <w:rPr>
                <w:noProof/>
              </w:rPr>
              <w:t>Baccari</w:t>
            </w:r>
            <w:r w:rsidRPr="001274B2">
              <w:t xml:space="preserve">, </w:t>
            </w:r>
            <w:r w:rsidRPr="001274B2">
              <w:rPr>
                <w:noProof/>
              </w:rPr>
              <w:t>Steven</w:t>
            </w:r>
          </w:p>
        </w:tc>
        <w:tc>
          <w:tcPr>
            <w:tcW w:w="2970" w:type="dxa"/>
            <w:vAlign w:val="center"/>
          </w:tcPr>
          <w:p w:rsidR="00DA400A" w:rsidRPr="001274B2" w:rsidRDefault="00DA400A" w:rsidP="00DA400A">
            <w:r w:rsidRPr="001274B2">
              <w:rPr>
                <w:noProof/>
              </w:rPr>
              <w:t>Westboro Board of Health</w:t>
            </w:r>
          </w:p>
        </w:tc>
        <w:tc>
          <w:tcPr>
            <w:tcW w:w="3060" w:type="dxa"/>
            <w:vAlign w:val="center"/>
          </w:tcPr>
          <w:p w:rsidR="00DA400A" w:rsidRPr="001274B2" w:rsidRDefault="00DA400A" w:rsidP="00DA400A">
            <w:r w:rsidRPr="001274B2">
              <w:rPr>
                <w:noProof/>
              </w:rPr>
              <w:t>Health Director</w:t>
            </w:r>
          </w:p>
        </w:tc>
        <w:tc>
          <w:tcPr>
            <w:tcW w:w="1710" w:type="dxa"/>
            <w:vAlign w:val="center"/>
          </w:tcPr>
          <w:p w:rsidR="00DA400A" w:rsidRPr="001274B2" w:rsidRDefault="00DA400A" w:rsidP="00DA400A">
            <w:r w:rsidRPr="001274B2">
              <w:rPr>
                <w:noProof/>
              </w:rPr>
              <w:t>Westborough</w:t>
            </w:r>
          </w:p>
        </w:tc>
      </w:tr>
      <w:tr w:rsidR="00DA400A" w:rsidRPr="001274B2" w:rsidTr="00DA400A">
        <w:trPr>
          <w:trHeight w:val="432"/>
        </w:trPr>
        <w:tc>
          <w:tcPr>
            <w:tcW w:w="2178" w:type="dxa"/>
            <w:vAlign w:val="center"/>
          </w:tcPr>
          <w:p w:rsidR="00DA400A" w:rsidRPr="001274B2" w:rsidRDefault="00DA400A" w:rsidP="00DA400A">
            <w:r w:rsidRPr="001274B2">
              <w:rPr>
                <w:noProof/>
              </w:rPr>
              <w:t>Auer</w:t>
            </w:r>
            <w:r w:rsidRPr="001274B2">
              <w:t xml:space="preserve">, </w:t>
            </w:r>
            <w:r w:rsidRPr="001274B2">
              <w:rPr>
                <w:noProof/>
              </w:rPr>
              <w:t>Kathleen</w:t>
            </w:r>
          </w:p>
        </w:tc>
        <w:tc>
          <w:tcPr>
            <w:tcW w:w="2970" w:type="dxa"/>
            <w:vAlign w:val="center"/>
          </w:tcPr>
          <w:p w:rsidR="00DA400A" w:rsidRPr="001274B2" w:rsidRDefault="00DA400A" w:rsidP="00DA400A">
            <w:r w:rsidRPr="001274B2">
              <w:rPr>
                <w:noProof/>
              </w:rPr>
              <w:t>Agawam Health Department</w:t>
            </w:r>
          </w:p>
        </w:tc>
        <w:tc>
          <w:tcPr>
            <w:tcW w:w="3060" w:type="dxa"/>
            <w:vAlign w:val="center"/>
          </w:tcPr>
          <w:p w:rsidR="00DA400A" w:rsidRPr="001274B2" w:rsidRDefault="00DA400A" w:rsidP="00DA400A">
            <w:r w:rsidRPr="001274B2">
              <w:rPr>
                <w:noProof/>
              </w:rPr>
              <w:t>Health Agent</w:t>
            </w:r>
          </w:p>
        </w:tc>
        <w:tc>
          <w:tcPr>
            <w:tcW w:w="1710" w:type="dxa"/>
            <w:vAlign w:val="center"/>
          </w:tcPr>
          <w:p w:rsidR="00DA400A" w:rsidRPr="001274B2" w:rsidRDefault="00DA400A" w:rsidP="00DA400A">
            <w:r w:rsidRPr="001274B2">
              <w:rPr>
                <w:noProof/>
              </w:rPr>
              <w:t>Westfield</w:t>
            </w:r>
          </w:p>
        </w:tc>
      </w:tr>
      <w:tr w:rsidR="00DA400A" w:rsidRPr="001274B2" w:rsidTr="00DA400A">
        <w:trPr>
          <w:trHeight w:val="432"/>
        </w:trPr>
        <w:tc>
          <w:tcPr>
            <w:tcW w:w="2178" w:type="dxa"/>
            <w:vAlign w:val="center"/>
          </w:tcPr>
          <w:p w:rsidR="00DA400A" w:rsidRPr="001274B2" w:rsidRDefault="00DA400A" w:rsidP="00DA400A">
            <w:r w:rsidRPr="001274B2">
              <w:rPr>
                <w:noProof/>
              </w:rPr>
              <w:t>Laverty</w:t>
            </w:r>
            <w:r w:rsidRPr="001274B2">
              <w:t xml:space="preserve">, </w:t>
            </w:r>
            <w:r w:rsidRPr="001274B2">
              <w:rPr>
                <w:noProof/>
              </w:rPr>
              <w:t>Cassandra</w:t>
            </w:r>
          </w:p>
        </w:tc>
        <w:tc>
          <w:tcPr>
            <w:tcW w:w="2970" w:type="dxa"/>
            <w:vAlign w:val="center"/>
          </w:tcPr>
          <w:p w:rsidR="00DA400A" w:rsidRPr="001274B2" w:rsidRDefault="00DA400A" w:rsidP="00DA400A">
            <w:r w:rsidRPr="001274B2">
              <w:rPr>
                <w:noProof/>
              </w:rPr>
              <w:t>Westfield Health Department</w:t>
            </w:r>
          </w:p>
        </w:tc>
        <w:tc>
          <w:tcPr>
            <w:tcW w:w="3060" w:type="dxa"/>
            <w:vAlign w:val="center"/>
          </w:tcPr>
          <w:p w:rsidR="00DA400A" w:rsidRPr="001274B2" w:rsidRDefault="00DA400A" w:rsidP="00DA400A">
            <w:r w:rsidRPr="001274B2">
              <w:rPr>
                <w:noProof/>
              </w:rPr>
              <w:t>Public Health Nurse</w:t>
            </w:r>
          </w:p>
        </w:tc>
        <w:tc>
          <w:tcPr>
            <w:tcW w:w="1710" w:type="dxa"/>
            <w:vAlign w:val="center"/>
          </w:tcPr>
          <w:p w:rsidR="00DA400A" w:rsidRPr="001274B2" w:rsidRDefault="00DA400A" w:rsidP="00DA400A">
            <w:r w:rsidRPr="001274B2">
              <w:rPr>
                <w:noProof/>
              </w:rPr>
              <w:t>Westfield</w:t>
            </w:r>
          </w:p>
        </w:tc>
      </w:tr>
    </w:tbl>
    <w:p w:rsidR="00DA400A" w:rsidRPr="001274B2" w:rsidRDefault="00DA400A" w:rsidP="00DA400A">
      <w:pPr>
        <w:pStyle w:val="paragraph"/>
        <w:textAlignment w:val="baseline"/>
        <w:rPr>
          <w:rFonts w:asciiTheme="minorHAnsi" w:hAnsiTheme="minorHAnsi"/>
        </w:rPr>
      </w:pPr>
    </w:p>
    <w:p w:rsidR="00DA400A" w:rsidRDefault="00DA400A" w:rsidP="00DA400A">
      <w:pPr>
        <w:rPr>
          <w:sz w:val="24"/>
          <w:szCs w:val="24"/>
        </w:rPr>
      </w:pPr>
      <w:r>
        <w:rPr>
          <w:sz w:val="24"/>
          <w:szCs w:val="24"/>
        </w:rPr>
        <w:br w:type="page"/>
      </w:r>
    </w:p>
    <w:p w:rsidR="00DA400A" w:rsidRDefault="00DA400A" w:rsidP="00DA400A">
      <w:pPr>
        <w:pStyle w:val="NoSpacing"/>
        <w:jc w:val="center"/>
        <w:rPr>
          <w:b/>
          <w:smallCaps/>
          <w:sz w:val="24"/>
          <w:szCs w:val="24"/>
        </w:rPr>
      </w:pPr>
      <w:r>
        <w:rPr>
          <w:b/>
          <w:smallCaps/>
          <w:sz w:val="24"/>
          <w:szCs w:val="24"/>
        </w:rPr>
        <w:lastRenderedPageBreak/>
        <w:t>Attachment C</w:t>
      </w:r>
    </w:p>
    <w:p w:rsidR="00DA400A" w:rsidRDefault="00DA400A" w:rsidP="00DA400A">
      <w:pPr>
        <w:pStyle w:val="NoSpacing"/>
        <w:jc w:val="center"/>
        <w:rPr>
          <w:b/>
          <w:smallCaps/>
          <w:sz w:val="24"/>
          <w:szCs w:val="24"/>
        </w:rPr>
      </w:pPr>
    </w:p>
    <w:tbl>
      <w:tblPr>
        <w:tblStyle w:val="TableGrid"/>
        <w:tblW w:w="0" w:type="auto"/>
        <w:tblInd w:w="450" w:type="dxa"/>
        <w:tblLook w:val="04A0" w:firstRow="1" w:lastRow="0" w:firstColumn="1" w:lastColumn="0" w:noHBand="0" w:noVBand="1"/>
      </w:tblPr>
      <w:tblGrid>
        <w:gridCol w:w="1998"/>
        <w:gridCol w:w="2430"/>
        <w:gridCol w:w="2070"/>
        <w:gridCol w:w="1980"/>
      </w:tblGrid>
      <w:tr w:rsidR="00DA400A" w:rsidTr="00DA400A">
        <w:trPr>
          <w:trHeight w:val="611"/>
        </w:trPr>
        <w:tc>
          <w:tcPr>
            <w:tcW w:w="8478" w:type="dxa"/>
            <w:gridSpan w:val="4"/>
            <w:shd w:val="clear" w:color="auto" w:fill="92CDDC" w:themeFill="accent5" w:themeFillTint="99"/>
            <w:vAlign w:val="center"/>
          </w:tcPr>
          <w:p w:rsidR="00DA400A" w:rsidRPr="00DA400A" w:rsidRDefault="00DA400A" w:rsidP="00DA400A">
            <w:pPr>
              <w:pStyle w:val="NoSpacing"/>
              <w:jc w:val="center"/>
              <w:rPr>
                <w:b/>
                <w:sz w:val="28"/>
                <w:szCs w:val="24"/>
              </w:rPr>
            </w:pPr>
            <w:r w:rsidRPr="00DA400A">
              <w:rPr>
                <w:b/>
                <w:sz w:val="28"/>
                <w:szCs w:val="24"/>
              </w:rPr>
              <w:t>Geographic Distribution of Comments on Status Report</w:t>
            </w:r>
          </w:p>
        </w:tc>
      </w:tr>
      <w:tr w:rsidR="00DA400A" w:rsidTr="00620D52">
        <w:trPr>
          <w:trHeight w:val="890"/>
        </w:trPr>
        <w:tc>
          <w:tcPr>
            <w:tcW w:w="1998" w:type="dxa"/>
            <w:vAlign w:val="center"/>
          </w:tcPr>
          <w:p w:rsidR="00DA400A" w:rsidRPr="00DA400A" w:rsidRDefault="00DA400A" w:rsidP="00620D52">
            <w:pPr>
              <w:autoSpaceDE w:val="0"/>
              <w:autoSpaceDN w:val="0"/>
              <w:adjustRightInd w:val="0"/>
              <w:jc w:val="center"/>
              <w:rPr>
                <w:b/>
                <w:sz w:val="24"/>
                <w:szCs w:val="24"/>
              </w:rPr>
            </w:pPr>
            <w:r w:rsidRPr="00DA400A">
              <w:rPr>
                <w:b/>
                <w:sz w:val="24"/>
                <w:szCs w:val="24"/>
              </w:rPr>
              <w:t>Region</w:t>
            </w:r>
          </w:p>
        </w:tc>
        <w:tc>
          <w:tcPr>
            <w:tcW w:w="2430" w:type="dxa"/>
            <w:vAlign w:val="center"/>
          </w:tcPr>
          <w:p w:rsidR="00DA400A" w:rsidRPr="00DA400A" w:rsidRDefault="00DA400A" w:rsidP="00620D52">
            <w:pPr>
              <w:autoSpaceDE w:val="0"/>
              <w:autoSpaceDN w:val="0"/>
              <w:adjustRightInd w:val="0"/>
              <w:jc w:val="center"/>
              <w:rPr>
                <w:b/>
                <w:sz w:val="24"/>
                <w:szCs w:val="24"/>
              </w:rPr>
            </w:pPr>
            <w:r w:rsidRPr="00DA400A">
              <w:rPr>
                <w:b/>
                <w:sz w:val="24"/>
                <w:szCs w:val="24"/>
              </w:rPr>
              <w:t>Listening Session Comments</w:t>
            </w:r>
          </w:p>
        </w:tc>
        <w:tc>
          <w:tcPr>
            <w:tcW w:w="2070" w:type="dxa"/>
            <w:vAlign w:val="center"/>
          </w:tcPr>
          <w:p w:rsidR="00DA400A" w:rsidRPr="00DA400A" w:rsidRDefault="00DA400A" w:rsidP="00620D52">
            <w:pPr>
              <w:autoSpaceDE w:val="0"/>
              <w:autoSpaceDN w:val="0"/>
              <w:adjustRightInd w:val="0"/>
              <w:jc w:val="center"/>
              <w:rPr>
                <w:b/>
                <w:sz w:val="24"/>
                <w:szCs w:val="24"/>
              </w:rPr>
            </w:pPr>
            <w:r w:rsidRPr="00DA400A">
              <w:rPr>
                <w:b/>
                <w:sz w:val="24"/>
                <w:szCs w:val="24"/>
              </w:rPr>
              <w:t>Written Comments</w:t>
            </w:r>
          </w:p>
        </w:tc>
        <w:tc>
          <w:tcPr>
            <w:tcW w:w="1980" w:type="dxa"/>
            <w:vAlign w:val="center"/>
          </w:tcPr>
          <w:p w:rsidR="00DA400A" w:rsidRPr="00DA400A" w:rsidRDefault="00DA400A" w:rsidP="00620D52">
            <w:pPr>
              <w:autoSpaceDE w:val="0"/>
              <w:autoSpaceDN w:val="0"/>
              <w:adjustRightInd w:val="0"/>
              <w:jc w:val="center"/>
              <w:rPr>
                <w:b/>
                <w:sz w:val="24"/>
                <w:szCs w:val="24"/>
              </w:rPr>
            </w:pPr>
            <w:r w:rsidRPr="00DA400A">
              <w:rPr>
                <w:b/>
                <w:sz w:val="24"/>
                <w:szCs w:val="24"/>
              </w:rPr>
              <w:t>Total</w:t>
            </w:r>
          </w:p>
        </w:tc>
      </w:tr>
      <w:tr w:rsidR="00DA400A" w:rsidTr="00DA400A">
        <w:trPr>
          <w:trHeight w:val="576"/>
        </w:trPr>
        <w:tc>
          <w:tcPr>
            <w:tcW w:w="1998" w:type="dxa"/>
            <w:vAlign w:val="center"/>
          </w:tcPr>
          <w:p w:rsidR="00DA400A" w:rsidRDefault="00DA400A" w:rsidP="00DA400A">
            <w:pPr>
              <w:autoSpaceDE w:val="0"/>
              <w:autoSpaceDN w:val="0"/>
              <w:adjustRightInd w:val="0"/>
              <w:rPr>
                <w:sz w:val="24"/>
                <w:szCs w:val="24"/>
              </w:rPr>
            </w:pPr>
            <w:r>
              <w:rPr>
                <w:sz w:val="24"/>
                <w:szCs w:val="24"/>
              </w:rPr>
              <w:t>West</w:t>
            </w:r>
          </w:p>
        </w:tc>
        <w:tc>
          <w:tcPr>
            <w:tcW w:w="2430" w:type="dxa"/>
            <w:vAlign w:val="center"/>
          </w:tcPr>
          <w:p w:rsidR="00DA400A" w:rsidRDefault="00DA400A" w:rsidP="00DA400A">
            <w:pPr>
              <w:autoSpaceDE w:val="0"/>
              <w:autoSpaceDN w:val="0"/>
              <w:adjustRightInd w:val="0"/>
              <w:jc w:val="center"/>
              <w:rPr>
                <w:sz w:val="24"/>
                <w:szCs w:val="24"/>
              </w:rPr>
            </w:pPr>
            <w:r>
              <w:rPr>
                <w:sz w:val="24"/>
                <w:szCs w:val="24"/>
              </w:rPr>
              <w:t>12</w:t>
            </w:r>
          </w:p>
        </w:tc>
        <w:tc>
          <w:tcPr>
            <w:tcW w:w="2070" w:type="dxa"/>
            <w:vAlign w:val="center"/>
          </w:tcPr>
          <w:p w:rsidR="00DA400A" w:rsidRDefault="00DA400A" w:rsidP="00DA400A">
            <w:pPr>
              <w:autoSpaceDE w:val="0"/>
              <w:autoSpaceDN w:val="0"/>
              <w:adjustRightInd w:val="0"/>
              <w:jc w:val="center"/>
              <w:rPr>
                <w:sz w:val="24"/>
                <w:szCs w:val="24"/>
              </w:rPr>
            </w:pPr>
            <w:r>
              <w:rPr>
                <w:sz w:val="24"/>
                <w:szCs w:val="24"/>
              </w:rPr>
              <w:t>9</w:t>
            </w:r>
          </w:p>
        </w:tc>
        <w:tc>
          <w:tcPr>
            <w:tcW w:w="1980" w:type="dxa"/>
            <w:vAlign w:val="center"/>
          </w:tcPr>
          <w:p w:rsidR="00DA400A" w:rsidRDefault="00DA400A" w:rsidP="00DA400A">
            <w:pPr>
              <w:autoSpaceDE w:val="0"/>
              <w:autoSpaceDN w:val="0"/>
              <w:adjustRightInd w:val="0"/>
              <w:jc w:val="center"/>
              <w:rPr>
                <w:sz w:val="24"/>
                <w:szCs w:val="24"/>
              </w:rPr>
            </w:pPr>
            <w:r>
              <w:rPr>
                <w:sz w:val="24"/>
                <w:szCs w:val="24"/>
              </w:rPr>
              <w:fldChar w:fldCharType="begin"/>
            </w:r>
            <w:r>
              <w:rPr>
                <w:sz w:val="24"/>
                <w:szCs w:val="24"/>
              </w:rPr>
              <w:instrText xml:space="preserve"> =SUM(LEFT) </w:instrText>
            </w:r>
            <w:r>
              <w:rPr>
                <w:sz w:val="24"/>
                <w:szCs w:val="24"/>
              </w:rPr>
              <w:fldChar w:fldCharType="separate"/>
            </w:r>
            <w:r>
              <w:rPr>
                <w:noProof/>
                <w:sz w:val="24"/>
                <w:szCs w:val="24"/>
              </w:rPr>
              <w:t>21</w:t>
            </w:r>
            <w:r>
              <w:rPr>
                <w:sz w:val="24"/>
                <w:szCs w:val="24"/>
              </w:rPr>
              <w:fldChar w:fldCharType="end"/>
            </w:r>
          </w:p>
        </w:tc>
      </w:tr>
      <w:tr w:rsidR="00DA400A" w:rsidTr="00DA400A">
        <w:trPr>
          <w:trHeight w:val="576"/>
        </w:trPr>
        <w:tc>
          <w:tcPr>
            <w:tcW w:w="1998" w:type="dxa"/>
            <w:vAlign w:val="center"/>
          </w:tcPr>
          <w:p w:rsidR="00DA400A" w:rsidRDefault="00DA400A" w:rsidP="00DA400A">
            <w:pPr>
              <w:autoSpaceDE w:val="0"/>
              <w:autoSpaceDN w:val="0"/>
              <w:adjustRightInd w:val="0"/>
              <w:rPr>
                <w:sz w:val="24"/>
                <w:szCs w:val="24"/>
              </w:rPr>
            </w:pPr>
            <w:r>
              <w:rPr>
                <w:sz w:val="24"/>
                <w:szCs w:val="24"/>
              </w:rPr>
              <w:t>Central</w:t>
            </w:r>
          </w:p>
        </w:tc>
        <w:tc>
          <w:tcPr>
            <w:tcW w:w="2430" w:type="dxa"/>
            <w:vAlign w:val="center"/>
          </w:tcPr>
          <w:p w:rsidR="00DA400A" w:rsidRDefault="00DA400A" w:rsidP="00DA400A">
            <w:pPr>
              <w:autoSpaceDE w:val="0"/>
              <w:autoSpaceDN w:val="0"/>
              <w:adjustRightInd w:val="0"/>
              <w:jc w:val="center"/>
              <w:rPr>
                <w:sz w:val="24"/>
                <w:szCs w:val="24"/>
              </w:rPr>
            </w:pPr>
            <w:r>
              <w:rPr>
                <w:sz w:val="24"/>
                <w:szCs w:val="24"/>
              </w:rPr>
              <w:t>1</w:t>
            </w:r>
          </w:p>
        </w:tc>
        <w:tc>
          <w:tcPr>
            <w:tcW w:w="2070" w:type="dxa"/>
            <w:vAlign w:val="center"/>
          </w:tcPr>
          <w:p w:rsidR="00DA400A" w:rsidRDefault="00DA400A" w:rsidP="00DA400A">
            <w:pPr>
              <w:autoSpaceDE w:val="0"/>
              <w:autoSpaceDN w:val="0"/>
              <w:adjustRightInd w:val="0"/>
              <w:jc w:val="center"/>
              <w:rPr>
                <w:sz w:val="24"/>
                <w:szCs w:val="24"/>
              </w:rPr>
            </w:pPr>
            <w:r>
              <w:rPr>
                <w:sz w:val="24"/>
                <w:szCs w:val="24"/>
              </w:rPr>
              <w:t>1</w:t>
            </w:r>
          </w:p>
        </w:tc>
        <w:tc>
          <w:tcPr>
            <w:tcW w:w="1980" w:type="dxa"/>
            <w:vAlign w:val="center"/>
          </w:tcPr>
          <w:p w:rsidR="00DA400A" w:rsidRDefault="00DA400A" w:rsidP="00DA400A">
            <w:pPr>
              <w:autoSpaceDE w:val="0"/>
              <w:autoSpaceDN w:val="0"/>
              <w:adjustRightInd w:val="0"/>
              <w:jc w:val="center"/>
              <w:rPr>
                <w:sz w:val="24"/>
                <w:szCs w:val="24"/>
              </w:rPr>
            </w:pPr>
            <w:r>
              <w:rPr>
                <w:sz w:val="24"/>
                <w:szCs w:val="24"/>
              </w:rPr>
              <w:fldChar w:fldCharType="begin"/>
            </w:r>
            <w:r>
              <w:rPr>
                <w:sz w:val="24"/>
                <w:szCs w:val="24"/>
              </w:rPr>
              <w:instrText xml:space="preserve"> =SUM(left) </w:instrText>
            </w:r>
            <w:r>
              <w:rPr>
                <w:sz w:val="24"/>
                <w:szCs w:val="24"/>
              </w:rPr>
              <w:fldChar w:fldCharType="separate"/>
            </w:r>
            <w:r>
              <w:rPr>
                <w:noProof/>
                <w:sz w:val="24"/>
                <w:szCs w:val="24"/>
              </w:rPr>
              <w:t>2</w:t>
            </w:r>
            <w:r>
              <w:rPr>
                <w:sz w:val="24"/>
                <w:szCs w:val="24"/>
              </w:rPr>
              <w:fldChar w:fldCharType="end"/>
            </w:r>
          </w:p>
        </w:tc>
      </w:tr>
      <w:tr w:rsidR="00DA400A" w:rsidTr="00DA400A">
        <w:trPr>
          <w:trHeight w:val="576"/>
        </w:trPr>
        <w:tc>
          <w:tcPr>
            <w:tcW w:w="1998" w:type="dxa"/>
            <w:vAlign w:val="center"/>
          </w:tcPr>
          <w:p w:rsidR="00DA400A" w:rsidRDefault="00DA400A" w:rsidP="00DA400A">
            <w:pPr>
              <w:autoSpaceDE w:val="0"/>
              <w:autoSpaceDN w:val="0"/>
              <w:adjustRightInd w:val="0"/>
              <w:rPr>
                <w:sz w:val="24"/>
                <w:szCs w:val="24"/>
              </w:rPr>
            </w:pPr>
            <w:r>
              <w:rPr>
                <w:sz w:val="24"/>
                <w:szCs w:val="24"/>
              </w:rPr>
              <w:t>Northeast</w:t>
            </w:r>
          </w:p>
        </w:tc>
        <w:tc>
          <w:tcPr>
            <w:tcW w:w="2430" w:type="dxa"/>
            <w:vAlign w:val="center"/>
          </w:tcPr>
          <w:p w:rsidR="00DA400A" w:rsidRDefault="00DA400A" w:rsidP="00DA400A">
            <w:pPr>
              <w:autoSpaceDE w:val="0"/>
              <w:autoSpaceDN w:val="0"/>
              <w:adjustRightInd w:val="0"/>
              <w:jc w:val="center"/>
              <w:rPr>
                <w:sz w:val="24"/>
                <w:szCs w:val="24"/>
              </w:rPr>
            </w:pPr>
            <w:r>
              <w:rPr>
                <w:sz w:val="24"/>
                <w:szCs w:val="24"/>
              </w:rPr>
              <w:t>3</w:t>
            </w:r>
          </w:p>
        </w:tc>
        <w:tc>
          <w:tcPr>
            <w:tcW w:w="2070" w:type="dxa"/>
            <w:vAlign w:val="center"/>
          </w:tcPr>
          <w:p w:rsidR="00DA400A" w:rsidRDefault="00DA400A" w:rsidP="00DA400A">
            <w:pPr>
              <w:autoSpaceDE w:val="0"/>
              <w:autoSpaceDN w:val="0"/>
              <w:adjustRightInd w:val="0"/>
              <w:jc w:val="center"/>
              <w:rPr>
                <w:sz w:val="24"/>
                <w:szCs w:val="24"/>
              </w:rPr>
            </w:pPr>
            <w:r>
              <w:rPr>
                <w:sz w:val="24"/>
                <w:szCs w:val="24"/>
              </w:rPr>
              <w:t>2</w:t>
            </w:r>
          </w:p>
        </w:tc>
        <w:tc>
          <w:tcPr>
            <w:tcW w:w="1980" w:type="dxa"/>
            <w:vAlign w:val="center"/>
          </w:tcPr>
          <w:p w:rsidR="00DA400A" w:rsidRDefault="00DA400A" w:rsidP="00DA400A">
            <w:pPr>
              <w:autoSpaceDE w:val="0"/>
              <w:autoSpaceDN w:val="0"/>
              <w:adjustRightInd w:val="0"/>
              <w:jc w:val="center"/>
              <w:rPr>
                <w:sz w:val="24"/>
                <w:szCs w:val="24"/>
              </w:rPr>
            </w:pPr>
            <w:r>
              <w:rPr>
                <w:sz w:val="24"/>
                <w:szCs w:val="24"/>
              </w:rPr>
              <w:fldChar w:fldCharType="begin"/>
            </w:r>
            <w:r>
              <w:rPr>
                <w:sz w:val="24"/>
                <w:szCs w:val="24"/>
              </w:rPr>
              <w:instrText xml:space="preserve"> =SUM(left) </w:instrText>
            </w:r>
            <w:r>
              <w:rPr>
                <w:sz w:val="24"/>
                <w:szCs w:val="24"/>
              </w:rPr>
              <w:fldChar w:fldCharType="separate"/>
            </w:r>
            <w:r>
              <w:rPr>
                <w:noProof/>
                <w:sz w:val="24"/>
                <w:szCs w:val="24"/>
              </w:rPr>
              <w:t>5</w:t>
            </w:r>
            <w:r>
              <w:rPr>
                <w:sz w:val="24"/>
                <w:szCs w:val="24"/>
              </w:rPr>
              <w:fldChar w:fldCharType="end"/>
            </w:r>
          </w:p>
        </w:tc>
      </w:tr>
      <w:tr w:rsidR="00DA400A" w:rsidTr="00DA400A">
        <w:trPr>
          <w:trHeight w:val="576"/>
        </w:trPr>
        <w:tc>
          <w:tcPr>
            <w:tcW w:w="1998" w:type="dxa"/>
            <w:vAlign w:val="center"/>
          </w:tcPr>
          <w:p w:rsidR="00DA400A" w:rsidRDefault="00DA400A" w:rsidP="00DA400A">
            <w:pPr>
              <w:autoSpaceDE w:val="0"/>
              <w:autoSpaceDN w:val="0"/>
              <w:adjustRightInd w:val="0"/>
              <w:rPr>
                <w:sz w:val="24"/>
                <w:szCs w:val="24"/>
              </w:rPr>
            </w:pPr>
            <w:proofErr w:type="spellStart"/>
            <w:r>
              <w:rPr>
                <w:sz w:val="24"/>
                <w:szCs w:val="24"/>
              </w:rPr>
              <w:t>MetroWest</w:t>
            </w:r>
            <w:proofErr w:type="spellEnd"/>
          </w:p>
        </w:tc>
        <w:tc>
          <w:tcPr>
            <w:tcW w:w="2430" w:type="dxa"/>
            <w:vAlign w:val="center"/>
          </w:tcPr>
          <w:p w:rsidR="00DA400A" w:rsidRDefault="00DA400A" w:rsidP="00DA400A">
            <w:pPr>
              <w:autoSpaceDE w:val="0"/>
              <w:autoSpaceDN w:val="0"/>
              <w:adjustRightInd w:val="0"/>
              <w:jc w:val="center"/>
              <w:rPr>
                <w:sz w:val="24"/>
                <w:szCs w:val="24"/>
              </w:rPr>
            </w:pPr>
            <w:r>
              <w:rPr>
                <w:sz w:val="24"/>
                <w:szCs w:val="24"/>
              </w:rPr>
              <w:t>2</w:t>
            </w:r>
          </w:p>
        </w:tc>
        <w:tc>
          <w:tcPr>
            <w:tcW w:w="2070" w:type="dxa"/>
            <w:vAlign w:val="center"/>
          </w:tcPr>
          <w:p w:rsidR="00DA400A" w:rsidRDefault="00DA400A" w:rsidP="00DA400A">
            <w:pPr>
              <w:autoSpaceDE w:val="0"/>
              <w:autoSpaceDN w:val="0"/>
              <w:adjustRightInd w:val="0"/>
              <w:jc w:val="center"/>
              <w:rPr>
                <w:sz w:val="24"/>
                <w:szCs w:val="24"/>
              </w:rPr>
            </w:pPr>
            <w:r>
              <w:rPr>
                <w:sz w:val="24"/>
                <w:szCs w:val="24"/>
              </w:rPr>
              <w:t>11</w:t>
            </w:r>
          </w:p>
        </w:tc>
        <w:tc>
          <w:tcPr>
            <w:tcW w:w="1980" w:type="dxa"/>
            <w:vAlign w:val="center"/>
          </w:tcPr>
          <w:p w:rsidR="00DA400A" w:rsidRDefault="00DA400A" w:rsidP="00DA400A">
            <w:pPr>
              <w:autoSpaceDE w:val="0"/>
              <w:autoSpaceDN w:val="0"/>
              <w:adjustRightInd w:val="0"/>
              <w:jc w:val="center"/>
              <w:rPr>
                <w:sz w:val="24"/>
                <w:szCs w:val="24"/>
              </w:rPr>
            </w:pPr>
            <w:r>
              <w:rPr>
                <w:sz w:val="24"/>
                <w:szCs w:val="24"/>
              </w:rPr>
              <w:fldChar w:fldCharType="begin"/>
            </w:r>
            <w:r>
              <w:rPr>
                <w:sz w:val="24"/>
                <w:szCs w:val="24"/>
              </w:rPr>
              <w:instrText xml:space="preserve"> =SUM(left) </w:instrText>
            </w:r>
            <w:r>
              <w:rPr>
                <w:sz w:val="24"/>
                <w:szCs w:val="24"/>
              </w:rPr>
              <w:fldChar w:fldCharType="separate"/>
            </w:r>
            <w:r>
              <w:rPr>
                <w:noProof/>
                <w:sz w:val="24"/>
                <w:szCs w:val="24"/>
              </w:rPr>
              <w:t>13</w:t>
            </w:r>
            <w:r>
              <w:rPr>
                <w:sz w:val="24"/>
                <w:szCs w:val="24"/>
              </w:rPr>
              <w:fldChar w:fldCharType="end"/>
            </w:r>
          </w:p>
        </w:tc>
      </w:tr>
      <w:tr w:rsidR="00DA400A" w:rsidTr="00DA400A">
        <w:trPr>
          <w:trHeight w:val="576"/>
        </w:trPr>
        <w:tc>
          <w:tcPr>
            <w:tcW w:w="1998" w:type="dxa"/>
            <w:vAlign w:val="center"/>
          </w:tcPr>
          <w:p w:rsidR="00DA400A" w:rsidRDefault="00DA400A" w:rsidP="00DA400A">
            <w:pPr>
              <w:autoSpaceDE w:val="0"/>
              <w:autoSpaceDN w:val="0"/>
              <w:adjustRightInd w:val="0"/>
              <w:rPr>
                <w:sz w:val="24"/>
                <w:szCs w:val="24"/>
              </w:rPr>
            </w:pPr>
            <w:r>
              <w:rPr>
                <w:sz w:val="24"/>
                <w:szCs w:val="24"/>
              </w:rPr>
              <w:t>Greater Boston</w:t>
            </w:r>
          </w:p>
        </w:tc>
        <w:tc>
          <w:tcPr>
            <w:tcW w:w="2430" w:type="dxa"/>
            <w:vAlign w:val="center"/>
          </w:tcPr>
          <w:p w:rsidR="00DA400A" w:rsidRDefault="00DA400A" w:rsidP="00DA400A">
            <w:pPr>
              <w:autoSpaceDE w:val="0"/>
              <w:autoSpaceDN w:val="0"/>
              <w:adjustRightInd w:val="0"/>
              <w:jc w:val="center"/>
              <w:rPr>
                <w:sz w:val="24"/>
                <w:szCs w:val="24"/>
              </w:rPr>
            </w:pPr>
            <w:r>
              <w:rPr>
                <w:sz w:val="24"/>
                <w:szCs w:val="24"/>
              </w:rPr>
              <w:t>1</w:t>
            </w:r>
          </w:p>
        </w:tc>
        <w:tc>
          <w:tcPr>
            <w:tcW w:w="2070" w:type="dxa"/>
            <w:vAlign w:val="center"/>
          </w:tcPr>
          <w:p w:rsidR="00DA400A" w:rsidRDefault="00DA400A" w:rsidP="00DA400A">
            <w:pPr>
              <w:autoSpaceDE w:val="0"/>
              <w:autoSpaceDN w:val="0"/>
              <w:adjustRightInd w:val="0"/>
              <w:jc w:val="center"/>
              <w:rPr>
                <w:sz w:val="24"/>
                <w:szCs w:val="24"/>
              </w:rPr>
            </w:pPr>
            <w:r>
              <w:rPr>
                <w:sz w:val="24"/>
                <w:szCs w:val="24"/>
              </w:rPr>
              <w:t>0</w:t>
            </w:r>
          </w:p>
        </w:tc>
        <w:tc>
          <w:tcPr>
            <w:tcW w:w="1980" w:type="dxa"/>
            <w:vAlign w:val="center"/>
          </w:tcPr>
          <w:p w:rsidR="00DA400A" w:rsidRDefault="00DA400A" w:rsidP="00DA400A">
            <w:pPr>
              <w:autoSpaceDE w:val="0"/>
              <w:autoSpaceDN w:val="0"/>
              <w:adjustRightInd w:val="0"/>
              <w:jc w:val="center"/>
              <w:rPr>
                <w:sz w:val="24"/>
                <w:szCs w:val="24"/>
              </w:rPr>
            </w:pPr>
            <w:r>
              <w:rPr>
                <w:sz w:val="24"/>
                <w:szCs w:val="24"/>
              </w:rPr>
              <w:fldChar w:fldCharType="begin"/>
            </w:r>
            <w:r>
              <w:rPr>
                <w:sz w:val="24"/>
                <w:szCs w:val="24"/>
              </w:rPr>
              <w:instrText xml:space="preserve"> =SUM(left) </w:instrText>
            </w:r>
            <w:r>
              <w:rPr>
                <w:sz w:val="24"/>
                <w:szCs w:val="24"/>
              </w:rPr>
              <w:fldChar w:fldCharType="separate"/>
            </w:r>
            <w:r>
              <w:rPr>
                <w:noProof/>
                <w:sz w:val="24"/>
                <w:szCs w:val="24"/>
              </w:rPr>
              <w:t>1</w:t>
            </w:r>
            <w:r>
              <w:rPr>
                <w:sz w:val="24"/>
                <w:szCs w:val="24"/>
              </w:rPr>
              <w:fldChar w:fldCharType="end"/>
            </w:r>
          </w:p>
        </w:tc>
      </w:tr>
      <w:tr w:rsidR="00DA400A" w:rsidTr="00DA400A">
        <w:trPr>
          <w:trHeight w:val="576"/>
        </w:trPr>
        <w:tc>
          <w:tcPr>
            <w:tcW w:w="1998" w:type="dxa"/>
            <w:vAlign w:val="center"/>
          </w:tcPr>
          <w:p w:rsidR="00DA400A" w:rsidRDefault="00DA400A" w:rsidP="00DA400A">
            <w:pPr>
              <w:autoSpaceDE w:val="0"/>
              <w:autoSpaceDN w:val="0"/>
              <w:adjustRightInd w:val="0"/>
              <w:rPr>
                <w:sz w:val="24"/>
                <w:szCs w:val="24"/>
              </w:rPr>
            </w:pPr>
            <w:r>
              <w:rPr>
                <w:sz w:val="24"/>
                <w:szCs w:val="24"/>
              </w:rPr>
              <w:t>Southeast</w:t>
            </w:r>
          </w:p>
        </w:tc>
        <w:tc>
          <w:tcPr>
            <w:tcW w:w="2430" w:type="dxa"/>
            <w:vAlign w:val="center"/>
          </w:tcPr>
          <w:p w:rsidR="00DA400A" w:rsidRDefault="00DA400A" w:rsidP="00DA400A">
            <w:pPr>
              <w:autoSpaceDE w:val="0"/>
              <w:autoSpaceDN w:val="0"/>
              <w:adjustRightInd w:val="0"/>
              <w:jc w:val="center"/>
              <w:rPr>
                <w:sz w:val="24"/>
                <w:szCs w:val="24"/>
              </w:rPr>
            </w:pPr>
            <w:r>
              <w:rPr>
                <w:sz w:val="24"/>
                <w:szCs w:val="24"/>
              </w:rPr>
              <w:t>5</w:t>
            </w:r>
          </w:p>
        </w:tc>
        <w:tc>
          <w:tcPr>
            <w:tcW w:w="2070" w:type="dxa"/>
            <w:vAlign w:val="center"/>
          </w:tcPr>
          <w:p w:rsidR="00DA400A" w:rsidRDefault="00DA400A" w:rsidP="00DA400A">
            <w:pPr>
              <w:autoSpaceDE w:val="0"/>
              <w:autoSpaceDN w:val="0"/>
              <w:adjustRightInd w:val="0"/>
              <w:jc w:val="center"/>
              <w:rPr>
                <w:sz w:val="24"/>
                <w:szCs w:val="24"/>
              </w:rPr>
            </w:pPr>
            <w:r>
              <w:rPr>
                <w:sz w:val="24"/>
                <w:szCs w:val="24"/>
              </w:rPr>
              <w:t>6</w:t>
            </w:r>
          </w:p>
        </w:tc>
        <w:tc>
          <w:tcPr>
            <w:tcW w:w="1980" w:type="dxa"/>
            <w:vAlign w:val="center"/>
          </w:tcPr>
          <w:p w:rsidR="00DA400A" w:rsidRDefault="00DA400A" w:rsidP="00DA400A">
            <w:pPr>
              <w:autoSpaceDE w:val="0"/>
              <w:autoSpaceDN w:val="0"/>
              <w:adjustRightInd w:val="0"/>
              <w:jc w:val="center"/>
              <w:rPr>
                <w:sz w:val="24"/>
                <w:szCs w:val="24"/>
              </w:rPr>
            </w:pPr>
            <w:r>
              <w:rPr>
                <w:sz w:val="24"/>
                <w:szCs w:val="24"/>
              </w:rPr>
              <w:fldChar w:fldCharType="begin"/>
            </w:r>
            <w:r>
              <w:rPr>
                <w:sz w:val="24"/>
                <w:szCs w:val="24"/>
              </w:rPr>
              <w:instrText xml:space="preserve"> =SUM(left) </w:instrText>
            </w:r>
            <w:r>
              <w:rPr>
                <w:sz w:val="24"/>
                <w:szCs w:val="24"/>
              </w:rPr>
              <w:fldChar w:fldCharType="separate"/>
            </w:r>
            <w:r>
              <w:rPr>
                <w:noProof/>
                <w:sz w:val="24"/>
                <w:szCs w:val="24"/>
              </w:rPr>
              <w:t>11</w:t>
            </w:r>
            <w:r>
              <w:rPr>
                <w:sz w:val="24"/>
                <w:szCs w:val="24"/>
              </w:rPr>
              <w:fldChar w:fldCharType="end"/>
            </w:r>
          </w:p>
        </w:tc>
      </w:tr>
      <w:tr w:rsidR="00DA400A" w:rsidTr="00DA400A">
        <w:trPr>
          <w:trHeight w:val="576"/>
        </w:trPr>
        <w:tc>
          <w:tcPr>
            <w:tcW w:w="1998" w:type="dxa"/>
            <w:vAlign w:val="center"/>
          </w:tcPr>
          <w:p w:rsidR="00DA400A" w:rsidRDefault="00DA400A" w:rsidP="00DA400A">
            <w:pPr>
              <w:autoSpaceDE w:val="0"/>
              <w:autoSpaceDN w:val="0"/>
              <w:adjustRightInd w:val="0"/>
              <w:rPr>
                <w:sz w:val="24"/>
                <w:szCs w:val="24"/>
              </w:rPr>
            </w:pPr>
            <w:r>
              <w:rPr>
                <w:sz w:val="24"/>
                <w:szCs w:val="24"/>
              </w:rPr>
              <w:t>Statewide</w:t>
            </w:r>
          </w:p>
        </w:tc>
        <w:tc>
          <w:tcPr>
            <w:tcW w:w="2430" w:type="dxa"/>
            <w:vAlign w:val="center"/>
          </w:tcPr>
          <w:p w:rsidR="00DA400A" w:rsidRDefault="00DA400A" w:rsidP="00DA400A">
            <w:pPr>
              <w:autoSpaceDE w:val="0"/>
              <w:autoSpaceDN w:val="0"/>
              <w:adjustRightInd w:val="0"/>
              <w:jc w:val="center"/>
              <w:rPr>
                <w:sz w:val="24"/>
                <w:szCs w:val="24"/>
              </w:rPr>
            </w:pPr>
            <w:r>
              <w:rPr>
                <w:sz w:val="24"/>
                <w:szCs w:val="24"/>
              </w:rPr>
              <w:t>3</w:t>
            </w:r>
          </w:p>
        </w:tc>
        <w:tc>
          <w:tcPr>
            <w:tcW w:w="2070" w:type="dxa"/>
            <w:vAlign w:val="center"/>
          </w:tcPr>
          <w:p w:rsidR="00DA400A" w:rsidRDefault="00DA400A" w:rsidP="00DA400A">
            <w:pPr>
              <w:autoSpaceDE w:val="0"/>
              <w:autoSpaceDN w:val="0"/>
              <w:adjustRightInd w:val="0"/>
              <w:jc w:val="center"/>
              <w:rPr>
                <w:sz w:val="24"/>
                <w:szCs w:val="24"/>
              </w:rPr>
            </w:pPr>
            <w:r>
              <w:rPr>
                <w:sz w:val="24"/>
                <w:szCs w:val="24"/>
              </w:rPr>
              <w:t>0</w:t>
            </w:r>
          </w:p>
        </w:tc>
        <w:tc>
          <w:tcPr>
            <w:tcW w:w="1980" w:type="dxa"/>
            <w:vAlign w:val="center"/>
          </w:tcPr>
          <w:p w:rsidR="00DA400A" w:rsidRDefault="00DA400A" w:rsidP="00DA400A">
            <w:pPr>
              <w:autoSpaceDE w:val="0"/>
              <w:autoSpaceDN w:val="0"/>
              <w:adjustRightInd w:val="0"/>
              <w:jc w:val="center"/>
              <w:rPr>
                <w:sz w:val="24"/>
                <w:szCs w:val="24"/>
              </w:rPr>
            </w:pPr>
            <w:r>
              <w:rPr>
                <w:sz w:val="24"/>
                <w:szCs w:val="24"/>
              </w:rPr>
              <w:fldChar w:fldCharType="begin"/>
            </w:r>
            <w:r>
              <w:rPr>
                <w:sz w:val="24"/>
                <w:szCs w:val="24"/>
              </w:rPr>
              <w:instrText xml:space="preserve"> =SUM(left) </w:instrText>
            </w:r>
            <w:r>
              <w:rPr>
                <w:sz w:val="24"/>
                <w:szCs w:val="24"/>
              </w:rPr>
              <w:fldChar w:fldCharType="separate"/>
            </w:r>
            <w:r>
              <w:rPr>
                <w:noProof/>
                <w:sz w:val="24"/>
                <w:szCs w:val="24"/>
              </w:rPr>
              <w:t>3</w:t>
            </w:r>
            <w:r>
              <w:rPr>
                <w:sz w:val="24"/>
                <w:szCs w:val="24"/>
              </w:rPr>
              <w:fldChar w:fldCharType="end"/>
            </w:r>
          </w:p>
        </w:tc>
      </w:tr>
      <w:tr w:rsidR="00DA400A" w:rsidTr="00DA400A">
        <w:trPr>
          <w:trHeight w:val="576"/>
        </w:trPr>
        <w:tc>
          <w:tcPr>
            <w:tcW w:w="1998" w:type="dxa"/>
            <w:vAlign w:val="center"/>
          </w:tcPr>
          <w:p w:rsidR="00DA400A" w:rsidRDefault="00DA400A" w:rsidP="00DA400A">
            <w:pPr>
              <w:autoSpaceDE w:val="0"/>
              <w:autoSpaceDN w:val="0"/>
              <w:adjustRightInd w:val="0"/>
              <w:rPr>
                <w:sz w:val="24"/>
                <w:szCs w:val="24"/>
              </w:rPr>
            </w:pPr>
          </w:p>
        </w:tc>
        <w:tc>
          <w:tcPr>
            <w:tcW w:w="2430" w:type="dxa"/>
            <w:vAlign w:val="center"/>
          </w:tcPr>
          <w:p w:rsidR="00DA400A" w:rsidRDefault="00DA400A" w:rsidP="00DA400A">
            <w:pPr>
              <w:autoSpaceDE w:val="0"/>
              <w:autoSpaceDN w:val="0"/>
              <w:adjustRightInd w:val="0"/>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27</w:t>
            </w:r>
            <w:r>
              <w:rPr>
                <w:sz w:val="24"/>
                <w:szCs w:val="24"/>
              </w:rPr>
              <w:fldChar w:fldCharType="end"/>
            </w:r>
          </w:p>
        </w:tc>
        <w:tc>
          <w:tcPr>
            <w:tcW w:w="2070" w:type="dxa"/>
            <w:vAlign w:val="center"/>
          </w:tcPr>
          <w:p w:rsidR="00DA400A" w:rsidRDefault="00DA400A" w:rsidP="00DA400A">
            <w:pPr>
              <w:autoSpaceDE w:val="0"/>
              <w:autoSpaceDN w:val="0"/>
              <w:adjustRightInd w:val="0"/>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29</w:t>
            </w:r>
            <w:r>
              <w:rPr>
                <w:sz w:val="24"/>
                <w:szCs w:val="24"/>
              </w:rPr>
              <w:fldChar w:fldCharType="end"/>
            </w:r>
          </w:p>
        </w:tc>
        <w:tc>
          <w:tcPr>
            <w:tcW w:w="1980" w:type="dxa"/>
            <w:vAlign w:val="center"/>
          </w:tcPr>
          <w:p w:rsidR="00DA400A" w:rsidRDefault="00DA400A" w:rsidP="00DA400A">
            <w:pPr>
              <w:autoSpaceDE w:val="0"/>
              <w:autoSpaceDN w:val="0"/>
              <w:adjustRightInd w:val="0"/>
              <w:jc w:val="center"/>
              <w:rPr>
                <w:sz w:val="24"/>
                <w:szCs w:val="24"/>
              </w:rPr>
            </w:pPr>
            <w:r>
              <w:rPr>
                <w:sz w:val="24"/>
                <w:szCs w:val="24"/>
              </w:rPr>
              <w:fldChar w:fldCharType="begin"/>
            </w:r>
            <w:r>
              <w:rPr>
                <w:sz w:val="24"/>
                <w:szCs w:val="24"/>
              </w:rPr>
              <w:instrText xml:space="preserve"> =SUM(left) </w:instrText>
            </w:r>
            <w:r>
              <w:rPr>
                <w:sz w:val="24"/>
                <w:szCs w:val="24"/>
              </w:rPr>
              <w:fldChar w:fldCharType="separate"/>
            </w:r>
            <w:r>
              <w:rPr>
                <w:noProof/>
                <w:sz w:val="24"/>
                <w:szCs w:val="24"/>
              </w:rPr>
              <w:t>56</w:t>
            </w:r>
            <w:r>
              <w:rPr>
                <w:sz w:val="24"/>
                <w:szCs w:val="24"/>
              </w:rPr>
              <w:fldChar w:fldCharType="end"/>
            </w:r>
          </w:p>
        </w:tc>
      </w:tr>
    </w:tbl>
    <w:p w:rsidR="00DA400A" w:rsidRPr="00FC6214" w:rsidRDefault="00DA400A" w:rsidP="00DA400A">
      <w:pPr>
        <w:autoSpaceDE w:val="0"/>
        <w:autoSpaceDN w:val="0"/>
        <w:adjustRightInd w:val="0"/>
        <w:rPr>
          <w:sz w:val="24"/>
          <w:szCs w:val="24"/>
        </w:rPr>
      </w:pPr>
    </w:p>
    <w:p w:rsidR="000A7532" w:rsidRDefault="000A7532">
      <w:pPr>
        <w:spacing w:after="200" w:line="276" w:lineRule="auto"/>
        <w:rPr>
          <w:rFonts w:ascii="Times New Roman" w:eastAsia="Times New Roman" w:hAnsi="Times New Roman"/>
          <w:b/>
          <w:smallCaps/>
          <w:spacing w:val="5"/>
          <w:kern w:val="28"/>
          <w:sz w:val="28"/>
          <w:szCs w:val="24"/>
        </w:rPr>
      </w:pPr>
    </w:p>
    <w:sectPr w:rsidR="000A7532" w:rsidSect="002041B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2D32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2D3237" w16cid:durableId="1E8784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00A" w:rsidRDefault="00DA400A" w:rsidP="00173800">
      <w:r>
        <w:separator/>
      </w:r>
    </w:p>
  </w:endnote>
  <w:endnote w:type="continuationSeparator" w:id="0">
    <w:p w:rsidR="00DA400A" w:rsidRDefault="00DA400A" w:rsidP="0017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0A" w:rsidRDefault="00DA400A">
    <w:pPr>
      <w:pStyle w:val="Footer"/>
      <w:jc w:val="right"/>
    </w:pPr>
    <w:r>
      <w:fldChar w:fldCharType="begin"/>
    </w:r>
    <w:r>
      <w:instrText xml:space="preserve"> PAGE   \* MERGEFORMAT </w:instrText>
    </w:r>
    <w:r>
      <w:fldChar w:fldCharType="separate"/>
    </w:r>
    <w:r w:rsidR="00EB515D">
      <w:rPr>
        <w:noProof/>
      </w:rPr>
      <w:t>1</w:t>
    </w:r>
    <w:r>
      <w:fldChar w:fldCharType="end"/>
    </w:r>
  </w:p>
  <w:p w:rsidR="00DA400A" w:rsidRDefault="00DA4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00A" w:rsidRDefault="00DA400A" w:rsidP="00173800">
      <w:r>
        <w:separator/>
      </w:r>
    </w:p>
  </w:footnote>
  <w:footnote w:type="continuationSeparator" w:id="0">
    <w:p w:rsidR="00DA400A" w:rsidRDefault="00DA400A" w:rsidP="00173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7081"/>
    <w:multiLevelType w:val="hybridMultilevel"/>
    <w:tmpl w:val="C8864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5A2E30"/>
    <w:multiLevelType w:val="hybridMultilevel"/>
    <w:tmpl w:val="10444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A40680"/>
    <w:multiLevelType w:val="hybridMultilevel"/>
    <w:tmpl w:val="303614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C51C1B"/>
    <w:multiLevelType w:val="hybridMultilevel"/>
    <w:tmpl w:val="C29ED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476612"/>
    <w:multiLevelType w:val="hybridMultilevel"/>
    <w:tmpl w:val="FB70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F61A9"/>
    <w:multiLevelType w:val="hybridMultilevel"/>
    <w:tmpl w:val="EBC6B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23703E"/>
    <w:multiLevelType w:val="hybridMultilevel"/>
    <w:tmpl w:val="B0962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076CFE"/>
    <w:multiLevelType w:val="hybridMultilevel"/>
    <w:tmpl w:val="158A9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042A4B"/>
    <w:multiLevelType w:val="hybridMultilevel"/>
    <w:tmpl w:val="77A8F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8C3A14"/>
    <w:multiLevelType w:val="hybridMultilevel"/>
    <w:tmpl w:val="53FA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6D147D"/>
    <w:multiLevelType w:val="hybridMultilevel"/>
    <w:tmpl w:val="5D2AA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C706DA1"/>
    <w:multiLevelType w:val="hybridMultilevel"/>
    <w:tmpl w:val="3EF6D0C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1F2F18"/>
    <w:multiLevelType w:val="hybridMultilevel"/>
    <w:tmpl w:val="D0FE3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F796871"/>
    <w:multiLevelType w:val="hybridMultilevel"/>
    <w:tmpl w:val="0EE81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81B7F5D"/>
    <w:multiLevelType w:val="hybridMultilevel"/>
    <w:tmpl w:val="CF406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6E5E97"/>
    <w:multiLevelType w:val="hybridMultilevel"/>
    <w:tmpl w:val="483E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E0E37FB"/>
    <w:multiLevelType w:val="hybridMultilevel"/>
    <w:tmpl w:val="9A96D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4"/>
  </w:num>
  <w:num w:numId="4">
    <w:abstractNumId w:val="5"/>
  </w:num>
  <w:num w:numId="5">
    <w:abstractNumId w:val="2"/>
  </w:num>
  <w:num w:numId="6">
    <w:abstractNumId w:val="0"/>
  </w:num>
  <w:num w:numId="7">
    <w:abstractNumId w:val="11"/>
  </w:num>
  <w:num w:numId="8">
    <w:abstractNumId w:val="12"/>
  </w:num>
  <w:num w:numId="9">
    <w:abstractNumId w:val="13"/>
  </w:num>
  <w:num w:numId="10">
    <w:abstractNumId w:val="3"/>
  </w:num>
  <w:num w:numId="11">
    <w:abstractNumId w:val="7"/>
  </w:num>
  <w:num w:numId="12">
    <w:abstractNumId w:val="10"/>
  </w:num>
  <w:num w:numId="13">
    <w:abstractNumId w:val="15"/>
  </w:num>
  <w:num w:numId="14">
    <w:abstractNumId w:val="1"/>
  </w:num>
  <w:num w:numId="15">
    <w:abstractNumId w:val="6"/>
  </w:num>
  <w:num w:numId="16">
    <w:abstractNumId w:val="8"/>
  </w:num>
  <w:num w:numId="1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Mangan">
    <w15:presenceInfo w15:providerId="Windows Live" w15:userId="e71f3eaafcec4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C0E"/>
    <w:rsid w:val="0000621F"/>
    <w:rsid w:val="00011FF2"/>
    <w:rsid w:val="000164B7"/>
    <w:rsid w:val="00020AB6"/>
    <w:rsid w:val="00020E6C"/>
    <w:rsid w:val="0002387B"/>
    <w:rsid w:val="0003221C"/>
    <w:rsid w:val="000473C8"/>
    <w:rsid w:val="000557FD"/>
    <w:rsid w:val="00055EE2"/>
    <w:rsid w:val="00062634"/>
    <w:rsid w:val="0007378D"/>
    <w:rsid w:val="00077AC5"/>
    <w:rsid w:val="000838AF"/>
    <w:rsid w:val="0008532F"/>
    <w:rsid w:val="000A0AB7"/>
    <w:rsid w:val="000A2412"/>
    <w:rsid w:val="000A2BB4"/>
    <w:rsid w:val="000A7532"/>
    <w:rsid w:val="000A79DD"/>
    <w:rsid w:val="000A7C64"/>
    <w:rsid w:val="000B6EDD"/>
    <w:rsid w:val="000C1E3A"/>
    <w:rsid w:val="000C2DBE"/>
    <w:rsid w:val="000C6A09"/>
    <w:rsid w:val="000D3140"/>
    <w:rsid w:val="000E258D"/>
    <w:rsid w:val="000F1730"/>
    <w:rsid w:val="000F1F53"/>
    <w:rsid w:val="0010690E"/>
    <w:rsid w:val="00115235"/>
    <w:rsid w:val="00146514"/>
    <w:rsid w:val="00152875"/>
    <w:rsid w:val="00152912"/>
    <w:rsid w:val="00155DDF"/>
    <w:rsid w:val="001579FB"/>
    <w:rsid w:val="00161C9B"/>
    <w:rsid w:val="00163869"/>
    <w:rsid w:val="00170E99"/>
    <w:rsid w:val="00173800"/>
    <w:rsid w:val="00182078"/>
    <w:rsid w:val="001904FE"/>
    <w:rsid w:val="00192A9E"/>
    <w:rsid w:val="001933F2"/>
    <w:rsid w:val="001A454E"/>
    <w:rsid w:val="001B60E7"/>
    <w:rsid w:val="001B711C"/>
    <w:rsid w:val="001C25C3"/>
    <w:rsid w:val="001C30FF"/>
    <w:rsid w:val="001D2606"/>
    <w:rsid w:val="001D3BBA"/>
    <w:rsid w:val="001E4297"/>
    <w:rsid w:val="001E5D7D"/>
    <w:rsid w:val="001F11B2"/>
    <w:rsid w:val="001F5D95"/>
    <w:rsid w:val="002004A9"/>
    <w:rsid w:val="002020C1"/>
    <w:rsid w:val="00203B9A"/>
    <w:rsid w:val="002041B9"/>
    <w:rsid w:val="00204878"/>
    <w:rsid w:val="0020704D"/>
    <w:rsid w:val="002111C4"/>
    <w:rsid w:val="002133CA"/>
    <w:rsid w:val="0021496B"/>
    <w:rsid w:val="0021532C"/>
    <w:rsid w:val="002200D3"/>
    <w:rsid w:val="00220BA8"/>
    <w:rsid w:val="00224C73"/>
    <w:rsid w:val="00224D51"/>
    <w:rsid w:val="0022750E"/>
    <w:rsid w:val="00230605"/>
    <w:rsid w:val="00231481"/>
    <w:rsid w:val="00231B5E"/>
    <w:rsid w:val="00234FD7"/>
    <w:rsid w:val="002352EC"/>
    <w:rsid w:val="00236500"/>
    <w:rsid w:val="002369BD"/>
    <w:rsid w:val="00240C76"/>
    <w:rsid w:val="00245F64"/>
    <w:rsid w:val="00254896"/>
    <w:rsid w:val="00264CF0"/>
    <w:rsid w:val="00265F21"/>
    <w:rsid w:val="00270522"/>
    <w:rsid w:val="00276A04"/>
    <w:rsid w:val="002772B6"/>
    <w:rsid w:val="00281AA5"/>
    <w:rsid w:val="00284879"/>
    <w:rsid w:val="00287019"/>
    <w:rsid w:val="00290214"/>
    <w:rsid w:val="00297BFF"/>
    <w:rsid w:val="002B2CD1"/>
    <w:rsid w:val="002B45B5"/>
    <w:rsid w:val="002C7D17"/>
    <w:rsid w:val="002D1A3D"/>
    <w:rsid w:val="002D2618"/>
    <w:rsid w:val="002D4A53"/>
    <w:rsid w:val="002E25D5"/>
    <w:rsid w:val="002E72DB"/>
    <w:rsid w:val="002E7D08"/>
    <w:rsid w:val="002F054F"/>
    <w:rsid w:val="002F35B8"/>
    <w:rsid w:val="002F5C59"/>
    <w:rsid w:val="00314BD6"/>
    <w:rsid w:val="003166DD"/>
    <w:rsid w:val="00325A90"/>
    <w:rsid w:val="00330821"/>
    <w:rsid w:val="00335013"/>
    <w:rsid w:val="003353DB"/>
    <w:rsid w:val="00341E3E"/>
    <w:rsid w:val="0035133A"/>
    <w:rsid w:val="00362A2E"/>
    <w:rsid w:val="00365D2B"/>
    <w:rsid w:val="0037097F"/>
    <w:rsid w:val="003A6EC9"/>
    <w:rsid w:val="003C11E6"/>
    <w:rsid w:val="003C23B3"/>
    <w:rsid w:val="003C6BE4"/>
    <w:rsid w:val="003D1F8D"/>
    <w:rsid w:val="003E02AD"/>
    <w:rsid w:val="003E13DD"/>
    <w:rsid w:val="003E4062"/>
    <w:rsid w:val="003E62B4"/>
    <w:rsid w:val="003E7276"/>
    <w:rsid w:val="003F1D59"/>
    <w:rsid w:val="003F4D2A"/>
    <w:rsid w:val="003F53D7"/>
    <w:rsid w:val="00400868"/>
    <w:rsid w:val="00407DC6"/>
    <w:rsid w:val="00411A1B"/>
    <w:rsid w:val="0041756F"/>
    <w:rsid w:val="004219CD"/>
    <w:rsid w:val="00422230"/>
    <w:rsid w:val="00434071"/>
    <w:rsid w:val="00447409"/>
    <w:rsid w:val="004546AD"/>
    <w:rsid w:val="00461931"/>
    <w:rsid w:val="0046244A"/>
    <w:rsid w:val="00473222"/>
    <w:rsid w:val="004A1855"/>
    <w:rsid w:val="004A4CB8"/>
    <w:rsid w:val="004A7F28"/>
    <w:rsid w:val="004B1979"/>
    <w:rsid w:val="004D0A29"/>
    <w:rsid w:val="004D1219"/>
    <w:rsid w:val="004D26E8"/>
    <w:rsid w:val="004E3FD3"/>
    <w:rsid w:val="004E453F"/>
    <w:rsid w:val="004E5C55"/>
    <w:rsid w:val="004F27C0"/>
    <w:rsid w:val="004F767F"/>
    <w:rsid w:val="005000BF"/>
    <w:rsid w:val="0050459B"/>
    <w:rsid w:val="005055E2"/>
    <w:rsid w:val="00510E7D"/>
    <w:rsid w:val="005230C3"/>
    <w:rsid w:val="00524092"/>
    <w:rsid w:val="00543823"/>
    <w:rsid w:val="00546057"/>
    <w:rsid w:val="005613DF"/>
    <w:rsid w:val="005750E7"/>
    <w:rsid w:val="00577713"/>
    <w:rsid w:val="00587CC5"/>
    <w:rsid w:val="00592448"/>
    <w:rsid w:val="00592C58"/>
    <w:rsid w:val="005A08AD"/>
    <w:rsid w:val="005A16B3"/>
    <w:rsid w:val="005A3600"/>
    <w:rsid w:val="005B10E3"/>
    <w:rsid w:val="005B23E6"/>
    <w:rsid w:val="005B4DEB"/>
    <w:rsid w:val="005D01FD"/>
    <w:rsid w:val="005D47D4"/>
    <w:rsid w:val="005D503A"/>
    <w:rsid w:val="005D524C"/>
    <w:rsid w:val="005E7EF3"/>
    <w:rsid w:val="005F2CCD"/>
    <w:rsid w:val="005F5288"/>
    <w:rsid w:val="005F6B90"/>
    <w:rsid w:val="005F7DA4"/>
    <w:rsid w:val="006069D0"/>
    <w:rsid w:val="00610EC3"/>
    <w:rsid w:val="0061736C"/>
    <w:rsid w:val="00620D52"/>
    <w:rsid w:val="00627F2F"/>
    <w:rsid w:val="00646E47"/>
    <w:rsid w:val="006475EE"/>
    <w:rsid w:val="00650217"/>
    <w:rsid w:val="006503AD"/>
    <w:rsid w:val="00651457"/>
    <w:rsid w:val="00656B04"/>
    <w:rsid w:val="00657560"/>
    <w:rsid w:val="00663075"/>
    <w:rsid w:val="00664919"/>
    <w:rsid w:val="00675933"/>
    <w:rsid w:val="006811C4"/>
    <w:rsid w:val="006944CE"/>
    <w:rsid w:val="006A07D6"/>
    <w:rsid w:val="006A0C8F"/>
    <w:rsid w:val="006A31C5"/>
    <w:rsid w:val="006A5FC7"/>
    <w:rsid w:val="006B3267"/>
    <w:rsid w:val="006C265A"/>
    <w:rsid w:val="006E6136"/>
    <w:rsid w:val="006F344C"/>
    <w:rsid w:val="00711428"/>
    <w:rsid w:val="00712DC4"/>
    <w:rsid w:val="00733829"/>
    <w:rsid w:val="00734D36"/>
    <w:rsid w:val="00745F65"/>
    <w:rsid w:val="007471DF"/>
    <w:rsid w:val="00755078"/>
    <w:rsid w:val="0076146B"/>
    <w:rsid w:val="007629AB"/>
    <w:rsid w:val="0076695B"/>
    <w:rsid w:val="00782F9A"/>
    <w:rsid w:val="0078639E"/>
    <w:rsid w:val="00787903"/>
    <w:rsid w:val="007924E4"/>
    <w:rsid w:val="00793BA6"/>
    <w:rsid w:val="007C5CE5"/>
    <w:rsid w:val="007D46A6"/>
    <w:rsid w:val="007E01B3"/>
    <w:rsid w:val="007E3604"/>
    <w:rsid w:val="00800098"/>
    <w:rsid w:val="0080247D"/>
    <w:rsid w:val="00807B66"/>
    <w:rsid w:val="00814AA3"/>
    <w:rsid w:val="00814B3D"/>
    <w:rsid w:val="00815E5D"/>
    <w:rsid w:val="008336E4"/>
    <w:rsid w:val="00834E3A"/>
    <w:rsid w:val="00840C0E"/>
    <w:rsid w:val="00847C1C"/>
    <w:rsid w:val="00863B37"/>
    <w:rsid w:val="008716C2"/>
    <w:rsid w:val="0087392B"/>
    <w:rsid w:val="00875918"/>
    <w:rsid w:val="00885602"/>
    <w:rsid w:val="0088695F"/>
    <w:rsid w:val="008901A7"/>
    <w:rsid w:val="0089152D"/>
    <w:rsid w:val="008A13BD"/>
    <w:rsid w:val="008A3BB4"/>
    <w:rsid w:val="008B43E7"/>
    <w:rsid w:val="008B5436"/>
    <w:rsid w:val="008C5842"/>
    <w:rsid w:val="008F2C94"/>
    <w:rsid w:val="008F3E20"/>
    <w:rsid w:val="00912663"/>
    <w:rsid w:val="00917FA9"/>
    <w:rsid w:val="00924DE8"/>
    <w:rsid w:val="00950E4B"/>
    <w:rsid w:val="009628E0"/>
    <w:rsid w:val="00966AED"/>
    <w:rsid w:val="00967945"/>
    <w:rsid w:val="00972A79"/>
    <w:rsid w:val="009742A9"/>
    <w:rsid w:val="00976AFC"/>
    <w:rsid w:val="009831A6"/>
    <w:rsid w:val="0099599B"/>
    <w:rsid w:val="0099656B"/>
    <w:rsid w:val="009A0C73"/>
    <w:rsid w:val="009A32F3"/>
    <w:rsid w:val="009C074F"/>
    <w:rsid w:val="009C24CE"/>
    <w:rsid w:val="009C5900"/>
    <w:rsid w:val="009D0342"/>
    <w:rsid w:val="009D0ADB"/>
    <w:rsid w:val="009E5D0B"/>
    <w:rsid w:val="00A0324B"/>
    <w:rsid w:val="00A06A0A"/>
    <w:rsid w:val="00A14D58"/>
    <w:rsid w:val="00A30695"/>
    <w:rsid w:val="00A43FE6"/>
    <w:rsid w:val="00A444B7"/>
    <w:rsid w:val="00A6006E"/>
    <w:rsid w:val="00A610AF"/>
    <w:rsid w:val="00A622FD"/>
    <w:rsid w:val="00A775C3"/>
    <w:rsid w:val="00A827CC"/>
    <w:rsid w:val="00A83EA3"/>
    <w:rsid w:val="00A95259"/>
    <w:rsid w:val="00A9674A"/>
    <w:rsid w:val="00AA77F6"/>
    <w:rsid w:val="00AA7AB6"/>
    <w:rsid w:val="00AB2FFF"/>
    <w:rsid w:val="00AB3909"/>
    <w:rsid w:val="00AB4D01"/>
    <w:rsid w:val="00AB65A6"/>
    <w:rsid w:val="00AC067B"/>
    <w:rsid w:val="00AC64BC"/>
    <w:rsid w:val="00AC73EF"/>
    <w:rsid w:val="00AE58D7"/>
    <w:rsid w:val="00B04C6A"/>
    <w:rsid w:val="00B10F5C"/>
    <w:rsid w:val="00B115BB"/>
    <w:rsid w:val="00B16D06"/>
    <w:rsid w:val="00B269DC"/>
    <w:rsid w:val="00B3096E"/>
    <w:rsid w:val="00B321F8"/>
    <w:rsid w:val="00B37B2A"/>
    <w:rsid w:val="00B4451F"/>
    <w:rsid w:val="00B460F2"/>
    <w:rsid w:val="00B47EFC"/>
    <w:rsid w:val="00B62082"/>
    <w:rsid w:val="00B72AC8"/>
    <w:rsid w:val="00B73115"/>
    <w:rsid w:val="00B81833"/>
    <w:rsid w:val="00B81B20"/>
    <w:rsid w:val="00B8379A"/>
    <w:rsid w:val="00BA3F27"/>
    <w:rsid w:val="00BA5E0E"/>
    <w:rsid w:val="00BB692C"/>
    <w:rsid w:val="00BC3698"/>
    <w:rsid w:val="00BD3C7C"/>
    <w:rsid w:val="00BD4BD3"/>
    <w:rsid w:val="00BE1306"/>
    <w:rsid w:val="00BE22F3"/>
    <w:rsid w:val="00BE2E19"/>
    <w:rsid w:val="00BE4DA8"/>
    <w:rsid w:val="00BE6245"/>
    <w:rsid w:val="00BF24DA"/>
    <w:rsid w:val="00BF440F"/>
    <w:rsid w:val="00BF5A3F"/>
    <w:rsid w:val="00C02C95"/>
    <w:rsid w:val="00C15A17"/>
    <w:rsid w:val="00C16464"/>
    <w:rsid w:val="00C1703D"/>
    <w:rsid w:val="00C338EC"/>
    <w:rsid w:val="00C3501E"/>
    <w:rsid w:val="00C5085A"/>
    <w:rsid w:val="00C526E1"/>
    <w:rsid w:val="00C56FF5"/>
    <w:rsid w:val="00C63E43"/>
    <w:rsid w:val="00C741EE"/>
    <w:rsid w:val="00C748E8"/>
    <w:rsid w:val="00C75351"/>
    <w:rsid w:val="00C91452"/>
    <w:rsid w:val="00CB19DA"/>
    <w:rsid w:val="00CB39EB"/>
    <w:rsid w:val="00CB472D"/>
    <w:rsid w:val="00CB5BFA"/>
    <w:rsid w:val="00CB7D64"/>
    <w:rsid w:val="00CC2C7C"/>
    <w:rsid w:val="00CC5C71"/>
    <w:rsid w:val="00CD05B5"/>
    <w:rsid w:val="00CD1155"/>
    <w:rsid w:val="00CD1CAE"/>
    <w:rsid w:val="00CD1E19"/>
    <w:rsid w:val="00D013EC"/>
    <w:rsid w:val="00D02023"/>
    <w:rsid w:val="00D14312"/>
    <w:rsid w:val="00D243FF"/>
    <w:rsid w:val="00D24412"/>
    <w:rsid w:val="00D30853"/>
    <w:rsid w:val="00D30C84"/>
    <w:rsid w:val="00D32179"/>
    <w:rsid w:val="00D33E27"/>
    <w:rsid w:val="00D43BD2"/>
    <w:rsid w:val="00D44587"/>
    <w:rsid w:val="00D5313E"/>
    <w:rsid w:val="00D53EC4"/>
    <w:rsid w:val="00D5445A"/>
    <w:rsid w:val="00D5483E"/>
    <w:rsid w:val="00D57296"/>
    <w:rsid w:val="00D57E23"/>
    <w:rsid w:val="00D61AE3"/>
    <w:rsid w:val="00D75A28"/>
    <w:rsid w:val="00D865C2"/>
    <w:rsid w:val="00D90F22"/>
    <w:rsid w:val="00DA0BD8"/>
    <w:rsid w:val="00DA400A"/>
    <w:rsid w:val="00DB1779"/>
    <w:rsid w:val="00DC06BE"/>
    <w:rsid w:val="00DC1744"/>
    <w:rsid w:val="00DC30ED"/>
    <w:rsid w:val="00DC3E86"/>
    <w:rsid w:val="00DC498B"/>
    <w:rsid w:val="00DC4A13"/>
    <w:rsid w:val="00DC6308"/>
    <w:rsid w:val="00DD1554"/>
    <w:rsid w:val="00DD19EE"/>
    <w:rsid w:val="00DD5A7B"/>
    <w:rsid w:val="00DE2CC6"/>
    <w:rsid w:val="00DE6332"/>
    <w:rsid w:val="00E30EB2"/>
    <w:rsid w:val="00E37BE7"/>
    <w:rsid w:val="00E47D2E"/>
    <w:rsid w:val="00E5320D"/>
    <w:rsid w:val="00E54584"/>
    <w:rsid w:val="00E54B2B"/>
    <w:rsid w:val="00E6636E"/>
    <w:rsid w:val="00E67FC7"/>
    <w:rsid w:val="00E709BE"/>
    <w:rsid w:val="00E730B7"/>
    <w:rsid w:val="00E81376"/>
    <w:rsid w:val="00E82D2D"/>
    <w:rsid w:val="00E8459B"/>
    <w:rsid w:val="00E90A24"/>
    <w:rsid w:val="00E94B65"/>
    <w:rsid w:val="00EA5C7E"/>
    <w:rsid w:val="00EA6CD4"/>
    <w:rsid w:val="00EB515D"/>
    <w:rsid w:val="00EB7218"/>
    <w:rsid w:val="00ED552D"/>
    <w:rsid w:val="00EE27CF"/>
    <w:rsid w:val="00EE2827"/>
    <w:rsid w:val="00EE285C"/>
    <w:rsid w:val="00EE52FA"/>
    <w:rsid w:val="00EE6457"/>
    <w:rsid w:val="00EE6B39"/>
    <w:rsid w:val="00EF556A"/>
    <w:rsid w:val="00F02079"/>
    <w:rsid w:val="00F07B18"/>
    <w:rsid w:val="00F17CA4"/>
    <w:rsid w:val="00F229AD"/>
    <w:rsid w:val="00F2541A"/>
    <w:rsid w:val="00F25F97"/>
    <w:rsid w:val="00F31049"/>
    <w:rsid w:val="00F31915"/>
    <w:rsid w:val="00F400B3"/>
    <w:rsid w:val="00F40C56"/>
    <w:rsid w:val="00F42130"/>
    <w:rsid w:val="00F424B6"/>
    <w:rsid w:val="00F433DA"/>
    <w:rsid w:val="00F44758"/>
    <w:rsid w:val="00F4754D"/>
    <w:rsid w:val="00F52FE6"/>
    <w:rsid w:val="00F53170"/>
    <w:rsid w:val="00F72872"/>
    <w:rsid w:val="00F82C6C"/>
    <w:rsid w:val="00F86B30"/>
    <w:rsid w:val="00F96D5B"/>
    <w:rsid w:val="00FA1B9E"/>
    <w:rsid w:val="00FA49A0"/>
    <w:rsid w:val="00FA5C99"/>
    <w:rsid w:val="00FA60CE"/>
    <w:rsid w:val="00FB3C50"/>
    <w:rsid w:val="00FB6C3E"/>
    <w:rsid w:val="00FC075F"/>
    <w:rsid w:val="00FC30B3"/>
    <w:rsid w:val="00FC38AA"/>
    <w:rsid w:val="00FC65F0"/>
    <w:rsid w:val="00FC7183"/>
    <w:rsid w:val="00FE1ABD"/>
    <w:rsid w:val="00FE3340"/>
    <w:rsid w:val="00FE388B"/>
    <w:rsid w:val="00FE3B50"/>
    <w:rsid w:val="00FE4643"/>
    <w:rsid w:val="00FE5B23"/>
    <w:rsid w:val="00FF1D9D"/>
    <w:rsid w:val="00FF290A"/>
    <w:rsid w:val="00FF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C0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34D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7713"/>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C0E"/>
    <w:pPr>
      <w:ind w:left="720"/>
    </w:pPr>
  </w:style>
  <w:style w:type="paragraph" w:styleId="Title">
    <w:name w:val="Title"/>
    <w:basedOn w:val="Normal"/>
    <w:next w:val="Normal"/>
    <w:link w:val="TitleChar"/>
    <w:uiPriority w:val="10"/>
    <w:qFormat/>
    <w:rsid w:val="00FC38A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FC38AA"/>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FC38AA"/>
    <w:rPr>
      <w:color w:val="0000FF" w:themeColor="hyperlink"/>
      <w:u w:val="single"/>
    </w:rPr>
  </w:style>
  <w:style w:type="paragraph" w:styleId="Header">
    <w:name w:val="header"/>
    <w:basedOn w:val="Normal"/>
    <w:link w:val="HeaderChar"/>
    <w:uiPriority w:val="99"/>
    <w:unhideWhenUsed/>
    <w:rsid w:val="00173800"/>
    <w:pPr>
      <w:tabs>
        <w:tab w:val="center" w:pos="4680"/>
        <w:tab w:val="right" w:pos="9360"/>
      </w:tabs>
    </w:pPr>
  </w:style>
  <w:style w:type="character" w:customStyle="1" w:styleId="HeaderChar">
    <w:name w:val="Header Char"/>
    <w:basedOn w:val="DefaultParagraphFont"/>
    <w:link w:val="Header"/>
    <w:uiPriority w:val="99"/>
    <w:rsid w:val="00173800"/>
    <w:rPr>
      <w:rFonts w:ascii="Calibri" w:hAnsi="Calibri" w:cs="Times New Roman"/>
    </w:rPr>
  </w:style>
  <w:style w:type="paragraph" w:styleId="Footer">
    <w:name w:val="footer"/>
    <w:basedOn w:val="Normal"/>
    <w:link w:val="FooterChar"/>
    <w:uiPriority w:val="99"/>
    <w:unhideWhenUsed/>
    <w:rsid w:val="00173800"/>
    <w:pPr>
      <w:tabs>
        <w:tab w:val="center" w:pos="4680"/>
        <w:tab w:val="right" w:pos="9360"/>
      </w:tabs>
    </w:pPr>
  </w:style>
  <w:style w:type="character" w:customStyle="1" w:styleId="FooterChar">
    <w:name w:val="Footer Char"/>
    <w:basedOn w:val="DefaultParagraphFont"/>
    <w:link w:val="Footer"/>
    <w:uiPriority w:val="99"/>
    <w:rsid w:val="00173800"/>
    <w:rPr>
      <w:rFonts w:ascii="Calibri" w:hAnsi="Calibri" w:cs="Times New Roman"/>
    </w:rPr>
  </w:style>
  <w:style w:type="paragraph" w:styleId="BalloonText">
    <w:name w:val="Balloon Text"/>
    <w:basedOn w:val="Normal"/>
    <w:link w:val="BalloonTextChar"/>
    <w:uiPriority w:val="99"/>
    <w:semiHidden/>
    <w:unhideWhenUsed/>
    <w:rsid w:val="0099599B"/>
    <w:rPr>
      <w:rFonts w:ascii="Tahoma" w:hAnsi="Tahoma" w:cs="Tahoma"/>
      <w:sz w:val="16"/>
      <w:szCs w:val="16"/>
    </w:rPr>
  </w:style>
  <w:style w:type="character" w:customStyle="1" w:styleId="BalloonTextChar">
    <w:name w:val="Balloon Text Char"/>
    <w:basedOn w:val="DefaultParagraphFont"/>
    <w:link w:val="BalloonText"/>
    <w:uiPriority w:val="99"/>
    <w:semiHidden/>
    <w:rsid w:val="0099599B"/>
    <w:rPr>
      <w:rFonts w:ascii="Tahoma" w:hAnsi="Tahoma" w:cs="Tahoma"/>
      <w:sz w:val="16"/>
      <w:szCs w:val="16"/>
    </w:rPr>
  </w:style>
  <w:style w:type="paragraph" w:styleId="NormalWeb">
    <w:name w:val="Normal (Web)"/>
    <w:basedOn w:val="Normal"/>
    <w:uiPriority w:val="99"/>
    <w:unhideWhenUsed/>
    <w:rsid w:val="00D57296"/>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D57296"/>
    <w:rPr>
      <w:b/>
      <w:bCs/>
    </w:rPr>
  </w:style>
  <w:style w:type="paragraph" w:styleId="Quote">
    <w:name w:val="Quote"/>
    <w:basedOn w:val="Normal"/>
    <w:next w:val="Normal"/>
    <w:link w:val="QuoteChar"/>
    <w:uiPriority w:val="29"/>
    <w:qFormat/>
    <w:rsid w:val="008F2C94"/>
    <w:pPr>
      <w:spacing w:after="200" w:line="276" w:lineRule="auto"/>
    </w:pPr>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8F2C94"/>
    <w:rPr>
      <w:rFonts w:eastAsiaTheme="minorEastAsia"/>
      <w:i/>
      <w:iCs/>
      <w:color w:val="000000" w:themeColor="text1"/>
      <w:lang w:eastAsia="ja-JP"/>
    </w:rPr>
  </w:style>
  <w:style w:type="paragraph" w:customStyle="1" w:styleId="Default">
    <w:name w:val="Default"/>
    <w:rsid w:val="002111C4"/>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2111C4"/>
    <w:rPr>
      <w:sz w:val="16"/>
      <w:szCs w:val="16"/>
    </w:rPr>
  </w:style>
  <w:style w:type="paragraph" w:styleId="CommentText">
    <w:name w:val="annotation text"/>
    <w:basedOn w:val="Normal"/>
    <w:link w:val="CommentTextChar"/>
    <w:uiPriority w:val="99"/>
    <w:semiHidden/>
    <w:unhideWhenUsed/>
    <w:rsid w:val="002111C4"/>
    <w:rPr>
      <w:sz w:val="20"/>
      <w:szCs w:val="20"/>
    </w:rPr>
  </w:style>
  <w:style w:type="character" w:customStyle="1" w:styleId="CommentTextChar">
    <w:name w:val="Comment Text Char"/>
    <w:basedOn w:val="DefaultParagraphFont"/>
    <w:link w:val="CommentText"/>
    <w:uiPriority w:val="99"/>
    <w:semiHidden/>
    <w:rsid w:val="002111C4"/>
    <w:rPr>
      <w:rFonts w:ascii="Calibri" w:hAnsi="Calibri" w:cs="Times New Roman"/>
      <w:sz w:val="20"/>
      <w:szCs w:val="20"/>
    </w:rPr>
  </w:style>
  <w:style w:type="paragraph" w:styleId="FootnoteText">
    <w:name w:val="footnote text"/>
    <w:basedOn w:val="Normal"/>
    <w:link w:val="FootnoteTextChar"/>
    <w:uiPriority w:val="99"/>
    <w:semiHidden/>
    <w:unhideWhenUsed/>
    <w:rsid w:val="003C6BE4"/>
    <w:rPr>
      <w:sz w:val="20"/>
      <w:szCs w:val="20"/>
    </w:rPr>
  </w:style>
  <w:style w:type="character" w:customStyle="1" w:styleId="FootnoteTextChar">
    <w:name w:val="Footnote Text Char"/>
    <w:basedOn w:val="DefaultParagraphFont"/>
    <w:link w:val="FootnoteText"/>
    <w:uiPriority w:val="99"/>
    <w:semiHidden/>
    <w:rsid w:val="003C6BE4"/>
    <w:rPr>
      <w:rFonts w:ascii="Calibri" w:hAnsi="Calibri" w:cs="Times New Roman"/>
      <w:sz w:val="20"/>
      <w:szCs w:val="20"/>
    </w:rPr>
  </w:style>
  <w:style w:type="character" w:styleId="FootnoteReference">
    <w:name w:val="footnote reference"/>
    <w:basedOn w:val="DefaultParagraphFont"/>
    <w:uiPriority w:val="99"/>
    <w:semiHidden/>
    <w:unhideWhenUsed/>
    <w:rsid w:val="003C6BE4"/>
    <w:rPr>
      <w:vertAlign w:val="superscript"/>
    </w:rPr>
  </w:style>
  <w:style w:type="paragraph" w:styleId="NoSpacing">
    <w:name w:val="No Spacing"/>
    <w:uiPriority w:val="1"/>
    <w:qFormat/>
    <w:rsid w:val="00577713"/>
    <w:pPr>
      <w:spacing w:after="0" w:line="240" w:lineRule="auto"/>
    </w:pPr>
  </w:style>
  <w:style w:type="table" w:styleId="LightShading-Accent5">
    <w:name w:val="Light Shading Accent 5"/>
    <w:basedOn w:val="TableNormal"/>
    <w:uiPriority w:val="60"/>
    <w:rsid w:val="005777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2Char">
    <w:name w:val="Heading 2 Char"/>
    <w:basedOn w:val="DefaultParagraphFont"/>
    <w:link w:val="Heading2"/>
    <w:uiPriority w:val="9"/>
    <w:rsid w:val="00577713"/>
    <w:rPr>
      <w:rFonts w:ascii="Times New Roman" w:eastAsia="Times New Roman" w:hAnsi="Times New Roman" w:cs="Times New Roman"/>
      <w:b/>
      <w:bCs/>
      <w:sz w:val="36"/>
      <w:szCs w:val="36"/>
    </w:rPr>
  </w:style>
  <w:style w:type="character" w:styleId="Emphasis">
    <w:name w:val="Emphasis"/>
    <w:basedOn w:val="DefaultParagraphFont"/>
    <w:uiPriority w:val="20"/>
    <w:qFormat/>
    <w:rsid w:val="00577713"/>
    <w:rPr>
      <w:i/>
      <w:iCs/>
    </w:rPr>
  </w:style>
  <w:style w:type="character" w:customStyle="1" w:styleId="Heading1Char">
    <w:name w:val="Heading 1 Char"/>
    <w:basedOn w:val="DefaultParagraphFont"/>
    <w:link w:val="Heading1"/>
    <w:uiPriority w:val="9"/>
    <w:rsid w:val="00734D3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34D36"/>
    <w:pPr>
      <w:spacing w:line="276" w:lineRule="auto"/>
      <w:outlineLvl w:val="9"/>
    </w:pPr>
    <w:rPr>
      <w:lang w:eastAsia="ja-JP"/>
    </w:rPr>
  </w:style>
  <w:style w:type="paragraph" w:styleId="TOC1">
    <w:name w:val="toc 1"/>
    <w:basedOn w:val="Normal"/>
    <w:next w:val="Normal"/>
    <w:autoRedefine/>
    <w:uiPriority w:val="39"/>
    <w:unhideWhenUsed/>
    <w:rsid w:val="00161C9B"/>
    <w:pPr>
      <w:tabs>
        <w:tab w:val="right" w:leader="dot" w:pos="9350"/>
      </w:tabs>
      <w:spacing w:after="100"/>
    </w:pPr>
    <w:rPr>
      <w:noProof/>
    </w:rPr>
  </w:style>
  <w:style w:type="paragraph" w:styleId="TOC2">
    <w:name w:val="toc 2"/>
    <w:basedOn w:val="Normal"/>
    <w:next w:val="Normal"/>
    <w:autoRedefine/>
    <w:uiPriority w:val="39"/>
    <w:unhideWhenUsed/>
    <w:rsid w:val="00734D36"/>
    <w:pPr>
      <w:spacing w:after="100"/>
      <w:ind w:left="220"/>
    </w:pPr>
  </w:style>
  <w:style w:type="paragraph" w:styleId="CommentSubject">
    <w:name w:val="annotation subject"/>
    <w:basedOn w:val="CommentText"/>
    <w:next w:val="CommentText"/>
    <w:link w:val="CommentSubjectChar"/>
    <w:uiPriority w:val="99"/>
    <w:semiHidden/>
    <w:unhideWhenUsed/>
    <w:rsid w:val="00FC30B3"/>
    <w:rPr>
      <w:b/>
      <w:bCs/>
    </w:rPr>
  </w:style>
  <w:style w:type="character" w:customStyle="1" w:styleId="CommentSubjectChar">
    <w:name w:val="Comment Subject Char"/>
    <w:basedOn w:val="CommentTextChar"/>
    <w:link w:val="CommentSubject"/>
    <w:uiPriority w:val="99"/>
    <w:semiHidden/>
    <w:rsid w:val="00FC30B3"/>
    <w:rPr>
      <w:rFonts w:ascii="Calibri" w:hAnsi="Calibri" w:cs="Times New Roman"/>
      <w:b/>
      <w:bCs/>
      <w:sz w:val="20"/>
      <w:szCs w:val="20"/>
    </w:rPr>
  </w:style>
  <w:style w:type="paragraph" w:styleId="EndnoteText">
    <w:name w:val="endnote text"/>
    <w:basedOn w:val="Normal"/>
    <w:link w:val="EndnoteTextChar"/>
    <w:uiPriority w:val="99"/>
    <w:semiHidden/>
    <w:unhideWhenUsed/>
    <w:rsid w:val="006E6136"/>
    <w:rPr>
      <w:sz w:val="20"/>
      <w:szCs w:val="20"/>
    </w:rPr>
  </w:style>
  <w:style w:type="character" w:customStyle="1" w:styleId="EndnoteTextChar">
    <w:name w:val="Endnote Text Char"/>
    <w:basedOn w:val="DefaultParagraphFont"/>
    <w:link w:val="EndnoteText"/>
    <w:uiPriority w:val="99"/>
    <w:semiHidden/>
    <w:rsid w:val="006E6136"/>
    <w:rPr>
      <w:rFonts w:ascii="Calibri" w:hAnsi="Calibri" w:cs="Times New Roman"/>
      <w:sz w:val="20"/>
      <w:szCs w:val="20"/>
    </w:rPr>
  </w:style>
  <w:style w:type="character" w:styleId="EndnoteReference">
    <w:name w:val="endnote reference"/>
    <w:basedOn w:val="DefaultParagraphFont"/>
    <w:uiPriority w:val="99"/>
    <w:semiHidden/>
    <w:unhideWhenUsed/>
    <w:rsid w:val="006E6136"/>
    <w:rPr>
      <w:vertAlign w:val="superscript"/>
    </w:rPr>
  </w:style>
  <w:style w:type="table" w:styleId="TableGrid">
    <w:name w:val="Table Grid"/>
    <w:basedOn w:val="TableNormal"/>
    <w:uiPriority w:val="59"/>
    <w:rsid w:val="0020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6AED"/>
    <w:rPr>
      <w:color w:val="800080" w:themeColor="followedHyperlink"/>
      <w:u w:val="single"/>
    </w:rPr>
  </w:style>
  <w:style w:type="paragraph" w:styleId="Caption">
    <w:name w:val="caption"/>
    <w:basedOn w:val="Normal"/>
    <w:next w:val="Normal"/>
    <w:uiPriority w:val="35"/>
    <w:unhideWhenUsed/>
    <w:qFormat/>
    <w:rsid w:val="00966AED"/>
    <w:pPr>
      <w:spacing w:after="200"/>
    </w:pPr>
    <w:rPr>
      <w:b/>
      <w:bCs/>
      <w:color w:val="4F81BD" w:themeColor="accent1"/>
      <w:sz w:val="18"/>
      <w:szCs w:val="18"/>
    </w:rPr>
  </w:style>
  <w:style w:type="character" w:styleId="HTMLCite">
    <w:name w:val="HTML Cite"/>
    <w:basedOn w:val="DefaultParagraphFont"/>
    <w:uiPriority w:val="99"/>
    <w:semiHidden/>
    <w:unhideWhenUsed/>
    <w:rsid w:val="00966AED"/>
    <w:rPr>
      <w:i/>
      <w:iCs/>
    </w:rPr>
  </w:style>
  <w:style w:type="paragraph" w:customStyle="1" w:styleId="paragraph">
    <w:name w:val="paragraph"/>
    <w:basedOn w:val="Normal"/>
    <w:rsid w:val="00163869"/>
    <w:rPr>
      <w:rFonts w:ascii="Times New Roman" w:eastAsia="Times New Roman" w:hAnsi="Times New Roman"/>
      <w:sz w:val="24"/>
      <w:szCs w:val="24"/>
    </w:rPr>
  </w:style>
  <w:style w:type="character" w:customStyle="1" w:styleId="normaltextrun1">
    <w:name w:val="normaltextrun1"/>
    <w:basedOn w:val="DefaultParagraphFont"/>
    <w:rsid w:val="00163869"/>
    <w:rPr>
      <w:rFonts w:cs="Times New Roman"/>
    </w:rPr>
  </w:style>
  <w:style w:type="character" w:customStyle="1" w:styleId="eop">
    <w:name w:val="eop"/>
    <w:basedOn w:val="DefaultParagraphFont"/>
    <w:rsid w:val="00163869"/>
    <w:rPr>
      <w:rFonts w:cs="Times New Roman"/>
    </w:rPr>
  </w:style>
  <w:style w:type="paragraph" w:styleId="PlainText">
    <w:name w:val="Plain Text"/>
    <w:basedOn w:val="Normal"/>
    <w:link w:val="PlainTextChar"/>
    <w:uiPriority w:val="99"/>
    <w:unhideWhenUsed/>
    <w:rsid w:val="00163869"/>
    <w:rPr>
      <w:rFonts w:eastAsia="Times New Roman"/>
      <w:szCs w:val="21"/>
    </w:rPr>
  </w:style>
  <w:style w:type="character" w:customStyle="1" w:styleId="PlainTextChar">
    <w:name w:val="Plain Text Char"/>
    <w:basedOn w:val="DefaultParagraphFont"/>
    <w:link w:val="PlainText"/>
    <w:uiPriority w:val="99"/>
    <w:rsid w:val="00163869"/>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C0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34D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7713"/>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C0E"/>
    <w:pPr>
      <w:ind w:left="720"/>
    </w:pPr>
  </w:style>
  <w:style w:type="paragraph" w:styleId="Title">
    <w:name w:val="Title"/>
    <w:basedOn w:val="Normal"/>
    <w:next w:val="Normal"/>
    <w:link w:val="TitleChar"/>
    <w:uiPriority w:val="10"/>
    <w:qFormat/>
    <w:rsid w:val="00FC38A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FC38AA"/>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FC38AA"/>
    <w:rPr>
      <w:color w:val="0000FF" w:themeColor="hyperlink"/>
      <w:u w:val="single"/>
    </w:rPr>
  </w:style>
  <w:style w:type="paragraph" w:styleId="Header">
    <w:name w:val="header"/>
    <w:basedOn w:val="Normal"/>
    <w:link w:val="HeaderChar"/>
    <w:uiPriority w:val="99"/>
    <w:unhideWhenUsed/>
    <w:rsid w:val="00173800"/>
    <w:pPr>
      <w:tabs>
        <w:tab w:val="center" w:pos="4680"/>
        <w:tab w:val="right" w:pos="9360"/>
      </w:tabs>
    </w:pPr>
  </w:style>
  <w:style w:type="character" w:customStyle="1" w:styleId="HeaderChar">
    <w:name w:val="Header Char"/>
    <w:basedOn w:val="DefaultParagraphFont"/>
    <w:link w:val="Header"/>
    <w:uiPriority w:val="99"/>
    <w:rsid w:val="00173800"/>
    <w:rPr>
      <w:rFonts w:ascii="Calibri" w:hAnsi="Calibri" w:cs="Times New Roman"/>
    </w:rPr>
  </w:style>
  <w:style w:type="paragraph" w:styleId="Footer">
    <w:name w:val="footer"/>
    <w:basedOn w:val="Normal"/>
    <w:link w:val="FooterChar"/>
    <w:uiPriority w:val="99"/>
    <w:unhideWhenUsed/>
    <w:rsid w:val="00173800"/>
    <w:pPr>
      <w:tabs>
        <w:tab w:val="center" w:pos="4680"/>
        <w:tab w:val="right" w:pos="9360"/>
      </w:tabs>
    </w:pPr>
  </w:style>
  <w:style w:type="character" w:customStyle="1" w:styleId="FooterChar">
    <w:name w:val="Footer Char"/>
    <w:basedOn w:val="DefaultParagraphFont"/>
    <w:link w:val="Footer"/>
    <w:uiPriority w:val="99"/>
    <w:rsid w:val="00173800"/>
    <w:rPr>
      <w:rFonts w:ascii="Calibri" w:hAnsi="Calibri" w:cs="Times New Roman"/>
    </w:rPr>
  </w:style>
  <w:style w:type="paragraph" w:styleId="BalloonText">
    <w:name w:val="Balloon Text"/>
    <w:basedOn w:val="Normal"/>
    <w:link w:val="BalloonTextChar"/>
    <w:uiPriority w:val="99"/>
    <w:semiHidden/>
    <w:unhideWhenUsed/>
    <w:rsid w:val="0099599B"/>
    <w:rPr>
      <w:rFonts w:ascii="Tahoma" w:hAnsi="Tahoma" w:cs="Tahoma"/>
      <w:sz w:val="16"/>
      <w:szCs w:val="16"/>
    </w:rPr>
  </w:style>
  <w:style w:type="character" w:customStyle="1" w:styleId="BalloonTextChar">
    <w:name w:val="Balloon Text Char"/>
    <w:basedOn w:val="DefaultParagraphFont"/>
    <w:link w:val="BalloonText"/>
    <w:uiPriority w:val="99"/>
    <w:semiHidden/>
    <w:rsid w:val="0099599B"/>
    <w:rPr>
      <w:rFonts w:ascii="Tahoma" w:hAnsi="Tahoma" w:cs="Tahoma"/>
      <w:sz w:val="16"/>
      <w:szCs w:val="16"/>
    </w:rPr>
  </w:style>
  <w:style w:type="paragraph" w:styleId="NormalWeb">
    <w:name w:val="Normal (Web)"/>
    <w:basedOn w:val="Normal"/>
    <w:uiPriority w:val="99"/>
    <w:unhideWhenUsed/>
    <w:rsid w:val="00D57296"/>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D57296"/>
    <w:rPr>
      <w:b/>
      <w:bCs/>
    </w:rPr>
  </w:style>
  <w:style w:type="paragraph" w:styleId="Quote">
    <w:name w:val="Quote"/>
    <w:basedOn w:val="Normal"/>
    <w:next w:val="Normal"/>
    <w:link w:val="QuoteChar"/>
    <w:uiPriority w:val="29"/>
    <w:qFormat/>
    <w:rsid w:val="008F2C94"/>
    <w:pPr>
      <w:spacing w:after="200" w:line="276" w:lineRule="auto"/>
    </w:pPr>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8F2C94"/>
    <w:rPr>
      <w:rFonts w:eastAsiaTheme="minorEastAsia"/>
      <w:i/>
      <w:iCs/>
      <w:color w:val="000000" w:themeColor="text1"/>
      <w:lang w:eastAsia="ja-JP"/>
    </w:rPr>
  </w:style>
  <w:style w:type="paragraph" w:customStyle="1" w:styleId="Default">
    <w:name w:val="Default"/>
    <w:rsid w:val="002111C4"/>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2111C4"/>
    <w:rPr>
      <w:sz w:val="16"/>
      <w:szCs w:val="16"/>
    </w:rPr>
  </w:style>
  <w:style w:type="paragraph" w:styleId="CommentText">
    <w:name w:val="annotation text"/>
    <w:basedOn w:val="Normal"/>
    <w:link w:val="CommentTextChar"/>
    <w:uiPriority w:val="99"/>
    <w:semiHidden/>
    <w:unhideWhenUsed/>
    <w:rsid w:val="002111C4"/>
    <w:rPr>
      <w:sz w:val="20"/>
      <w:szCs w:val="20"/>
    </w:rPr>
  </w:style>
  <w:style w:type="character" w:customStyle="1" w:styleId="CommentTextChar">
    <w:name w:val="Comment Text Char"/>
    <w:basedOn w:val="DefaultParagraphFont"/>
    <w:link w:val="CommentText"/>
    <w:uiPriority w:val="99"/>
    <w:semiHidden/>
    <w:rsid w:val="002111C4"/>
    <w:rPr>
      <w:rFonts w:ascii="Calibri" w:hAnsi="Calibri" w:cs="Times New Roman"/>
      <w:sz w:val="20"/>
      <w:szCs w:val="20"/>
    </w:rPr>
  </w:style>
  <w:style w:type="paragraph" w:styleId="FootnoteText">
    <w:name w:val="footnote text"/>
    <w:basedOn w:val="Normal"/>
    <w:link w:val="FootnoteTextChar"/>
    <w:uiPriority w:val="99"/>
    <w:semiHidden/>
    <w:unhideWhenUsed/>
    <w:rsid w:val="003C6BE4"/>
    <w:rPr>
      <w:sz w:val="20"/>
      <w:szCs w:val="20"/>
    </w:rPr>
  </w:style>
  <w:style w:type="character" w:customStyle="1" w:styleId="FootnoteTextChar">
    <w:name w:val="Footnote Text Char"/>
    <w:basedOn w:val="DefaultParagraphFont"/>
    <w:link w:val="FootnoteText"/>
    <w:uiPriority w:val="99"/>
    <w:semiHidden/>
    <w:rsid w:val="003C6BE4"/>
    <w:rPr>
      <w:rFonts w:ascii="Calibri" w:hAnsi="Calibri" w:cs="Times New Roman"/>
      <w:sz w:val="20"/>
      <w:szCs w:val="20"/>
    </w:rPr>
  </w:style>
  <w:style w:type="character" w:styleId="FootnoteReference">
    <w:name w:val="footnote reference"/>
    <w:basedOn w:val="DefaultParagraphFont"/>
    <w:uiPriority w:val="99"/>
    <w:semiHidden/>
    <w:unhideWhenUsed/>
    <w:rsid w:val="003C6BE4"/>
    <w:rPr>
      <w:vertAlign w:val="superscript"/>
    </w:rPr>
  </w:style>
  <w:style w:type="paragraph" w:styleId="NoSpacing">
    <w:name w:val="No Spacing"/>
    <w:uiPriority w:val="1"/>
    <w:qFormat/>
    <w:rsid w:val="00577713"/>
    <w:pPr>
      <w:spacing w:after="0" w:line="240" w:lineRule="auto"/>
    </w:pPr>
  </w:style>
  <w:style w:type="table" w:styleId="LightShading-Accent5">
    <w:name w:val="Light Shading Accent 5"/>
    <w:basedOn w:val="TableNormal"/>
    <w:uiPriority w:val="60"/>
    <w:rsid w:val="005777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2Char">
    <w:name w:val="Heading 2 Char"/>
    <w:basedOn w:val="DefaultParagraphFont"/>
    <w:link w:val="Heading2"/>
    <w:uiPriority w:val="9"/>
    <w:rsid w:val="00577713"/>
    <w:rPr>
      <w:rFonts w:ascii="Times New Roman" w:eastAsia="Times New Roman" w:hAnsi="Times New Roman" w:cs="Times New Roman"/>
      <w:b/>
      <w:bCs/>
      <w:sz w:val="36"/>
      <w:szCs w:val="36"/>
    </w:rPr>
  </w:style>
  <w:style w:type="character" w:styleId="Emphasis">
    <w:name w:val="Emphasis"/>
    <w:basedOn w:val="DefaultParagraphFont"/>
    <w:uiPriority w:val="20"/>
    <w:qFormat/>
    <w:rsid w:val="00577713"/>
    <w:rPr>
      <w:i/>
      <w:iCs/>
    </w:rPr>
  </w:style>
  <w:style w:type="character" w:customStyle="1" w:styleId="Heading1Char">
    <w:name w:val="Heading 1 Char"/>
    <w:basedOn w:val="DefaultParagraphFont"/>
    <w:link w:val="Heading1"/>
    <w:uiPriority w:val="9"/>
    <w:rsid w:val="00734D3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34D36"/>
    <w:pPr>
      <w:spacing w:line="276" w:lineRule="auto"/>
      <w:outlineLvl w:val="9"/>
    </w:pPr>
    <w:rPr>
      <w:lang w:eastAsia="ja-JP"/>
    </w:rPr>
  </w:style>
  <w:style w:type="paragraph" w:styleId="TOC1">
    <w:name w:val="toc 1"/>
    <w:basedOn w:val="Normal"/>
    <w:next w:val="Normal"/>
    <w:autoRedefine/>
    <w:uiPriority w:val="39"/>
    <w:unhideWhenUsed/>
    <w:rsid w:val="00161C9B"/>
    <w:pPr>
      <w:tabs>
        <w:tab w:val="right" w:leader="dot" w:pos="9350"/>
      </w:tabs>
      <w:spacing w:after="100"/>
    </w:pPr>
    <w:rPr>
      <w:noProof/>
    </w:rPr>
  </w:style>
  <w:style w:type="paragraph" w:styleId="TOC2">
    <w:name w:val="toc 2"/>
    <w:basedOn w:val="Normal"/>
    <w:next w:val="Normal"/>
    <w:autoRedefine/>
    <w:uiPriority w:val="39"/>
    <w:unhideWhenUsed/>
    <w:rsid w:val="00734D36"/>
    <w:pPr>
      <w:spacing w:after="100"/>
      <w:ind w:left="220"/>
    </w:pPr>
  </w:style>
  <w:style w:type="paragraph" w:styleId="CommentSubject">
    <w:name w:val="annotation subject"/>
    <w:basedOn w:val="CommentText"/>
    <w:next w:val="CommentText"/>
    <w:link w:val="CommentSubjectChar"/>
    <w:uiPriority w:val="99"/>
    <w:semiHidden/>
    <w:unhideWhenUsed/>
    <w:rsid w:val="00FC30B3"/>
    <w:rPr>
      <w:b/>
      <w:bCs/>
    </w:rPr>
  </w:style>
  <w:style w:type="character" w:customStyle="1" w:styleId="CommentSubjectChar">
    <w:name w:val="Comment Subject Char"/>
    <w:basedOn w:val="CommentTextChar"/>
    <w:link w:val="CommentSubject"/>
    <w:uiPriority w:val="99"/>
    <w:semiHidden/>
    <w:rsid w:val="00FC30B3"/>
    <w:rPr>
      <w:rFonts w:ascii="Calibri" w:hAnsi="Calibri" w:cs="Times New Roman"/>
      <w:b/>
      <w:bCs/>
      <w:sz w:val="20"/>
      <w:szCs w:val="20"/>
    </w:rPr>
  </w:style>
  <w:style w:type="paragraph" w:styleId="EndnoteText">
    <w:name w:val="endnote text"/>
    <w:basedOn w:val="Normal"/>
    <w:link w:val="EndnoteTextChar"/>
    <w:uiPriority w:val="99"/>
    <w:semiHidden/>
    <w:unhideWhenUsed/>
    <w:rsid w:val="006E6136"/>
    <w:rPr>
      <w:sz w:val="20"/>
      <w:szCs w:val="20"/>
    </w:rPr>
  </w:style>
  <w:style w:type="character" w:customStyle="1" w:styleId="EndnoteTextChar">
    <w:name w:val="Endnote Text Char"/>
    <w:basedOn w:val="DefaultParagraphFont"/>
    <w:link w:val="EndnoteText"/>
    <w:uiPriority w:val="99"/>
    <w:semiHidden/>
    <w:rsid w:val="006E6136"/>
    <w:rPr>
      <w:rFonts w:ascii="Calibri" w:hAnsi="Calibri" w:cs="Times New Roman"/>
      <w:sz w:val="20"/>
      <w:szCs w:val="20"/>
    </w:rPr>
  </w:style>
  <w:style w:type="character" w:styleId="EndnoteReference">
    <w:name w:val="endnote reference"/>
    <w:basedOn w:val="DefaultParagraphFont"/>
    <w:uiPriority w:val="99"/>
    <w:semiHidden/>
    <w:unhideWhenUsed/>
    <w:rsid w:val="006E6136"/>
    <w:rPr>
      <w:vertAlign w:val="superscript"/>
    </w:rPr>
  </w:style>
  <w:style w:type="table" w:styleId="TableGrid">
    <w:name w:val="Table Grid"/>
    <w:basedOn w:val="TableNormal"/>
    <w:uiPriority w:val="59"/>
    <w:rsid w:val="0020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6AED"/>
    <w:rPr>
      <w:color w:val="800080" w:themeColor="followedHyperlink"/>
      <w:u w:val="single"/>
    </w:rPr>
  </w:style>
  <w:style w:type="paragraph" w:styleId="Caption">
    <w:name w:val="caption"/>
    <w:basedOn w:val="Normal"/>
    <w:next w:val="Normal"/>
    <w:uiPriority w:val="35"/>
    <w:unhideWhenUsed/>
    <w:qFormat/>
    <w:rsid w:val="00966AED"/>
    <w:pPr>
      <w:spacing w:after="200"/>
    </w:pPr>
    <w:rPr>
      <w:b/>
      <w:bCs/>
      <w:color w:val="4F81BD" w:themeColor="accent1"/>
      <w:sz w:val="18"/>
      <w:szCs w:val="18"/>
    </w:rPr>
  </w:style>
  <w:style w:type="character" w:styleId="HTMLCite">
    <w:name w:val="HTML Cite"/>
    <w:basedOn w:val="DefaultParagraphFont"/>
    <w:uiPriority w:val="99"/>
    <w:semiHidden/>
    <w:unhideWhenUsed/>
    <w:rsid w:val="00966AED"/>
    <w:rPr>
      <w:i/>
      <w:iCs/>
    </w:rPr>
  </w:style>
  <w:style w:type="paragraph" w:customStyle="1" w:styleId="paragraph">
    <w:name w:val="paragraph"/>
    <w:basedOn w:val="Normal"/>
    <w:rsid w:val="00163869"/>
    <w:rPr>
      <w:rFonts w:ascii="Times New Roman" w:eastAsia="Times New Roman" w:hAnsi="Times New Roman"/>
      <w:sz w:val="24"/>
      <w:szCs w:val="24"/>
    </w:rPr>
  </w:style>
  <w:style w:type="character" w:customStyle="1" w:styleId="normaltextrun1">
    <w:name w:val="normaltextrun1"/>
    <w:basedOn w:val="DefaultParagraphFont"/>
    <w:rsid w:val="00163869"/>
    <w:rPr>
      <w:rFonts w:cs="Times New Roman"/>
    </w:rPr>
  </w:style>
  <w:style w:type="character" w:customStyle="1" w:styleId="eop">
    <w:name w:val="eop"/>
    <w:basedOn w:val="DefaultParagraphFont"/>
    <w:rsid w:val="00163869"/>
    <w:rPr>
      <w:rFonts w:cs="Times New Roman"/>
    </w:rPr>
  </w:style>
  <w:style w:type="paragraph" w:styleId="PlainText">
    <w:name w:val="Plain Text"/>
    <w:basedOn w:val="Normal"/>
    <w:link w:val="PlainTextChar"/>
    <w:uiPriority w:val="99"/>
    <w:unhideWhenUsed/>
    <w:rsid w:val="00163869"/>
    <w:rPr>
      <w:rFonts w:eastAsia="Times New Roman"/>
      <w:szCs w:val="21"/>
    </w:rPr>
  </w:style>
  <w:style w:type="character" w:customStyle="1" w:styleId="PlainTextChar">
    <w:name w:val="Plain Text Char"/>
    <w:basedOn w:val="DefaultParagraphFont"/>
    <w:link w:val="PlainText"/>
    <w:uiPriority w:val="99"/>
    <w:rsid w:val="00163869"/>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754">
      <w:bodyDiv w:val="1"/>
      <w:marLeft w:val="0"/>
      <w:marRight w:val="0"/>
      <w:marTop w:val="0"/>
      <w:marBottom w:val="0"/>
      <w:divBdr>
        <w:top w:val="none" w:sz="0" w:space="0" w:color="auto"/>
        <w:left w:val="none" w:sz="0" w:space="0" w:color="auto"/>
        <w:bottom w:val="none" w:sz="0" w:space="0" w:color="auto"/>
        <w:right w:val="none" w:sz="0" w:space="0" w:color="auto"/>
      </w:divBdr>
      <w:divsChild>
        <w:div w:id="1702854101">
          <w:marLeft w:val="547"/>
          <w:marRight w:val="0"/>
          <w:marTop w:val="0"/>
          <w:marBottom w:val="0"/>
          <w:divBdr>
            <w:top w:val="none" w:sz="0" w:space="0" w:color="auto"/>
            <w:left w:val="none" w:sz="0" w:space="0" w:color="auto"/>
            <w:bottom w:val="none" w:sz="0" w:space="0" w:color="auto"/>
            <w:right w:val="none" w:sz="0" w:space="0" w:color="auto"/>
          </w:divBdr>
        </w:div>
      </w:divsChild>
    </w:div>
    <w:div w:id="124155223">
      <w:bodyDiv w:val="1"/>
      <w:marLeft w:val="0"/>
      <w:marRight w:val="0"/>
      <w:marTop w:val="0"/>
      <w:marBottom w:val="0"/>
      <w:divBdr>
        <w:top w:val="none" w:sz="0" w:space="0" w:color="auto"/>
        <w:left w:val="none" w:sz="0" w:space="0" w:color="auto"/>
        <w:bottom w:val="none" w:sz="0" w:space="0" w:color="auto"/>
        <w:right w:val="none" w:sz="0" w:space="0" w:color="auto"/>
      </w:divBdr>
      <w:divsChild>
        <w:div w:id="2144035051">
          <w:marLeft w:val="0"/>
          <w:marRight w:val="0"/>
          <w:marTop w:val="0"/>
          <w:marBottom w:val="0"/>
          <w:divBdr>
            <w:top w:val="none" w:sz="0" w:space="0" w:color="auto"/>
            <w:left w:val="none" w:sz="0" w:space="0" w:color="auto"/>
            <w:bottom w:val="none" w:sz="0" w:space="0" w:color="auto"/>
            <w:right w:val="none" w:sz="0" w:space="0" w:color="auto"/>
          </w:divBdr>
        </w:div>
        <w:div w:id="1119452572">
          <w:marLeft w:val="0"/>
          <w:marRight w:val="0"/>
          <w:marTop w:val="0"/>
          <w:marBottom w:val="0"/>
          <w:divBdr>
            <w:top w:val="none" w:sz="0" w:space="0" w:color="auto"/>
            <w:left w:val="none" w:sz="0" w:space="0" w:color="auto"/>
            <w:bottom w:val="none" w:sz="0" w:space="0" w:color="auto"/>
            <w:right w:val="none" w:sz="0" w:space="0" w:color="auto"/>
          </w:divBdr>
        </w:div>
      </w:divsChild>
    </w:div>
    <w:div w:id="280188464">
      <w:bodyDiv w:val="1"/>
      <w:marLeft w:val="0"/>
      <w:marRight w:val="0"/>
      <w:marTop w:val="0"/>
      <w:marBottom w:val="0"/>
      <w:divBdr>
        <w:top w:val="none" w:sz="0" w:space="0" w:color="auto"/>
        <w:left w:val="none" w:sz="0" w:space="0" w:color="auto"/>
        <w:bottom w:val="none" w:sz="0" w:space="0" w:color="auto"/>
        <w:right w:val="none" w:sz="0" w:space="0" w:color="auto"/>
      </w:divBdr>
    </w:div>
    <w:div w:id="333848794">
      <w:bodyDiv w:val="1"/>
      <w:marLeft w:val="0"/>
      <w:marRight w:val="0"/>
      <w:marTop w:val="0"/>
      <w:marBottom w:val="0"/>
      <w:divBdr>
        <w:top w:val="none" w:sz="0" w:space="0" w:color="auto"/>
        <w:left w:val="none" w:sz="0" w:space="0" w:color="auto"/>
        <w:bottom w:val="none" w:sz="0" w:space="0" w:color="auto"/>
        <w:right w:val="none" w:sz="0" w:space="0" w:color="auto"/>
      </w:divBdr>
    </w:div>
    <w:div w:id="520628546">
      <w:bodyDiv w:val="1"/>
      <w:marLeft w:val="0"/>
      <w:marRight w:val="0"/>
      <w:marTop w:val="0"/>
      <w:marBottom w:val="0"/>
      <w:divBdr>
        <w:top w:val="none" w:sz="0" w:space="0" w:color="auto"/>
        <w:left w:val="none" w:sz="0" w:space="0" w:color="auto"/>
        <w:bottom w:val="none" w:sz="0" w:space="0" w:color="auto"/>
        <w:right w:val="none" w:sz="0" w:space="0" w:color="auto"/>
      </w:divBdr>
    </w:div>
    <w:div w:id="776295717">
      <w:bodyDiv w:val="1"/>
      <w:marLeft w:val="0"/>
      <w:marRight w:val="0"/>
      <w:marTop w:val="0"/>
      <w:marBottom w:val="0"/>
      <w:divBdr>
        <w:top w:val="none" w:sz="0" w:space="0" w:color="auto"/>
        <w:left w:val="none" w:sz="0" w:space="0" w:color="auto"/>
        <w:bottom w:val="none" w:sz="0" w:space="0" w:color="auto"/>
        <w:right w:val="none" w:sz="0" w:space="0" w:color="auto"/>
      </w:divBdr>
      <w:divsChild>
        <w:div w:id="524171339">
          <w:marLeft w:val="547"/>
          <w:marRight w:val="0"/>
          <w:marTop w:val="0"/>
          <w:marBottom w:val="0"/>
          <w:divBdr>
            <w:top w:val="none" w:sz="0" w:space="0" w:color="auto"/>
            <w:left w:val="none" w:sz="0" w:space="0" w:color="auto"/>
            <w:bottom w:val="none" w:sz="0" w:space="0" w:color="auto"/>
            <w:right w:val="none" w:sz="0" w:space="0" w:color="auto"/>
          </w:divBdr>
        </w:div>
      </w:divsChild>
    </w:div>
    <w:div w:id="1080325630">
      <w:bodyDiv w:val="1"/>
      <w:marLeft w:val="0"/>
      <w:marRight w:val="0"/>
      <w:marTop w:val="0"/>
      <w:marBottom w:val="0"/>
      <w:divBdr>
        <w:top w:val="none" w:sz="0" w:space="0" w:color="auto"/>
        <w:left w:val="none" w:sz="0" w:space="0" w:color="auto"/>
        <w:bottom w:val="none" w:sz="0" w:space="0" w:color="auto"/>
        <w:right w:val="none" w:sz="0" w:space="0" w:color="auto"/>
      </w:divBdr>
    </w:div>
    <w:div w:id="1108620965">
      <w:bodyDiv w:val="1"/>
      <w:marLeft w:val="0"/>
      <w:marRight w:val="0"/>
      <w:marTop w:val="0"/>
      <w:marBottom w:val="0"/>
      <w:divBdr>
        <w:top w:val="none" w:sz="0" w:space="0" w:color="auto"/>
        <w:left w:val="none" w:sz="0" w:space="0" w:color="auto"/>
        <w:bottom w:val="none" w:sz="0" w:space="0" w:color="auto"/>
        <w:right w:val="none" w:sz="0" w:space="0" w:color="auto"/>
      </w:divBdr>
      <w:divsChild>
        <w:div w:id="1858039727">
          <w:marLeft w:val="547"/>
          <w:marRight w:val="0"/>
          <w:marTop w:val="0"/>
          <w:marBottom w:val="0"/>
          <w:divBdr>
            <w:top w:val="none" w:sz="0" w:space="0" w:color="auto"/>
            <w:left w:val="none" w:sz="0" w:space="0" w:color="auto"/>
            <w:bottom w:val="none" w:sz="0" w:space="0" w:color="auto"/>
            <w:right w:val="none" w:sz="0" w:space="0" w:color="auto"/>
          </w:divBdr>
        </w:div>
        <w:div w:id="998658409">
          <w:marLeft w:val="547"/>
          <w:marRight w:val="0"/>
          <w:marTop w:val="0"/>
          <w:marBottom w:val="0"/>
          <w:divBdr>
            <w:top w:val="none" w:sz="0" w:space="0" w:color="auto"/>
            <w:left w:val="none" w:sz="0" w:space="0" w:color="auto"/>
            <w:bottom w:val="none" w:sz="0" w:space="0" w:color="auto"/>
            <w:right w:val="none" w:sz="0" w:space="0" w:color="auto"/>
          </w:divBdr>
        </w:div>
      </w:divsChild>
    </w:div>
    <w:div w:id="1124151571">
      <w:bodyDiv w:val="1"/>
      <w:marLeft w:val="0"/>
      <w:marRight w:val="0"/>
      <w:marTop w:val="0"/>
      <w:marBottom w:val="0"/>
      <w:divBdr>
        <w:top w:val="none" w:sz="0" w:space="0" w:color="auto"/>
        <w:left w:val="none" w:sz="0" w:space="0" w:color="auto"/>
        <w:bottom w:val="none" w:sz="0" w:space="0" w:color="auto"/>
        <w:right w:val="none" w:sz="0" w:space="0" w:color="auto"/>
      </w:divBdr>
    </w:div>
    <w:div w:id="1312633400">
      <w:bodyDiv w:val="1"/>
      <w:marLeft w:val="0"/>
      <w:marRight w:val="0"/>
      <w:marTop w:val="0"/>
      <w:marBottom w:val="0"/>
      <w:divBdr>
        <w:top w:val="none" w:sz="0" w:space="0" w:color="auto"/>
        <w:left w:val="none" w:sz="0" w:space="0" w:color="auto"/>
        <w:bottom w:val="none" w:sz="0" w:space="0" w:color="auto"/>
        <w:right w:val="none" w:sz="0" w:space="0" w:color="auto"/>
      </w:divBdr>
    </w:div>
    <w:div w:id="1362974357">
      <w:bodyDiv w:val="1"/>
      <w:marLeft w:val="0"/>
      <w:marRight w:val="0"/>
      <w:marTop w:val="0"/>
      <w:marBottom w:val="0"/>
      <w:divBdr>
        <w:top w:val="none" w:sz="0" w:space="0" w:color="auto"/>
        <w:left w:val="none" w:sz="0" w:space="0" w:color="auto"/>
        <w:bottom w:val="none" w:sz="0" w:space="0" w:color="auto"/>
        <w:right w:val="none" w:sz="0" w:space="0" w:color="auto"/>
      </w:divBdr>
    </w:div>
    <w:div w:id="1364792548">
      <w:bodyDiv w:val="1"/>
      <w:marLeft w:val="0"/>
      <w:marRight w:val="0"/>
      <w:marTop w:val="0"/>
      <w:marBottom w:val="0"/>
      <w:divBdr>
        <w:top w:val="none" w:sz="0" w:space="0" w:color="auto"/>
        <w:left w:val="none" w:sz="0" w:space="0" w:color="auto"/>
        <w:bottom w:val="none" w:sz="0" w:space="0" w:color="auto"/>
        <w:right w:val="none" w:sz="0" w:space="0" w:color="auto"/>
      </w:divBdr>
    </w:div>
    <w:div w:id="1389451655">
      <w:bodyDiv w:val="1"/>
      <w:marLeft w:val="0"/>
      <w:marRight w:val="0"/>
      <w:marTop w:val="0"/>
      <w:marBottom w:val="0"/>
      <w:divBdr>
        <w:top w:val="none" w:sz="0" w:space="0" w:color="auto"/>
        <w:left w:val="none" w:sz="0" w:space="0" w:color="auto"/>
        <w:bottom w:val="none" w:sz="0" w:space="0" w:color="auto"/>
        <w:right w:val="none" w:sz="0" w:space="0" w:color="auto"/>
      </w:divBdr>
    </w:div>
    <w:div w:id="1462378896">
      <w:bodyDiv w:val="1"/>
      <w:marLeft w:val="0"/>
      <w:marRight w:val="0"/>
      <w:marTop w:val="0"/>
      <w:marBottom w:val="0"/>
      <w:divBdr>
        <w:top w:val="none" w:sz="0" w:space="0" w:color="auto"/>
        <w:left w:val="none" w:sz="0" w:space="0" w:color="auto"/>
        <w:bottom w:val="none" w:sz="0" w:space="0" w:color="auto"/>
        <w:right w:val="none" w:sz="0" w:space="0" w:color="auto"/>
      </w:divBdr>
      <w:divsChild>
        <w:div w:id="122622316">
          <w:marLeft w:val="547"/>
          <w:marRight w:val="0"/>
          <w:marTop w:val="0"/>
          <w:marBottom w:val="0"/>
          <w:divBdr>
            <w:top w:val="none" w:sz="0" w:space="0" w:color="auto"/>
            <w:left w:val="none" w:sz="0" w:space="0" w:color="auto"/>
            <w:bottom w:val="none" w:sz="0" w:space="0" w:color="auto"/>
            <w:right w:val="none" w:sz="0" w:space="0" w:color="auto"/>
          </w:divBdr>
        </w:div>
      </w:divsChild>
    </w:div>
    <w:div w:id="1585457820">
      <w:bodyDiv w:val="1"/>
      <w:marLeft w:val="0"/>
      <w:marRight w:val="0"/>
      <w:marTop w:val="0"/>
      <w:marBottom w:val="0"/>
      <w:divBdr>
        <w:top w:val="none" w:sz="0" w:space="0" w:color="auto"/>
        <w:left w:val="none" w:sz="0" w:space="0" w:color="auto"/>
        <w:bottom w:val="none" w:sz="0" w:space="0" w:color="auto"/>
        <w:right w:val="none" w:sz="0" w:space="0" w:color="auto"/>
      </w:divBdr>
    </w:div>
    <w:div w:id="1687901737">
      <w:bodyDiv w:val="1"/>
      <w:marLeft w:val="0"/>
      <w:marRight w:val="0"/>
      <w:marTop w:val="0"/>
      <w:marBottom w:val="0"/>
      <w:divBdr>
        <w:top w:val="none" w:sz="0" w:space="0" w:color="auto"/>
        <w:left w:val="none" w:sz="0" w:space="0" w:color="auto"/>
        <w:bottom w:val="none" w:sz="0" w:space="0" w:color="auto"/>
        <w:right w:val="none" w:sz="0" w:space="0" w:color="auto"/>
      </w:divBdr>
    </w:div>
    <w:div w:id="211539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olrh" TargetMode="External"/><Relationship Id="rId18" Type="http://schemas.openxmlformats.org/officeDocument/2006/relationships/fontTable" Target="fontTable.xml"/><Relationship Id="rId3" Type="http://schemas.openxmlformats.org/officeDocument/2006/relationships/styles" Target="styles.xml"/><Relationship Id="rId47"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mass.gov/dph/olr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ocalRegionalPublicHealth@massmail.state.ma.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calRegionalPublicHealth@massmail.state.ma.us" TargetMode="External"/><Relationship Id="rId5" Type="http://schemas.openxmlformats.org/officeDocument/2006/relationships/settings" Target="settings.xml"/><Relationship Id="rId15" Type="http://schemas.openxmlformats.org/officeDocument/2006/relationships/image" Target="media/image1.jpeg"/><Relationship Id="rId49" Type="http://schemas.microsoft.com/office/2011/relationships/commentsExtended" Target="commentsExtended.xml"/><Relationship Id="rId10" Type="http://schemas.openxmlformats.org/officeDocument/2006/relationships/hyperlink" Target="http://www.mass.gov/dph/olr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ocalRegionalPublicHealth@massmail.state.ma.us" TargetMode="External"/><Relationship Id="rId14" Type="http://schemas.openxmlformats.org/officeDocument/2006/relationships/hyperlink" Target="mailto:jessica.ferland@state.ma.us" TargetMode="Externa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9A58-C5A7-47F7-B56A-354D9868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5917</Words>
  <Characters>33733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Ron (DPH)</dc:creator>
  <cp:lastModifiedBy> </cp:lastModifiedBy>
  <cp:revision>9</cp:revision>
  <cp:lastPrinted>2018-09-26T15:43:00Z</cp:lastPrinted>
  <dcterms:created xsi:type="dcterms:W3CDTF">2018-09-26T15:40:00Z</dcterms:created>
  <dcterms:modified xsi:type="dcterms:W3CDTF">2018-09-26T16:34:00Z</dcterms:modified>
</cp:coreProperties>
</file>