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D28BB" w:rsidR="00BA11AE" w:rsidP="00BA11AE" w:rsidRDefault="00BA11AE" w14:paraId="35C75351" w14:textId="65912FB8">
      <w:pPr>
        <w:jc w:val="center"/>
        <w:rPr>
          <w:rFonts w:ascii="Arial" w:hAnsi="Arial" w:cs="Arial"/>
          <w:b/>
          <w:bCs/>
        </w:rPr>
      </w:pPr>
      <w:r w:rsidRPr="002D28BB">
        <w:rPr>
          <w:rFonts w:ascii="Arial" w:hAnsi="Arial" w:cs="Arial"/>
          <w:b/>
          <w:bCs/>
        </w:rPr>
        <w:t xml:space="preserve">Appendix </w:t>
      </w:r>
      <w:r w:rsidRPr="002D28BB" w:rsidR="7057B726">
        <w:rPr>
          <w:rFonts w:ascii="Arial" w:hAnsi="Arial" w:cs="Arial"/>
          <w:b/>
          <w:bCs/>
        </w:rPr>
        <w:t>B</w:t>
      </w:r>
    </w:p>
    <w:p w:rsidRPr="002D28BB" w:rsidR="002B6675" w:rsidP="00BA11AE" w:rsidRDefault="002B6675" w14:paraId="46F34E29" w14:textId="77777777">
      <w:pPr>
        <w:jc w:val="center"/>
        <w:rPr>
          <w:rFonts w:ascii="Arial" w:hAnsi="Arial" w:cs="Arial"/>
          <w:b/>
          <w:bCs/>
        </w:rPr>
      </w:pPr>
    </w:p>
    <w:p w:rsidRPr="002D28BB" w:rsidR="00DA2C50" w:rsidP="002B6675" w:rsidRDefault="1D1EC6E4" w14:paraId="5B518D99" w14:textId="0D30C79A">
      <w:pPr>
        <w:jc w:val="center"/>
        <w:rPr>
          <w:rFonts w:ascii="Arial" w:hAnsi="Arial" w:cs="Arial"/>
          <w:b/>
          <w:bCs/>
        </w:rPr>
      </w:pPr>
      <w:r w:rsidRPr="002D28BB">
        <w:rPr>
          <w:rFonts w:ascii="Arial" w:hAnsi="Arial" w:cs="Arial"/>
          <w:b/>
          <w:bCs/>
        </w:rPr>
        <w:t>Senior Care Options</w:t>
      </w:r>
      <w:r w:rsidRPr="002D28BB" w:rsidR="00BA11AE">
        <w:rPr>
          <w:rFonts w:ascii="Arial" w:hAnsi="Arial" w:cs="Arial"/>
          <w:b/>
          <w:bCs/>
        </w:rPr>
        <w:t xml:space="preserve"> </w:t>
      </w:r>
      <w:r w:rsidRPr="002D28BB" w:rsidR="64BC3AF3">
        <w:rPr>
          <w:rFonts w:ascii="Arial" w:hAnsi="Arial" w:cs="Arial"/>
          <w:b/>
          <w:bCs/>
        </w:rPr>
        <w:t xml:space="preserve">(SCO) </w:t>
      </w:r>
      <w:r w:rsidRPr="002D28BB" w:rsidR="002B6675">
        <w:rPr>
          <w:rFonts w:ascii="Arial" w:hAnsi="Arial" w:cs="Arial"/>
          <w:b/>
          <w:bCs/>
        </w:rPr>
        <w:t xml:space="preserve">Performance Improvement Goals </w:t>
      </w:r>
    </w:p>
    <w:p w:rsidRPr="002D28BB" w:rsidR="002B6675" w:rsidP="002B6675" w:rsidRDefault="002B6675" w14:paraId="37A806F8" w14:textId="77777777">
      <w:pPr>
        <w:jc w:val="center"/>
        <w:rPr>
          <w:rFonts w:ascii="Arial" w:hAnsi="Arial" w:cs="Arial"/>
        </w:rPr>
      </w:pPr>
    </w:p>
    <w:p w:rsidRPr="002D28BB" w:rsidR="00F7724C" w:rsidP="00D5669B" w:rsidRDefault="00AF4516" w14:paraId="5B6DA417" w14:textId="77777777">
      <w:pPr>
        <w:pStyle w:val="Heading1"/>
        <w:numPr>
          <w:ilvl w:val="0"/>
          <w:numId w:val="1"/>
        </w:numPr>
        <w:spacing w:before="0" w:after="120"/>
        <w:jc w:val="both"/>
        <w:rPr>
          <w:rFonts w:ascii="Arial" w:hAnsi="Arial" w:cs="Arial"/>
          <w:sz w:val="24"/>
          <w:szCs w:val="24"/>
        </w:rPr>
      </w:pPr>
      <w:r w:rsidRPr="002D28BB">
        <w:rPr>
          <w:rFonts w:ascii="Arial" w:hAnsi="Arial" w:cs="Arial"/>
          <w:sz w:val="24"/>
          <w:szCs w:val="24"/>
        </w:rPr>
        <w:t>INTRODUCTION</w:t>
      </w:r>
    </w:p>
    <w:p w:rsidRPr="002D28BB" w:rsidR="003322DE" w:rsidP="00503C9E" w:rsidRDefault="00A86ACA" w14:paraId="4B842046" w14:textId="75149E60">
      <w:pPr>
        <w:spacing w:after="120"/>
        <w:ind w:left="810" w:right="450"/>
        <w:jc w:val="both"/>
        <w:rPr>
          <w:rFonts w:ascii="Arial" w:hAnsi="Arial" w:cs="Arial"/>
        </w:rPr>
      </w:pPr>
      <w:r w:rsidRPr="002D28BB">
        <w:rPr>
          <w:rFonts w:ascii="Arial" w:hAnsi="Arial" w:cs="Arial"/>
        </w:rPr>
        <w:t xml:space="preserve">This appendix describes the requirements for the </w:t>
      </w:r>
      <w:r w:rsidRPr="002D28BB" w:rsidR="00966A02">
        <w:rPr>
          <w:rFonts w:ascii="Arial" w:hAnsi="Arial" w:cs="Arial"/>
        </w:rPr>
        <w:t>Quality Imp</w:t>
      </w:r>
      <w:r w:rsidRPr="002D28BB" w:rsidR="00C0646A">
        <w:rPr>
          <w:rFonts w:ascii="Arial" w:hAnsi="Arial" w:cs="Arial"/>
        </w:rPr>
        <w:t>rovement Goals</w:t>
      </w:r>
      <w:r w:rsidRPr="002D28BB" w:rsidR="00C51F1F">
        <w:rPr>
          <w:rFonts w:ascii="Arial" w:hAnsi="Arial" w:cs="Arial"/>
        </w:rPr>
        <w:t>, Performance Improvement Projects, and</w:t>
      </w:r>
      <w:r w:rsidRPr="002D28BB" w:rsidR="003322DE">
        <w:rPr>
          <w:rFonts w:ascii="Arial" w:hAnsi="Arial" w:cs="Arial"/>
        </w:rPr>
        <w:t xml:space="preserve"> Performance Measures </w:t>
      </w:r>
      <w:r w:rsidRPr="002D28BB" w:rsidR="00C0646A">
        <w:rPr>
          <w:rFonts w:ascii="Arial" w:hAnsi="Arial" w:cs="Arial"/>
        </w:rPr>
        <w:t xml:space="preserve">as specified in </w:t>
      </w:r>
      <w:r w:rsidRPr="002D28BB" w:rsidR="00C0646A">
        <w:rPr>
          <w:rFonts w:ascii="Arial" w:hAnsi="Arial" w:cs="Arial"/>
          <w:b/>
          <w:bCs/>
        </w:rPr>
        <w:t>S</w:t>
      </w:r>
      <w:r w:rsidRPr="002D28BB" w:rsidR="00966A02">
        <w:rPr>
          <w:rFonts w:ascii="Arial" w:hAnsi="Arial" w:cs="Arial"/>
          <w:b/>
          <w:bCs/>
        </w:rPr>
        <w:t xml:space="preserve">ection </w:t>
      </w:r>
      <w:r w:rsidRPr="002D28BB" w:rsidR="007C62CD">
        <w:rPr>
          <w:rFonts w:ascii="Arial" w:hAnsi="Arial" w:cs="Arial"/>
          <w:b/>
          <w:bCs/>
        </w:rPr>
        <w:t>2.1</w:t>
      </w:r>
      <w:r w:rsidRPr="002D28BB" w:rsidR="56D7DCA7">
        <w:rPr>
          <w:rFonts w:ascii="Arial" w:hAnsi="Arial" w:cs="Arial"/>
          <w:b/>
          <w:bCs/>
        </w:rPr>
        <w:t>4</w:t>
      </w:r>
      <w:r w:rsidRPr="002D28BB">
        <w:rPr>
          <w:rFonts w:ascii="Arial" w:hAnsi="Arial" w:cs="Arial"/>
        </w:rPr>
        <w:t xml:space="preserve"> </w:t>
      </w:r>
      <w:r w:rsidRPr="002D28BB" w:rsidR="00966A02">
        <w:rPr>
          <w:rFonts w:ascii="Arial" w:hAnsi="Arial" w:cs="Arial"/>
        </w:rPr>
        <w:t>of the Contract</w:t>
      </w:r>
      <w:r w:rsidRPr="002D28BB" w:rsidR="005A294F">
        <w:rPr>
          <w:rFonts w:ascii="Arial" w:hAnsi="Arial" w:cs="Arial"/>
        </w:rPr>
        <w:t xml:space="preserve">. </w:t>
      </w:r>
    </w:p>
    <w:p w:rsidRPr="002D28BB" w:rsidR="00971D95" w:rsidP="00503C9E" w:rsidRDefault="00971D95" w14:paraId="4AE3E9C4" w14:textId="77777777">
      <w:pPr>
        <w:pStyle w:val="Heading2"/>
        <w:ind w:left="810" w:right="450"/>
        <w:rPr>
          <w:rFonts w:ascii="Arial" w:hAnsi="Arial" w:cs="Arial"/>
          <w:sz w:val="24"/>
          <w:szCs w:val="24"/>
        </w:rPr>
      </w:pPr>
      <w:r w:rsidRPr="002D28BB">
        <w:rPr>
          <w:rFonts w:ascii="Arial" w:hAnsi="Arial" w:cs="Arial"/>
          <w:sz w:val="24"/>
          <w:szCs w:val="24"/>
        </w:rPr>
        <w:t>Performance Improvement Cycle</w:t>
      </w:r>
    </w:p>
    <w:p w:rsidRPr="002D28BB" w:rsidR="00971D95" w:rsidP="00503C9E" w:rsidRDefault="00971D95" w14:paraId="248BDE92" w14:textId="77777777">
      <w:pPr>
        <w:spacing w:after="120"/>
        <w:ind w:left="810" w:right="450"/>
        <w:jc w:val="both"/>
        <w:rPr>
          <w:rFonts w:ascii="Arial" w:hAnsi="Arial" w:cs="Arial"/>
        </w:rPr>
      </w:pPr>
      <w:r w:rsidRPr="002D28BB">
        <w:rPr>
          <w:rFonts w:ascii="Arial" w:hAnsi="Arial" w:cs="Arial"/>
        </w:rPr>
        <w:t xml:space="preserve">The Performance Improvement measurement cycle typically includes a planning/baseline period and up to 2 remeasurement cycles to allow for tracking of improvement gains. For each Performance Improvement cycle, EOHHS will establish a series of Performance Improvement Project domains as well as approve and/or designate measurement and quality improvement activities for each of those domains. The following paragraphs outline the CY23 PIP Cycle. </w:t>
      </w:r>
    </w:p>
    <w:p w:rsidRPr="002D28BB" w:rsidR="00971D95" w:rsidP="00503C9E" w:rsidRDefault="00971D95" w14:paraId="24E63CC4" w14:textId="20E887DC">
      <w:pPr>
        <w:spacing w:after="120"/>
        <w:ind w:left="810" w:right="450"/>
        <w:jc w:val="both"/>
        <w:rPr>
          <w:rFonts w:ascii="Arial" w:hAnsi="Arial" w:cs="Arial"/>
        </w:rPr>
      </w:pPr>
      <w:r w:rsidRPr="002D28BB">
        <w:rPr>
          <w:rFonts w:ascii="Arial" w:hAnsi="Arial" w:cs="Arial"/>
        </w:rPr>
        <w:t xml:space="preserve">The </w:t>
      </w:r>
      <w:r w:rsidRPr="002D28BB" w:rsidR="72380FC5">
        <w:rPr>
          <w:rFonts w:ascii="Arial" w:hAnsi="Arial" w:cs="Arial"/>
        </w:rPr>
        <w:t>SCO</w:t>
      </w:r>
      <w:r w:rsidRPr="002D28BB" w:rsidR="0AD7DC7D">
        <w:rPr>
          <w:rFonts w:ascii="Arial" w:hAnsi="Arial" w:cs="Arial"/>
        </w:rPr>
        <w:t xml:space="preserve"> Plans</w:t>
      </w:r>
      <w:r w:rsidRPr="002D28BB">
        <w:rPr>
          <w:rFonts w:ascii="Arial" w:hAnsi="Arial" w:cs="Arial"/>
        </w:rPr>
        <w:t xml:space="preserve"> are expected to conduct and report on a minimum of 2 Performance Improvement Projects (PIPs). The PIPs must be conducted in accordance with the PIP domains as specified in this Appendix or otherwise be approved by EOHHS. Additionally, all PIPs must be aligned with the performance measures outlined in Exhibit 1 of this Appendix, unless otherwise specified or approved by EOHHS. EOHHS will provide standardized forms for all required reporting activities, including Quality Improvement Plans, PIP Progress Reports, and PIP Annual Reports. </w:t>
      </w:r>
    </w:p>
    <w:p w:rsidRPr="002D28BB" w:rsidR="00971D95" w:rsidP="00D5669B" w:rsidRDefault="00971D95" w14:paraId="2FB5E7BF" w14:textId="77777777">
      <w:pPr>
        <w:pStyle w:val="Heading1"/>
        <w:numPr>
          <w:ilvl w:val="1"/>
          <w:numId w:val="1"/>
        </w:numPr>
        <w:tabs>
          <w:tab w:val="num" w:pos="360"/>
        </w:tabs>
        <w:spacing w:before="0" w:after="120"/>
        <w:ind w:left="810" w:right="450" w:firstLine="0"/>
        <w:jc w:val="both"/>
        <w:rPr>
          <w:rFonts w:ascii="Arial" w:hAnsi="Arial" w:cs="Arial"/>
          <w:b w:val="0"/>
          <w:bCs w:val="0"/>
          <w:i/>
          <w:iCs/>
          <w:sz w:val="24"/>
          <w:szCs w:val="24"/>
        </w:rPr>
      </w:pPr>
      <w:r w:rsidRPr="002D28BB">
        <w:rPr>
          <w:rFonts w:ascii="Arial" w:hAnsi="Arial" w:cs="Arial"/>
          <w:b w:val="0"/>
          <w:bCs w:val="0"/>
          <w:i/>
          <w:iCs/>
          <w:sz w:val="24"/>
          <w:szCs w:val="24"/>
        </w:rPr>
        <w:t>QI IMPLEMENATION DETAILS</w:t>
      </w:r>
    </w:p>
    <w:p w:rsidRPr="002D28BB" w:rsidR="00971D95" w:rsidP="00503C9E" w:rsidRDefault="00971D95" w14:paraId="70885B3B" w14:textId="77777777">
      <w:pPr>
        <w:spacing w:after="120"/>
        <w:ind w:left="810" w:right="450"/>
        <w:jc w:val="both"/>
        <w:rPr>
          <w:rFonts w:ascii="Arial" w:hAnsi="Arial" w:cs="Arial"/>
        </w:rPr>
      </w:pPr>
      <w:r w:rsidRPr="002D28BB">
        <w:rPr>
          <w:rFonts w:ascii="Arial" w:hAnsi="Arial" w:cs="Arial"/>
        </w:rPr>
        <w:t>The following section provides detailed information about the PIP implementation periods, their associated activities.</w:t>
      </w:r>
    </w:p>
    <w:tbl>
      <w:tblPr>
        <w:tblStyle w:val="GridTable1Light-Accent1"/>
        <w:tblpPr w:leftFromText="180" w:rightFromText="180" w:vertAnchor="text" w:horzAnchor="margin" w:tblpXSpec="center" w:tblpY="383"/>
        <w:tblW w:w="9576" w:type="dxa"/>
        <w:tblLook w:val="04A0" w:firstRow="1" w:lastRow="0" w:firstColumn="1" w:lastColumn="0" w:noHBand="0" w:noVBand="1"/>
      </w:tblPr>
      <w:tblGrid>
        <w:gridCol w:w="2964"/>
        <w:gridCol w:w="2804"/>
        <w:gridCol w:w="3808"/>
      </w:tblGrid>
      <w:tr w:rsidRPr="002D28BB" w:rsidR="00503C9E" w:rsidTr="00503C9E" w14:paraId="3569578D" w14:textId="77777777">
        <w:trPr>
          <w:cnfStyle w:val="100000000000" w:firstRow="1" w:lastRow="0" w:firstColumn="0" w:lastColumn="0" w:oddVBand="0" w:evenVBand="0" w:oddHBand="0" w:evenHBand="0" w:firstRowFirstColumn="0" w:firstRowLastColumn="0" w:lastRowFirstColumn="0" w:lastRowLastColumn="0"/>
          <w:trHeight w:val="246"/>
          <w:tblHeader/>
        </w:trPr>
        <w:tc>
          <w:tcPr>
            <w:cnfStyle w:val="001000000000" w:firstRow="0" w:lastRow="0" w:firstColumn="1" w:lastColumn="0" w:oddVBand="0" w:evenVBand="0" w:oddHBand="0" w:evenHBand="0" w:firstRowFirstColumn="0" w:firstRowLastColumn="0" w:lastRowFirstColumn="0" w:lastRowLastColumn="0"/>
            <w:tcW w:w="0" w:type="dxa"/>
            <w:shd w:val="clear" w:color="auto" w:fill="DBE5F1" w:themeFill="accent1" w:themeFillTint="33"/>
          </w:tcPr>
          <w:p w:rsidRPr="002D28BB" w:rsidR="00971D95" w:rsidP="00503C9E" w:rsidRDefault="00971D95" w14:paraId="3A20E643" w14:textId="77777777">
            <w:pPr>
              <w:spacing w:after="120"/>
              <w:ind w:left="810" w:right="450"/>
              <w:jc w:val="center"/>
              <w:rPr>
                <w:rFonts w:ascii="Arial" w:hAnsi="Arial" w:cs="Arial"/>
                <w:b w:val="0"/>
                <w:bCs w:val="0"/>
                <w:i/>
                <w:iCs/>
              </w:rPr>
            </w:pPr>
            <w:r w:rsidRPr="002D28BB">
              <w:rPr>
                <w:rFonts w:ascii="Arial" w:hAnsi="Arial" w:cs="Arial"/>
                <w:i/>
              </w:rPr>
              <w:t>Timeframe</w:t>
            </w:r>
          </w:p>
        </w:tc>
        <w:tc>
          <w:tcPr>
            <w:tcW w:w="0" w:type="dxa"/>
            <w:shd w:val="clear" w:color="auto" w:fill="DBE5F1" w:themeFill="accent1" w:themeFillTint="33"/>
          </w:tcPr>
          <w:p w:rsidRPr="002D28BB" w:rsidR="00971D95" w:rsidP="00503C9E" w:rsidRDefault="00971D95" w14:paraId="1B2E6DB0" w14:textId="77777777">
            <w:pPr>
              <w:ind w:left="810" w:right="45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rPr>
            </w:pPr>
            <w:r w:rsidRPr="002D28BB">
              <w:rPr>
                <w:rFonts w:ascii="Arial" w:hAnsi="Arial" w:cs="Arial"/>
                <w:i/>
              </w:rPr>
              <w:t>Activities</w:t>
            </w:r>
          </w:p>
        </w:tc>
        <w:tc>
          <w:tcPr>
            <w:tcW w:w="0" w:type="dxa"/>
            <w:shd w:val="clear" w:color="auto" w:fill="DBE5F1" w:themeFill="accent1" w:themeFillTint="33"/>
          </w:tcPr>
          <w:p w:rsidRPr="002D28BB" w:rsidR="00971D95" w:rsidP="00503C9E" w:rsidRDefault="00971D95" w14:paraId="5F32A824" w14:textId="77777777">
            <w:pPr>
              <w:ind w:left="810" w:right="45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rPr>
            </w:pPr>
            <w:r w:rsidRPr="002D28BB">
              <w:rPr>
                <w:rFonts w:ascii="Arial" w:hAnsi="Arial" w:cs="Arial"/>
                <w:i/>
              </w:rPr>
              <w:t>Deliverable</w:t>
            </w:r>
          </w:p>
        </w:tc>
      </w:tr>
      <w:tr w:rsidRPr="002D28BB" w:rsidR="00503C9E" w:rsidTr="00503C9E" w14:paraId="44D2675B" w14:textId="77777777">
        <w:trPr>
          <w:cnfStyle w:val="100000000000" w:firstRow="1" w:lastRow="0" w:firstColumn="0" w:lastColumn="0" w:oddVBand="0" w:evenVBand="0" w:oddHBand="0" w:evenHBand="0" w:firstRowFirstColumn="0" w:firstRowLastColumn="0" w:lastRowFirstColumn="0" w:lastRowLastColumn="0"/>
          <w:trHeight w:val="948"/>
          <w:tblHeader/>
        </w:trPr>
        <w:tc>
          <w:tcPr>
            <w:cnfStyle w:val="001000000000" w:firstRow="0" w:lastRow="0" w:firstColumn="1" w:lastColumn="0" w:oddVBand="0" w:evenVBand="0" w:oddHBand="0" w:evenHBand="0" w:firstRowFirstColumn="0" w:firstRowLastColumn="0" w:lastRowFirstColumn="0" w:lastRowLastColumn="0"/>
            <w:tcW w:w="0" w:type="dxa"/>
          </w:tcPr>
          <w:p w:rsidRPr="002D28BB" w:rsidR="00971D95" w:rsidP="005E4CCF" w:rsidRDefault="00971D95" w14:paraId="25509A56" w14:textId="77777777">
            <w:pPr>
              <w:spacing w:after="120"/>
              <w:ind w:right="450"/>
              <w:jc w:val="center"/>
              <w:rPr>
                <w:rFonts w:ascii="Arial" w:hAnsi="Arial" w:cs="Arial"/>
                <w:b w:val="0"/>
                <w:bCs w:val="0"/>
              </w:rPr>
            </w:pPr>
            <w:r w:rsidRPr="002D28BB">
              <w:rPr>
                <w:rFonts w:ascii="Arial" w:hAnsi="Arial" w:cs="Arial"/>
              </w:rPr>
              <w:t>Contract Year 1</w:t>
            </w:r>
          </w:p>
        </w:tc>
        <w:tc>
          <w:tcPr>
            <w:tcW w:w="0" w:type="dxa"/>
          </w:tcPr>
          <w:p w:rsidRPr="002D28BB" w:rsidR="00971D95" w:rsidP="005E4CCF" w:rsidRDefault="00971D95" w14:paraId="203D8E1D" w14:textId="77777777">
            <w:pPr>
              <w:ind w:right="45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D28BB">
              <w:rPr>
                <w:rFonts w:ascii="Arial" w:hAnsi="Arial" w:cs="Arial"/>
                <w:b w:val="0"/>
                <w:bCs w:val="0"/>
              </w:rPr>
              <w:t>Project planning and baselining for a minimum of two PIPs</w:t>
            </w:r>
          </w:p>
          <w:p w:rsidRPr="002D28BB" w:rsidR="00971D95" w:rsidP="00503C9E" w:rsidRDefault="00971D95" w14:paraId="7481C334" w14:textId="77777777">
            <w:pPr>
              <w:pStyle w:val="ListParagraph"/>
              <w:spacing w:after="120"/>
              <w:ind w:left="810" w:right="45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p>
        </w:tc>
        <w:tc>
          <w:tcPr>
            <w:tcW w:w="0" w:type="dxa"/>
          </w:tcPr>
          <w:p w:rsidRPr="002D28BB" w:rsidR="00971D95" w:rsidP="005E4CCF" w:rsidRDefault="00971D95" w14:paraId="312A8579" w14:textId="77777777">
            <w:pPr>
              <w:ind w:right="45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D28BB">
              <w:rPr>
                <w:rFonts w:ascii="Arial" w:hAnsi="Arial" w:cs="Arial"/>
                <w:b w:val="0"/>
                <w:bCs w:val="0"/>
              </w:rPr>
              <w:t>Baseline Report for each PIP (total of two reports)</w:t>
            </w:r>
          </w:p>
          <w:p w:rsidRPr="002D28BB" w:rsidR="00971D95" w:rsidP="00503C9E" w:rsidRDefault="00971D95" w14:paraId="474F35DE" w14:textId="77777777">
            <w:pPr>
              <w:ind w:left="810" w:right="45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
        </w:tc>
      </w:tr>
      <w:tr w:rsidRPr="002D28BB" w:rsidR="00503C9E" w:rsidTr="00503C9E" w14:paraId="682598E7"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rsidRPr="002D28BB" w:rsidR="00971D95" w:rsidP="005E4CCF" w:rsidRDefault="00971D95" w14:paraId="56D3E280" w14:textId="77777777">
            <w:pPr>
              <w:spacing w:after="120"/>
              <w:ind w:right="450"/>
              <w:jc w:val="center"/>
              <w:rPr>
                <w:rFonts w:ascii="Arial" w:hAnsi="Arial" w:cs="Arial"/>
                <w:b w:val="0"/>
                <w:bCs w:val="0"/>
              </w:rPr>
            </w:pPr>
            <w:r w:rsidRPr="002D28BB">
              <w:rPr>
                <w:rFonts w:ascii="Arial" w:hAnsi="Arial" w:cs="Arial"/>
              </w:rPr>
              <w:t>Contract Year 2</w:t>
            </w:r>
          </w:p>
        </w:tc>
        <w:tc>
          <w:tcPr>
            <w:tcW w:w="0" w:type="dxa"/>
          </w:tcPr>
          <w:p w:rsidRPr="002D28BB" w:rsidR="00971D95" w:rsidP="005E4CCF" w:rsidRDefault="00971D95" w14:paraId="19A53D8A" w14:textId="77777777">
            <w:pPr>
              <w:ind w:right="45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D28BB">
              <w:rPr>
                <w:rFonts w:ascii="Arial" w:hAnsi="Arial" w:cs="Arial"/>
                <w:b w:val="0"/>
                <w:bCs w:val="0"/>
              </w:rPr>
              <w:t>Implementation of a minimum of two PIPs</w:t>
            </w:r>
          </w:p>
        </w:tc>
        <w:tc>
          <w:tcPr>
            <w:tcW w:w="0" w:type="dxa"/>
          </w:tcPr>
          <w:p w:rsidRPr="002D28BB" w:rsidR="00971D95" w:rsidP="005E4CCF" w:rsidRDefault="00971D95" w14:paraId="7336A654" w14:textId="459EE90C">
            <w:pPr>
              <w:ind w:right="450"/>
              <w:cnfStyle w:val="100000000000" w:firstRow="1" w:lastRow="0" w:firstColumn="0" w:lastColumn="0" w:oddVBand="0" w:evenVBand="0" w:oddHBand="0" w:evenHBand="0" w:firstRowFirstColumn="0" w:firstRowLastColumn="0" w:lastRowFirstColumn="0" w:lastRowLastColumn="0"/>
              <w:rPr>
                <w:rFonts w:ascii="Arial" w:hAnsi="Arial" w:cs="Arial"/>
                <w:b w:val="0"/>
                <w:bCs w:val="0"/>
                <w:i/>
                <w:u w:val="single"/>
              </w:rPr>
            </w:pPr>
            <w:r w:rsidRPr="002D28BB">
              <w:rPr>
                <w:rFonts w:ascii="Arial" w:hAnsi="Arial" w:cs="Arial"/>
                <w:b w:val="0"/>
                <w:bCs w:val="0"/>
              </w:rPr>
              <w:t>Remeasurement Report</w:t>
            </w:r>
            <w:r w:rsidRPr="002D28BB" w:rsidR="009F7B2F">
              <w:rPr>
                <w:rFonts w:ascii="Arial" w:hAnsi="Arial" w:cs="Arial"/>
                <w:b w:val="0"/>
                <w:bCs w:val="0"/>
              </w:rPr>
              <w:t>s</w:t>
            </w:r>
            <w:r w:rsidRPr="002D28BB">
              <w:rPr>
                <w:rFonts w:ascii="Arial" w:hAnsi="Arial" w:cs="Arial"/>
                <w:b w:val="0"/>
                <w:bCs w:val="0"/>
              </w:rPr>
              <w:t xml:space="preserve"> for each implemented PIP (total of two reports)</w:t>
            </w:r>
          </w:p>
          <w:p w:rsidRPr="002D28BB" w:rsidR="00971D95" w:rsidP="00503C9E" w:rsidRDefault="00971D95" w14:paraId="1297E47F" w14:textId="77777777">
            <w:pPr>
              <w:ind w:left="810" w:right="450"/>
              <w:cnfStyle w:val="100000000000" w:firstRow="1" w:lastRow="0" w:firstColumn="0" w:lastColumn="0" w:oddVBand="0" w:evenVBand="0" w:oddHBand="0" w:evenHBand="0" w:firstRowFirstColumn="0" w:firstRowLastColumn="0" w:lastRowFirstColumn="0" w:lastRowLastColumn="0"/>
              <w:rPr>
                <w:rFonts w:ascii="Arial" w:hAnsi="Arial" w:cs="Arial"/>
                <w:b w:val="0"/>
                <w:bCs w:val="0"/>
                <w:i/>
                <w:u w:val="single"/>
              </w:rPr>
            </w:pPr>
          </w:p>
        </w:tc>
      </w:tr>
      <w:tr w:rsidRPr="002D28BB" w:rsidR="00503C9E" w:rsidTr="00503C9E" w14:paraId="68D79DC0"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rsidRPr="002D28BB" w:rsidR="00971D95" w:rsidP="005E4CCF" w:rsidRDefault="00971D95" w14:paraId="0567BBAD" w14:textId="77777777">
            <w:pPr>
              <w:spacing w:after="120"/>
              <w:ind w:right="450"/>
              <w:jc w:val="center"/>
              <w:rPr>
                <w:rFonts w:ascii="Arial" w:hAnsi="Arial" w:cs="Arial"/>
              </w:rPr>
            </w:pPr>
            <w:r w:rsidRPr="002D28BB">
              <w:rPr>
                <w:rFonts w:ascii="Arial" w:hAnsi="Arial" w:cs="Arial"/>
              </w:rPr>
              <w:t>Contract Year 3</w:t>
            </w:r>
          </w:p>
        </w:tc>
        <w:tc>
          <w:tcPr>
            <w:tcW w:w="0" w:type="dxa"/>
          </w:tcPr>
          <w:p w:rsidRPr="002D28BB" w:rsidR="00971D95" w:rsidP="005E4CCF" w:rsidRDefault="00971D95" w14:paraId="77978295" w14:textId="77777777">
            <w:pPr>
              <w:ind w:right="45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D28BB">
              <w:rPr>
                <w:rFonts w:ascii="Arial" w:hAnsi="Arial" w:cs="Arial"/>
                <w:b w:val="0"/>
                <w:bCs w:val="0"/>
              </w:rPr>
              <w:t>Continuation of a minimum of two PIPs</w:t>
            </w:r>
          </w:p>
          <w:p w:rsidRPr="002D28BB" w:rsidR="00971D95" w:rsidP="00503C9E" w:rsidRDefault="00971D95" w14:paraId="0A798AD0" w14:textId="77777777">
            <w:pPr>
              <w:pStyle w:val="ListParagraph"/>
              <w:ind w:left="810" w:right="45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p>
        </w:tc>
        <w:tc>
          <w:tcPr>
            <w:tcW w:w="0" w:type="dxa"/>
          </w:tcPr>
          <w:p w:rsidRPr="002D28BB" w:rsidR="00971D95" w:rsidP="005E4CCF" w:rsidRDefault="00971D95" w14:paraId="73CF0AA0" w14:textId="529BD7CD">
            <w:pPr>
              <w:ind w:right="450"/>
              <w:cnfStyle w:val="100000000000" w:firstRow="1" w:lastRow="0" w:firstColumn="0" w:lastColumn="0" w:oddVBand="0" w:evenVBand="0" w:oddHBand="0" w:evenHBand="0" w:firstRowFirstColumn="0" w:firstRowLastColumn="0" w:lastRowFirstColumn="0" w:lastRowLastColumn="0"/>
              <w:rPr>
                <w:rFonts w:ascii="Arial" w:hAnsi="Arial" w:cs="Arial"/>
                <w:b w:val="0"/>
                <w:bCs w:val="0"/>
                <w:iCs/>
              </w:rPr>
            </w:pPr>
            <w:r w:rsidRPr="002D28BB">
              <w:rPr>
                <w:rFonts w:ascii="Arial" w:hAnsi="Arial" w:cs="Arial"/>
                <w:b w:val="0"/>
                <w:bCs w:val="0"/>
              </w:rPr>
              <w:t>Remeasurement</w:t>
            </w:r>
            <w:r w:rsidRPr="002D28BB">
              <w:rPr>
                <w:rFonts w:ascii="Arial" w:hAnsi="Arial" w:cs="Arial"/>
                <w:b w:val="0"/>
                <w:bCs w:val="0"/>
                <w:iCs/>
              </w:rPr>
              <w:t>/Closeout</w:t>
            </w:r>
            <w:r w:rsidRPr="002D28BB">
              <w:rPr>
                <w:rFonts w:ascii="Arial" w:hAnsi="Arial" w:cs="Arial"/>
                <w:b w:val="0"/>
                <w:bCs w:val="0"/>
              </w:rPr>
              <w:t xml:space="preserve"> Report</w:t>
            </w:r>
            <w:r w:rsidRPr="002D28BB">
              <w:rPr>
                <w:rFonts w:ascii="Arial" w:hAnsi="Arial" w:cs="Arial"/>
                <w:b w:val="0"/>
                <w:bCs w:val="0"/>
                <w:iCs/>
              </w:rPr>
              <w:t>s</w:t>
            </w:r>
            <w:r w:rsidRPr="002D28BB">
              <w:rPr>
                <w:rFonts w:ascii="Arial" w:hAnsi="Arial" w:cs="Arial"/>
                <w:b w:val="0"/>
                <w:bCs w:val="0"/>
              </w:rPr>
              <w:t xml:space="preserve"> for each implemented PIP (total of </w:t>
            </w:r>
            <w:r w:rsidRPr="002D28BB">
              <w:rPr>
                <w:rFonts w:ascii="Arial" w:hAnsi="Arial" w:cs="Arial"/>
                <w:b w:val="0"/>
                <w:bCs w:val="0"/>
                <w:iCs/>
              </w:rPr>
              <w:t>two</w:t>
            </w:r>
            <w:r w:rsidRPr="002D28BB">
              <w:rPr>
                <w:rFonts w:ascii="Arial" w:hAnsi="Arial" w:cs="Arial"/>
                <w:b w:val="0"/>
                <w:bCs w:val="0"/>
              </w:rPr>
              <w:t xml:space="preserve"> reports)</w:t>
            </w:r>
          </w:p>
        </w:tc>
      </w:tr>
    </w:tbl>
    <w:p w:rsidRPr="002D28BB" w:rsidR="00E64EA4" w:rsidP="00E64EA4" w:rsidRDefault="00971D95" w14:paraId="25B180BE" w14:textId="7FFEAB1D">
      <w:pPr>
        <w:ind w:left="810" w:right="450"/>
        <w:jc w:val="both"/>
        <w:rPr>
          <w:rFonts w:ascii="Arial" w:hAnsi="Arial" w:cs="Arial"/>
        </w:rPr>
      </w:pPr>
      <w:r w:rsidRPr="002D28BB">
        <w:rPr>
          <w:rFonts w:ascii="Arial" w:hAnsi="Arial" w:cs="Arial"/>
        </w:rPr>
        <w:t>Table 1: PIP Implementation Periods</w:t>
      </w:r>
    </w:p>
    <w:p w:rsidRPr="002D28BB" w:rsidR="00E64EA4" w:rsidP="00E64EA4" w:rsidRDefault="00E64EA4" w14:paraId="7CF35AF2" w14:textId="77777777">
      <w:pPr>
        <w:rPr>
          <w:rFonts w:ascii="Arial" w:hAnsi="Arial" w:cs="Arial"/>
        </w:rPr>
      </w:pPr>
    </w:p>
    <w:p w:rsidRPr="002D28BB" w:rsidR="00971D95" w:rsidP="00D5669B" w:rsidRDefault="48B71DC1" w14:paraId="38F7B0E0" w14:textId="13B0D80B">
      <w:pPr>
        <w:pStyle w:val="Heading1"/>
        <w:numPr>
          <w:ilvl w:val="1"/>
          <w:numId w:val="1"/>
        </w:numPr>
        <w:spacing w:before="0" w:after="120"/>
        <w:ind w:right="450"/>
        <w:jc w:val="both"/>
        <w:rPr>
          <w:rFonts w:ascii="Arial" w:hAnsi="Arial" w:cs="Arial"/>
          <w:b w:val="0"/>
          <w:bCs w:val="0"/>
          <w:i/>
          <w:iCs/>
          <w:sz w:val="24"/>
          <w:szCs w:val="24"/>
        </w:rPr>
      </w:pPr>
      <w:r w:rsidRPr="002D28BB">
        <w:rPr>
          <w:rFonts w:ascii="Arial" w:hAnsi="Arial" w:cs="Arial"/>
          <w:b w:val="0"/>
          <w:bCs w:val="0"/>
          <w:i/>
          <w:iCs/>
          <w:sz w:val="24"/>
          <w:szCs w:val="24"/>
        </w:rPr>
        <w:t>SCO</w:t>
      </w:r>
      <w:r w:rsidRPr="002D28BB" w:rsidR="00971D95">
        <w:rPr>
          <w:rFonts w:ascii="Arial" w:hAnsi="Arial" w:cs="Arial"/>
          <w:b w:val="0"/>
          <w:bCs w:val="0"/>
          <w:i/>
          <w:iCs/>
          <w:sz w:val="24"/>
          <w:szCs w:val="24"/>
        </w:rPr>
        <w:t xml:space="preserve"> PIP DOMAIN AREAS</w:t>
      </w:r>
    </w:p>
    <w:p w:rsidRPr="002D28BB" w:rsidR="00971D95" w:rsidP="00503C9E" w:rsidRDefault="7A164852" w14:paraId="114957B2" w14:textId="025CDEAA">
      <w:pPr>
        <w:keepNext/>
        <w:spacing w:after="120"/>
        <w:ind w:left="810" w:right="450"/>
        <w:jc w:val="both"/>
        <w:rPr>
          <w:rFonts w:ascii="Arial" w:hAnsi="Arial" w:cs="Arial"/>
        </w:rPr>
      </w:pPr>
      <w:r w:rsidRPr="002D28BB">
        <w:rPr>
          <w:rFonts w:ascii="Arial" w:hAnsi="Arial" w:cs="Arial"/>
        </w:rPr>
        <w:t>SCO</w:t>
      </w:r>
      <w:r w:rsidRPr="002D28BB" w:rsidR="00971D95">
        <w:rPr>
          <w:rFonts w:ascii="Arial" w:hAnsi="Arial" w:cs="Arial"/>
        </w:rPr>
        <w:t xml:space="preserve"> Plans are required to submit at least two distinct PIPs annually. PIP topics shall be consistent with QI domain areas described in Table 2. In addition to addressing each PIP domain, PIPs will also include a sub-focus on health equity. </w:t>
      </w:r>
    </w:p>
    <w:tbl>
      <w:tblPr>
        <w:tblStyle w:val="GridTable1Light-Accent1"/>
        <w:tblW w:w="9828" w:type="dxa"/>
        <w:tblLook w:val="04A0" w:firstRow="1" w:lastRow="0" w:firstColumn="1" w:lastColumn="0" w:noHBand="0" w:noVBand="1"/>
      </w:tblPr>
      <w:tblGrid>
        <w:gridCol w:w="2718"/>
        <w:gridCol w:w="7110"/>
      </w:tblGrid>
      <w:tr w:rsidRPr="002D28BB" w:rsidR="00971D95" w:rsidTr="00312F69" w14:paraId="72E0553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8" w:type="dxa"/>
            <w:gridSpan w:val="2"/>
            <w:shd w:val="clear" w:color="auto" w:fill="DBE5F1" w:themeFill="accent1" w:themeFillTint="33"/>
          </w:tcPr>
          <w:p w:rsidRPr="002D28BB" w:rsidR="00971D95" w:rsidP="00503C9E" w:rsidRDefault="00971D95" w14:paraId="45B604BB" w14:textId="7A3C8428">
            <w:pPr>
              <w:spacing w:after="120"/>
              <w:ind w:right="450"/>
              <w:rPr>
                <w:rFonts w:ascii="Arial" w:hAnsi="Arial" w:cs="Arial"/>
                <w:b w:val="0"/>
                <w:bCs w:val="0"/>
                <w:color w:val="FFFFFF"/>
              </w:rPr>
            </w:pPr>
            <w:r w:rsidRPr="002D28BB">
              <w:rPr>
                <w:rFonts w:ascii="Arial" w:hAnsi="Arial" w:cs="Arial"/>
              </w:rPr>
              <w:br w:type="page"/>
            </w:r>
            <w:r w:rsidRPr="002D28BB">
              <w:rPr>
                <w:rFonts w:ascii="Arial" w:hAnsi="Arial" w:cs="Arial"/>
              </w:rPr>
              <w:t>Table 2: PIP Domain Areas</w:t>
            </w:r>
            <w:r w:rsidRPr="002D28BB" w:rsidR="008453B1">
              <w:rPr>
                <w:rFonts w:ascii="Arial" w:hAnsi="Arial" w:cs="Arial"/>
              </w:rPr>
              <w:t xml:space="preserve"> – Reserved for Updates</w:t>
            </w:r>
          </w:p>
        </w:tc>
      </w:tr>
      <w:tr w:rsidRPr="002D28BB" w:rsidR="00971D95" w:rsidTr="00DC418E" w14:paraId="68E06230" w14:textId="77777777">
        <w:tc>
          <w:tcPr>
            <w:cnfStyle w:val="001000000000" w:firstRow="0" w:lastRow="0" w:firstColumn="1" w:lastColumn="0" w:oddVBand="0" w:evenVBand="0" w:oddHBand="0" w:evenHBand="0" w:firstRowFirstColumn="0" w:firstRowLastColumn="0" w:lastRowFirstColumn="0" w:lastRowLastColumn="0"/>
            <w:tcW w:w="9828" w:type="dxa"/>
            <w:gridSpan w:val="2"/>
          </w:tcPr>
          <w:p w:rsidRPr="002D28BB" w:rsidR="00971D95" w:rsidP="00503C9E" w:rsidRDefault="00971D95" w14:paraId="23314225" w14:textId="229BCFA7">
            <w:pPr>
              <w:spacing w:after="120"/>
              <w:ind w:right="450"/>
              <w:rPr>
                <w:rFonts w:ascii="Arial" w:hAnsi="Arial" w:cs="Arial"/>
              </w:rPr>
            </w:pPr>
            <w:r w:rsidRPr="002D28BB">
              <w:rPr>
                <w:rFonts w:ascii="Arial" w:hAnsi="Arial" w:cs="Arial"/>
              </w:rPr>
              <w:t xml:space="preserve">Domain 1: </w:t>
            </w:r>
          </w:p>
          <w:p w:rsidRPr="002D28BB" w:rsidR="00971D95" w:rsidP="00503C9E" w:rsidRDefault="00971D95" w14:paraId="33C35D55" w14:textId="77777777">
            <w:pPr>
              <w:spacing w:after="120"/>
              <w:ind w:left="810" w:right="450"/>
              <w:rPr>
                <w:rFonts w:ascii="Arial" w:hAnsi="Arial" w:cs="Arial"/>
                <w:b w:val="0"/>
                <w:bCs w:val="0"/>
              </w:rPr>
            </w:pPr>
          </w:p>
        </w:tc>
      </w:tr>
      <w:tr w:rsidRPr="002D28BB" w:rsidR="00971D95" w:rsidTr="00DC418E" w14:paraId="73C15618" w14:textId="77777777">
        <w:tc>
          <w:tcPr>
            <w:cnfStyle w:val="001000000000" w:firstRow="0" w:lastRow="0" w:firstColumn="1" w:lastColumn="0" w:oddVBand="0" w:evenVBand="0" w:oddHBand="0" w:evenHBand="0" w:firstRowFirstColumn="0" w:firstRowLastColumn="0" w:lastRowFirstColumn="0" w:lastRowLastColumn="0"/>
            <w:tcW w:w="2718" w:type="dxa"/>
          </w:tcPr>
          <w:p w:rsidRPr="002D28BB" w:rsidR="00971D95" w:rsidP="00503C9E" w:rsidRDefault="00971D95" w14:paraId="0323C340" w14:textId="77777777">
            <w:pPr>
              <w:spacing w:after="120"/>
              <w:ind w:left="810" w:right="450"/>
              <w:rPr>
                <w:rFonts w:ascii="Arial" w:hAnsi="Arial" w:cs="Arial"/>
                <w:b w:val="0"/>
                <w:bCs w:val="0"/>
              </w:rPr>
            </w:pPr>
            <w:r w:rsidRPr="002D28BB">
              <w:rPr>
                <w:rFonts w:ascii="Arial" w:hAnsi="Arial" w:cs="Arial"/>
              </w:rPr>
              <w:t xml:space="preserve">Project Focus: </w:t>
            </w:r>
          </w:p>
        </w:tc>
        <w:tc>
          <w:tcPr>
            <w:tcW w:w="7110" w:type="dxa"/>
          </w:tcPr>
          <w:p w:rsidRPr="002D28BB" w:rsidR="00971D95" w:rsidP="008453B1" w:rsidRDefault="00971D95" w14:paraId="1ED530E4" w14:textId="08FD030D">
            <w:pPr>
              <w:spacing w:after="120"/>
              <w:ind w:left="810" w:right="45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2D28BB" w:rsidR="00971D95" w:rsidTr="00DC418E" w14:paraId="2E37A2E5" w14:textId="77777777">
        <w:tc>
          <w:tcPr>
            <w:cnfStyle w:val="001000000000" w:firstRow="0" w:lastRow="0" w:firstColumn="1" w:lastColumn="0" w:oddVBand="0" w:evenVBand="0" w:oddHBand="0" w:evenHBand="0" w:firstRowFirstColumn="0" w:firstRowLastColumn="0" w:lastRowFirstColumn="0" w:lastRowLastColumn="0"/>
            <w:tcW w:w="9828" w:type="dxa"/>
            <w:gridSpan w:val="2"/>
          </w:tcPr>
          <w:p w:rsidRPr="002D28BB" w:rsidR="00971D95" w:rsidP="00503C9E" w:rsidRDefault="00971D95" w14:paraId="5B10CA8E" w14:textId="7EA6FD5F">
            <w:pPr>
              <w:spacing w:after="120"/>
              <w:ind w:left="810" w:right="450"/>
              <w:rPr>
                <w:rFonts w:ascii="Arial" w:hAnsi="Arial" w:cs="Arial"/>
                <w:b w:val="0"/>
                <w:bCs w:val="0"/>
              </w:rPr>
            </w:pPr>
            <w:r w:rsidRPr="002D28BB">
              <w:rPr>
                <w:rFonts w:ascii="Arial" w:hAnsi="Arial" w:cs="Arial"/>
              </w:rPr>
              <w:t xml:space="preserve">Domain 2: </w:t>
            </w:r>
          </w:p>
        </w:tc>
      </w:tr>
      <w:tr w:rsidRPr="002D28BB" w:rsidR="00503C9E" w:rsidTr="00DC418E" w14:paraId="342071B2" w14:textId="77777777">
        <w:trPr>
          <w:trHeight w:val="881"/>
        </w:trPr>
        <w:tc>
          <w:tcPr>
            <w:cnfStyle w:val="001000000000" w:firstRow="0" w:lastRow="0" w:firstColumn="1" w:lastColumn="0" w:oddVBand="0" w:evenVBand="0" w:oddHBand="0" w:evenHBand="0" w:firstRowFirstColumn="0" w:firstRowLastColumn="0" w:lastRowFirstColumn="0" w:lastRowLastColumn="0"/>
            <w:tcW w:w="2718" w:type="dxa"/>
          </w:tcPr>
          <w:p w:rsidRPr="002D28BB" w:rsidR="00971D95" w:rsidP="00503C9E" w:rsidRDefault="00971D95" w14:paraId="277107F4" w14:textId="77777777">
            <w:pPr>
              <w:spacing w:after="120"/>
              <w:ind w:left="810" w:right="450"/>
              <w:rPr>
                <w:rFonts w:ascii="Arial" w:hAnsi="Arial" w:cs="Arial"/>
                <w:b w:val="0"/>
                <w:bCs w:val="0"/>
              </w:rPr>
            </w:pPr>
            <w:r w:rsidRPr="002D28BB">
              <w:rPr>
                <w:rFonts w:ascii="Arial" w:hAnsi="Arial" w:cs="Arial"/>
              </w:rPr>
              <w:t xml:space="preserve">Project Focus: </w:t>
            </w:r>
          </w:p>
          <w:p w:rsidRPr="002D28BB" w:rsidR="00971D95" w:rsidP="00503C9E" w:rsidRDefault="00971D95" w14:paraId="364AF089" w14:textId="77777777">
            <w:pPr>
              <w:ind w:left="810" w:right="450"/>
              <w:rPr>
                <w:rFonts w:ascii="Arial" w:hAnsi="Arial" w:cs="Arial"/>
              </w:rPr>
            </w:pPr>
          </w:p>
          <w:p w:rsidRPr="002D28BB" w:rsidR="00971D95" w:rsidP="00503C9E" w:rsidRDefault="00971D95" w14:paraId="73FA89E3" w14:textId="77777777">
            <w:pPr>
              <w:ind w:left="810" w:right="450"/>
              <w:jc w:val="right"/>
              <w:rPr>
                <w:rFonts w:ascii="Arial" w:hAnsi="Arial" w:cs="Arial"/>
              </w:rPr>
            </w:pPr>
          </w:p>
        </w:tc>
        <w:tc>
          <w:tcPr>
            <w:tcW w:w="7110" w:type="dxa"/>
          </w:tcPr>
          <w:p w:rsidRPr="002D28BB" w:rsidR="00971D95" w:rsidP="008453B1" w:rsidRDefault="00971D95" w14:paraId="6D88CCA9" w14:textId="67532137">
            <w:pPr>
              <w:spacing w:after="120"/>
              <w:ind w:left="810" w:right="45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Pr="002D28BB" w:rsidR="00971D95" w:rsidP="00D5669B" w:rsidRDefault="00971D95" w14:paraId="5BB68EB5" w14:textId="77777777">
      <w:pPr>
        <w:pStyle w:val="Heading1"/>
        <w:numPr>
          <w:ilvl w:val="1"/>
          <w:numId w:val="1"/>
        </w:numPr>
        <w:tabs>
          <w:tab w:val="num" w:pos="360"/>
        </w:tabs>
        <w:spacing w:before="120" w:after="120"/>
        <w:ind w:left="810" w:right="450" w:firstLine="0"/>
        <w:jc w:val="both"/>
        <w:rPr>
          <w:rFonts w:ascii="Arial" w:hAnsi="Arial" w:cs="Arial"/>
          <w:b w:val="0"/>
          <w:bCs w:val="0"/>
          <w:i/>
          <w:iCs/>
          <w:sz w:val="24"/>
          <w:szCs w:val="24"/>
        </w:rPr>
      </w:pPr>
      <w:r w:rsidRPr="002D28BB">
        <w:rPr>
          <w:rFonts w:ascii="Arial" w:hAnsi="Arial" w:cs="Arial"/>
          <w:b w:val="0"/>
          <w:bCs w:val="0"/>
          <w:i/>
          <w:iCs/>
          <w:sz w:val="24"/>
          <w:szCs w:val="24"/>
        </w:rPr>
        <w:t>DOMAIN MEASURES AND INTERVENTIONS</w:t>
      </w:r>
    </w:p>
    <w:p w:rsidRPr="002D28BB" w:rsidR="00971D95" w:rsidP="00503C9E" w:rsidRDefault="493FC258" w14:paraId="058D95D1" w14:textId="3FD6C9DE">
      <w:pPr>
        <w:spacing w:after="120"/>
        <w:ind w:left="810" w:right="450"/>
        <w:jc w:val="both"/>
        <w:rPr>
          <w:rFonts w:ascii="Arial" w:hAnsi="Arial" w:cs="Arial"/>
        </w:rPr>
      </w:pPr>
      <w:r w:rsidRPr="002D28BB">
        <w:rPr>
          <w:rFonts w:ascii="Arial" w:hAnsi="Arial" w:cs="Arial"/>
        </w:rPr>
        <w:t>SCO</w:t>
      </w:r>
      <w:r w:rsidRPr="002D28BB" w:rsidR="00971D95">
        <w:rPr>
          <w:rFonts w:ascii="Arial" w:hAnsi="Arial" w:cs="Arial"/>
        </w:rPr>
        <w:t xml:space="preserve"> plans shall identify specific measures and interventions within their PIPs that are reflective of the quality performance and monitoring measures identified in Exhibit 1 of this Appendix.</w:t>
      </w:r>
    </w:p>
    <w:p w:rsidRPr="002D28BB" w:rsidR="00971D95" w:rsidP="00D5669B" w:rsidRDefault="6102BE63" w14:paraId="23B92129" w14:textId="2E0B26A3">
      <w:pPr>
        <w:pStyle w:val="Heading1"/>
        <w:numPr>
          <w:ilvl w:val="1"/>
          <w:numId w:val="1"/>
        </w:numPr>
        <w:tabs>
          <w:tab w:val="num" w:pos="360"/>
        </w:tabs>
        <w:spacing w:before="0" w:after="120"/>
        <w:ind w:left="810" w:right="450" w:firstLine="0"/>
        <w:jc w:val="both"/>
        <w:rPr>
          <w:rFonts w:ascii="Arial" w:hAnsi="Arial" w:cs="Arial"/>
          <w:b w:val="0"/>
          <w:bCs w:val="0"/>
          <w:i/>
          <w:iCs/>
          <w:sz w:val="24"/>
          <w:szCs w:val="24"/>
        </w:rPr>
      </w:pPr>
      <w:r w:rsidRPr="002D28BB">
        <w:rPr>
          <w:rFonts w:ascii="Arial" w:hAnsi="Arial" w:cs="Arial"/>
          <w:b w:val="0"/>
          <w:bCs w:val="0"/>
          <w:i/>
          <w:iCs/>
          <w:sz w:val="24"/>
          <w:szCs w:val="24"/>
        </w:rPr>
        <w:t>SCO</w:t>
      </w:r>
      <w:r w:rsidRPr="002D28BB" w:rsidR="00971D95">
        <w:rPr>
          <w:rFonts w:ascii="Arial" w:hAnsi="Arial" w:cs="Arial"/>
          <w:b w:val="0"/>
          <w:bCs w:val="0"/>
          <w:i/>
          <w:iCs/>
          <w:sz w:val="24"/>
          <w:szCs w:val="24"/>
        </w:rPr>
        <w:t xml:space="preserve"> REPORTS, SUBMISSIONS, AND TEMPLATES</w:t>
      </w:r>
    </w:p>
    <w:p w:rsidRPr="002D28BB" w:rsidR="00971D95" w:rsidP="00503C9E" w:rsidRDefault="42CB2BAE" w14:paraId="1039D825" w14:textId="3C098AB9">
      <w:pPr>
        <w:spacing w:after="120"/>
        <w:ind w:left="810" w:right="450"/>
        <w:jc w:val="both"/>
        <w:rPr>
          <w:rFonts w:ascii="Arial" w:hAnsi="Arial" w:cs="Arial"/>
        </w:rPr>
      </w:pPr>
      <w:r w:rsidRPr="002D28BB">
        <w:rPr>
          <w:rFonts w:ascii="Arial" w:hAnsi="Arial" w:cs="Arial"/>
        </w:rPr>
        <w:t>SCO</w:t>
      </w:r>
      <w:r w:rsidRPr="002D28BB" w:rsidR="00971D95">
        <w:rPr>
          <w:rFonts w:ascii="Arial" w:hAnsi="Arial" w:cs="Arial"/>
        </w:rPr>
        <w:t xml:space="preserve"> plans will submit Performance Improvement Reports using the PIP Submission Templates developed and distributed by EOHHS or its designee.  PIP Reporting submissions shall include quantitative and qualitative data as well as specific progress made on each measure, barriers encountered, lessons learned, and planned next steps. For specific instructions on the submission process and detail on the submission templates, </w:t>
      </w:r>
      <w:r w:rsidRPr="002D28BB" w:rsidR="036262AF">
        <w:rPr>
          <w:rFonts w:ascii="Arial" w:hAnsi="Arial" w:cs="Arial"/>
        </w:rPr>
        <w:t>SCO</w:t>
      </w:r>
      <w:r w:rsidRPr="002D28BB" w:rsidR="00971D95">
        <w:rPr>
          <w:rFonts w:ascii="Arial" w:hAnsi="Arial" w:cs="Arial"/>
        </w:rPr>
        <w:t xml:space="preserve"> Plans shall refer to guidance to be distributed by MassHealth or its designee.  </w:t>
      </w:r>
    </w:p>
    <w:p w:rsidRPr="002D28BB" w:rsidR="00971D95" w:rsidP="00D5669B" w:rsidRDefault="00971D95" w14:paraId="1625CA67" w14:textId="77777777">
      <w:pPr>
        <w:pStyle w:val="ListParagraph"/>
        <w:numPr>
          <w:ilvl w:val="0"/>
          <w:numId w:val="12"/>
        </w:numPr>
        <w:spacing w:after="120"/>
        <w:ind w:right="450"/>
        <w:jc w:val="both"/>
        <w:rPr>
          <w:rFonts w:ascii="Arial" w:hAnsi="Arial" w:cs="Arial"/>
          <w:sz w:val="24"/>
          <w:szCs w:val="24"/>
        </w:rPr>
      </w:pPr>
      <w:r w:rsidRPr="002D28BB">
        <w:rPr>
          <w:rFonts w:ascii="Arial" w:hAnsi="Arial" w:cs="Arial"/>
          <w:sz w:val="24"/>
          <w:szCs w:val="24"/>
        </w:rPr>
        <w:t>Reporting on the interventions should at a minimum include the following items (to be described with greater specificity in the forthcoming Submission Guide Document):</w:t>
      </w:r>
    </w:p>
    <w:p w:rsidRPr="002D28BB" w:rsidR="00971D95" w:rsidP="00D5669B" w:rsidRDefault="00971D95" w14:paraId="42D2856B" w14:textId="77777777">
      <w:pPr>
        <w:pStyle w:val="ListParagraph"/>
        <w:numPr>
          <w:ilvl w:val="0"/>
          <w:numId w:val="12"/>
        </w:numPr>
        <w:spacing w:after="120"/>
        <w:ind w:right="450"/>
        <w:jc w:val="both"/>
        <w:rPr>
          <w:rFonts w:ascii="Arial" w:hAnsi="Arial" w:cs="Arial"/>
          <w:sz w:val="24"/>
          <w:szCs w:val="24"/>
        </w:rPr>
      </w:pPr>
      <w:r w:rsidRPr="002D28BB">
        <w:rPr>
          <w:rFonts w:ascii="Arial" w:hAnsi="Arial" w:cs="Arial"/>
          <w:sz w:val="24"/>
          <w:szCs w:val="24"/>
        </w:rPr>
        <w:t>Rationale for selecting proposed/implemented interventions</w:t>
      </w:r>
    </w:p>
    <w:p w:rsidRPr="002D28BB" w:rsidR="00971D95" w:rsidP="00D5669B" w:rsidRDefault="00971D95" w14:paraId="215535F6" w14:textId="77777777">
      <w:pPr>
        <w:pStyle w:val="ListParagraph"/>
        <w:numPr>
          <w:ilvl w:val="0"/>
          <w:numId w:val="12"/>
        </w:numPr>
        <w:spacing w:after="120"/>
        <w:ind w:right="450"/>
        <w:jc w:val="both"/>
        <w:rPr>
          <w:rFonts w:ascii="Arial" w:hAnsi="Arial" w:cs="Arial"/>
          <w:sz w:val="24"/>
          <w:szCs w:val="24"/>
        </w:rPr>
      </w:pPr>
      <w:r w:rsidRPr="002D28BB">
        <w:rPr>
          <w:rFonts w:ascii="Arial" w:hAnsi="Arial" w:cs="Arial"/>
          <w:sz w:val="24"/>
          <w:szCs w:val="24"/>
        </w:rPr>
        <w:t>Description of current interventions</w:t>
      </w:r>
    </w:p>
    <w:p w:rsidRPr="002D28BB" w:rsidR="00971D95" w:rsidP="00D5669B" w:rsidRDefault="00971D95" w14:paraId="5D03DAE8" w14:textId="77777777">
      <w:pPr>
        <w:pStyle w:val="ListParagraph"/>
        <w:numPr>
          <w:ilvl w:val="0"/>
          <w:numId w:val="12"/>
        </w:numPr>
        <w:spacing w:after="120"/>
        <w:ind w:right="450"/>
        <w:jc w:val="both"/>
        <w:rPr>
          <w:rFonts w:ascii="Arial" w:hAnsi="Arial" w:cs="Arial"/>
          <w:sz w:val="24"/>
          <w:szCs w:val="24"/>
        </w:rPr>
      </w:pPr>
      <w:r w:rsidRPr="002D28BB">
        <w:rPr>
          <w:rFonts w:ascii="Arial" w:hAnsi="Arial" w:cs="Arial"/>
          <w:sz w:val="24"/>
          <w:szCs w:val="24"/>
        </w:rPr>
        <w:t>Analysis of short-term indicators, HEDIS rates as applicable, data collection procedures and methodology, and interpretation of results</w:t>
      </w:r>
    </w:p>
    <w:p w:rsidRPr="002D28BB" w:rsidR="00971D95" w:rsidP="00D5669B" w:rsidRDefault="00971D95" w14:paraId="77F1ED7D" w14:textId="412F0076">
      <w:pPr>
        <w:pStyle w:val="ListParagraph"/>
        <w:numPr>
          <w:ilvl w:val="0"/>
          <w:numId w:val="12"/>
        </w:numPr>
        <w:spacing w:after="120"/>
        <w:ind w:right="450"/>
        <w:jc w:val="both"/>
        <w:rPr>
          <w:rFonts w:ascii="Arial" w:hAnsi="Arial" w:cs="Arial"/>
          <w:sz w:val="24"/>
          <w:szCs w:val="24"/>
        </w:rPr>
      </w:pPr>
      <w:r w:rsidRPr="002D28BB">
        <w:rPr>
          <w:rFonts w:ascii="Arial" w:hAnsi="Arial" w:cs="Arial"/>
          <w:sz w:val="24"/>
          <w:szCs w:val="24"/>
        </w:rPr>
        <w:t>Assessment of intervention successes and challenges, and potential intervention modifications for future implementation periods.</w:t>
      </w:r>
    </w:p>
    <w:p w:rsidRPr="002D28BB" w:rsidR="00F06579" w:rsidP="00F06579" w:rsidRDefault="00F06579" w14:paraId="43317FCA" w14:textId="77777777">
      <w:pPr>
        <w:pStyle w:val="ListParagraph"/>
        <w:spacing w:after="120"/>
        <w:ind w:left="1530" w:right="450"/>
        <w:jc w:val="both"/>
        <w:rPr>
          <w:rFonts w:ascii="Arial" w:hAnsi="Arial" w:cs="Arial"/>
          <w:sz w:val="24"/>
          <w:szCs w:val="24"/>
        </w:rPr>
      </w:pPr>
    </w:p>
    <w:p w:rsidRPr="002D28BB" w:rsidR="00971D95" w:rsidP="00503C9E" w:rsidRDefault="00971D95" w14:paraId="1730D43E" w14:textId="551BBA24">
      <w:pPr>
        <w:spacing w:after="120"/>
        <w:ind w:left="810" w:right="450"/>
        <w:jc w:val="both"/>
        <w:rPr>
          <w:rFonts w:ascii="Arial" w:hAnsi="Arial" w:cs="Arial"/>
        </w:rPr>
      </w:pPr>
      <w:r w:rsidRPr="002D28BB">
        <w:rPr>
          <w:rFonts w:ascii="Arial" w:hAnsi="Arial" w:cs="Arial"/>
          <w:b/>
          <w:bCs/>
        </w:rPr>
        <w:t>Evaluation of PIP Reports:</w:t>
      </w:r>
      <w:r w:rsidRPr="002D28BB">
        <w:rPr>
          <w:rFonts w:ascii="Arial" w:hAnsi="Arial" w:cs="Arial"/>
          <w:b/>
          <w:bCs/>
          <w:color w:val="4F81BD" w:themeColor="accent1"/>
        </w:rPr>
        <w:t xml:space="preserve"> </w:t>
      </w:r>
      <w:r w:rsidRPr="002D28BB">
        <w:rPr>
          <w:rFonts w:ascii="Arial" w:hAnsi="Arial" w:cs="Arial"/>
        </w:rPr>
        <w:t xml:space="preserve">EOHHS or its designee will review PIP Reports using a standardized Evaluation Template. The scoring elements in the Evaluation Template will correspond directly with the elements documented on the reporting templates. Feedback will be provided to the </w:t>
      </w:r>
      <w:r w:rsidRPr="002D28BB" w:rsidR="518A825E">
        <w:rPr>
          <w:rFonts w:ascii="Arial" w:hAnsi="Arial" w:cs="Arial"/>
        </w:rPr>
        <w:t>SCO</w:t>
      </w:r>
      <w:r w:rsidRPr="002D28BB">
        <w:rPr>
          <w:rFonts w:ascii="Arial" w:hAnsi="Arial" w:cs="Arial"/>
        </w:rPr>
        <w:t xml:space="preserve"> plans for each implementation period and deliverables.</w:t>
      </w:r>
    </w:p>
    <w:p w:rsidRPr="002D28BB" w:rsidR="00971D95" w:rsidP="00503C9E" w:rsidRDefault="00971D95" w14:paraId="474AFD81" w14:textId="77777777">
      <w:pPr>
        <w:spacing w:after="120"/>
        <w:ind w:left="810" w:right="450"/>
        <w:jc w:val="both"/>
        <w:rPr>
          <w:rFonts w:ascii="Arial" w:hAnsi="Arial" w:cs="Arial"/>
          <w:b/>
        </w:rPr>
      </w:pPr>
      <w:r w:rsidRPr="002D28BB">
        <w:rPr>
          <w:rFonts w:ascii="Arial" w:hAnsi="Arial" w:cs="Arial"/>
          <w:b/>
        </w:rPr>
        <w:t>Cultural Competency</w:t>
      </w:r>
    </w:p>
    <w:p w:rsidRPr="002D28BB" w:rsidR="00971D95" w:rsidP="09AAB8D4" w:rsidRDefault="00971D95" w14:paraId="22EC136F" w14:textId="23C0D63D">
      <w:pPr>
        <w:spacing w:after="120"/>
        <w:ind w:left="810" w:right="450"/>
        <w:jc w:val="both"/>
        <w:rPr>
          <w:rFonts w:ascii="Arial" w:hAnsi="Arial" w:eastAsia="Calibri" w:cs="Arial"/>
          <w:b/>
          <w:bCs/>
        </w:rPr>
      </w:pPr>
      <w:r w:rsidRPr="002D28BB">
        <w:rPr>
          <w:rFonts w:ascii="Arial" w:hAnsi="Arial" w:cs="Arial"/>
        </w:rPr>
        <w:t xml:space="preserve">Participating </w:t>
      </w:r>
      <w:r w:rsidRPr="002D28BB" w:rsidR="0B39FEB9">
        <w:rPr>
          <w:rFonts w:ascii="Arial" w:hAnsi="Arial" w:cs="Arial"/>
        </w:rPr>
        <w:t>SCO</w:t>
      </w:r>
      <w:r w:rsidRPr="002D28BB" w:rsidR="009B5BC7">
        <w:rPr>
          <w:rFonts w:ascii="Arial" w:hAnsi="Arial" w:cs="Arial"/>
        </w:rPr>
        <w:t xml:space="preserve"> plans</w:t>
      </w:r>
      <w:r w:rsidRPr="002D28BB">
        <w:rPr>
          <w:rFonts w:ascii="Arial" w:hAnsi="Arial" w:cs="Arial"/>
        </w:rPr>
        <w:t xml:space="preserve"> shall design and implement all PIP activities and interventions in a culturally competent manner.</w:t>
      </w:r>
    </w:p>
    <w:p w:rsidRPr="002D28BB" w:rsidR="00971D95" w:rsidP="00503C9E" w:rsidRDefault="00971D95" w14:paraId="55B24D6F" w14:textId="77777777">
      <w:pPr>
        <w:pStyle w:val="Heading2"/>
        <w:ind w:left="810" w:right="450"/>
        <w:rPr>
          <w:rFonts w:ascii="Arial" w:hAnsi="Arial" w:cs="Arial"/>
          <w:b/>
          <w:bCs/>
          <w:sz w:val="24"/>
          <w:szCs w:val="24"/>
        </w:rPr>
      </w:pPr>
      <w:r w:rsidRPr="002D28BB">
        <w:rPr>
          <w:rFonts w:ascii="Arial" w:hAnsi="Arial" w:cs="Arial"/>
          <w:b/>
          <w:bCs/>
          <w:sz w:val="24"/>
          <w:szCs w:val="24"/>
        </w:rPr>
        <w:t xml:space="preserve">Performance Measures </w:t>
      </w:r>
    </w:p>
    <w:p w:rsidRPr="002D28BB" w:rsidR="00971D95" w:rsidP="00503C9E" w:rsidRDefault="00971D95" w14:paraId="65BBE679" w14:textId="4143C6D4">
      <w:pPr>
        <w:ind w:left="810" w:right="450"/>
        <w:jc w:val="both"/>
        <w:rPr>
          <w:rFonts w:ascii="Arial" w:hAnsi="Arial" w:eastAsia="Calibri" w:cs="Arial"/>
        </w:rPr>
        <w:sectPr w:rsidRPr="002D28BB" w:rsidR="00971D95" w:rsidSect="00971D95">
          <w:headerReference w:type="default" r:id="rId12"/>
          <w:footerReference w:type="default" r:id="rId13"/>
          <w:headerReference w:type="first" r:id="rId14"/>
          <w:footerReference w:type="first" r:id="rId15"/>
          <w:pgSz w:w="12240" w:h="15840" w:orient="portrait"/>
          <w:pgMar w:top="720" w:right="720" w:bottom="720" w:left="720" w:header="720" w:footer="720" w:gutter="0"/>
          <w:cols w:space="720"/>
          <w:docGrid w:linePitch="360"/>
        </w:sectPr>
      </w:pPr>
      <w:r w:rsidRPr="68992F4B" w:rsidR="00971D95">
        <w:rPr>
          <w:rFonts w:ascii="Arial" w:hAnsi="Arial" w:eastAsia="Calibri" w:cs="Arial"/>
        </w:rPr>
        <w:t xml:space="preserve">EOHHS has defined performance measures pursuant to </w:t>
      </w:r>
      <w:r w:rsidRPr="68992F4B" w:rsidR="00971D95">
        <w:rPr>
          <w:rFonts w:ascii="Arial" w:hAnsi="Arial" w:eastAsia="Calibri" w:cs="Arial"/>
          <w:b w:val="1"/>
          <w:bCs w:val="1"/>
        </w:rPr>
        <w:t>Section 2.</w:t>
      </w:r>
      <w:r w:rsidRPr="68992F4B" w:rsidR="000A6422">
        <w:rPr>
          <w:rFonts w:ascii="Arial" w:hAnsi="Arial" w:eastAsia="Calibri" w:cs="Arial"/>
          <w:b w:val="1"/>
          <w:bCs w:val="1"/>
        </w:rPr>
        <w:t>1</w:t>
      </w:r>
      <w:r w:rsidRPr="68992F4B" w:rsidR="3588D750">
        <w:rPr>
          <w:rFonts w:ascii="Arial" w:hAnsi="Arial" w:eastAsia="Calibri" w:cs="Arial"/>
          <w:b w:val="1"/>
          <w:bCs w:val="1"/>
        </w:rPr>
        <w:t>4.3.1</w:t>
      </w:r>
      <w:r w:rsidRPr="68992F4B" w:rsidR="00971D95">
        <w:rPr>
          <w:rFonts w:ascii="Arial" w:hAnsi="Arial" w:eastAsia="Calibri" w:cs="Arial"/>
        </w:rPr>
        <w:t xml:space="preserve"> of the Contract</w:t>
      </w:r>
      <w:r w:rsidRPr="68992F4B" w:rsidR="00971D95">
        <w:rPr>
          <w:rFonts w:ascii="Arial" w:hAnsi="Arial" w:cs="Arial"/>
        </w:rPr>
        <w:t xml:space="preserve"> and reserves the right to modify the list of performance measures as deemed necessary and determined by EOHHS. EOHHS will calculate select measures on behalf of the </w:t>
      </w:r>
      <w:r w:rsidRPr="68992F4B" w:rsidR="55E4426C">
        <w:rPr>
          <w:rFonts w:ascii="Arial" w:hAnsi="Arial" w:cs="Arial"/>
        </w:rPr>
        <w:t>SCO</w:t>
      </w:r>
      <w:r w:rsidRPr="68992F4B" w:rsidR="00971D95">
        <w:rPr>
          <w:rFonts w:ascii="Arial" w:hAnsi="Arial" w:cs="Arial"/>
        </w:rPr>
        <w:t xml:space="preserve"> plans as indicated in Exhibit 1. </w:t>
      </w:r>
      <w:r w:rsidRPr="68992F4B" w:rsidR="003C95A4">
        <w:rPr>
          <w:rFonts w:ascii="Arial" w:hAnsi="Arial" w:cs="Arial"/>
        </w:rPr>
        <w:t>SCO</w:t>
      </w:r>
      <w:r w:rsidRPr="68992F4B" w:rsidR="00971D95">
        <w:rPr>
          <w:rFonts w:ascii="Arial" w:hAnsi="Arial" w:cs="Arial"/>
        </w:rPr>
        <w:t xml:space="preserve">-calculated measures shall be submitted annually to EOHHS. The Contractor shall report measures separately for Dual Eligible and Medicaid only eligible Enrollees. </w:t>
      </w:r>
      <w:r w:rsidRPr="68992F4B" w:rsidR="00971D95">
        <w:rPr>
          <w:rFonts w:ascii="Arial" w:hAnsi="Arial" w:eastAsia="Calibri" w:cs="Arial"/>
        </w:rPr>
        <w:t xml:space="preserve">In accordance with the Medicaid Managed Care Rule, the performance measures may be used by EOHHS to publicly report </w:t>
      </w:r>
      <w:r w:rsidRPr="68992F4B" w:rsidR="55C7EB2F">
        <w:rPr>
          <w:rFonts w:ascii="Arial" w:hAnsi="Arial" w:eastAsia="Calibri" w:cs="Arial"/>
        </w:rPr>
        <w:t>SCO</w:t>
      </w:r>
      <w:r w:rsidRPr="68992F4B" w:rsidR="00971D95">
        <w:rPr>
          <w:rFonts w:ascii="Arial" w:hAnsi="Arial" w:eastAsia="Calibri" w:cs="Arial"/>
        </w:rPr>
        <w:t xml:space="preserve"> performance. EOHHS reserves the right to withhold reporting of a measure(s) as determined by EOHHS. </w:t>
      </w:r>
    </w:p>
    <w:p w:rsidRPr="002D28BB" w:rsidR="00971D95" w:rsidP="00971D95" w:rsidRDefault="00971D95" w14:paraId="60CE2174" w14:textId="5EE6438B">
      <w:pPr>
        <w:ind w:left="-360"/>
        <w:rPr>
          <w:rFonts w:ascii="Arial" w:hAnsi="Arial" w:eastAsia="Calibri" w:cs="Arial"/>
          <w:b/>
        </w:rPr>
      </w:pPr>
    </w:p>
    <w:p w:rsidRPr="002D28BB" w:rsidR="00971D95" w:rsidP="00971D95" w:rsidRDefault="00971D95" w14:paraId="29EEA370" w14:textId="15868B8B">
      <w:pPr>
        <w:pStyle w:val="Header"/>
        <w:ind w:left="1440" w:hanging="630"/>
        <w:rPr>
          <w:rFonts w:ascii="Arial" w:hAnsi="Arial" w:cs="Arial"/>
          <w:b/>
          <w:bCs/>
        </w:rPr>
      </w:pPr>
      <w:r w:rsidRPr="002D28BB">
        <w:rPr>
          <w:rFonts w:ascii="Arial" w:hAnsi="Arial" w:cs="Arial"/>
          <w:b/>
          <w:bCs/>
        </w:rPr>
        <w:t>EXHIBIT 1 –</w:t>
      </w:r>
      <w:r w:rsidRPr="002D28BB">
        <w:rPr>
          <w:rFonts w:ascii="Arial" w:hAnsi="Arial" w:cs="Arial"/>
          <w:b/>
          <w:bCs/>
          <w:caps/>
        </w:rPr>
        <w:t xml:space="preserve"> </w:t>
      </w:r>
      <w:r w:rsidRPr="002D28BB" w:rsidR="6515D570">
        <w:rPr>
          <w:rFonts w:ascii="Arial" w:hAnsi="Arial" w:cs="Arial"/>
          <w:b/>
          <w:bCs/>
        </w:rPr>
        <w:t>SCO</w:t>
      </w:r>
      <w:r w:rsidRPr="002D28BB">
        <w:rPr>
          <w:rFonts w:ascii="Arial" w:hAnsi="Arial" w:cs="Arial"/>
          <w:b/>
          <w:bCs/>
        </w:rPr>
        <w:t xml:space="preserve"> Quality Measures (Prospective Measures, 2026-2031)</w:t>
      </w:r>
    </w:p>
    <w:p w:rsidRPr="002D28BB" w:rsidR="00971D95" w:rsidP="00971D95" w:rsidRDefault="00971D95" w14:paraId="4300BBA1" w14:textId="77777777">
      <w:pPr>
        <w:pStyle w:val="Header"/>
        <w:ind w:left="-360" w:hanging="630"/>
        <w:rPr>
          <w:rFonts w:ascii="Arial" w:hAnsi="Arial" w:cs="Arial"/>
          <w:b/>
          <w:bCs/>
        </w:rPr>
      </w:pPr>
    </w:p>
    <w:tbl>
      <w:tblPr>
        <w:tblW w:w="12775" w:type="dxa"/>
        <w:jc w:val="center"/>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Look w:val="04A0" w:firstRow="1" w:lastRow="0" w:firstColumn="1" w:lastColumn="0" w:noHBand="0" w:noVBand="1"/>
      </w:tblPr>
      <w:tblGrid>
        <w:gridCol w:w="3685"/>
        <w:gridCol w:w="5310"/>
        <w:gridCol w:w="1350"/>
        <w:gridCol w:w="1350"/>
        <w:gridCol w:w="1080"/>
      </w:tblGrid>
      <w:tr w:rsidRPr="002D28BB" w:rsidR="00F261D5" w:rsidTr="4838C3B5" w14:paraId="01370A09" w14:textId="77777777">
        <w:trPr>
          <w:trHeight w:val="517"/>
          <w:tblHeader/>
          <w:jc w:val="center"/>
        </w:trPr>
        <w:tc>
          <w:tcPr>
            <w:tcW w:w="3685" w:type="dxa"/>
            <w:vMerge w:val="restart"/>
            <w:tcBorders>
              <w:bottom w:val="single" w:color="95B3D7" w:themeColor="accent1" w:themeTint="99" w:sz="12" w:space="0"/>
            </w:tcBorders>
            <w:shd w:val="clear" w:color="auto" w:fill="DAEEF3" w:themeFill="accent5" w:themeFillTint="33"/>
          </w:tcPr>
          <w:p w:rsidRPr="002D28BB" w:rsidR="00971D95" w:rsidP="004317B7" w:rsidRDefault="00971D95" w14:paraId="0E2AF552" w14:textId="77777777">
            <w:pPr>
              <w:jc w:val="center"/>
              <w:rPr>
                <w:rFonts w:ascii="Arial" w:hAnsi="Arial" w:cs="Arial"/>
                <w:b/>
                <w:color w:val="000000"/>
              </w:rPr>
            </w:pPr>
            <w:r w:rsidRPr="002D28BB">
              <w:rPr>
                <w:rFonts w:ascii="Arial" w:hAnsi="Arial" w:cs="Arial"/>
                <w:b/>
                <w:color w:val="000000"/>
              </w:rPr>
              <w:t>Measure Name</w:t>
            </w:r>
          </w:p>
        </w:tc>
        <w:tc>
          <w:tcPr>
            <w:tcW w:w="5310" w:type="dxa"/>
            <w:vMerge w:val="restart"/>
            <w:tcBorders>
              <w:bottom w:val="single" w:color="95B3D7" w:themeColor="accent1" w:themeTint="99" w:sz="12" w:space="0"/>
            </w:tcBorders>
            <w:shd w:val="clear" w:color="auto" w:fill="DAEEF3" w:themeFill="accent5" w:themeFillTint="33"/>
          </w:tcPr>
          <w:p w:rsidRPr="002D28BB" w:rsidR="00971D95" w:rsidP="004317B7" w:rsidRDefault="00971D95" w14:paraId="2111F87F" w14:textId="77777777">
            <w:pPr>
              <w:jc w:val="center"/>
              <w:rPr>
                <w:rFonts w:ascii="Arial" w:hAnsi="Arial" w:cs="Arial"/>
                <w:b/>
                <w:color w:val="000000"/>
              </w:rPr>
            </w:pPr>
            <w:r w:rsidRPr="002D28BB">
              <w:rPr>
                <w:rFonts w:ascii="Arial" w:hAnsi="Arial" w:cs="Arial"/>
                <w:b/>
                <w:color w:val="000000"/>
              </w:rPr>
              <w:t>Measure Description</w:t>
            </w:r>
          </w:p>
        </w:tc>
        <w:tc>
          <w:tcPr>
            <w:tcW w:w="1350" w:type="dxa"/>
            <w:vMerge w:val="restart"/>
            <w:tcBorders>
              <w:bottom w:val="single" w:color="95B3D7" w:themeColor="accent1" w:themeTint="99" w:sz="12" w:space="0"/>
            </w:tcBorders>
            <w:shd w:val="clear" w:color="auto" w:fill="DAEEF3" w:themeFill="accent5" w:themeFillTint="33"/>
          </w:tcPr>
          <w:p w:rsidRPr="002D28BB" w:rsidR="00971D95" w:rsidP="004317B7" w:rsidRDefault="00971D95" w14:paraId="4976F255" w14:textId="77777777">
            <w:pPr>
              <w:jc w:val="center"/>
              <w:rPr>
                <w:rFonts w:ascii="Arial" w:hAnsi="Arial" w:cs="Arial"/>
                <w:b/>
                <w:color w:val="000000"/>
              </w:rPr>
            </w:pPr>
            <w:r w:rsidRPr="002D28BB">
              <w:rPr>
                <w:rFonts w:ascii="Arial" w:hAnsi="Arial" w:cs="Arial"/>
                <w:b/>
                <w:color w:val="000000"/>
              </w:rPr>
              <w:t>Data Source</w:t>
            </w:r>
          </w:p>
        </w:tc>
        <w:tc>
          <w:tcPr>
            <w:tcW w:w="1350" w:type="dxa"/>
            <w:vMerge w:val="restart"/>
            <w:tcBorders>
              <w:bottom w:val="single" w:color="95B3D7" w:themeColor="accent1" w:themeTint="99" w:sz="12" w:space="0"/>
            </w:tcBorders>
            <w:shd w:val="clear" w:color="auto" w:fill="DAEEF3" w:themeFill="accent5" w:themeFillTint="33"/>
          </w:tcPr>
          <w:p w:rsidRPr="002D28BB" w:rsidR="00971D95" w:rsidP="004317B7" w:rsidRDefault="00971D95" w14:paraId="733B8AAE" w14:textId="77777777">
            <w:pPr>
              <w:jc w:val="center"/>
              <w:rPr>
                <w:rFonts w:ascii="Arial" w:hAnsi="Arial" w:cs="Arial"/>
                <w:b/>
                <w:color w:val="000000"/>
              </w:rPr>
            </w:pPr>
            <w:r w:rsidRPr="002D28BB">
              <w:rPr>
                <w:rFonts w:ascii="Arial" w:hAnsi="Arial" w:cs="Arial"/>
                <w:b/>
                <w:color w:val="000000"/>
              </w:rPr>
              <w:t>Measure</w:t>
            </w:r>
          </w:p>
          <w:p w:rsidRPr="002D28BB" w:rsidR="00971D95" w:rsidP="004317B7" w:rsidRDefault="00971D95" w14:paraId="4E443351" w14:textId="77777777">
            <w:pPr>
              <w:jc w:val="center"/>
              <w:rPr>
                <w:rFonts w:ascii="Arial" w:hAnsi="Arial" w:cs="Arial"/>
                <w:b/>
                <w:color w:val="000000"/>
              </w:rPr>
            </w:pPr>
            <w:r w:rsidRPr="002D28BB">
              <w:rPr>
                <w:rFonts w:ascii="Arial" w:hAnsi="Arial" w:cs="Arial"/>
                <w:b/>
                <w:color w:val="000000"/>
              </w:rPr>
              <w:t>Steward</w:t>
            </w:r>
          </w:p>
        </w:tc>
        <w:tc>
          <w:tcPr>
            <w:tcW w:w="1080" w:type="dxa"/>
            <w:vMerge w:val="restart"/>
            <w:tcBorders>
              <w:bottom w:val="single" w:color="95B3D7" w:themeColor="accent1" w:themeTint="99" w:sz="12" w:space="0"/>
              <w:right w:val="single" w:color="B6DDE8" w:themeColor="accent5" w:themeTint="66" w:sz="4" w:space="0"/>
            </w:tcBorders>
            <w:shd w:val="clear" w:color="auto" w:fill="DAEEF3" w:themeFill="accent5" w:themeFillTint="33"/>
          </w:tcPr>
          <w:p w:rsidRPr="002D28BB" w:rsidR="00971D95" w:rsidP="004317B7" w:rsidRDefault="00971D95" w14:paraId="297178E1" w14:textId="77777777">
            <w:pPr>
              <w:jc w:val="center"/>
              <w:rPr>
                <w:rFonts w:ascii="Arial" w:hAnsi="Arial" w:cs="Arial"/>
                <w:b/>
                <w:color w:val="000000"/>
              </w:rPr>
            </w:pPr>
            <w:r w:rsidRPr="002D28BB">
              <w:rPr>
                <w:rFonts w:ascii="Arial" w:hAnsi="Arial" w:cs="Arial"/>
                <w:b/>
                <w:color w:val="000000"/>
              </w:rPr>
              <w:t>NQF</w:t>
            </w:r>
          </w:p>
        </w:tc>
      </w:tr>
      <w:tr w:rsidRPr="002D28BB" w:rsidR="00971D95" w:rsidTr="4838C3B5" w14:paraId="355E45B2" w14:textId="77777777">
        <w:trPr>
          <w:trHeight w:val="276"/>
          <w:jc w:val="center"/>
        </w:trPr>
        <w:tc>
          <w:tcPr>
            <w:tcW w:w="3685" w:type="dxa"/>
            <w:vMerge/>
          </w:tcPr>
          <w:p w:rsidRPr="002D28BB" w:rsidR="00971D95" w:rsidP="004317B7" w:rsidRDefault="00971D95" w14:paraId="3788BAE2" w14:textId="77777777">
            <w:pPr>
              <w:jc w:val="center"/>
              <w:rPr>
                <w:rFonts w:ascii="Arial" w:hAnsi="Arial" w:cs="Arial"/>
                <w:color w:val="000000"/>
              </w:rPr>
            </w:pPr>
          </w:p>
        </w:tc>
        <w:tc>
          <w:tcPr>
            <w:tcW w:w="5310" w:type="dxa"/>
            <w:vMerge/>
          </w:tcPr>
          <w:p w:rsidRPr="002D28BB" w:rsidR="00971D95" w:rsidP="004317B7" w:rsidRDefault="00971D95" w14:paraId="1376521D" w14:textId="77777777">
            <w:pPr>
              <w:jc w:val="center"/>
              <w:rPr>
                <w:rFonts w:ascii="Arial" w:hAnsi="Arial" w:cs="Arial"/>
                <w:color w:val="000000"/>
              </w:rPr>
            </w:pPr>
          </w:p>
        </w:tc>
        <w:tc>
          <w:tcPr>
            <w:tcW w:w="1350" w:type="dxa"/>
            <w:vMerge/>
          </w:tcPr>
          <w:p w:rsidRPr="002D28BB" w:rsidR="00971D95" w:rsidP="004317B7" w:rsidRDefault="00971D95" w14:paraId="3D38D197" w14:textId="77777777">
            <w:pPr>
              <w:jc w:val="center"/>
              <w:rPr>
                <w:rFonts w:ascii="Arial" w:hAnsi="Arial" w:cs="Arial"/>
                <w:color w:val="000000"/>
              </w:rPr>
            </w:pPr>
          </w:p>
        </w:tc>
        <w:tc>
          <w:tcPr>
            <w:tcW w:w="1350" w:type="dxa"/>
            <w:vMerge/>
          </w:tcPr>
          <w:p w:rsidRPr="002D28BB" w:rsidR="00971D95" w:rsidP="004317B7" w:rsidRDefault="00971D95" w14:paraId="47CD6A64" w14:textId="77777777">
            <w:pPr>
              <w:jc w:val="center"/>
              <w:rPr>
                <w:rFonts w:ascii="Arial" w:hAnsi="Arial" w:cs="Arial"/>
                <w:color w:val="000000"/>
              </w:rPr>
            </w:pPr>
          </w:p>
        </w:tc>
        <w:tc>
          <w:tcPr>
            <w:tcW w:w="1080" w:type="dxa"/>
            <w:vMerge/>
          </w:tcPr>
          <w:p w:rsidRPr="002D28BB" w:rsidR="00971D95" w:rsidP="004317B7" w:rsidRDefault="00971D95" w14:paraId="2E7764AE" w14:textId="77777777">
            <w:pPr>
              <w:jc w:val="center"/>
              <w:rPr>
                <w:rFonts w:ascii="Arial" w:hAnsi="Arial" w:cs="Arial"/>
                <w:color w:val="000000"/>
              </w:rPr>
            </w:pPr>
          </w:p>
        </w:tc>
      </w:tr>
      <w:tr w:rsidRPr="002D28BB" w:rsidR="00201D73" w:rsidTr="007E318D" w14:paraId="5950DDC7" w14:textId="77777777">
        <w:trPr>
          <w:trHeight w:val="980"/>
          <w:jc w:val="center"/>
        </w:trPr>
        <w:tc>
          <w:tcPr>
            <w:tcW w:w="3685"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D5669B" w:rsidRDefault="00201D73" w14:paraId="056B75F8" w14:textId="77777777">
            <w:pPr>
              <w:pStyle w:val="ListParagraph"/>
              <w:numPr>
                <w:ilvl w:val="0"/>
                <w:numId w:val="6"/>
              </w:numPr>
              <w:spacing w:after="120" w:line="23" w:lineRule="atLeast"/>
              <w:rPr>
                <w:rFonts w:ascii="Arial" w:hAnsi="Arial" w:cs="Arial"/>
                <w:color w:val="000000" w:themeColor="text1"/>
                <w:sz w:val="24"/>
                <w:szCs w:val="24"/>
              </w:rPr>
            </w:pPr>
            <w:r w:rsidRPr="002D28BB">
              <w:rPr>
                <w:rFonts w:ascii="Arial" w:hAnsi="Arial" w:cs="Arial"/>
                <w:color w:val="000000" w:themeColor="text1"/>
                <w:sz w:val="24"/>
                <w:szCs w:val="24"/>
              </w:rPr>
              <w:t>Adherence to Antipsychotic Medications for Individuals With</w:t>
            </w:r>
          </w:p>
          <w:p w:rsidRPr="002D28BB" w:rsidR="00201D73" w:rsidP="00FC7E2A" w:rsidRDefault="00201D73" w14:paraId="1D514AE2" w14:textId="06994C11">
            <w:pPr>
              <w:pStyle w:val="ListParagraph"/>
              <w:ind w:left="360"/>
              <w:rPr>
                <w:rFonts w:ascii="Arial" w:hAnsi="Arial" w:cs="Arial"/>
                <w:sz w:val="24"/>
                <w:szCs w:val="24"/>
              </w:rPr>
            </w:pPr>
            <w:r w:rsidRPr="002D28BB">
              <w:rPr>
                <w:rFonts w:ascii="Arial" w:hAnsi="Arial" w:cs="Arial"/>
                <w:color w:val="000000" w:themeColor="text1"/>
                <w:sz w:val="24"/>
                <w:szCs w:val="24"/>
              </w:rPr>
              <w:t>Schizophrenia (SAA)</w:t>
            </w:r>
          </w:p>
        </w:tc>
        <w:tc>
          <w:tcPr>
            <w:tcW w:w="531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vAlign w:val="center"/>
          </w:tcPr>
          <w:p w:rsidRPr="002D28BB" w:rsidR="00201D73" w:rsidP="00201D73" w:rsidRDefault="00201D73" w14:paraId="52B28004" w14:textId="4207D8A8">
            <w:pPr>
              <w:spacing w:after="120" w:line="23" w:lineRule="atLeast"/>
              <w:rPr>
                <w:rFonts w:ascii="Arial" w:hAnsi="Arial" w:cs="Arial"/>
                <w:color w:val="000000"/>
              </w:rPr>
            </w:pPr>
            <w:r w:rsidRPr="002D28BB">
              <w:rPr>
                <w:rFonts w:ascii="Arial" w:hAnsi="Arial" w:cs="Arial"/>
              </w:rPr>
              <w:t>The percentage of adults 18 years of age and older who have schizophrenia or schizoaffective disorder who were dispensed and remained on an antipsychotic medication for at least 80 percent of their treatment period.</w:t>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24E5F0F9" w14:textId="420F6C83">
            <w:pPr>
              <w:spacing w:after="120" w:line="23" w:lineRule="atLeast"/>
              <w:jc w:val="center"/>
              <w:rPr>
                <w:rFonts w:ascii="Arial" w:hAnsi="Arial" w:cs="Arial"/>
                <w:color w:val="000000"/>
              </w:rPr>
            </w:pPr>
            <w:r w:rsidRPr="002D28BB">
              <w:rPr>
                <w:rFonts w:ascii="Arial" w:hAnsi="Arial" w:cs="Arial"/>
                <w:color w:val="000000"/>
              </w:rPr>
              <w:t>Claims</w:t>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245A39EE" w14:textId="64C2C25E">
            <w:pPr>
              <w:spacing w:after="120" w:line="23" w:lineRule="atLeast"/>
              <w:jc w:val="center"/>
              <w:rPr>
                <w:rFonts w:ascii="Arial" w:hAnsi="Arial" w:cs="Arial"/>
              </w:rPr>
            </w:pPr>
            <w:r w:rsidRPr="002D28BB">
              <w:rPr>
                <w:rFonts w:ascii="Arial" w:hAnsi="Arial" w:cs="Arial"/>
                <w:color w:val="000000"/>
              </w:rPr>
              <w:t>NCQA</w:t>
            </w:r>
          </w:p>
        </w:tc>
        <w:tc>
          <w:tcPr>
            <w:tcW w:w="108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346D1F27" w14:textId="1EA775C1">
            <w:pPr>
              <w:spacing w:after="120" w:line="23" w:lineRule="atLeast"/>
              <w:jc w:val="center"/>
              <w:rPr>
                <w:rFonts w:ascii="Arial" w:hAnsi="Arial" w:cs="Arial"/>
                <w:color w:val="000000" w:themeColor="text1"/>
              </w:rPr>
            </w:pPr>
            <w:r w:rsidRPr="002D28BB">
              <w:rPr>
                <w:rFonts w:ascii="Arial" w:hAnsi="Arial" w:cs="Arial"/>
                <w:color w:val="000000"/>
              </w:rPr>
              <w:t>1879</w:t>
            </w:r>
          </w:p>
        </w:tc>
      </w:tr>
      <w:tr w:rsidRPr="002D28BB" w:rsidR="00FC19FD" w:rsidTr="4838C3B5" w14:paraId="100107F1" w14:textId="77777777">
        <w:trPr>
          <w:trHeight w:val="980"/>
          <w:jc w:val="center"/>
        </w:trPr>
        <w:tc>
          <w:tcPr>
            <w:tcW w:w="3685"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FC19FD" w:rsidP="00D5669B" w:rsidRDefault="007522AC" w14:paraId="35480E41" w14:textId="000A4F70">
            <w:pPr>
              <w:pStyle w:val="ListParagraph"/>
              <w:numPr>
                <w:ilvl w:val="0"/>
                <w:numId w:val="6"/>
              </w:numPr>
              <w:rPr>
                <w:rFonts w:ascii="Arial" w:hAnsi="Arial" w:cs="Arial"/>
                <w:sz w:val="24"/>
                <w:szCs w:val="24"/>
              </w:rPr>
            </w:pPr>
            <w:r w:rsidRPr="002D28BB">
              <w:rPr>
                <w:rFonts w:ascii="Arial" w:hAnsi="Arial" w:cs="Arial"/>
                <w:sz w:val="24"/>
                <w:szCs w:val="24"/>
              </w:rPr>
              <w:t>Advance Care Planning</w:t>
            </w:r>
            <w:r w:rsidRPr="002D28BB" w:rsidR="0003680D">
              <w:rPr>
                <w:rFonts w:ascii="Arial" w:hAnsi="Arial" w:cs="Arial"/>
                <w:sz w:val="24"/>
                <w:szCs w:val="24"/>
              </w:rPr>
              <w:t xml:space="preserve"> (</w:t>
            </w:r>
            <w:r w:rsidRPr="002D28BB" w:rsidR="003B7752">
              <w:rPr>
                <w:rFonts w:ascii="Arial" w:hAnsi="Arial" w:cs="Arial"/>
                <w:sz w:val="24"/>
                <w:szCs w:val="24"/>
              </w:rPr>
              <w:t>ADP</w:t>
            </w:r>
            <w:r w:rsidRPr="002D28BB" w:rsidR="008A6F16">
              <w:rPr>
                <w:rFonts w:ascii="Arial" w:hAnsi="Arial" w:cs="Arial"/>
                <w:sz w:val="24"/>
                <w:szCs w:val="24"/>
              </w:rPr>
              <w:t>)</w:t>
            </w:r>
            <w:r w:rsidRPr="002D28BB" w:rsidR="0003680D">
              <w:rPr>
                <w:rFonts w:ascii="Arial" w:hAnsi="Arial" w:cs="Arial"/>
                <w:sz w:val="24"/>
                <w:szCs w:val="24"/>
              </w:rPr>
              <w:t xml:space="preserve"> </w:t>
            </w:r>
          </w:p>
          <w:p w:rsidRPr="002D28BB" w:rsidR="00DB0735" w:rsidP="003B7752" w:rsidRDefault="00DB0735" w14:paraId="58D37F21" w14:textId="3384930E">
            <w:pPr>
              <w:pStyle w:val="ListParagraph"/>
              <w:ind w:left="360"/>
              <w:rPr>
                <w:rFonts w:ascii="Arial" w:hAnsi="Arial" w:cs="Arial"/>
                <w:sz w:val="24"/>
                <w:szCs w:val="24"/>
              </w:rPr>
            </w:pPr>
          </w:p>
        </w:tc>
        <w:tc>
          <w:tcPr>
            <w:tcW w:w="531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FC19FD" w:rsidP="008A6F16" w:rsidRDefault="008A6F16" w14:paraId="44C0F62C" w14:textId="5360A673">
            <w:pPr>
              <w:spacing w:after="120" w:line="23" w:lineRule="atLeast"/>
              <w:rPr>
                <w:rFonts w:ascii="Arial" w:hAnsi="Arial" w:cs="Arial"/>
                <w:color w:val="000000"/>
              </w:rPr>
            </w:pPr>
            <w:r w:rsidRPr="002D28BB">
              <w:rPr>
                <w:rFonts w:ascii="Arial" w:hAnsi="Arial" w:cs="Arial"/>
                <w:color w:val="000000"/>
              </w:rPr>
              <w:t>The percentage of adults 66–80 years of age with advanced illness, an indication of frailty or who are receiving palliative care, and adults 81 years of age and older who had advance care planning during the measurement year</w:t>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FC19FD" w:rsidP="00201D73" w:rsidRDefault="00D43DFB" w14:paraId="39B0C004" w14:textId="38E95F84">
            <w:pPr>
              <w:spacing w:after="120" w:line="23" w:lineRule="atLeast"/>
              <w:jc w:val="center"/>
              <w:rPr>
                <w:rFonts w:ascii="Arial" w:hAnsi="Arial" w:cs="Arial"/>
                <w:color w:val="000000"/>
              </w:rPr>
            </w:pPr>
            <w:r w:rsidRPr="002D28BB">
              <w:rPr>
                <w:rFonts w:ascii="Arial" w:hAnsi="Arial" w:cs="Arial"/>
                <w:color w:val="000000"/>
              </w:rPr>
              <w:t>Claim</w:t>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FC19FD" w:rsidP="00201D73" w:rsidRDefault="00725096" w14:paraId="4CC31E9D" w14:textId="3503BB51">
            <w:pPr>
              <w:spacing w:after="120" w:line="23" w:lineRule="atLeast"/>
              <w:jc w:val="center"/>
              <w:rPr>
                <w:rFonts w:ascii="Arial" w:hAnsi="Arial" w:cs="Arial"/>
              </w:rPr>
            </w:pPr>
            <w:r w:rsidRPr="002D28BB">
              <w:rPr>
                <w:rFonts w:ascii="Arial" w:hAnsi="Arial" w:cs="Arial"/>
              </w:rPr>
              <w:t>NCQA</w:t>
            </w:r>
          </w:p>
        </w:tc>
        <w:tc>
          <w:tcPr>
            <w:tcW w:w="108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FC19FD" w:rsidP="00201D73" w:rsidRDefault="00725096" w14:paraId="747A399C" w14:textId="2FFD2D3E">
            <w:pPr>
              <w:spacing w:after="120" w:line="23" w:lineRule="atLeast"/>
              <w:jc w:val="center"/>
              <w:rPr>
                <w:rFonts w:ascii="Arial" w:hAnsi="Arial" w:cs="Arial"/>
                <w:color w:val="000000" w:themeColor="text1"/>
              </w:rPr>
            </w:pPr>
            <w:r w:rsidRPr="002D28BB">
              <w:rPr>
                <w:rFonts w:ascii="Arial" w:hAnsi="Arial" w:cs="Arial"/>
                <w:color w:val="000000" w:themeColor="text1"/>
              </w:rPr>
              <w:t>0326</w:t>
            </w:r>
          </w:p>
        </w:tc>
      </w:tr>
      <w:tr w:rsidRPr="002D28BB" w:rsidR="00201D73" w:rsidTr="4838C3B5" w14:paraId="40EF30B9" w14:textId="77777777">
        <w:trPr>
          <w:trHeight w:val="980"/>
          <w:jc w:val="center"/>
        </w:trPr>
        <w:tc>
          <w:tcPr>
            <w:tcW w:w="3685"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D5669B" w:rsidRDefault="00201D73" w14:paraId="6C53031E" w14:textId="007949A2">
            <w:pPr>
              <w:pStyle w:val="ListParagraph"/>
              <w:numPr>
                <w:ilvl w:val="0"/>
                <w:numId w:val="6"/>
              </w:numPr>
              <w:rPr>
                <w:rFonts w:ascii="Arial" w:hAnsi="Arial" w:cs="Arial"/>
                <w:sz w:val="24"/>
                <w:szCs w:val="24"/>
              </w:rPr>
            </w:pPr>
            <w:r w:rsidRPr="002D28BB">
              <w:rPr>
                <w:rFonts w:ascii="Arial" w:hAnsi="Arial" w:cs="Arial"/>
                <w:sz w:val="24"/>
                <w:szCs w:val="24"/>
              </w:rPr>
              <w:t>Adults’ Access to Preventive/Ambulatory Health Services (AAP)</w:t>
            </w:r>
          </w:p>
        </w:tc>
        <w:tc>
          <w:tcPr>
            <w:tcW w:w="531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47AB75BB" w14:textId="0AA2F12A">
            <w:pPr>
              <w:spacing w:after="120" w:line="23" w:lineRule="atLeast"/>
              <w:rPr>
                <w:rFonts w:ascii="Arial" w:hAnsi="Arial" w:cs="Arial"/>
                <w:color w:val="000000"/>
              </w:rPr>
            </w:pPr>
            <w:r w:rsidRPr="002D28BB">
              <w:rPr>
                <w:rFonts w:ascii="Arial" w:hAnsi="Arial" w:cs="Arial"/>
                <w:color w:val="000000"/>
              </w:rPr>
              <w:t xml:space="preserve">The percentage of members 20 years of age and older who had an ambulatory or preventive care visit. </w:t>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17D06D10" w14:textId="39E404D0">
            <w:pPr>
              <w:spacing w:after="120" w:line="23" w:lineRule="atLeast"/>
              <w:jc w:val="center"/>
              <w:rPr>
                <w:rFonts w:ascii="Arial" w:hAnsi="Arial" w:cs="Arial"/>
                <w:color w:val="000000"/>
              </w:rPr>
            </w:pPr>
            <w:r w:rsidRPr="002D28BB">
              <w:rPr>
                <w:rFonts w:ascii="Arial" w:hAnsi="Arial" w:cs="Arial"/>
                <w:color w:val="000000"/>
              </w:rPr>
              <w:t>Claims</w:t>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31F4C865" w14:textId="07034A3F">
            <w:pPr>
              <w:spacing w:after="120" w:line="23" w:lineRule="atLeast"/>
              <w:jc w:val="center"/>
              <w:rPr>
                <w:rFonts w:ascii="Arial" w:hAnsi="Arial" w:cs="Arial"/>
              </w:rPr>
            </w:pPr>
            <w:r w:rsidRPr="002D28BB">
              <w:rPr>
                <w:rFonts w:ascii="Arial" w:hAnsi="Arial" w:cs="Arial"/>
              </w:rPr>
              <w:t>NCQA</w:t>
            </w:r>
          </w:p>
        </w:tc>
        <w:tc>
          <w:tcPr>
            <w:tcW w:w="108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987E90" w14:paraId="16B88C68" w14:textId="7EC101C9">
            <w:pPr>
              <w:spacing w:after="120" w:line="23" w:lineRule="atLeast"/>
              <w:jc w:val="center"/>
              <w:rPr>
                <w:rFonts w:ascii="Arial" w:hAnsi="Arial" w:cs="Arial"/>
                <w:color w:val="000000" w:themeColor="text1"/>
              </w:rPr>
            </w:pPr>
            <w:r w:rsidRPr="002D28BB">
              <w:rPr>
                <w:rFonts w:ascii="Arial" w:hAnsi="Arial" w:cs="Arial"/>
                <w:color w:val="000000" w:themeColor="text1"/>
              </w:rPr>
              <w:t>N/A</w:t>
            </w:r>
          </w:p>
        </w:tc>
      </w:tr>
      <w:tr w:rsidRPr="002D28BB" w:rsidR="00201D73" w:rsidTr="4838C3B5" w14:paraId="2DC42F64" w14:textId="77777777">
        <w:trPr>
          <w:trHeight w:val="1403"/>
          <w:jc w:val="center"/>
        </w:trPr>
        <w:tc>
          <w:tcPr>
            <w:tcW w:w="3685"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D5669B" w:rsidRDefault="00201D73" w14:paraId="3794189B" w14:textId="27172097">
            <w:pPr>
              <w:pStyle w:val="ListParagraph"/>
              <w:numPr>
                <w:ilvl w:val="0"/>
                <w:numId w:val="6"/>
              </w:numPr>
              <w:rPr>
                <w:rFonts w:ascii="Arial" w:hAnsi="Arial" w:cs="Arial"/>
                <w:sz w:val="24"/>
                <w:szCs w:val="24"/>
              </w:rPr>
            </w:pPr>
            <w:r w:rsidRPr="002D28BB">
              <w:rPr>
                <w:rFonts w:ascii="Arial" w:hAnsi="Arial" w:cs="Arial"/>
                <w:sz w:val="24"/>
                <w:szCs w:val="24"/>
              </w:rPr>
              <w:t>Antidepressant Medication Management</w:t>
            </w:r>
            <w:r w:rsidRPr="002D28BB" w:rsidR="00DC418E">
              <w:rPr>
                <w:rFonts w:ascii="Arial" w:hAnsi="Arial" w:cs="Arial"/>
                <w:sz w:val="24"/>
                <w:szCs w:val="24"/>
              </w:rPr>
              <w:t xml:space="preserve"> </w:t>
            </w:r>
            <w:r w:rsidRPr="002D28BB">
              <w:rPr>
                <w:rFonts w:ascii="Arial" w:hAnsi="Arial" w:cs="Arial"/>
                <w:sz w:val="24"/>
                <w:szCs w:val="24"/>
              </w:rPr>
              <w:t>(AMM)</w:t>
            </w:r>
            <w:bookmarkStart w:name="_Ref146120875" w:id="0"/>
            <w:r w:rsidRPr="002D28BB" w:rsidR="00D1280D">
              <w:rPr>
                <w:rStyle w:val="FootnoteReference"/>
                <w:rFonts w:ascii="Arial" w:hAnsi="Arial" w:cs="Arial"/>
                <w:sz w:val="24"/>
                <w:szCs w:val="24"/>
              </w:rPr>
              <w:footnoteReference w:id="2"/>
            </w:r>
            <w:bookmarkEnd w:id="0"/>
          </w:p>
          <w:p w:rsidRPr="002D28BB" w:rsidR="00201D73" w:rsidP="00201D73" w:rsidRDefault="00201D73" w14:paraId="0D722C8C" w14:textId="77777777">
            <w:pPr>
              <w:spacing w:after="120" w:line="23" w:lineRule="atLeast"/>
              <w:jc w:val="center"/>
              <w:rPr>
                <w:rFonts w:ascii="Arial" w:hAnsi="Arial" w:cs="Arial"/>
              </w:rPr>
            </w:pPr>
          </w:p>
        </w:tc>
        <w:tc>
          <w:tcPr>
            <w:tcW w:w="531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4780BDC3" w14:textId="77777777">
            <w:pPr>
              <w:spacing w:after="120" w:line="23" w:lineRule="atLeast"/>
              <w:rPr>
                <w:rFonts w:ascii="Arial" w:hAnsi="Arial" w:cs="Arial"/>
                <w:color w:val="000000"/>
              </w:rPr>
            </w:pPr>
            <w:r w:rsidRPr="002D28BB">
              <w:rPr>
                <w:rFonts w:ascii="Arial" w:hAnsi="Arial" w:cs="Arial"/>
                <w:color w:val="000000"/>
              </w:rPr>
              <w:t>The percentage of members 18 years of age and older who were treated with antidepressant medication, had a diagnosis of major depression and who remained on an antidepressant medication treatment. Two rates are reported.</w:t>
            </w:r>
          </w:p>
          <w:p w:rsidRPr="002D28BB" w:rsidR="00201D73" w:rsidP="00D5669B" w:rsidRDefault="00201D73" w14:paraId="010DEBFB" w14:textId="77777777">
            <w:pPr>
              <w:pStyle w:val="ListParagraph"/>
              <w:numPr>
                <w:ilvl w:val="0"/>
                <w:numId w:val="7"/>
              </w:numPr>
              <w:spacing w:after="120" w:line="23" w:lineRule="atLeast"/>
              <w:rPr>
                <w:rFonts w:ascii="Arial" w:hAnsi="Arial" w:eastAsia="Times New Roman" w:cs="Arial"/>
                <w:color w:val="000000"/>
                <w:sz w:val="24"/>
                <w:szCs w:val="24"/>
              </w:rPr>
            </w:pPr>
            <w:r w:rsidRPr="002D28BB">
              <w:rPr>
                <w:rFonts w:ascii="Arial" w:hAnsi="Arial" w:eastAsia="Times New Roman" w:cs="Arial"/>
                <w:color w:val="000000"/>
                <w:sz w:val="24"/>
                <w:szCs w:val="24"/>
              </w:rPr>
              <w:t xml:space="preserve">Effective Acute Phase Treatment. The percentage of members who remained on an antidepressant medication for at least 84 days (12 weeks). </w:t>
            </w:r>
          </w:p>
          <w:p w:rsidRPr="002D28BB" w:rsidR="00201D73" w:rsidP="00D5669B" w:rsidRDefault="00201D73" w14:paraId="7023C0D0" w14:textId="2999819B">
            <w:pPr>
              <w:pStyle w:val="ListParagraph"/>
              <w:numPr>
                <w:ilvl w:val="0"/>
                <w:numId w:val="7"/>
              </w:numPr>
              <w:spacing w:after="120" w:line="23" w:lineRule="atLeast"/>
              <w:rPr>
                <w:rFonts w:ascii="Arial" w:hAnsi="Arial" w:eastAsia="Times New Roman" w:cs="Arial"/>
                <w:color w:val="000000"/>
                <w:sz w:val="24"/>
                <w:szCs w:val="24"/>
              </w:rPr>
            </w:pPr>
            <w:r w:rsidRPr="002D28BB">
              <w:rPr>
                <w:rFonts w:ascii="Arial" w:hAnsi="Arial" w:cs="Arial"/>
                <w:color w:val="000000" w:themeColor="text1"/>
                <w:sz w:val="24"/>
                <w:szCs w:val="24"/>
              </w:rPr>
              <w:t xml:space="preserve">Effective Continuation Phase Treatment. The percentage of members who remained </w:t>
            </w:r>
            <w:r w:rsidRPr="002D28BB">
              <w:rPr>
                <w:rFonts w:ascii="Arial" w:hAnsi="Arial" w:cs="Arial"/>
                <w:color w:val="000000" w:themeColor="text1"/>
                <w:sz w:val="24"/>
                <w:szCs w:val="24"/>
              </w:rPr>
              <w:t>on an antidepressant medication for at least 180 days (6 months).</w:t>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26A8D01E" w14:textId="6D44C169">
            <w:pPr>
              <w:spacing w:after="120" w:line="23" w:lineRule="atLeast"/>
              <w:jc w:val="center"/>
              <w:rPr>
                <w:rFonts w:ascii="Arial" w:hAnsi="Arial" w:cs="Arial"/>
                <w:color w:val="000000"/>
              </w:rPr>
            </w:pPr>
            <w:r w:rsidRPr="002D28BB">
              <w:rPr>
                <w:rFonts w:ascii="Arial" w:hAnsi="Arial" w:cs="Arial"/>
                <w:color w:val="000000"/>
              </w:rPr>
              <w:t>Claims</w:t>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3544DFBF" w14:textId="01BCBCE1">
            <w:pPr>
              <w:spacing w:after="120" w:line="23" w:lineRule="atLeast"/>
              <w:jc w:val="center"/>
              <w:rPr>
                <w:rFonts w:ascii="Arial" w:hAnsi="Arial" w:cs="Arial"/>
              </w:rPr>
            </w:pPr>
            <w:r w:rsidRPr="002D28BB">
              <w:rPr>
                <w:rFonts w:ascii="Arial" w:hAnsi="Arial" w:cs="Arial"/>
              </w:rPr>
              <w:t>NCQA</w:t>
            </w:r>
          </w:p>
        </w:tc>
        <w:tc>
          <w:tcPr>
            <w:tcW w:w="108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2E487BDA" w14:textId="40A6AE39">
            <w:pPr>
              <w:spacing w:after="120" w:line="23" w:lineRule="atLeast"/>
              <w:jc w:val="center"/>
              <w:rPr>
                <w:rFonts w:ascii="Arial" w:hAnsi="Arial" w:cs="Arial"/>
              </w:rPr>
            </w:pPr>
            <w:r w:rsidRPr="002D28BB">
              <w:rPr>
                <w:rFonts w:ascii="Arial" w:hAnsi="Arial" w:cs="Arial"/>
                <w:color w:val="000000" w:themeColor="text1"/>
              </w:rPr>
              <w:t>0105</w:t>
            </w:r>
          </w:p>
        </w:tc>
      </w:tr>
      <w:tr w:rsidRPr="002D28BB" w:rsidR="002B2EF5" w:rsidTr="4838C3B5" w14:paraId="6577419F" w14:textId="77777777">
        <w:trPr>
          <w:trHeight w:val="701"/>
          <w:jc w:val="center"/>
        </w:trPr>
        <w:tc>
          <w:tcPr>
            <w:tcW w:w="3685"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BF6C4A" w:rsidP="00D5669B" w:rsidRDefault="00BF6C4A" w14:paraId="142299F5" w14:textId="326948E8">
            <w:pPr>
              <w:pStyle w:val="ListParagraph"/>
              <w:numPr>
                <w:ilvl w:val="0"/>
                <w:numId w:val="6"/>
              </w:numPr>
              <w:rPr>
                <w:rFonts w:ascii="Arial" w:hAnsi="Arial" w:cs="Arial"/>
                <w:sz w:val="24"/>
                <w:szCs w:val="24"/>
              </w:rPr>
            </w:pPr>
            <w:r w:rsidRPr="002D28BB">
              <w:rPr>
                <w:rFonts w:ascii="Arial" w:hAnsi="Arial" w:cs="Arial"/>
                <w:sz w:val="24"/>
                <w:szCs w:val="24"/>
              </w:rPr>
              <w:t>Avoidance of Antibiotic Treatment for Acute Bronchitis/Bronchiolitis (AAB)</w:t>
            </w:r>
            <w:r w:rsidRPr="002D28BB">
              <w:rPr>
                <w:rFonts w:ascii="Arial" w:hAnsi="Arial" w:cs="Arial"/>
                <w:sz w:val="24"/>
                <w:szCs w:val="24"/>
              </w:rPr>
              <w:tab/>
            </w:r>
            <w:r w:rsidRPr="002D28BB">
              <w:rPr>
                <w:rFonts w:ascii="Arial" w:hAnsi="Arial" w:cs="Arial"/>
                <w:sz w:val="24"/>
                <w:szCs w:val="24"/>
              </w:rPr>
              <w:tab/>
            </w:r>
            <w:r w:rsidRPr="002D28BB">
              <w:rPr>
                <w:rFonts w:ascii="Arial" w:hAnsi="Arial" w:cs="Arial"/>
                <w:sz w:val="24"/>
                <w:szCs w:val="24"/>
              </w:rPr>
              <w:tab/>
            </w:r>
          </w:p>
          <w:p w:rsidRPr="002D28BB" w:rsidR="002B2EF5" w:rsidP="00BF6C4A" w:rsidRDefault="002B2EF5" w14:paraId="00A39175" w14:textId="77777777">
            <w:pPr>
              <w:pStyle w:val="ListParagraph"/>
              <w:spacing w:after="120" w:line="23" w:lineRule="atLeast"/>
              <w:ind w:left="360"/>
              <w:rPr>
                <w:rFonts w:ascii="Arial" w:hAnsi="Arial" w:cs="Arial"/>
                <w:sz w:val="24"/>
                <w:szCs w:val="24"/>
              </w:rPr>
            </w:pPr>
          </w:p>
        </w:tc>
        <w:tc>
          <w:tcPr>
            <w:tcW w:w="531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B2EF5" w:rsidP="00201D73" w:rsidRDefault="00BF6C4A" w14:paraId="1E0FE7B5" w14:textId="0EC794CB">
            <w:pPr>
              <w:spacing w:after="120" w:line="23" w:lineRule="atLeast"/>
              <w:rPr>
                <w:rFonts w:ascii="Arial" w:hAnsi="Arial" w:cs="Arial"/>
                <w:color w:val="000000"/>
              </w:rPr>
            </w:pPr>
            <w:r w:rsidRPr="002D28BB">
              <w:rPr>
                <w:rFonts w:ascii="Arial" w:hAnsi="Arial" w:cs="Arial"/>
              </w:rPr>
              <w:t>The percentage of episodes for members 3 months of age and older with a diagnosis of acute bronchitis/bronchiolitis that did not result in an antibiotic dispensing event. A higher rate indicates appropriate treatment for bronchitis/bronchiolitis (i.e., the percentage of episodes that were not prescribed an antibiotic).</w:t>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B2EF5" w:rsidP="00201D73" w:rsidRDefault="00BF6C4A" w14:paraId="6338D90E" w14:textId="65A0EA9A">
            <w:pPr>
              <w:spacing w:after="120" w:line="23" w:lineRule="atLeast"/>
              <w:jc w:val="center"/>
              <w:rPr>
                <w:rFonts w:ascii="Arial" w:hAnsi="Arial" w:cs="Arial"/>
                <w:color w:val="000000"/>
              </w:rPr>
            </w:pPr>
            <w:r w:rsidRPr="002D28BB">
              <w:rPr>
                <w:rFonts w:ascii="Arial" w:hAnsi="Arial" w:cs="Arial"/>
              </w:rPr>
              <w:t>Claims</w:t>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B2EF5" w:rsidP="00201D73" w:rsidRDefault="00BF6C4A" w14:paraId="16EBCC50" w14:textId="2713AC22">
            <w:pPr>
              <w:spacing w:after="120" w:line="23" w:lineRule="atLeast"/>
              <w:jc w:val="center"/>
              <w:rPr>
                <w:rFonts w:ascii="Arial" w:hAnsi="Arial" w:cs="Arial"/>
              </w:rPr>
            </w:pPr>
            <w:r w:rsidRPr="002D28BB">
              <w:rPr>
                <w:rFonts w:ascii="Arial" w:hAnsi="Arial" w:cs="Arial"/>
              </w:rPr>
              <w:t>NCQA</w:t>
            </w:r>
            <w:r w:rsidRPr="002D28BB">
              <w:rPr>
                <w:rFonts w:ascii="Arial" w:hAnsi="Arial" w:cs="Arial"/>
              </w:rPr>
              <w:tab/>
            </w:r>
          </w:p>
        </w:tc>
        <w:tc>
          <w:tcPr>
            <w:tcW w:w="108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B2EF5" w:rsidP="00201D73" w:rsidRDefault="00BF6C4A" w14:paraId="6F09C92A" w14:textId="38BF6A4C">
            <w:pPr>
              <w:spacing w:after="120" w:line="23" w:lineRule="atLeast"/>
              <w:jc w:val="center"/>
              <w:rPr>
                <w:rFonts w:ascii="Arial" w:hAnsi="Arial" w:cs="Arial"/>
                <w:color w:val="000000" w:themeColor="text1"/>
              </w:rPr>
            </w:pPr>
            <w:r w:rsidRPr="002D28BB">
              <w:rPr>
                <w:rFonts w:ascii="Arial" w:hAnsi="Arial" w:cs="Arial"/>
              </w:rPr>
              <w:t>0058</w:t>
            </w:r>
          </w:p>
        </w:tc>
      </w:tr>
      <w:tr w:rsidRPr="002D28BB" w:rsidR="00201D73" w:rsidTr="4838C3B5" w14:paraId="026B0AA4" w14:textId="77777777">
        <w:trPr>
          <w:trHeight w:val="701"/>
          <w:jc w:val="center"/>
        </w:trPr>
        <w:tc>
          <w:tcPr>
            <w:tcW w:w="3685"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D5669B" w:rsidRDefault="00201D73" w14:paraId="346A58D2" w14:textId="7EBDFE8F">
            <w:pPr>
              <w:pStyle w:val="ListParagraph"/>
              <w:numPr>
                <w:ilvl w:val="0"/>
                <w:numId w:val="6"/>
              </w:numPr>
              <w:spacing w:after="120" w:line="23" w:lineRule="atLeast"/>
              <w:rPr>
                <w:rFonts w:ascii="Arial" w:hAnsi="Arial" w:cs="Arial"/>
                <w:sz w:val="24"/>
                <w:szCs w:val="24"/>
              </w:rPr>
            </w:pPr>
            <w:r w:rsidRPr="002D28BB">
              <w:rPr>
                <w:rFonts w:ascii="Arial" w:hAnsi="Arial" w:cs="Arial"/>
                <w:sz w:val="24"/>
                <w:szCs w:val="24"/>
              </w:rPr>
              <w:t>Breast Cancer Screening (BCS-E)</w:t>
            </w:r>
          </w:p>
        </w:tc>
        <w:tc>
          <w:tcPr>
            <w:tcW w:w="531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6EDE4A5A" w14:textId="43AE88C0">
            <w:pPr>
              <w:spacing w:after="120" w:line="23" w:lineRule="atLeast"/>
              <w:rPr>
                <w:rFonts w:ascii="Arial" w:hAnsi="Arial" w:cs="Arial"/>
                <w:color w:val="000000"/>
              </w:rPr>
            </w:pPr>
            <w:r w:rsidRPr="002D28BB">
              <w:rPr>
                <w:rFonts w:ascii="Arial" w:hAnsi="Arial" w:cs="Arial"/>
                <w:color w:val="000000"/>
              </w:rPr>
              <w:t>The percentage of women 50–74 years of age who had a mammogram to screen for breast cancer.</w:t>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60D74545" w14:textId="4DF33F57">
            <w:pPr>
              <w:spacing w:after="120" w:line="23" w:lineRule="atLeast"/>
              <w:jc w:val="center"/>
              <w:rPr>
                <w:rFonts w:ascii="Arial" w:hAnsi="Arial" w:cs="Arial"/>
                <w:color w:val="000000"/>
              </w:rPr>
            </w:pPr>
            <w:r w:rsidRPr="002D28BB">
              <w:rPr>
                <w:rFonts w:ascii="Arial" w:hAnsi="Arial" w:cs="Arial"/>
                <w:color w:val="000000"/>
              </w:rPr>
              <w:t>ECDS</w:t>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3D895B88" w14:textId="1D587D03">
            <w:pPr>
              <w:spacing w:after="120" w:line="23" w:lineRule="atLeast"/>
              <w:jc w:val="center"/>
              <w:rPr>
                <w:rFonts w:ascii="Arial" w:hAnsi="Arial" w:cs="Arial"/>
              </w:rPr>
            </w:pPr>
            <w:r w:rsidRPr="002D28BB">
              <w:rPr>
                <w:rFonts w:ascii="Arial" w:hAnsi="Arial" w:cs="Arial"/>
              </w:rPr>
              <w:t>NCQA</w:t>
            </w:r>
          </w:p>
        </w:tc>
        <w:tc>
          <w:tcPr>
            <w:tcW w:w="108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598946B9" w14:textId="66C0A4FE">
            <w:pPr>
              <w:spacing w:after="120" w:line="23" w:lineRule="atLeast"/>
              <w:jc w:val="center"/>
              <w:rPr>
                <w:rFonts w:ascii="Arial" w:hAnsi="Arial" w:cs="Arial"/>
              </w:rPr>
            </w:pPr>
            <w:r w:rsidRPr="002D28BB">
              <w:rPr>
                <w:rFonts w:ascii="Arial" w:hAnsi="Arial" w:cs="Arial"/>
                <w:color w:val="000000" w:themeColor="text1"/>
              </w:rPr>
              <w:t>2372</w:t>
            </w:r>
          </w:p>
        </w:tc>
      </w:tr>
      <w:tr w:rsidRPr="002D28BB" w:rsidR="007B32B9" w:rsidTr="00410832" w14:paraId="5A85399B" w14:textId="77777777">
        <w:trPr>
          <w:trHeight w:val="1619"/>
          <w:jc w:val="center"/>
        </w:trPr>
        <w:tc>
          <w:tcPr>
            <w:tcW w:w="3685"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7B32B9" w:rsidP="00D5669B" w:rsidRDefault="007B32B9" w14:paraId="1742BAD6" w14:textId="01887904">
            <w:pPr>
              <w:pStyle w:val="ListParagraph"/>
              <w:numPr>
                <w:ilvl w:val="0"/>
                <w:numId w:val="6"/>
              </w:numPr>
              <w:spacing w:after="120" w:line="23" w:lineRule="atLeast"/>
              <w:rPr>
                <w:rFonts w:ascii="Arial" w:hAnsi="Arial" w:cs="Arial"/>
                <w:sz w:val="24"/>
                <w:szCs w:val="24"/>
              </w:rPr>
            </w:pPr>
            <w:r w:rsidRPr="002D28BB">
              <w:rPr>
                <w:rFonts w:ascii="Arial" w:hAnsi="Arial" w:cs="Arial"/>
                <w:sz w:val="24"/>
                <w:szCs w:val="24"/>
              </w:rPr>
              <w:t>Care for Older Adults (COA)</w:t>
            </w:r>
          </w:p>
          <w:p w:rsidRPr="002D28BB" w:rsidR="00146317" w:rsidP="00D5669B" w:rsidRDefault="00AB7A9D" w14:paraId="31F0A01E" w14:textId="3C844E51">
            <w:pPr>
              <w:pStyle w:val="ListParagraph"/>
              <w:numPr>
                <w:ilvl w:val="0"/>
                <w:numId w:val="16"/>
              </w:numPr>
              <w:spacing w:after="120" w:line="23" w:lineRule="atLeast"/>
              <w:rPr>
                <w:rFonts w:ascii="Arial" w:hAnsi="Arial" w:cs="Arial"/>
                <w:sz w:val="24"/>
                <w:szCs w:val="24"/>
              </w:rPr>
            </w:pPr>
            <w:r w:rsidRPr="002D28BB">
              <w:rPr>
                <w:rFonts w:ascii="Arial" w:hAnsi="Arial" w:cs="Arial"/>
                <w:sz w:val="24"/>
                <w:szCs w:val="24"/>
              </w:rPr>
              <w:t>Medication Review</w:t>
            </w:r>
          </w:p>
          <w:p w:rsidRPr="002D28BB" w:rsidR="00146317" w:rsidP="00D5669B" w:rsidRDefault="00AB7A9D" w14:paraId="50653473" w14:textId="680396EA">
            <w:pPr>
              <w:pStyle w:val="ListParagraph"/>
              <w:numPr>
                <w:ilvl w:val="0"/>
                <w:numId w:val="15"/>
              </w:numPr>
              <w:spacing w:after="120" w:line="23" w:lineRule="atLeast"/>
              <w:rPr>
                <w:rFonts w:ascii="Arial" w:hAnsi="Arial" w:cs="Arial"/>
                <w:sz w:val="24"/>
                <w:szCs w:val="24"/>
              </w:rPr>
            </w:pPr>
            <w:r w:rsidRPr="002D28BB">
              <w:rPr>
                <w:rFonts w:ascii="Arial" w:hAnsi="Arial" w:cs="Arial"/>
                <w:sz w:val="24"/>
                <w:szCs w:val="24"/>
              </w:rPr>
              <w:t>Functional Status Assessment</w:t>
            </w:r>
            <w:r w:rsidRPr="002D28BB" w:rsidR="00410832">
              <w:rPr>
                <w:rFonts w:ascii="Arial" w:hAnsi="Arial" w:cs="Arial"/>
                <w:sz w:val="24"/>
                <w:szCs w:val="24"/>
              </w:rPr>
              <w:fldChar w:fldCharType="begin"/>
            </w:r>
            <w:r w:rsidRPr="002D28BB" w:rsidR="00410832">
              <w:rPr>
                <w:rFonts w:ascii="Arial" w:hAnsi="Arial" w:cs="Arial"/>
                <w:sz w:val="24"/>
                <w:szCs w:val="24"/>
              </w:rPr>
              <w:instrText xml:space="preserve"> NOTEREF _Ref146120875 \f \h </w:instrText>
            </w:r>
            <w:r w:rsidRPr="002D28BB" w:rsidR="001F25B9">
              <w:rPr>
                <w:rFonts w:ascii="Arial" w:hAnsi="Arial" w:cs="Arial"/>
                <w:sz w:val="24"/>
                <w:szCs w:val="24"/>
              </w:rPr>
              <w:instrText xml:space="preserve"> \* MERGEFORMAT </w:instrText>
            </w:r>
            <w:r w:rsidRPr="002D28BB" w:rsidR="00410832">
              <w:rPr>
                <w:rFonts w:ascii="Arial" w:hAnsi="Arial" w:cs="Arial"/>
                <w:sz w:val="24"/>
                <w:szCs w:val="24"/>
              </w:rPr>
            </w:r>
            <w:r w:rsidRPr="002D28BB" w:rsidR="00410832">
              <w:rPr>
                <w:rFonts w:ascii="Arial" w:hAnsi="Arial" w:cs="Arial"/>
                <w:sz w:val="24"/>
                <w:szCs w:val="24"/>
              </w:rPr>
              <w:fldChar w:fldCharType="separate"/>
            </w:r>
            <w:r w:rsidRPr="002D28BB" w:rsidR="00410832">
              <w:rPr>
                <w:rStyle w:val="FootnoteReference"/>
                <w:rFonts w:ascii="Arial" w:hAnsi="Arial" w:cs="Arial"/>
                <w:sz w:val="24"/>
                <w:szCs w:val="24"/>
              </w:rPr>
              <w:t>*</w:t>
            </w:r>
            <w:r w:rsidRPr="002D28BB" w:rsidR="00410832">
              <w:rPr>
                <w:rFonts w:ascii="Arial" w:hAnsi="Arial" w:cs="Arial"/>
                <w:sz w:val="24"/>
                <w:szCs w:val="24"/>
              </w:rPr>
              <w:fldChar w:fldCharType="end"/>
            </w:r>
          </w:p>
          <w:p w:rsidRPr="002D28BB" w:rsidR="00AB7A9D" w:rsidP="00D5669B" w:rsidRDefault="00AB7A9D" w14:paraId="0CD9210A" w14:textId="11F0727F">
            <w:pPr>
              <w:pStyle w:val="ListParagraph"/>
              <w:numPr>
                <w:ilvl w:val="0"/>
                <w:numId w:val="14"/>
              </w:numPr>
              <w:spacing w:after="120" w:line="23" w:lineRule="atLeast"/>
              <w:rPr>
                <w:rFonts w:ascii="Arial" w:hAnsi="Arial" w:cs="Arial"/>
                <w:sz w:val="24"/>
                <w:szCs w:val="24"/>
              </w:rPr>
            </w:pPr>
            <w:r w:rsidRPr="002D28BB">
              <w:rPr>
                <w:rFonts w:ascii="Arial" w:hAnsi="Arial" w:cs="Arial"/>
                <w:sz w:val="24"/>
                <w:szCs w:val="24"/>
              </w:rPr>
              <w:t>Pain Assessment</w:t>
            </w:r>
          </w:p>
        </w:tc>
        <w:tc>
          <w:tcPr>
            <w:tcW w:w="531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AB7A9D" w:rsidP="00AB7A9D" w:rsidRDefault="00AB7A9D" w14:paraId="515968AE" w14:textId="01887904">
            <w:pPr>
              <w:spacing w:after="120" w:line="23" w:lineRule="atLeast"/>
              <w:rPr>
                <w:rFonts w:ascii="Arial" w:hAnsi="Arial" w:cs="Arial"/>
                <w:color w:val="000000"/>
              </w:rPr>
            </w:pPr>
            <w:r w:rsidRPr="002D28BB">
              <w:rPr>
                <w:rFonts w:ascii="Arial" w:hAnsi="Arial" w:cs="Arial"/>
                <w:color w:val="000000" w:themeColor="text1"/>
              </w:rPr>
              <w:t>The percentage of adults 66 years of age and older who had each of the following during the measurement year:</w:t>
            </w:r>
          </w:p>
          <w:p w:rsidRPr="002D28BB" w:rsidR="00AB7A9D" w:rsidP="00D5669B" w:rsidRDefault="00AB7A9D" w14:paraId="41856766" w14:textId="01887904">
            <w:pPr>
              <w:pStyle w:val="ListParagraph"/>
              <w:numPr>
                <w:ilvl w:val="0"/>
                <w:numId w:val="13"/>
              </w:numPr>
              <w:spacing w:after="120" w:line="23" w:lineRule="atLeast"/>
              <w:rPr>
                <w:rFonts w:ascii="Arial" w:hAnsi="Arial" w:cs="Arial"/>
                <w:color w:val="000000"/>
                <w:sz w:val="24"/>
                <w:szCs w:val="24"/>
              </w:rPr>
            </w:pPr>
            <w:r w:rsidRPr="002D28BB">
              <w:rPr>
                <w:rFonts w:ascii="Arial" w:hAnsi="Arial" w:cs="Arial"/>
                <w:color w:val="000000" w:themeColor="text1"/>
                <w:sz w:val="24"/>
                <w:szCs w:val="24"/>
              </w:rPr>
              <w:t>Medication Review.</w:t>
            </w:r>
          </w:p>
          <w:p w:rsidRPr="002D28BB" w:rsidR="00AB7A9D" w:rsidP="00D5669B" w:rsidRDefault="00AB7A9D" w14:paraId="2782369E" w14:textId="01887904">
            <w:pPr>
              <w:pStyle w:val="ListParagraph"/>
              <w:numPr>
                <w:ilvl w:val="0"/>
                <w:numId w:val="13"/>
              </w:numPr>
              <w:spacing w:after="120" w:line="23" w:lineRule="atLeast"/>
              <w:rPr>
                <w:rFonts w:ascii="Arial" w:hAnsi="Arial" w:cs="Arial"/>
                <w:color w:val="000000"/>
                <w:sz w:val="24"/>
                <w:szCs w:val="24"/>
              </w:rPr>
            </w:pPr>
            <w:r w:rsidRPr="002D28BB">
              <w:rPr>
                <w:rFonts w:ascii="Arial" w:hAnsi="Arial" w:cs="Arial"/>
                <w:color w:val="000000" w:themeColor="text1"/>
                <w:sz w:val="24"/>
                <w:szCs w:val="24"/>
              </w:rPr>
              <w:t>Functional Status Assessment.</w:t>
            </w:r>
          </w:p>
          <w:p w:rsidRPr="002D28BB" w:rsidR="007B32B9" w:rsidP="00D5669B" w:rsidRDefault="00AB7A9D" w14:paraId="00D5234D" w14:textId="01887904">
            <w:pPr>
              <w:pStyle w:val="ListParagraph"/>
              <w:numPr>
                <w:ilvl w:val="0"/>
                <w:numId w:val="13"/>
              </w:numPr>
              <w:spacing w:after="120" w:line="23" w:lineRule="atLeast"/>
              <w:rPr>
                <w:rFonts w:ascii="Arial" w:hAnsi="Arial" w:cs="Arial"/>
                <w:color w:val="000000"/>
                <w:sz w:val="24"/>
                <w:szCs w:val="24"/>
              </w:rPr>
            </w:pPr>
            <w:r w:rsidRPr="002D28BB">
              <w:rPr>
                <w:rFonts w:ascii="Arial" w:hAnsi="Arial" w:cs="Arial"/>
                <w:color w:val="000000" w:themeColor="text1"/>
                <w:sz w:val="24"/>
                <w:szCs w:val="24"/>
              </w:rPr>
              <w:t>Pain Assessment</w:t>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7B32B9" w:rsidP="00201D73" w:rsidRDefault="00A6042A" w14:paraId="0BB7E9F6" w14:textId="42C0F55A">
            <w:pPr>
              <w:spacing w:after="120" w:line="23" w:lineRule="atLeast"/>
              <w:jc w:val="center"/>
              <w:rPr>
                <w:rFonts w:ascii="Arial" w:hAnsi="Arial" w:cs="Arial"/>
                <w:color w:val="000000"/>
              </w:rPr>
            </w:pPr>
            <w:r w:rsidRPr="002D28BB">
              <w:rPr>
                <w:rFonts w:ascii="Arial" w:hAnsi="Arial" w:cs="Arial"/>
                <w:color w:val="000000"/>
              </w:rPr>
              <w:t>Hybrid</w:t>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7B32B9" w:rsidP="00201D73" w:rsidRDefault="00A6042A" w14:paraId="2997438F" w14:textId="39CBA696">
            <w:pPr>
              <w:spacing w:after="120" w:line="23" w:lineRule="atLeast"/>
              <w:jc w:val="center"/>
              <w:rPr>
                <w:rFonts w:ascii="Arial" w:hAnsi="Arial" w:cs="Arial"/>
              </w:rPr>
            </w:pPr>
            <w:r w:rsidRPr="002D28BB">
              <w:rPr>
                <w:rFonts w:ascii="Arial" w:hAnsi="Arial" w:cs="Arial"/>
              </w:rPr>
              <w:t>NCQA</w:t>
            </w:r>
          </w:p>
        </w:tc>
        <w:tc>
          <w:tcPr>
            <w:tcW w:w="108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7B32B9" w:rsidP="00201D73" w:rsidRDefault="00146317" w14:paraId="2B0784FA" w14:textId="5447B6BE">
            <w:pPr>
              <w:spacing w:after="120" w:line="23" w:lineRule="atLeast"/>
              <w:jc w:val="center"/>
              <w:rPr>
                <w:rFonts w:ascii="Arial" w:hAnsi="Arial" w:cs="Arial"/>
              </w:rPr>
            </w:pPr>
            <w:r w:rsidRPr="002D28BB">
              <w:rPr>
                <w:rFonts w:ascii="Arial" w:hAnsi="Arial" w:cs="Arial"/>
              </w:rPr>
              <w:t>0553</w:t>
            </w:r>
          </w:p>
        </w:tc>
      </w:tr>
      <w:tr w:rsidRPr="002D28BB" w:rsidR="00201D73" w:rsidTr="4838C3B5" w14:paraId="70F5CC4B" w14:textId="77777777">
        <w:trPr>
          <w:trHeight w:val="1250"/>
          <w:jc w:val="center"/>
        </w:trPr>
        <w:tc>
          <w:tcPr>
            <w:tcW w:w="3685"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D5669B" w:rsidRDefault="00201D73" w14:paraId="7CA4995F" w14:textId="302E8C3E">
            <w:pPr>
              <w:pStyle w:val="ListParagraph"/>
              <w:numPr>
                <w:ilvl w:val="0"/>
                <w:numId w:val="6"/>
              </w:numPr>
              <w:spacing w:after="120" w:line="23" w:lineRule="atLeast"/>
              <w:rPr>
                <w:rFonts w:ascii="Arial" w:hAnsi="Arial" w:eastAsia="Times New Roman" w:cs="Arial"/>
                <w:color w:val="000000"/>
                <w:sz w:val="24"/>
                <w:szCs w:val="24"/>
              </w:rPr>
            </w:pPr>
            <w:r w:rsidRPr="002D28BB">
              <w:rPr>
                <w:rFonts w:ascii="Arial" w:hAnsi="Arial" w:cs="Arial"/>
                <w:sz w:val="24"/>
                <w:szCs w:val="24"/>
              </w:rPr>
              <w:t>Controlling High Blood Pressure</w:t>
            </w:r>
            <w:r w:rsidRPr="002D28BB" w:rsidR="00693338">
              <w:rPr>
                <w:rStyle w:val="FootnoteReference"/>
                <w:rFonts w:ascii="Arial" w:hAnsi="Arial" w:cs="Arial"/>
                <w:sz w:val="24"/>
                <w:szCs w:val="24"/>
              </w:rPr>
              <w:footnoteReference w:id="3"/>
            </w:r>
            <w:r w:rsidRPr="002D28BB">
              <w:rPr>
                <w:rFonts w:ascii="Arial" w:hAnsi="Arial" w:cs="Arial"/>
                <w:sz w:val="24"/>
                <w:szCs w:val="24"/>
              </w:rPr>
              <w:t xml:space="preserve"> (CBP)</w:t>
            </w:r>
          </w:p>
        </w:tc>
        <w:tc>
          <w:tcPr>
            <w:tcW w:w="531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519CDE4D" w14:textId="77777777">
            <w:pPr>
              <w:spacing w:after="120" w:line="23" w:lineRule="atLeast"/>
              <w:rPr>
                <w:rFonts w:ascii="Arial" w:hAnsi="Arial" w:cs="Arial"/>
                <w:color w:val="000000"/>
              </w:rPr>
            </w:pPr>
            <w:r w:rsidRPr="002D28BB">
              <w:rPr>
                <w:rFonts w:ascii="Arial" w:hAnsi="Arial" w:cs="Arial"/>
                <w:color w:val="000000"/>
              </w:rPr>
              <w:t xml:space="preserve">The percentage of members 18–85 years of age who had a diagnosis of hypertension (HTN) and whose BP was adequately controlled (&lt;140/90 mm Hg) during the measurement year.  </w:t>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0A091581" w14:textId="77777777">
            <w:pPr>
              <w:spacing w:after="120" w:line="23" w:lineRule="atLeast"/>
              <w:jc w:val="center"/>
              <w:rPr>
                <w:rFonts w:ascii="Arial" w:hAnsi="Arial" w:cs="Arial"/>
                <w:color w:val="000000"/>
              </w:rPr>
            </w:pPr>
            <w:r w:rsidRPr="002D28BB">
              <w:rPr>
                <w:rFonts w:ascii="Arial" w:hAnsi="Arial" w:cs="Arial"/>
                <w:color w:val="000000"/>
              </w:rPr>
              <w:t>Hybrid</w:t>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198AAE10" w14:textId="77777777">
            <w:pPr>
              <w:spacing w:after="120" w:line="23" w:lineRule="atLeast"/>
              <w:jc w:val="center"/>
              <w:rPr>
                <w:rFonts w:ascii="Arial" w:hAnsi="Arial" w:cs="Arial"/>
                <w:color w:val="000000"/>
              </w:rPr>
            </w:pPr>
            <w:r w:rsidRPr="002D28BB">
              <w:rPr>
                <w:rFonts w:ascii="Arial" w:hAnsi="Arial" w:cs="Arial"/>
              </w:rPr>
              <w:t>NCQA</w:t>
            </w:r>
          </w:p>
        </w:tc>
        <w:tc>
          <w:tcPr>
            <w:tcW w:w="108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78445820" w14:textId="77777777">
            <w:pPr>
              <w:spacing w:after="120" w:line="23" w:lineRule="atLeast"/>
              <w:jc w:val="center"/>
              <w:rPr>
                <w:rFonts w:ascii="Arial" w:hAnsi="Arial" w:cs="Arial"/>
                <w:color w:val="000000"/>
              </w:rPr>
            </w:pPr>
            <w:r w:rsidRPr="002D28BB">
              <w:rPr>
                <w:rFonts w:ascii="Arial" w:hAnsi="Arial" w:cs="Arial"/>
              </w:rPr>
              <w:t>0018</w:t>
            </w:r>
          </w:p>
        </w:tc>
      </w:tr>
      <w:tr w:rsidRPr="002D28BB" w:rsidR="00201D73" w:rsidTr="4838C3B5" w14:paraId="3DD94104" w14:textId="77777777">
        <w:trPr>
          <w:trHeight w:val="745"/>
          <w:jc w:val="center"/>
        </w:trPr>
        <w:tc>
          <w:tcPr>
            <w:tcW w:w="3685"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D5669B" w:rsidRDefault="00201D73" w14:paraId="649F900B" w14:textId="6CC16E8A">
            <w:pPr>
              <w:pStyle w:val="ListParagraph"/>
              <w:numPr>
                <w:ilvl w:val="0"/>
                <w:numId w:val="6"/>
              </w:numPr>
              <w:rPr>
                <w:rFonts w:ascii="Arial" w:hAnsi="Arial" w:cs="Arial"/>
                <w:sz w:val="24"/>
                <w:szCs w:val="24"/>
              </w:rPr>
            </w:pPr>
            <w:r w:rsidRPr="002D28BB">
              <w:rPr>
                <w:rFonts w:ascii="Arial" w:hAnsi="Arial" w:cs="Arial"/>
                <w:sz w:val="24"/>
                <w:szCs w:val="24"/>
              </w:rPr>
              <w:t>Colo</w:t>
            </w:r>
            <w:r w:rsidRPr="002D28BB" w:rsidR="00EC21A6">
              <w:rPr>
                <w:rFonts w:ascii="Arial" w:hAnsi="Arial" w:cs="Arial"/>
                <w:sz w:val="24"/>
                <w:szCs w:val="24"/>
              </w:rPr>
              <w:t>rectal</w:t>
            </w:r>
            <w:r w:rsidRPr="002D28BB">
              <w:rPr>
                <w:rFonts w:ascii="Arial" w:hAnsi="Arial" w:cs="Arial"/>
                <w:sz w:val="24"/>
                <w:szCs w:val="24"/>
              </w:rPr>
              <w:t xml:space="preserve"> Cancer Screening</w:t>
            </w:r>
            <w:r w:rsidRPr="002D28BB" w:rsidR="00693338">
              <w:rPr>
                <w:rFonts w:ascii="Arial" w:hAnsi="Arial" w:cs="Arial"/>
                <w:sz w:val="24"/>
                <w:szCs w:val="24"/>
              </w:rPr>
              <w:fldChar w:fldCharType="begin"/>
            </w:r>
            <w:r w:rsidRPr="002D28BB" w:rsidR="00693338">
              <w:rPr>
                <w:rFonts w:ascii="Arial" w:hAnsi="Arial" w:cs="Arial"/>
                <w:sz w:val="24"/>
                <w:szCs w:val="24"/>
              </w:rPr>
              <w:instrText xml:space="preserve"> NOTEREF _Ref146120875 \f \h </w:instrText>
            </w:r>
            <w:r w:rsidRPr="002D28BB" w:rsidR="001F25B9">
              <w:rPr>
                <w:rFonts w:ascii="Arial" w:hAnsi="Arial" w:cs="Arial"/>
                <w:sz w:val="24"/>
                <w:szCs w:val="24"/>
              </w:rPr>
              <w:instrText xml:space="preserve"> \* MERGEFORMAT </w:instrText>
            </w:r>
            <w:r w:rsidRPr="002D28BB" w:rsidR="00693338">
              <w:rPr>
                <w:rFonts w:ascii="Arial" w:hAnsi="Arial" w:cs="Arial"/>
                <w:sz w:val="24"/>
                <w:szCs w:val="24"/>
              </w:rPr>
            </w:r>
            <w:r w:rsidRPr="002D28BB" w:rsidR="00693338">
              <w:rPr>
                <w:rFonts w:ascii="Arial" w:hAnsi="Arial" w:cs="Arial"/>
                <w:sz w:val="24"/>
                <w:szCs w:val="24"/>
              </w:rPr>
              <w:fldChar w:fldCharType="separate"/>
            </w:r>
            <w:r w:rsidRPr="002D28BB" w:rsidR="00693338">
              <w:rPr>
                <w:rStyle w:val="FootnoteReference"/>
                <w:rFonts w:ascii="Arial" w:hAnsi="Arial" w:cs="Arial"/>
                <w:sz w:val="24"/>
                <w:szCs w:val="24"/>
              </w:rPr>
              <w:t>*</w:t>
            </w:r>
            <w:r w:rsidRPr="002D28BB" w:rsidR="00693338">
              <w:rPr>
                <w:rFonts w:ascii="Arial" w:hAnsi="Arial" w:cs="Arial"/>
                <w:sz w:val="24"/>
                <w:szCs w:val="24"/>
              </w:rPr>
              <w:fldChar w:fldCharType="end"/>
            </w:r>
            <w:r w:rsidRPr="002D28BB">
              <w:rPr>
                <w:rFonts w:ascii="Arial" w:hAnsi="Arial" w:cs="Arial"/>
                <w:sz w:val="24"/>
                <w:szCs w:val="24"/>
              </w:rPr>
              <w:t xml:space="preserve"> </w:t>
            </w:r>
            <w:r w:rsidRPr="002D28BB">
              <w:rPr>
                <w:rFonts w:ascii="Arial" w:hAnsi="Arial" w:cs="Arial"/>
                <w:color w:val="000000"/>
                <w:sz w:val="24"/>
                <w:szCs w:val="24"/>
              </w:rPr>
              <w:t>(COL)</w:t>
            </w:r>
          </w:p>
        </w:tc>
        <w:tc>
          <w:tcPr>
            <w:tcW w:w="531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5865F586" w14:textId="77777777">
            <w:pPr>
              <w:spacing w:after="120" w:line="23" w:lineRule="atLeast"/>
              <w:rPr>
                <w:rFonts w:ascii="Arial" w:hAnsi="Arial" w:cs="Arial"/>
                <w:color w:val="000000"/>
              </w:rPr>
            </w:pPr>
            <w:r w:rsidRPr="002D28BB">
              <w:rPr>
                <w:rFonts w:ascii="Arial" w:hAnsi="Arial" w:cs="Arial"/>
              </w:rPr>
              <w:t>The percentage of members 50–75 years of age who had appropriate screening for colorectal cancer</w:t>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5A88F55D" w14:textId="77777777">
            <w:pPr>
              <w:spacing w:after="120" w:line="23" w:lineRule="atLeast"/>
              <w:jc w:val="center"/>
              <w:rPr>
                <w:rFonts w:ascii="Arial" w:hAnsi="Arial" w:cs="Arial"/>
                <w:color w:val="000000"/>
              </w:rPr>
            </w:pPr>
            <w:r w:rsidRPr="002D28BB">
              <w:rPr>
                <w:rFonts w:ascii="Arial" w:hAnsi="Arial" w:cs="Arial"/>
                <w:color w:val="000000"/>
              </w:rPr>
              <w:t>Hybrid</w:t>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5339C8E6" w14:textId="77777777">
            <w:pPr>
              <w:spacing w:after="120" w:line="23" w:lineRule="atLeast"/>
              <w:jc w:val="center"/>
              <w:rPr>
                <w:rFonts w:ascii="Arial" w:hAnsi="Arial" w:cs="Arial"/>
                <w:color w:val="000000"/>
              </w:rPr>
            </w:pPr>
            <w:r w:rsidRPr="002D28BB">
              <w:rPr>
                <w:rFonts w:ascii="Arial" w:hAnsi="Arial" w:cs="Arial"/>
              </w:rPr>
              <w:t>NCQA</w:t>
            </w:r>
          </w:p>
        </w:tc>
        <w:tc>
          <w:tcPr>
            <w:tcW w:w="108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6ADD10C5" w14:textId="77777777">
            <w:pPr>
              <w:spacing w:after="120" w:line="23" w:lineRule="atLeast"/>
              <w:jc w:val="center"/>
              <w:rPr>
                <w:rFonts w:ascii="Arial" w:hAnsi="Arial" w:cs="Arial"/>
                <w:color w:val="000000"/>
              </w:rPr>
            </w:pPr>
            <w:r w:rsidRPr="002D28BB">
              <w:rPr>
                <w:rFonts w:ascii="Arial" w:hAnsi="Arial" w:cs="Arial"/>
                <w:color w:val="000000" w:themeColor="text1"/>
              </w:rPr>
              <w:t>0034</w:t>
            </w:r>
          </w:p>
        </w:tc>
      </w:tr>
      <w:tr w:rsidRPr="002D28BB" w:rsidR="00201D73" w:rsidTr="4838C3B5" w14:paraId="574F64A7" w14:textId="77777777">
        <w:trPr>
          <w:trHeight w:val="745"/>
          <w:jc w:val="center"/>
        </w:trPr>
        <w:tc>
          <w:tcPr>
            <w:tcW w:w="3685"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D5669B" w:rsidRDefault="00201D73" w14:paraId="331E7C15" w14:textId="431350CF">
            <w:pPr>
              <w:pStyle w:val="ListParagraph"/>
              <w:numPr>
                <w:ilvl w:val="0"/>
                <w:numId w:val="6"/>
              </w:numPr>
              <w:spacing w:after="120" w:line="23" w:lineRule="atLeast"/>
              <w:rPr>
                <w:rFonts w:ascii="Arial" w:hAnsi="Arial" w:cs="Arial"/>
                <w:noProof/>
                <w:sz w:val="24"/>
                <w:szCs w:val="24"/>
              </w:rPr>
            </w:pPr>
            <w:r w:rsidRPr="002D28BB">
              <w:rPr>
                <w:rFonts w:ascii="Arial" w:hAnsi="Arial" w:cs="Arial"/>
                <w:sz w:val="24"/>
                <w:szCs w:val="24"/>
              </w:rPr>
              <w:t>Diabetes Care: Blood Sugar Controlled (HBD)</w:t>
            </w:r>
          </w:p>
        </w:tc>
        <w:tc>
          <w:tcPr>
            <w:tcW w:w="531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vAlign w:val="center"/>
          </w:tcPr>
          <w:p w:rsidRPr="002D28BB" w:rsidR="00201D73" w:rsidP="00201D73" w:rsidRDefault="00201D73" w14:paraId="0DAC1DB8" w14:textId="77777777">
            <w:pPr>
              <w:spacing w:after="120" w:line="23" w:lineRule="atLeast"/>
              <w:rPr>
                <w:rFonts w:ascii="Arial" w:hAnsi="Arial" w:cs="Arial"/>
                <w:color w:val="000000"/>
              </w:rPr>
            </w:pPr>
            <w:r w:rsidRPr="002D28BB">
              <w:rPr>
                <w:rFonts w:ascii="Arial" w:hAnsi="Arial" w:cs="Arial"/>
                <w:color w:val="000000"/>
              </w:rPr>
              <w:t>The percentage of members 18–75 years of age with diabetes (types 1 and 2) whose hemoglobin A1c (HbA1c) was at the following levels during the measurement year:</w:t>
            </w:r>
          </w:p>
          <w:p w:rsidRPr="002D28BB" w:rsidR="00201D73" w:rsidP="00D5669B" w:rsidRDefault="00201D73" w14:paraId="449F30C6" w14:textId="77777777">
            <w:pPr>
              <w:pStyle w:val="ListParagraph"/>
              <w:numPr>
                <w:ilvl w:val="0"/>
                <w:numId w:val="2"/>
              </w:numPr>
              <w:spacing w:after="120" w:line="23" w:lineRule="atLeast"/>
              <w:rPr>
                <w:rFonts w:ascii="Arial" w:hAnsi="Arial" w:eastAsia="Times New Roman" w:cs="Arial"/>
                <w:color w:val="000000"/>
                <w:sz w:val="24"/>
                <w:szCs w:val="24"/>
              </w:rPr>
            </w:pPr>
            <w:r w:rsidRPr="002D28BB">
              <w:rPr>
                <w:rFonts w:ascii="Arial" w:hAnsi="Arial" w:eastAsia="Times New Roman" w:cs="Arial"/>
                <w:color w:val="000000"/>
                <w:sz w:val="24"/>
                <w:szCs w:val="24"/>
              </w:rPr>
              <w:t>HbA1c control (&lt;8.0%).</w:t>
            </w:r>
          </w:p>
          <w:p w:rsidRPr="002D28BB" w:rsidR="00201D73" w:rsidP="00D5669B" w:rsidRDefault="00201D73" w14:paraId="338AEDDF" w14:textId="32E2DF59">
            <w:pPr>
              <w:pStyle w:val="ListParagraph"/>
              <w:numPr>
                <w:ilvl w:val="0"/>
                <w:numId w:val="2"/>
              </w:numPr>
              <w:spacing w:after="120" w:line="23" w:lineRule="atLeast"/>
              <w:rPr>
                <w:rFonts w:ascii="Arial" w:hAnsi="Arial" w:eastAsia="Times New Roman" w:cs="Arial"/>
                <w:color w:val="000000"/>
                <w:sz w:val="24"/>
                <w:szCs w:val="24"/>
              </w:rPr>
            </w:pPr>
            <w:r w:rsidRPr="002D28BB">
              <w:rPr>
                <w:rFonts w:ascii="Arial" w:hAnsi="Arial" w:cs="Arial"/>
                <w:color w:val="000000" w:themeColor="text1"/>
                <w:sz w:val="24"/>
                <w:szCs w:val="24"/>
              </w:rPr>
              <w:t>HbA1c poor control (&gt;9.0%).</w:t>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73D45F59" w14:textId="2CF91F63">
            <w:pPr>
              <w:spacing w:after="120" w:line="23" w:lineRule="atLeast"/>
              <w:jc w:val="center"/>
              <w:rPr>
                <w:rFonts w:ascii="Arial" w:hAnsi="Arial" w:cs="Arial"/>
                <w:color w:val="000000"/>
              </w:rPr>
            </w:pPr>
            <w:r w:rsidRPr="002D28BB">
              <w:rPr>
                <w:rFonts w:ascii="Arial" w:hAnsi="Arial" w:cs="Arial"/>
                <w:color w:val="000000"/>
              </w:rPr>
              <w:t>Hybrid</w:t>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355AC348" w14:textId="6C35F3C7">
            <w:pPr>
              <w:spacing w:after="120" w:line="23" w:lineRule="atLeast"/>
              <w:jc w:val="center"/>
              <w:rPr>
                <w:rFonts w:ascii="Arial" w:hAnsi="Arial" w:cs="Arial"/>
                <w:color w:val="000000"/>
              </w:rPr>
            </w:pPr>
            <w:r w:rsidRPr="002D28BB">
              <w:rPr>
                <w:rFonts w:ascii="Arial" w:hAnsi="Arial" w:cs="Arial"/>
              </w:rPr>
              <w:t>NCQA</w:t>
            </w:r>
          </w:p>
        </w:tc>
        <w:tc>
          <w:tcPr>
            <w:tcW w:w="108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760274FF" w14:textId="6CD5F8D3">
            <w:pPr>
              <w:spacing w:after="120" w:line="23" w:lineRule="atLeast"/>
              <w:jc w:val="center"/>
              <w:rPr>
                <w:rFonts w:ascii="Arial" w:hAnsi="Arial" w:cs="Arial"/>
                <w:color w:val="000000"/>
              </w:rPr>
            </w:pPr>
            <w:r w:rsidRPr="002D28BB">
              <w:rPr>
                <w:rFonts w:ascii="Arial" w:hAnsi="Arial" w:cs="Arial"/>
              </w:rPr>
              <w:t>0575</w:t>
            </w:r>
          </w:p>
        </w:tc>
      </w:tr>
      <w:tr w:rsidRPr="002D28BB" w:rsidR="00201D73" w:rsidTr="4838C3B5" w14:paraId="54051FFD" w14:textId="77777777">
        <w:trPr>
          <w:trHeight w:val="745"/>
          <w:jc w:val="center"/>
        </w:trPr>
        <w:tc>
          <w:tcPr>
            <w:tcW w:w="3685"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D5669B" w:rsidRDefault="00201D73" w14:paraId="2529F3DF" w14:textId="6C2BF5DE">
            <w:pPr>
              <w:pStyle w:val="ListParagraph"/>
              <w:numPr>
                <w:ilvl w:val="0"/>
                <w:numId w:val="6"/>
              </w:numPr>
              <w:spacing w:after="120" w:line="23" w:lineRule="atLeast"/>
              <w:rPr>
                <w:rFonts w:ascii="Arial" w:hAnsi="Arial" w:cs="Arial"/>
                <w:noProof/>
                <w:sz w:val="24"/>
                <w:szCs w:val="24"/>
              </w:rPr>
            </w:pPr>
            <w:r w:rsidRPr="002D28BB">
              <w:rPr>
                <w:rFonts w:ascii="Arial" w:hAnsi="Arial" w:cs="Arial"/>
                <w:noProof/>
                <w:sz w:val="24"/>
                <w:szCs w:val="24"/>
              </w:rPr>
              <w:t>Diagnosed Mental Health Disorders (DMH)</w:t>
            </w:r>
          </w:p>
        </w:tc>
        <w:tc>
          <w:tcPr>
            <w:tcW w:w="531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557D7080" w14:textId="0A6EA382">
            <w:pPr>
              <w:spacing w:after="120" w:line="23" w:lineRule="atLeast"/>
              <w:rPr>
                <w:rFonts w:ascii="Arial" w:hAnsi="Arial" w:cs="Arial"/>
                <w:color w:val="000000"/>
              </w:rPr>
            </w:pPr>
            <w:r w:rsidRPr="002D28BB">
              <w:rPr>
                <w:rFonts w:ascii="Arial" w:hAnsi="Arial" w:cs="Arial"/>
                <w:color w:val="000000"/>
              </w:rPr>
              <w:t>The percentage of members who were diagnosed with a mental health disorder during the measurement year.</w:t>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4851CB12" w14:textId="07EACBC7">
            <w:pPr>
              <w:spacing w:after="120" w:line="23" w:lineRule="atLeast"/>
              <w:jc w:val="center"/>
              <w:rPr>
                <w:rFonts w:ascii="Arial" w:hAnsi="Arial" w:cs="Arial"/>
                <w:color w:val="000000"/>
              </w:rPr>
            </w:pPr>
            <w:r w:rsidRPr="002D28BB">
              <w:rPr>
                <w:rFonts w:ascii="Arial" w:hAnsi="Arial" w:cs="Arial"/>
                <w:color w:val="000000"/>
              </w:rPr>
              <w:t>Claims</w:t>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04E852F3" w14:textId="0C90E893">
            <w:pPr>
              <w:spacing w:after="120" w:line="23" w:lineRule="atLeast"/>
              <w:jc w:val="center"/>
              <w:rPr>
                <w:rFonts w:ascii="Arial" w:hAnsi="Arial" w:cs="Arial"/>
                <w:color w:val="000000"/>
              </w:rPr>
            </w:pPr>
            <w:r w:rsidRPr="002D28BB">
              <w:rPr>
                <w:rFonts w:ascii="Arial" w:hAnsi="Arial" w:cs="Arial"/>
                <w:color w:val="000000"/>
              </w:rPr>
              <w:t>NCQA</w:t>
            </w:r>
          </w:p>
        </w:tc>
        <w:tc>
          <w:tcPr>
            <w:tcW w:w="108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5FC2ECD9" w14:textId="170F0C51">
            <w:pPr>
              <w:spacing w:after="120" w:line="23" w:lineRule="atLeast"/>
              <w:jc w:val="center"/>
              <w:rPr>
                <w:rFonts w:ascii="Arial" w:hAnsi="Arial" w:cs="Arial"/>
                <w:color w:val="000000"/>
              </w:rPr>
            </w:pPr>
            <w:r w:rsidRPr="002D28BB">
              <w:rPr>
                <w:rFonts w:ascii="Arial" w:hAnsi="Arial" w:cs="Arial"/>
                <w:color w:val="000000"/>
              </w:rPr>
              <w:t>N/A</w:t>
            </w:r>
          </w:p>
        </w:tc>
      </w:tr>
      <w:tr w:rsidRPr="002D28BB" w:rsidR="00201D73" w:rsidTr="4838C3B5" w14:paraId="71E5A15E" w14:textId="77777777">
        <w:trPr>
          <w:trHeight w:val="745"/>
          <w:jc w:val="center"/>
        </w:trPr>
        <w:tc>
          <w:tcPr>
            <w:tcW w:w="3685"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D5669B" w:rsidRDefault="00201D73" w14:paraId="7A0C719D" w14:textId="78C9FACC">
            <w:pPr>
              <w:pStyle w:val="ListParagraph"/>
              <w:numPr>
                <w:ilvl w:val="0"/>
                <w:numId w:val="6"/>
              </w:numPr>
              <w:spacing w:after="120" w:line="23" w:lineRule="atLeast"/>
              <w:rPr>
                <w:rFonts w:ascii="Arial" w:hAnsi="Arial" w:cs="Arial"/>
                <w:noProof/>
                <w:sz w:val="24"/>
                <w:szCs w:val="24"/>
              </w:rPr>
            </w:pPr>
            <w:r w:rsidRPr="002D28BB">
              <w:rPr>
                <w:rFonts w:ascii="Arial" w:hAnsi="Arial" w:cs="Arial"/>
                <w:noProof/>
                <w:sz w:val="24"/>
                <w:szCs w:val="24"/>
              </w:rPr>
              <w:t>Diagnosed Substance Use Disorders (DSU)</w:t>
            </w:r>
          </w:p>
        </w:tc>
        <w:tc>
          <w:tcPr>
            <w:tcW w:w="531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1969485F" w14:textId="77777777">
            <w:pPr>
              <w:spacing w:after="120" w:line="23" w:lineRule="atLeast"/>
              <w:rPr>
                <w:rFonts w:ascii="Arial" w:hAnsi="Arial" w:cs="Arial"/>
                <w:color w:val="000000"/>
              </w:rPr>
            </w:pPr>
            <w:r w:rsidRPr="002D28BB">
              <w:rPr>
                <w:rFonts w:ascii="Arial" w:hAnsi="Arial" w:cs="Arial"/>
                <w:color w:val="000000"/>
              </w:rPr>
              <w:t>The percentage of members 13 years of age and older who were diagnosed with a substance use disorder during the measurement year. Four rates are reported:</w:t>
            </w:r>
          </w:p>
          <w:p w:rsidRPr="002D28BB" w:rsidR="00201D73" w:rsidP="00D5669B" w:rsidRDefault="00201D73" w14:paraId="07848091" w14:textId="77777777">
            <w:pPr>
              <w:pStyle w:val="ListParagraph"/>
              <w:numPr>
                <w:ilvl w:val="0"/>
                <w:numId w:val="8"/>
              </w:numPr>
              <w:spacing w:after="120" w:line="23" w:lineRule="atLeast"/>
              <w:rPr>
                <w:rFonts w:ascii="Arial" w:hAnsi="Arial" w:cs="Arial"/>
                <w:color w:val="000000"/>
                <w:sz w:val="24"/>
                <w:szCs w:val="24"/>
              </w:rPr>
            </w:pPr>
            <w:r w:rsidRPr="002D28BB">
              <w:rPr>
                <w:rFonts w:ascii="Arial" w:hAnsi="Arial" w:cs="Arial"/>
                <w:color w:val="000000"/>
                <w:sz w:val="24"/>
                <w:szCs w:val="24"/>
              </w:rPr>
              <w:t>The percentage of members diagnosed with an alcohol disorder.</w:t>
            </w:r>
          </w:p>
          <w:p w:rsidRPr="002D28BB" w:rsidR="00201D73" w:rsidP="00D5669B" w:rsidRDefault="00201D73" w14:paraId="777B6D19" w14:textId="77777777">
            <w:pPr>
              <w:pStyle w:val="ListParagraph"/>
              <w:numPr>
                <w:ilvl w:val="0"/>
                <w:numId w:val="8"/>
              </w:numPr>
              <w:spacing w:after="120" w:line="23" w:lineRule="atLeast"/>
              <w:rPr>
                <w:rFonts w:ascii="Arial" w:hAnsi="Arial" w:cs="Arial"/>
                <w:color w:val="000000"/>
                <w:sz w:val="24"/>
                <w:szCs w:val="24"/>
              </w:rPr>
            </w:pPr>
            <w:r w:rsidRPr="002D28BB">
              <w:rPr>
                <w:rFonts w:ascii="Arial" w:hAnsi="Arial" w:cs="Arial"/>
                <w:color w:val="000000"/>
                <w:sz w:val="24"/>
                <w:szCs w:val="24"/>
              </w:rPr>
              <w:t>The percentage of members diagnosed with an opioid disorder.</w:t>
            </w:r>
          </w:p>
          <w:p w:rsidRPr="002D28BB" w:rsidR="00201D73" w:rsidP="00D5669B" w:rsidRDefault="00201D73" w14:paraId="196C9E1F" w14:textId="77777777">
            <w:pPr>
              <w:pStyle w:val="ListParagraph"/>
              <w:numPr>
                <w:ilvl w:val="0"/>
                <w:numId w:val="8"/>
              </w:numPr>
              <w:spacing w:after="120" w:line="23" w:lineRule="atLeast"/>
              <w:rPr>
                <w:rFonts w:ascii="Arial" w:hAnsi="Arial" w:cs="Arial"/>
                <w:color w:val="000000"/>
                <w:sz w:val="24"/>
                <w:szCs w:val="24"/>
              </w:rPr>
            </w:pPr>
            <w:r w:rsidRPr="002D28BB">
              <w:rPr>
                <w:rFonts w:ascii="Arial" w:hAnsi="Arial" w:cs="Arial"/>
                <w:color w:val="000000"/>
                <w:sz w:val="24"/>
                <w:szCs w:val="24"/>
              </w:rPr>
              <w:t>The percentage of members diagnosed with a disorder for other or unspecified drugs.</w:t>
            </w:r>
          </w:p>
          <w:p w:rsidRPr="002D28BB" w:rsidR="00201D73" w:rsidP="00D5669B" w:rsidRDefault="00201D73" w14:paraId="4A6F9224" w14:textId="7AAE742B">
            <w:pPr>
              <w:pStyle w:val="ListParagraph"/>
              <w:numPr>
                <w:ilvl w:val="0"/>
                <w:numId w:val="9"/>
              </w:numPr>
              <w:spacing w:after="120" w:line="23" w:lineRule="atLeast"/>
              <w:rPr>
                <w:rFonts w:ascii="Arial" w:hAnsi="Arial" w:cs="Arial"/>
                <w:color w:val="000000"/>
                <w:sz w:val="24"/>
                <w:szCs w:val="24"/>
              </w:rPr>
            </w:pPr>
            <w:r w:rsidRPr="002D28BB">
              <w:rPr>
                <w:rFonts w:ascii="Arial" w:hAnsi="Arial" w:cs="Arial"/>
                <w:color w:val="000000"/>
                <w:sz w:val="24"/>
                <w:szCs w:val="24"/>
              </w:rPr>
              <w:t>The percentage of members diagnosed with any substance use disorder.</w:t>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35463D87" w14:textId="164150D9">
            <w:pPr>
              <w:spacing w:after="120" w:line="23" w:lineRule="atLeast"/>
              <w:jc w:val="center"/>
              <w:rPr>
                <w:rFonts w:ascii="Arial" w:hAnsi="Arial" w:cs="Arial"/>
                <w:color w:val="000000"/>
              </w:rPr>
            </w:pPr>
            <w:r w:rsidRPr="002D28BB">
              <w:rPr>
                <w:rFonts w:ascii="Arial" w:hAnsi="Arial" w:cs="Arial"/>
                <w:color w:val="000000"/>
              </w:rPr>
              <w:t>Claims</w:t>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62B344B3" w14:textId="54E0C448">
            <w:pPr>
              <w:spacing w:after="120" w:line="23" w:lineRule="atLeast"/>
              <w:jc w:val="center"/>
              <w:rPr>
                <w:rFonts w:ascii="Arial" w:hAnsi="Arial" w:cs="Arial"/>
                <w:color w:val="000000"/>
              </w:rPr>
            </w:pPr>
            <w:r w:rsidRPr="002D28BB">
              <w:rPr>
                <w:rFonts w:ascii="Arial" w:hAnsi="Arial" w:cs="Arial"/>
                <w:color w:val="000000"/>
              </w:rPr>
              <w:t>NCQA</w:t>
            </w:r>
          </w:p>
        </w:tc>
        <w:tc>
          <w:tcPr>
            <w:tcW w:w="108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125F6D02" w14:textId="27C161D8">
            <w:pPr>
              <w:spacing w:after="120" w:line="23" w:lineRule="atLeast"/>
              <w:jc w:val="center"/>
              <w:rPr>
                <w:rFonts w:ascii="Arial" w:hAnsi="Arial" w:cs="Arial"/>
                <w:color w:val="000000"/>
              </w:rPr>
            </w:pPr>
            <w:r w:rsidRPr="002D28BB">
              <w:rPr>
                <w:rFonts w:ascii="Arial" w:hAnsi="Arial" w:cs="Arial"/>
                <w:color w:val="000000"/>
              </w:rPr>
              <w:t>N/A</w:t>
            </w:r>
          </w:p>
        </w:tc>
      </w:tr>
      <w:tr w:rsidRPr="002D28BB" w:rsidR="00201D73" w:rsidTr="4838C3B5" w14:paraId="339309FA" w14:textId="77777777">
        <w:trPr>
          <w:trHeight w:val="745"/>
          <w:jc w:val="center"/>
        </w:trPr>
        <w:tc>
          <w:tcPr>
            <w:tcW w:w="3685"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D5669B" w:rsidRDefault="00201D73" w14:paraId="5E9B8193" w14:textId="5C74EC56">
            <w:pPr>
              <w:pStyle w:val="ListParagraph"/>
              <w:numPr>
                <w:ilvl w:val="0"/>
                <w:numId w:val="6"/>
              </w:numPr>
              <w:spacing w:after="120" w:line="23" w:lineRule="atLeast"/>
              <w:rPr>
                <w:rFonts w:ascii="Arial" w:hAnsi="Arial" w:eastAsia="Times New Roman" w:cs="Arial"/>
                <w:color w:val="000000"/>
                <w:sz w:val="24"/>
                <w:szCs w:val="24"/>
              </w:rPr>
            </w:pPr>
            <w:r w:rsidRPr="002D28BB">
              <w:rPr>
                <w:rFonts w:ascii="Arial" w:hAnsi="Arial" w:cs="Arial"/>
                <w:noProof/>
                <w:sz w:val="24"/>
                <w:szCs w:val="24"/>
              </w:rPr>
              <w:t>Follow-Up After Emergency Department Visit for Substance Use (FUA)</w:t>
            </w:r>
          </w:p>
        </w:tc>
        <w:tc>
          <w:tcPr>
            <w:tcW w:w="531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0C0466F0" w14:textId="11AB803F">
            <w:pPr>
              <w:pStyle w:val="Body"/>
              <w:rPr>
                <w:rFonts w:ascii="Arial" w:hAnsi="Arial" w:cs="Arial"/>
                <w:sz w:val="24"/>
                <w:szCs w:val="24"/>
              </w:rPr>
            </w:pPr>
            <w:r w:rsidRPr="002D28BB">
              <w:rPr>
                <w:rFonts w:ascii="Arial" w:hAnsi="Arial" w:cs="Arial"/>
                <w:sz w:val="24"/>
                <w:szCs w:val="24"/>
              </w:rPr>
              <w:t xml:space="preserve">The percentage of emergency department (ED) visits among members with a principal diagnosis </w:t>
            </w:r>
            <w:r w:rsidRPr="002D28BB">
              <w:rPr>
                <w:rFonts w:ascii="Arial" w:hAnsi="Arial" w:cs="Arial"/>
                <w:color w:val="000000" w:themeColor="text1"/>
                <w:sz w:val="24"/>
                <w:szCs w:val="24"/>
              </w:rPr>
              <w:t>of substance use disorder (SUD), or any diagnosis of drug overdose,</w:t>
            </w:r>
            <w:r w:rsidRPr="002D28BB">
              <w:rPr>
                <w:rFonts w:ascii="Arial" w:hAnsi="Arial" w:cs="Arial"/>
                <w:sz w:val="24"/>
                <w:szCs w:val="24"/>
              </w:rPr>
              <w:t xml:space="preserve"> </w:t>
            </w:r>
            <w:r w:rsidRPr="002D28BB">
              <w:rPr>
                <w:rFonts w:ascii="Arial" w:hAnsi="Arial" w:cs="Arial"/>
                <w:color w:val="000000" w:themeColor="text1"/>
                <w:sz w:val="24"/>
                <w:szCs w:val="24"/>
              </w:rPr>
              <w:t>for which there was follow-up. Two rates are reported:</w:t>
            </w:r>
          </w:p>
          <w:p w:rsidRPr="002D28BB" w:rsidR="00201D73" w:rsidP="00D5669B" w:rsidRDefault="00201D73" w14:paraId="1FEDBDB0" w14:textId="2E20AD5A">
            <w:pPr>
              <w:pStyle w:val="Body"/>
              <w:numPr>
                <w:ilvl w:val="0"/>
                <w:numId w:val="9"/>
              </w:numPr>
              <w:spacing w:before="80"/>
              <w:rPr>
                <w:rFonts w:ascii="Arial" w:hAnsi="Arial" w:cs="Arial"/>
                <w:sz w:val="24"/>
                <w:szCs w:val="24"/>
              </w:rPr>
            </w:pPr>
            <w:r w:rsidRPr="002D28BB">
              <w:rPr>
                <w:rFonts w:ascii="Arial" w:hAnsi="Arial" w:cs="Arial"/>
                <w:sz w:val="24"/>
                <w:szCs w:val="24"/>
              </w:rPr>
              <w:t>The percentage of ED visits for which the member received follow-up within 30 days of the ED visit (31 total days).</w:t>
            </w:r>
          </w:p>
          <w:p w:rsidRPr="002D28BB" w:rsidR="00201D73" w:rsidP="00D5669B" w:rsidRDefault="00201D73" w14:paraId="7E92BAC3" w14:textId="58C72891">
            <w:pPr>
              <w:pStyle w:val="Body"/>
              <w:numPr>
                <w:ilvl w:val="0"/>
                <w:numId w:val="9"/>
              </w:numPr>
              <w:spacing w:before="80"/>
              <w:rPr>
                <w:rFonts w:ascii="Arial" w:hAnsi="Arial" w:cs="Arial"/>
                <w:sz w:val="24"/>
                <w:szCs w:val="24"/>
              </w:rPr>
            </w:pPr>
            <w:r w:rsidRPr="002D28BB">
              <w:rPr>
                <w:rFonts w:ascii="Arial" w:hAnsi="Arial" w:cs="Arial"/>
                <w:sz w:val="24"/>
                <w:szCs w:val="24"/>
              </w:rPr>
              <w:t xml:space="preserve">The percentage of ED visits for which the member received follow-up within 7 days of the ED visit (8 total days). </w:t>
            </w:r>
          </w:p>
          <w:p w:rsidRPr="002D28BB" w:rsidR="00201D73" w:rsidP="00201D73" w:rsidRDefault="00201D73" w14:paraId="420E520A" w14:textId="05E2E014">
            <w:pPr>
              <w:spacing w:after="120" w:line="23" w:lineRule="atLeast"/>
              <w:rPr>
                <w:rFonts w:ascii="Arial" w:hAnsi="Arial" w:cs="Arial"/>
                <w:color w:val="000000"/>
              </w:rPr>
            </w:pP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3A6E1396" w14:textId="23E82ED1">
            <w:pPr>
              <w:spacing w:after="120" w:line="23" w:lineRule="atLeast"/>
              <w:jc w:val="center"/>
              <w:rPr>
                <w:rFonts w:ascii="Arial" w:hAnsi="Arial" w:cs="Arial"/>
                <w:color w:val="000000"/>
              </w:rPr>
            </w:pPr>
            <w:r w:rsidRPr="002D28BB">
              <w:rPr>
                <w:rFonts w:ascii="Arial" w:hAnsi="Arial" w:cs="Arial"/>
                <w:color w:val="000000"/>
              </w:rPr>
              <w:t>Claims</w:t>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2BF2460C" w14:textId="6DE5E7CA">
            <w:pPr>
              <w:spacing w:after="120" w:line="23" w:lineRule="atLeast"/>
              <w:jc w:val="center"/>
              <w:rPr>
                <w:rFonts w:ascii="Arial" w:hAnsi="Arial" w:cs="Arial"/>
                <w:color w:val="000000"/>
              </w:rPr>
            </w:pPr>
            <w:r w:rsidRPr="002D28BB">
              <w:rPr>
                <w:rFonts w:ascii="Arial" w:hAnsi="Arial" w:cs="Arial"/>
                <w:color w:val="000000"/>
              </w:rPr>
              <w:t>NCQA</w:t>
            </w:r>
          </w:p>
        </w:tc>
        <w:tc>
          <w:tcPr>
            <w:tcW w:w="108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08760B10" w14:textId="256FAD1B">
            <w:pPr>
              <w:spacing w:after="120" w:line="23" w:lineRule="atLeast"/>
              <w:jc w:val="center"/>
              <w:rPr>
                <w:rFonts w:ascii="Arial" w:hAnsi="Arial" w:cs="Arial"/>
                <w:color w:val="000000"/>
              </w:rPr>
            </w:pPr>
            <w:r w:rsidRPr="002D28BB">
              <w:rPr>
                <w:rFonts w:ascii="Arial" w:hAnsi="Arial" w:cs="Arial"/>
                <w:color w:val="000000"/>
              </w:rPr>
              <w:t>2605</w:t>
            </w:r>
          </w:p>
        </w:tc>
      </w:tr>
      <w:tr w:rsidRPr="002D28BB" w:rsidR="00201D73" w:rsidTr="4838C3B5" w14:paraId="11E06BBA" w14:textId="77777777">
        <w:trPr>
          <w:trHeight w:val="745"/>
          <w:jc w:val="center"/>
        </w:trPr>
        <w:tc>
          <w:tcPr>
            <w:tcW w:w="3685"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D5669B" w:rsidRDefault="00201D73" w14:paraId="410CF350" w14:textId="05DF8443">
            <w:pPr>
              <w:pStyle w:val="ListParagraph"/>
              <w:numPr>
                <w:ilvl w:val="0"/>
                <w:numId w:val="6"/>
              </w:numPr>
              <w:rPr>
                <w:rFonts w:ascii="Arial" w:hAnsi="Arial" w:cs="Arial"/>
                <w:sz w:val="24"/>
                <w:szCs w:val="24"/>
              </w:rPr>
            </w:pPr>
            <w:r w:rsidRPr="002D28BB">
              <w:rPr>
                <w:rFonts w:ascii="Arial" w:hAnsi="Arial" w:cs="Arial"/>
                <w:sz w:val="24"/>
                <w:szCs w:val="24"/>
              </w:rPr>
              <w:t>Follow-Up After Emergency Department Visit for Mental Illness (FUM)</w:t>
            </w:r>
          </w:p>
        </w:tc>
        <w:tc>
          <w:tcPr>
            <w:tcW w:w="531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66A065E6" w14:textId="018DC983">
            <w:pPr>
              <w:spacing w:after="120" w:line="23" w:lineRule="atLeast"/>
              <w:rPr>
                <w:rFonts w:ascii="Arial" w:hAnsi="Arial" w:cs="Arial"/>
                <w:color w:val="000000"/>
              </w:rPr>
            </w:pPr>
            <w:r w:rsidRPr="002D28BB">
              <w:rPr>
                <w:rFonts w:ascii="Arial" w:hAnsi="Arial" w:cs="Arial"/>
                <w:color w:val="000000"/>
              </w:rPr>
              <w:t>The percentage of emergency department (ED) visits for members 18 years of age and older with a principal diagnosis of mental illness or intentional self-harm, who had a follow-up visit for mental illness. Two rates are reported:</w:t>
            </w:r>
          </w:p>
          <w:p w:rsidRPr="002D28BB" w:rsidR="00201D73" w:rsidP="00D5669B" w:rsidRDefault="00201D73" w14:paraId="48914A30" w14:textId="77777777">
            <w:pPr>
              <w:pStyle w:val="ListParagraph"/>
              <w:numPr>
                <w:ilvl w:val="0"/>
                <w:numId w:val="10"/>
              </w:numPr>
              <w:spacing w:after="120" w:line="23" w:lineRule="atLeast"/>
              <w:rPr>
                <w:rFonts w:ascii="Arial" w:hAnsi="Arial" w:cs="Arial"/>
                <w:color w:val="000000"/>
                <w:sz w:val="24"/>
                <w:szCs w:val="24"/>
              </w:rPr>
            </w:pPr>
            <w:r w:rsidRPr="002D28BB">
              <w:rPr>
                <w:rFonts w:ascii="Arial" w:hAnsi="Arial" w:cs="Arial"/>
                <w:color w:val="000000"/>
                <w:sz w:val="24"/>
                <w:szCs w:val="24"/>
              </w:rPr>
              <w:t>The percentage of ED visits for which the member received follow-up within 30 days of the ED visit (31 total days).</w:t>
            </w:r>
          </w:p>
          <w:p w:rsidRPr="002D28BB" w:rsidR="00201D73" w:rsidP="00D5669B" w:rsidRDefault="00201D73" w14:paraId="28DF1237" w14:textId="4D26121A">
            <w:pPr>
              <w:pStyle w:val="ListParagraph"/>
              <w:numPr>
                <w:ilvl w:val="0"/>
                <w:numId w:val="10"/>
              </w:numPr>
              <w:spacing w:after="120" w:line="23" w:lineRule="atLeast"/>
              <w:rPr>
                <w:rFonts w:ascii="Arial" w:hAnsi="Arial" w:cs="Arial"/>
                <w:color w:val="000000"/>
                <w:sz w:val="24"/>
                <w:szCs w:val="24"/>
              </w:rPr>
            </w:pPr>
            <w:r w:rsidRPr="002D28BB">
              <w:rPr>
                <w:rFonts w:ascii="Arial" w:hAnsi="Arial" w:cs="Arial"/>
                <w:color w:val="000000"/>
                <w:sz w:val="24"/>
                <w:szCs w:val="24"/>
              </w:rPr>
              <w:t>The percentage of ED visits for which the member received follow-up within 7 days of the ED visit (8 total days).</w:t>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10CA8CC5" w14:textId="02488326">
            <w:pPr>
              <w:spacing w:after="120" w:line="23" w:lineRule="atLeast"/>
              <w:jc w:val="center"/>
              <w:rPr>
                <w:rFonts w:ascii="Arial" w:hAnsi="Arial" w:cs="Arial"/>
                <w:color w:val="000000"/>
              </w:rPr>
            </w:pPr>
            <w:r w:rsidRPr="002D28BB">
              <w:rPr>
                <w:rFonts w:ascii="Arial" w:hAnsi="Arial" w:cs="Arial"/>
                <w:color w:val="000000"/>
              </w:rPr>
              <w:t>Claims</w:t>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45870B4D" w14:textId="25FAC4E9">
            <w:pPr>
              <w:spacing w:after="120" w:line="23" w:lineRule="atLeast"/>
              <w:jc w:val="center"/>
              <w:rPr>
                <w:rFonts w:ascii="Arial" w:hAnsi="Arial" w:cs="Arial"/>
              </w:rPr>
            </w:pPr>
            <w:r w:rsidRPr="002D28BB">
              <w:rPr>
                <w:rFonts w:ascii="Arial" w:hAnsi="Arial" w:cs="Arial"/>
              </w:rPr>
              <w:t>NCQA</w:t>
            </w:r>
          </w:p>
        </w:tc>
        <w:tc>
          <w:tcPr>
            <w:tcW w:w="108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68C9697A" w14:textId="5003BD52">
            <w:pPr>
              <w:spacing w:after="120" w:line="23" w:lineRule="atLeast"/>
              <w:jc w:val="center"/>
              <w:rPr>
                <w:rFonts w:ascii="Arial" w:hAnsi="Arial" w:cs="Arial"/>
                <w:color w:val="000000" w:themeColor="text1"/>
              </w:rPr>
            </w:pPr>
            <w:r w:rsidRPr="002D28BB">
              <w:rPr>
                <w:rFonts w:ascii="Arial" w:hAnsi="Arial" w:cs="Arial"/>
                <w:color w:val="000000" w:themeColor="text1"/>
              </w:rPr>
              <w:t>N/A</w:t>
            </w:r>
          </w:p>
        </w:tc>
      </w:tr>
      <w:tr w:rsidRPr="002D28BB" w:rsidR="00201D73" w:rsidTr="4838C3B5" w14:paraId="77CDFD29" w14:textId="77777777">
        <w:trPr>
          <w:trHeight w:val="745"/>
          <w:jc w:val="center"/>
        </w:trPr>
        <w:tc>
          <w:tcPr>
            <w:tcW w:w="3685"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D5669B" w:rsidRDefault="00201D73" w14:paraId="2AF29942" w14:textId="0C38950F">
            <w:pPr>
              <w:pStyle w:val="ListParagraph"/>
              <w:numPr>
                <w:ilvl w:val="0"/>
                <w:numId w:val="6"/>
              </w:numPr>
              <w:rPr>
                <w:rFonts w:ascii="Arial" w:hAnsi="Arial" w:cs="Arial"/>
                <w:sz w:val="24"/>
                <w:szCs w:val="24"/>
              </w:rPr>
            </w:pPr>
            <w:r w:rsidRPr="002D28BB">
              <w:rPr>
                <w:rFonts w:ascii="Arial" w:hAnsi="Arial" w:cs="Arial"/>
                <w:sz w:val="24"/>
                <w:szCs w:val="24"/>
              </w:rPr>
              <w:t>Follow-up After Hospitalization for Mental Illness (FUH</w:t>
            </w:r>
            <w:r w:rsidRPr="002D28BB" w:rsidR="00187A63">
              <w:rPr>
                <w:rFonts w:ascii="Arial" w:hAnsi="Arial" w:cs="Arial"/>
                <w:sz w:val="24"/>
                <w:szCs w:val="24"/>
              </w:rPr>
              <w:t>)</w:t>
            </w:r>
            <w:r w:rsidRPr="002D28BB" w:rsidR="00693338">
              <w:rPr>
                <w:rStyle w:val="FootnoteReference"/>
                <w:rFonts w:ascii="Arial" w:hAnsi="Arial" w:cs="Arial"/>
                <w:sz w:val="24"/>
                <w:szCs w:val="24"/>
              </w:rPr>
              <w:footnoteReference w:id="4"/>
            </w:r>
          </w:p>
          <w:p w:rsidRPr="002D28BB" w:rsidR="00201D73" w:rsidP="00201D73" w:rsidRDefault="00201D73" w14:paraId="37EE3FDC" w14:textId="77777777">
            <w:pPr>
              <w:spacing w:after="120" w:line="23" w:lineRule="atLeast"/>
              <w:jc w:val="center"/>
              <w:rPr>
                <w:rFonts w:ascii="Arial" w:hAnsi="Arial" w:cs="Arial"/>
                <w:color w:val="000000"/>
              </w:rPr>
            </w:pPr>
          </w:p>
        </w:tc>
        <w:tc>
          <w:tcPr>
            <w:tcW w:w="531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4A14AE51" w14:textId="5A127E44">
            <w:pPr>
              <w:spacing w:after="120" w:line="23" w:lineRule="atLeast"/>
              <w:rPr>
                <w:rFonts w:ascii="Arial" w:hAnsi="Arial" w:cs="Arial"/>
                <w:color w:val="000000"/>
              </w:rPr>
            </w:pPr>
            <w:r w:rsidRPr="002D28BB">
              <w:rPr>
                <w:rFonts w:ascii="Arial" w:hAnsi="Arial" w:cs="Arial"/>
                <w:color w:val="000000"/>
              </w:rPr>
              <w:t>Percentage of emergency department (ED) visits for adults 18 years of age and older with a diagnosis of mental illness or intentional self-harm and who received a follow-up visit for mental illness within 7 and 30 days</w:t>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167039A3" w14:textId="77777777">
            <w:pPr>
              <w:spacing w:after="120" w:line="23" w:lineRule="atLeast"/>
              <w:jc w:val="center"/>
              <w:rPr>
                <w:rFonts w:ascii="Arial" w:hAnsi="Arial" w:cs="Arial"/>
                <w:color w:val="000000"/>
              </w:rPr>
            </w:pPr>
            <w:r w:rsidRPr="002D28BB">
              <w:rPr>
                <w:rFonts w:ascii="Arial" w:hAnsi="Arial" w:cs="Arial"/>
                <w:color w:val="000000"/>
              </w:rPr>
              <w:t>Claims</w:t>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6A5FDE61" w14:textId="77777777">
            <w:pPr>
              <w:spacing w:after="120" w:line="23" w:lineRule="atLeast"/>
              <w:jc w:val="center"/>
              <w:rPr>
                <w:rFonts w:ascii="Arial" w:hAnsi="Arial" w:cs="Arial"/>
                <w:color w:val="000000"/>
              </w:rPr>
            </w:pPr>
            <w:r w:rsidRPr="002D28BB">
              <w:rPr>
                <w:rFonts w:ascii="Arial" w:hAnsi="Arial" w:cs="Arial"/>
              </w:rPr>
              <w:t>NCQA</w:t>
            </w:r>
          </w:p>
        </w:tc>
        <w:tc>
          <w:tcPr>
            <w:tcW w:w="108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7AE329F8" w14:textId="77777777">
            <w:pPr>
              <w:spacing w:after="120" w:line="23" w:lineRule="atLeast"/>
              <w:jc w:val="center"/>
              <w:rPr>
                <w:rFonts w:ascii="Arial" w:hAnsi="Arial" w:cs="Arial"/>
                <w:color w:val="000000"/>
              </w:rPr>
            </w:pPr>
            <w:r w:rsidRPr="002D28BB">
              <w:rPr>
                <w:rFonts w:ascii="Arial" w:hAnsi="Arial" w:cs="Arial"/>
                <w:color w:val="000000" w:themeColor="text1"/>
              </w:rPr>
              <w:t>0576</w:t>
            </w:r>
          </w:p>
        </w:tc>
      </w:tr>
      <w:tr w:rsidRPr="002D28BB" w:rsidR="00201D73" w:rsidTr="4838C3B5" w14:paraId="7969CA1E" w14:textId="77777777">
        <w:trPr>
          <w:trHeight w:val="745"/>
          <w:jc w:val="center"/>
        </w:trPr>
        <w:tc>
          <w:tcPr>
            <w:tcW w:w="3685"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D5669B" w:rsidRDefault="00201D73" w14:paraId="3DEFFAD1" w14:textId="1947FE60">
            <w:pPr>
              <w:pStyle w:val="ListParagraph"/>
              <w:numPr>
                <w:ilvl w:val="0"/>
                <w:numId w:val="6"/>
              </w:numPr>
              <w:rPr>
                <w:rFonts w:ascii="Arial" w:hAnsi="Arial" w:cs="Arial"/>
                <w:sz w:val="24"/>
                <w:szCs w:val="24"/>
              </w:rPr>
            </w:pPr>
            <w:r w:rsidRPr="002D28BB">
              <w:rPr>
                <w:rFonts w:ascii="Arial" w:hAnsi="Arial" w:cs="Arial"/>
                <w:noProof/>
                <w:sz w:val="24"/>
                <w:szCs w:val="24"/>
              </w:rPr>
              <w:t>Follow-Up After High-Intensity Care for Substance Use Disorder (FUI)</w:t>
            </w:r>
          </w:p>
        </w:tc>
        <w:tc>
          <w:tcPr>
            <w:tcW w:w="531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584A7E36" w14:textId="5FB8BFBC">
            <w:pPr>
              <w:spacing w:after="120" w:line="23" w:lineRule="atLeast"/>
              <w:rPr>
                <w:rFonts w:ascii="Arial" w:hAnsi="Arial" w:cs="Arial"/>
                <w:color w:val="000000"/>
              </w:rPr>
            </w:pPr>
            <w:r w:rsidRPr="002D28BB">
              <w:rPr>
                <w:rFonts w:ascii="Arial" w:hAnsi="Arial" w:cs="Arial"/>
                <w:color w:val="000000"/>
              </w:rPr>
              <w:t xml:space="preserve">The percentage of acute inpatient hospitalizations, residential </w:t>
            </w:r>
            <w:proofErr w:type="gramStart"/>
            <w:r w:rsidRPr="002D28BB">
              <w:rPr>
                <w:rFonts w:ascii="Arial" w:hAnsi="Arial" w:cs="Arial"/>
                <w:color w:val="000000"/>
              </w:rPr>
              <w:t>treatment</w:t>
            </w:r>
            <w:proofErr w:type="gramEnd"/>
            <w:r w:rsidRPr="002D28BB">
              <w:rPr>
                <w:rFonts w:ascii="Arial" w:hAnsi="Arial" w:cs="Arial"/>
                <w:color w:val="000000"/>
              </w:rPr>
              <w:t xml:space="preserve"> or withdrawal management visits for a diagnosis of substance use disorder among members 18 years of age and older that result in a follow-up </w:t>
            </w:r>
            <w:r w:rsidRPr="002D28BB">
              <w:rPr>
                <w:rFonts w:ascii="Arial" w:hAnsi="Arial" w:cs="Arial"/>
                <w:color w:val="000000"/>
              </w:rPr>
              <w:t>visit or service for substance use disorder. Two rates are reported:</w:t>
            </w:r>
          </w:p>
          <w:p w:rsidRPr="002D28BB" w:rsidR="00201D73" w:rsidP="00D5669B" w:rsidRDefault="00201D73" w14:paraId="2420BC32" w14:textId="77777777">
            <w:pPr>
              <w:pStyle w:val="ListParagraph"/>
              <w:numPr>
                <w:ilvl w:val="0"/>
                <w:numId w:val="11"/>
              </w:numPr>
              <w:spacing w:after="120" w:line="23" w:lineRule="atLeast"/>
              <w:rPr>
                <w:rFonts w:ascii="Arial" w:hAnsi="Arial" w:cs="Arial"/>
                <w:color w:val="000000"/>
                <w:sz w:val="24"/>
                <w:szCs w:val="24"/>
              </w:rPr>
            </w:pPr>
            <w:r w:rsidRPr="002D28BB">
              <w:rPr>
                <w:rFonts w:ascii="Arial" w:hAnsi="Arial" w:cs="Arial"/>
                <w:color w:val="000000"/>
                <w:sz w:val="24"/>
                <w:szCs w:val="24"/>
              </w:rPr>
              <w:t xml:space="preserve">The percentage of visits or discharges for which the member received follow-up for substance use disorder within the 30 days after the visit or discharge. </w:t>
            </w:r>
          </w:p>
          <w:p w:rsidRPr="002D28BB" w:rsidR="00201D73" w:rsidP="00D5669B" w:rsidRDefault="00201D73" w14:paraId="3A7609D4" w14:textId="5B9CA988">
            <w:pPr>
              <w:pStyle w:val="ListParagraph"/>
              <w:numPr>
                <w:ilvl w:val="0"/>
                <w:numId w:val="11"/>
              </w:numPr>
              <w:spacing w:after="120" w:line="23" w:lineRule="atLeast"/>
              <w:rPr>
                <w:rFonts w:ascii="Arial" w:hAnsi="Arial" w:cs="Arial"/>
                <w:color w:val="000000"/>
                <w:sz w:val="24"/>
                <w:szCs w:val="24"/>
              </w:rPr>
            </w:pPr>
            <w:r w:rsidRPr="002D28BB">
              <w:rPr>
                <w:rFonts w:ascii="Arial" w:hAnsi="Arial" w:cs="Arial"/>
                <w:color w:val="000000"/>
                <w:sz w:val="24"/>
                <w:szCs w:val="24"/>
              </w:rPr>
              <w:t>The percentage of visits or discharges for which the member received follow-up for substance use disorder within the 7 days after the visit or discharge.</w:t>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5D63E50D" w14:textId="6EBDDC51">
            <w:pPr>
              <w:spacing w:after="120" w:line="23" w:lineRule="atLeast"/>
              <w:jc w:val="center"/>
              <w:rPr>
                <w:rFonts w:ascii="Arial" w:hAnsi="Arial" w:cs="Arial"/>
                <w:color w:val="000000"/>
              </w:rPr>
            </w:pPr>
            <w:r w:rsidRPr="002D28BB">
              <w:rPr>
                <w:rFonts w:ascii="Arial" w:hAnsi="Arial" w:cs="Arial"/>
                <w:color w:val="000000"/>
              </w:rPr>
              <w:t>Claims</w:t>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5C571829" w14:textId="55C66A7C">
            <w:pPr>
              <w:spacing w:after="120" w:line="23" w:lineRule="atLeast"/>
              <w:jc w:val="center"/>
              <w:rPr>
                <w:rFonts w:ascii="Arial" w:hAnsi="Arial" w:cs="Arial"/>
              </w:rPr>
            </w:pPr>
            <w:r w:rsidRPr="002D28BB">
              <w:rPr>
                <w:rFonts w:ascii="Arial" w:hAnsi="Arial" w:cs="Arial"/>
              </w:rPr>
              <w:t>NCQA</w:t>
            </w:r>
          </w:p>
        </w:tc>
        <w:tc>
          <w:tcPr>
            <w:tcW w:w="108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1446C114" w14:textId="77777777">
            <w:pPr>
              <w:spacing w:after="120" w:line="23" w:lineRule="atLeast"/>
              <w:jc w:val="center"/>
              <w:rPr>
                <w:rFonts w:ascii="Arial" w:hAnsi="Arial" w:cs="Arial"/>
                <w:b/>
                <w:bCs/>
                <w:color w:val="5F6368"/>
                <w:shd w:val="clear" w:color="auto" w:fill="FFFFFF"/>
              </w:rPr>
            </w:pPr>
          </w:p>
        </w:tc>
      </w:tr>
      <w:tr w:rsidRPr="002D28BB" w:rsidR="00201D73" w:rsidTr="4838C3B5" w14:paraId="6F0C3C07" w14:textId="77777777">
        <w:trPr>
          <w:trHeight w:val="745"/>
          <w:jc w:val="center"/>
        </w:trPr>
        <w:tc>
          <w:tcPr>
            <w:tcW w:w="3685"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D5669B" w:rsidRDefault="00201D73" w14:paraId="62696DCF" w14:textId="0187DC87">
            <w:pPr>
              <w:pStyle w:val="ListParagraph"/>
              <w:numPr>
                <w:ilvl w:val="0"/>
                <w:numId w:val="6"/>
              </w:numPr>
              <w:rPr>
                <w:rFonts w:ascii="Arial" w:hAnsi="Arial" w:cs="Arial"/>
                <w:sz w:val="24"/>
                <w:szCs w:val="24"/>
              </w:rPr>
            </w:pPr>
            <w:r w:rsidRPr="002D28BB">
              <w:rPr>
                <w:rFonts w:ascii="Arial" w:hAnsi="Arial" w:cs="Arial"/>
                <w:sz w:val="24"/>
                <w:szCs w:val="24"/>
              </w:rPr>
              <w:t>Influenza Vaccination (FVO)</w:t>
            </w:r>
          </w:p>
        </w:tc>
        <w:tc>
          <w:tcPr>
            <w:tcW w:w="531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01A69ACF" w14:textId="4E93B7D4">
            <w:pPr>
              <w:tabs>
                <w:tab w:val="left" w:pos="910"/>
              </w:tabs>
              <w:spacing w:after="120" w:line="23" w:lineRule="atLeast"/>
              <w:rPr>
                <w:rFonts w:ascii="Arial" w:hAnsi="Arial" w:cs="Arial"/>
                <w:color w:val="000000"/>
              </w:rPr>
            </w:pPr>
            <w:r w:rsidRPr="002D28BB">
              <w:rPr>
                <w:rFonts w:ascii="Arial" w:hAnsi="Arial" w:cs="Arial"/>
                <w:color w:val="000000"/>
              </w:rPr>
              <w:t>The percentage of adults in commercial and Medicaid plans receiving an influenza vaccination between July 1 of the measurement year and the date when the commercial CAHPS survey was completed.</w:t>
            </w:r>
            <w:r w:rsidRPr="002D28BB">
              <w:rPr>
                <w:rFonts w:ascii="Arial" w:hAnsi="Arial" w:cs="Arial"/>
                <w:color w:val="000000"/>
              </w:rPr>
              <w:tab/>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6F8DAD4B" w14:textId="340972FE">
            <w:pPr>
              <w:spacing w:after="120" w:line="23" w:lineRule="atLeast"/>
              <w:jc w:val="center"/>
              <w:rPr>
                <w:rFonts w:ascii="Arial" w:hAnsi="Arial" w:cs="Arial"/>
                <w:color w:val="000000"/>
              </w:rPr>
            </w:pPr>
            <w:r w:rsidRPr="002D28BB">
              <w:rPr>
                <w:rFonts w:ascii="Arial" w:hAnsi="Arial" w:cs="Arial"/>
                <w:color w:val="000000"/>
              </w:rPr>
              <w:t>Survey</w:t>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293E1BFF" w14:textId="4B6B64A0">
            <w:pPr>
              <w:spacing w:after="120" w:line="23" w:lineRule="atLeast"/>
              <w:jc w:val="center"/>
              <w:rPr>
                <w:rFonts w:ascii="Arial" w:hAnsi="Arial" w:cs="Arial"/>
              </w:rPr>
            </w:pPr>
            <w:r w:rsidRPr="002D28BB">
              <w:rPr>
                <w:rFonts w:ascii="Arial" w:hAnsi="Arial" w:cs="Arial"/>
              </w:rPr>
              <w:t>NCQA</w:t>
            </w:r>
          </w:p>
        </w:tc>
        <w:tc>
          <w:tcPr>
            <w:tcW w:w="108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4EC4CD7E" w14:textId="6608A303">
            <w:pPr>
              <w:spacing w:after="120" w:line="23" w:lineRule="atLeast"/>
              <w:jc w:val="center"/>
              <w:rPr>
                <w:rFonts w:ascii="Arial" w:hAnsi="Arial" w:cs="Arial"/>
                <w:color w:val="000000" w:themeColor="text1"/>
                <w:shd w:val="clear" w:color="auto" w:fill="FFFFFF"/>
              </w:rPr>
            </w:pPr>
            <w:r w:rsidRPr="002D28BB">
              <w:rPr>
                <w:rFonts w:ascii="Arial" w:hAnsi="Arial" w:cs="Arial"/>
                <w:color w:val="000000" w:themeColor="text1"/>
                <w:shd w:val="clear" w:color="auto" w:fill="FFFFFF"/>
              </w:rPr>
              <w:t>0041</w:t>
            </w:r>
          </w:p>
        </w:tc>
      </w:tr>
      <w:tr w:rsidRPr="002D28BB" w:rsidR="00201D73" w:rsidTr="4838C3B5" w14:paraId="52E989FF" w14:textId="77777777">
        <w:trPr>
          <w:trHeight w:val="745"/>
          <w:jc w:val="center"/>
        </w:trPr>
        <w:tc>
          <w:tcPr>
            <w:tcW w:w="3685"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D5669B" w:rsidRDefault="00201D73" w14:paraId="6749B539" w14:textId="53BA94AD">
            <w:pPr>
              <w:pStyle w:val="ListParagraph"/>
              <w:numPr>
                <w:ilvl w:val="0"/>
                <w:numId w:val="6"/>
              </w:numPr>
              <w:rPr>
                <w:rFonts w:ascii="Arial" w:hAnsi="Arial" w:cs="Arial"/>
                <w:sz w:val="24"/>
                <w:szCs w:val="24"/>
              </w:rPr>
            </w:pPr>
            <w:r w:rsidRPr="002D28BB">
              <w:rPr>
                <w:rFonts w:ascii="Arial" w:hAnsi="Arial" w:cs="Arial"/>
                <w:sz w:val="24"/>
                <w:szCs w:val="24"/>
              </w:rPr>
              <w:t>Member Experience – (MA PDP CAHPS)</w:t>
            </w:r>
            <w:r w:rsidRPr="002D28BB" w:rsidR="00693338">
              <w:rPr>
                <w:rFonts w:ascii="Arial" w:hAnsi="Arial" w:cs="Arial"/>
                <w:sz w:val="24"/>
                <w:szCs w:val="24"/>
              </w:rPr>
              <w:fldChar w:fldCharType="begin"/>
            </w:r>
            <w:r w:rsidRPr="002D28BB" w:rsidR="00693338">
              <w:rPr>
                <w:rFonts w:ascii="Arial" w:hAnsi="Arial" w:cs="Arial"/>
                <w:sz w:val="24"/>
                <w:szCs w:val="24"/>
              </w:rPr>
              <w:instrText xml:space="preserve"> NOTEREF _Ref137766538 \f \h </w:instrText>
            </w:r>
            <w:r w:rsidRPr="002D28BB" w:rsidR="001F25B9">
              <w:rPr>
                <w:rFonts w:ascii="Arial" w:hAnsi="Arial" w:cs="Arial"/>
                <w:sz w:val="24"/>
                <w:szCs w:val="24"/>
              </w:rPr>
              <w:instrText xml:space="preserve"> \* MERGEFORMAT </w:instrText>
            </w:r>
            <w:r w:rsidRPr="002D28BB" w:rsidR="00693338">
              <w:rPr>
                <w:rFonts w:ascii="Arial" w:hAnsi="Arial" w:cs="Arial"/>
                <w:sz w:val="24"/>
                <w:szCs w:val="24"/>
              </w:rPr>
            </w:r>
            <w:r w:rsidRPr="002D28BB" w:rsidR="00693338">
              <w:rPr>
                <w:rFonts w:ascii="Arial" w:hAnsi="Arial" w:cs="Arial"/>
                <w:sz w:val="24"/>
                <w:szCs w:val="24"/>
              </w:rPr>
              <w:fldChar w:fldCharType="separate"/>
            </w:r>
            <w:r w:rsidRPr="002D28BB" w:rsidR="00693338">
              <w:rPr>
                <w:rStyle w:val="FootnoteReference"/>
                <w:rFonts w:ascii="Arial" w:hAnsi="Arial" w:cs="Arial"/>
                <w:sz w:val="24"/>
                <w:szCs w:val="24"/>
              </w:rPr>
              <w:t>*</w:t>
            </w:r>
            <w:r w:rsidRPr="002D28BB" w:rsidR="00693338">
              <w:rPr>
                <w:rFonts w:ascii="Arial" w:hAnsi="Arial" w:cs="Arial"/>
                <w:sz w:val="24"/>
                <w:szCs w:val="24"/>
              </w:rPr>
              <w:fldChar w:fldCharType="end"/>
            </w:r>
          </w:p>
          <w:p w:rsidRPr="002D28BB" w:rsidR="00201D73" w:rsidP="00201D73" w:rsidRDefault="00201D73" w14:paraId="11BA3476" w14:textId="77777777">
            <w:pPr>
              <w:spacing w:after="120" w:line="23" w:lineRule="atLeast"/>
              <w:jc w:val="center"/>
              <w:rPr>
                <w:rFonts w:ascii="Arial" w:hAnsi="Arial" w:cs="Arial"/>
                <w:color w:val="000000" w:themeColor="text1"/>
              </w:rPr>
            </w:pPr>
          </w:p>
        </w:tc>
        <w:tc>
          <w:tcPr>
            <w:tcW w:w="531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2F7B43CC" w14:textId="269F32BC">
            <w:pPr>
              <w:spacing w:after="120" w:line="23" w:lineRule="atLeast"/>
              <w:rPr>
                <w:rFonts w:ascii="Arial" w:hAnsi="Arial" w:cs="Arial"/>
                <w:color w:val="000000"/>
              </w:rPr>
            </w:pPr>
            <w:r w:rsidRPr="002D28BB">
              <w:rPr>
                <w:rFonts w:ascii="Arial" w:hAnsi="Arial" w:cs="Arial"/>
                <w:color w:val="000000"/>
              </w:rPr>
              <w:t>Medicare Consumer Assessment of Healthcare Providers and Systems (CAHPS®) surveys</w:t>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26E4B40A" w14:textId="77777777">
            <w:pPr>
              <w:spacing w:after="120" w:line="23" w:lineRule="atLeast"/>
              <w:jc w:val="center"/>
              <w:rPr>
                <w:rFonts w:ascii="Arial" w:hAnsi="Arial" w:cs="Arial"/>
                <w:color w:val="000000"/>
              </w:rPr>
            </w:pPr>
            <w:r w:rsidRPr="002D28BB">
              <w:rPr>
                <w:rFonts w:ascii="Arial" w:hAnsi="Arial" w:cs="Arial"/>
                <w:color w:val="000000"/>
              </w:rPr>
              <w:t>Survey</w:t>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2EDBAFB0" w14:textId="77777777">
            <w:pPr>
              <w:spacing w:after="120" w:line="23" w:lineRule="atLeast"/>
              <w:jc w:val="center"/>
              <w:rPr>
                <w:rFonts w:ascii="Arial" w:hAnsi="Arial" w:cs="Arial"/>
                <w:color w:val="000000"/>
              </w:rPr>
            </w:pPr>
            <w:r w:rsidRPr="002D28BB">
              <w:rPr>
                <w:rFonts w:ascii="Arial" w:hAnsi="Arial" w:cs="Arial"/>
              </w:rPr>
              <w:t>CMS</w:t>
            </w:r>
          </w:p>
        </w:tc>
        <w:tc>
          <w:tcPr>
            <w:tcW w:w="108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3CEFB46D" w14:textId="77777777">
            <w:pPr>
              <w:spacing w:after="120" w:line="23" w:lineRule="atLeast"/>
              <w:jc w:val="center"/>
              <w:rPr>
                <w:rFonts w:ascii="Arial" w:hAnsi="Arial" w:cs="Arial"/>
                <w:color w:val="000000"/>
              </w:rPr>
            </w:pPr>
            <w:r w:rsidRPr="002D28BB">
              <w:rPr>
                <w:rFonts w:ascii="Arial" w:hAnsi="Arial" w:cs="Arial"/>
              </w:rPr>
              <w:t>N/A</w:t>
            </w:r>
          </w:p>
        </w:tc>
      </w:tr>
      <w:tr w:rsidRPr="002D28BB" w:rsidR="00201D73" w:rsidTr="4838C3B5" w14:paraId="78394F81" w14:textId="77777777">
        <w:trPr>
          <w:trHeight w:val="745"/>
          <w:jc w:val="center"/>
        </w:trPr>
        <w:tc>
          <w:tcPr>
            <w:tcW w:w="3685"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D5669B" w:rsidRDefault="00201D73" w14:paraId="68E4D5D2" w14:textId="793FAA56">
            <w:pPr>
              <w:pStyle w:val="ListParagraph"/>
              <w:numPr>
                <w:ilvl w:val="0"/>
                <w:numId w:val="6"/>
              </w:numPr>
              <w:rPr>
                <w:rFonts w:ascii="Arial" w:hAnsi="Arial" w:cs="Arial"/>
                <w:sz w:val="24"/>
                <w:szCs w:val="24"/>
              </w:rPr>
            </w:pPr>
            <w:r w:rsidRPr="002D28BB">
              <w:rPr>
                <w:rFonts w:ascii="Arial" w:hAnsi="Arial" w:cs="Arial"/>
                <w:sz w:val="24"/>
                <w:szCs w:val="24"/>
              </w:rPr>
              <w:t>Documentation of Care Goals</w:t>
            </w:r>
            <w:bookmarkStart w:name="_Ref137766538" w:id="1"/>
            <w:r w:rsidRPr="002D28BB">
              <w:rPr>
                <w:rStyle w:val="FootnoteReference"/>
                <w:rFonts w:ascii="Arial" w:hAnsi="Arial" w:cs="Arial"/>
                <w:sz w:val="24"/>
                <w:szCs w:val="24"/>
              </w:rPr>
              <w:footnoteReference w:id="5"/>
            </w:r>
            <w:bookmarkEnd w:id="1"/>
          </w:p>
        </w:tc>
        <w:tc>
          <w:tcPr>
            <w:tcW w:w="531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2DEBD8AB" w14:textId="03B168B9">
            <w:pPr>
              <w:spacing w:after="120" w:line="23" w:lineRule="atLeast"/>
              <w:rPr>
                <w:rFonts w:ascii="Arial" w:hAnsi="Arial" w:cs="Arial"/>
                <w:color w:val="000000"/>
              </w:rPr>
            </w:pPr>
            <w:r w:rsidRPr="002D28BB">
              <w:rPr>
                <w:rFonts w:ascii="Arial" w:hAnsi="Arial" w:cs="Arial"/>
                <w:color w:val="000000"/>
              </w:rPr>
              <w:t>Documentation of Care Plan Goals - Percent of members with documented discussions of care goals</w:t>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4BE3E9DE" w14:textId="66B96C38">
            <w:pPr>
              <w:spacing w:after="120" w:line="23" w:lineRule="atLeast"/>
              <w:jc w:val="center"/>
              <w:rPr>
                <w:rFonts w:ascii="Arial" w:hAnsi="Arial" w:cs="Arial"/>
                <w:color w:val="000000"/>
              </w:rPr>
            </w:pPr>
            <w:r w:rsidRPr="002D28BB">
              <w:rPr>
                <w:rFonts w:ascii="Arial" w:hAnsi="Arial" w:cs="Arial"/>
                <w:color w:val="000000"/>
              </w:rPr>
              <w:t>Claims</w:t>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018FCA03" w14:textId="7817D66E">
            <w:pPr>
              <w:spacing w:after="120" w:line="23" w:lineRule="atLeast"/>
              <w:jc w:val="center"/>
              <w:rPr>
                <w:rFonts w:ascii="Arial" w:hAnsi="Arial" w:cs="Arial"/>
              </w:rPr>
            </w:pPr>
            <w:r w:rsidRPr="002D28BB">
              <w:rPr>
                <w:rFonts w:ascii="Arial" w:hAnsi="Arial" w:cs="Arial"/>
              </w:rPr>
              <w:t>CMS</w:t>
            </w:r>
          </w:p>
        </w:tc>
        <w:tc>
          <w:tcPr>
            <w:tcW w:w="108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044578D6" w14:textId="689781B4">
            <w:pPr>
              <w:spacing w:after="120" w:line="23" w:lineRule="atLeast"/>
              <w:jc w:val="center"/>
              <w:rPr>
                <w:rFonts w:ascii="Arial" w:hAnsi="Arial" w:cs="Arial"/>
              </w:rPr>
            </w:pPr>
            <w:r w:rsidRPr="002D28BB">
              <w:rPr>
                <w:rFonts w:ascii="Arial" w:hAnsi="Arial" w:cs="Arial"/>
              </w:rPr>
              <w:t>N/A</w:t>
            </w:r>
          </w:p>
        </w:tc>
      </w:tr>
      <w:tr w:rsidRPr="002D28BB" w:rsidR="00201D73" w:rsidTr="4838C3B5" w14:paraId="71E1B948" w14:textId="77777777">
        <w:trPr>
          <w:trHeight w:val="745"/>
          <w:jc w:val="center"/>
        </w:trPr>
        <w:tc>
          <w:tcPr>
            <w:tcW w:w="3685"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D5669B" w:rsidRDefault="00201D73" w14:paraId="4AFAE196" w14:textId="37E68418">
            <w:pPr>
              <w:pStyle w:val="ListParagraph"/>
              <w:numPr>
                <w:ilvl w:val="0"/>
                <w:numId w:val="6"/>
              </w:numPr>
              <w:spacing w:after="120" w:line="23" w:lineRule="atLeast"/>
              <w:rPr>
                <w:rFonts w:ascii="Arial" w:hAnsi="Arial" w:eastAsia="Times New Roman" w:cs="Arial"/>
                <w:color w:val="000000" w:themeColor="text1"/>
                <w:sz w:val="24"/>
                <w:szCs w:val="24"/>
              </w:rPr>
            </w:pPr>
            <w:r w:rsidRPr="002D28BB">
              <w:rPr>
                <w:rFonts w:ascii="Arial" w:hAnsi="Arial" w:cs="Arial"/>
                <w:sz w:val="24"/>
                <w:szCs w:val="24"/>
              </w:rPr>
              <w:t>EOHHS Long-Term Services and Supports Minimizing Facility Length of Stay</w:t>
            </w:r>
            <w:r w:rsidRPr="002D28BB" w:rsidR="00693338">
              <w:rPr>
                <w:rFonts w:ascii="Arial" w:hAnsi="Arial" w:cs="Arial"/>
                <w:sz w:val="24"/>
                <w:szCs w:val="24"/>
              </w:rPr>
              <w:fldChar w:fldCharType="begin"/>
            </w:r>
            <w:r w:rsidRPr="002D28BB" w:rsidR="00693338">
              <w:rPr>
                <w:rFonts w:ascii="Arial" w:hAnsi="Arial" w:cs="Arial"/>
                <w:sz w:val="24"/>
                <w:szCs w:val="24"/>
              </w:rPr>
              <w:instrText xml:space="preserve"> NOTEREF _Ref146121066 \f \h </w:instrText>
            </w:r>
            <w:r w:rsidRPr="002D28BB" w:rsidR="001F25B9">
              <w:rPr>
                <w:rFonts w:ascii="Arial" w:hAnsi="Arial" w:cs="Arial"/>
                <w:sz w:val="24"/>
                <w:szCs w:val="24"/>
              </w:rPr>
              <w:instrText xml:space="preserve"> \* MERGEFORMAT </w:instrText>
            </w:r>
            <w:r w:rsidRPr="002D28BB" w:rsidR="00693338">
              <w:rPr>
                <w:rFonts w:ascii="Arial" w:hAnsi="Arial" w:cs="Arial"/>
                <w:sz w:val="24"/>
                <w:szCs w:val="24"/>
              </w:rPr>
            </w:r>
            <w:r w:rsidRPr="002D28BB" w:rsidR="00693338">
              <w:rPr>
                <w:rFonts w:ascii="Arial" w:hAnsi="Arial" w:cs="Arial"/>
                <w:sz w:val="24"/>
                <w:szCs w:val="24"/>
              </w:rPr>
              <w:fldChar w:fldCharType="separate"/>
            </w:r>
            <w:r w:rsidRPr="002D28BB" w:rsidR="00693338">
              <w:rPr>
                <w:rStyle w:val="FootnoteReference"/>
                <w:rFonts w:ascii="Arial" w:hAnsi="Arial" w:cs="Arial"/>
                <w:sz w:val="24"/>
                <w:szCs w:val="24"/>
              </w:rPr>
              <w:t>*</w:t>
            </w:r>
            <w:r w:rsidRPr="002D28BB" w:rsidR="00693338">
              <w:rPr>
                <w:rFonts w:ascii="Arial" w:hAnsi="Arial" w:cs="Arial"/>
                <w:sz w:val="24"/>
                <w:szCs w:val="24"/>
              </w:rPr>
              <w:fldChar w:fldCharType="end"/>
            </w:r>
            <w:r w:rsidRPr="002D28BB">
              <w:rPr>
                <w:rFonts w:ascii="Arial" w:hAnsi="Arial" w:cs="Arial"/>
                <w:sz w:val="24"/>
                <w:szCs w:val="24"/>
              </w:rPr>
              <w:t xml:space="preserve"> </w:t>
            </w:r>
          </w:p>
        </w:tc>
        <w:tc>
          <w:tcPr>
            <w:tcW w:w="531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vAlign w:val="center"/>
          </w:tcPr>
          <w:p w:rsidRPr="002D28BB" w:rsidR="00201D73" w:rsidP="00201D73" w:rsidRDefault="00201D73" w14:paraId="15AD233E" w14:textId="77777777">
            <w:pPr>
              <w:spacing w:after="120" w:line="23" w:lineRule="atLeast"/>
              <w:rPr>
                <w:rFonts w:ascii="Arial" w:hAnsi="Arial" w:cs="Arial"/>
                <w:color w:val="000000"/>
              </w:rPr>
            </w:pPr>
            <w:r w:rsidRPr="002D28BB">
              <w:rPr>
                <w:rFonts w:ascii="Arial" w:hAnsi="Arial" w:cs="Arial"/>
                <w:color w:val="000000"/>
              </w:rPr>
              <w:t xml:space="preserve">The proportion of admissions to a facility among Medicaid MLTSS participants </w:t>
            </w:r>
            <w:proofErr w:type="gramStart"/>
            <w:r w:rsidRPr="002D28BB">
              <w:rPr>
                <w:rFonts w:ascii="Arial" w:hAnsi="Arial" w:cs="Arial"/>
                <w:color w:val="000000"/>
              </w:rPr>
              <w:t>age</w:t>
            </w:r>
            <w:proofErr w:type="gramEnd"/>
            <w:r w:rsidRPr="002D28BB">
              <w:rPr>
                <w:rFonts w:ascii="Arial" w:hAnsi="Arial" w:cs="Arial"/>
                <w:color w:val="000000"/>
              </w:rPr>
              <w:t xml:space="preserve"> 18 and older that result in successful discharge to the community (community residence for 60 or more days within 100 days of admission</w:t>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2E2DBCA5" w14:textId="77777777">
            <w:pPr>
              <w:spacing w:after="120" w:line="23" w:lineRule="atLeast"/>
              <w:jc w:val="center"/>
              <w:rPr>
                <w:rFonts w:ascii="Arial" w:hAnsi="Arial" w:cs="Arial"/>
                <w:color w:val="000000"/>
              </w:rPr>
            </w:pPr>
            <w:r w:rsidRPr="002D28BB">
              <w:rPr>
                <w:rFonts w:ascii="Arial" w:hAnsi="Arial" w:cs="Arial"/>
                <w:color w:val="000000"/>
              </w:rPr>
              <w:t>Claims</w:t>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2BAAC57B" w14:textId="77777777">
            <w:pPr>
              <w:spacing w:after="120" w:line="23" w:lineRule="atLeast"/>
              <w:jc w:val="center"/>
              <w:rPr>
                <w:rFonts w:ascii="Arial" w:hAnsi="Arial" w:cs="Arial"/>
                <w:color w:val="000000"/>
              </w:rPr>
            </w:pPr>
            <w:r w:rsidRPr="002D28BB">
              <w:rPr>
                <w:rFonts w:ascii="Arial" w:hAnsi="Arial" w:cs="Arial"/>
              </w:rPr>
              <w:t>CMS</w:t>
            </w:r>
          </w:p>
        </w:tc>
        <w:tc>
          <w:tcPr>
            <w:tcW w:w="108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5166DAB9" w14:textId="77777777">
            <w:pPr>
              <w:spacing w:after="120" w:line="23" w:lineRule="atLeast"/>
              <w:jc w:val="center"/>
              <w:rPr>
                <w:rFonts w:ascii="Arial" w:hAnsi="Arial" w:cs="Arial"/>
                <w:color w:val="000000"/>
              </w:rPr>
            </w:pPr>
            <w:r w:rsidRPr="002D28BB">
              <w:rPr>
                <w:rFonts w:ascii="Arial" w:hAnsi="Arial" w:eastAsia="Calibri" w:cs="Arial"/>
                <w:color w:val="000000" w:themeColor="text1"/>
              </w:rPr>
              <w:t>3457</w:t>
            </w:r>
          </w:p>
        </w:tc>
      </w:tr>
      <w:tr w:rsidRPr="002D28BB" w:rsidR="00201D73" w:rsidTr="4838C3B5" w14:paraId="0B36B1FA" w14:textId="77777777">
        <w:trPr>
          <w:trHeight w:val="745"/>
          <w:jc w:val="center"/>
        </w:trPr>
        <w:tc>
          <w:tcPr>
            <w:tcW w:w="3685"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D5669B" w:rsidRDefault="00201D73" w14:paraId="7B8DE355" w14:textId="4335A302">
            <w:pPr>
              <w:pStyle w:val="ListParagraph"/>
              <w:numPr>
                <w:ilvl w:val="0"/>
                <w:numId w:val="6"/>
              </w:numPr>
              <w:rPr>
                <w:rFonts w:ascii="Arial" w:hAnsi="Arial" w:cs="Arial"/>
                <w:sz w:val="24"/>
                <w:szCs w:val="24"/>
              </w:rPr>
            </w:pPr>
            <w:r w:rsidRPr="002D28BB">
              <w:rPr>
                <w:rFonts w:ascii="Arial" w:hAnsi="Arial" w:cs="Arial"/>
                <w:sz w:val="24"/>
                <w:szCs w:val="24"/>
              </w:rPr>
              <w:t>Initiation and Engagement of SUD treatment (IET) – Initiation Total and Engagement Total</w:t>
            </w:r>
          </w:p>
          <w:p w:rsidRPr="002D28BB" w:rsidR="00201D73" w:rsidP="00201D73" w:rsidRDefault="00201D73" w14:paraId="0D572E8A" w14:textId="77777777">
            <w:pPr>
              <w:spacing w:after="120" w:line="23" w:lineRule="atLeast"/>
              <w:jc w:val="center"/>
              <w:rPr>
                <w:rFonts w:ascii="Arial" w:hAnsi="Arial" w:cs="Arial"/>
                <w:color w:val="000000" w:themeColor="text1"/>
              </w:rPr>
            </w:pPr>
          </w:p>
        </w:tc>
        <w:tc>
          <w:tcPr>
            <w:tcW w:w="531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vAlign w:val="center"/>
          </w:tcPr>
          <w:p w:rsidRPr="002D28BB" w:rsidR="00201D73" w:rsidP="00201D73" w:rsidRDefault="00201D73" w14:paraId="64A124F2" w14:textId="77777777">
            <w:pPr>
              <w:spacing w:after="120" w:line="23" w:lineRule="atLeast"/>
              <w:rPr>
                <w:rFonts w:ascii="Arial" w:hAnsi="Arial" w:cs="Arial"/>
                <w:color w:val="000000"/>
              </w:rPr>
            </w:pPr>
            <w:r w:rsidRPr="002D28BB">
              <w:rPr>
                <w:rFonts w:ascii="Arial" w:hAnsi="Arial" w:cs="Arial"/>
                <w:color w:val="000000"/>
              </w:rPr>
              <w:t xml:space="preserve">The percentage of new substance use disorder (SUD) episodes that result in treatment initiation and engagement. Two rates are reported: </w:t>
            </w:r>
          </w:p>
          <w:p w:rsidRPr="002D28BB" w:rsidR="00201D73" w:rsidP="00D5669B" w:rsidRDefault="00201D73" w14:paraId="15133654" w14:textId="77777777">
            <w:pPr>
              <w:pStyle w:val="ListParagraph"/>
              <w:numPr>
                <w:ilvl w:val="0"/>
                <w:numId w:val="3"/>
              </w:numPr>
              <w:spacing w:after="120" w:line="23" w:lineRule="atLeast"/>
              <w:rPr>
                <w:rFonts w:ascii="Arial" w:hAnsi="Arial" w:eastAsia="Times New Roman" w:cs="Arial"/>
                <w:color w:val="000000"/>
                <w:sz w:val="24"/>
                <w:szCs w:val="24"/>
              </w:rPr>
            </w:pPr>
            <w:r w:rsidRPr="002D28BB">
              <w:rPr>
                <w:rFonts w:ascii="Arial" w:hAnsi="Arial" w:eastAsia="Times New Roman" w:cs="Arial"/>
                <w:color w:val="000000"/>
                <w:sz w:val="24"/>
                <w:szCs w:val="24"/>
              </w:rPr>
              <w:t xml:space="preserve">Initiation of SUD Treatment. The percentage of new SUD episodes that result in treatment initiation through an inpatient SUD admission, outpatient visit, intensive outpatient encounter, partial hospitalization, telehealth </w:t>
            </w:r>
            <w:proofErr w:type="gramStart"/>
            <w:r w:rsidRPr="002D28BB">
              <w:rPr>
                <w:rFonts w:ascii="Arial" w:hAnsi="Arial" w:eastAsia="Times New Roman" w:cs="Arial"/>
                <w:color w:val="000000"/>
                <w:sz w:val="24"/>
                <w:szCs w:val="24"/>
              </w:rPr>
              <w:t>visit</w:t>
            </w:r>
            <w:proofErr w:type="gramEnd"/>
            <w:r w:rsidRPr="002D28BB">
              <w:rPr>
                <w:rFonts w:ascii="Arial" w:hAnsi="Arial" w:eastAsia="Times New Roman" w:cs="Arial"/>
                <w:color w:val="000000"/>
                <w:sz w:val="24"/>
                <w:szCs w:val="24"/>
              </w:rPr>
              <w:t xml:space="preserve"> or medication treatment within 14 days.</w:t>
            </w:r>
          </w:p>
          <w:p w:rsidRPr="002D28BB" w:rsidR="00201D73" w:rsidP="00D5669B" w:rsidRDefault="00201D73" w14:paraId="1D17E2E6" w14:textId="77777777">
            <w:pPr>
              <w:pStyle w:val="ListParagraph"/>
              <w:numPr>
                <w:ilvl w:val="0"/>
                <w:numId w:val="3"/>
              </w:numPr>
              <w:spacing w:after="120" w:line="23" w:lineRule="atLeast"/>
              <w:rPr>
                <w:rFonts w:ascii="Arial" w:hAnsi="Arial" w:eastAsia="Times New Roman" w:cs="Arial"/>
                <w:color w:val="000000"/>
                <w:sz w:val="24"/>
                <w:szCs w:val="24"/>
              </w:rPr>
            </w:pPr>
            <w:r w:rsidRPr="002D28BB">
              <w:rPr>
                <w:rFonts w:ascii="Arial" w:hAnsi="Arial" w:eastAsia="Times New Roman" w:cs="Arial"/>
                <w:color w:val="000000" w:themeColor="text1"/>
                <w:sz w:val="24"/>
                <w:szCs w:val="24"/>
              </w:rPr>
              <w:t>Engagement of SUD Treatment. The percentage of new SUD episodes that have evidence of treatment engagement within 34 days of initiation.</w:t>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386855BD" w14:textId="77777777">
            <w:pPr>
              <w:spacing w:after="120" w:line="23" w:lineRule="atLeast"/>
              <w:jc w:val="center"/>
              <w:rPr>
                <w:rFonts w:ascii="Arial" w:hAnsi="Arial" w:cs="Arial"/>
                <w:color w:val="000000"/>
              </w:rPr>
            </w:pPr>
            <w:r w:rsidRPr="002D28BB">
              <w:rPr>
                <w:rFonts w:ascii="Arial" w:hAnsi="Arial" w:cs="Arial"/>
                <w:color w:val="000000"/>
              </w:rPr>
              <w:t>Claims</w:t>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15AE18BE" w14:textId="77777777">
            <w:pPr>
              <w:spacing w:after="120" w:line="23" w:lineRule="atLeast"/>
              <w:jc w:val="center"/>
              <w:rPr>
                <w:rFonts w:ascii="Arial" w:hAnsi="Arial" w:cs="Arial"/>
                <w:color w:val="000000"/>
              </w:rPr>
            </w:pPr>
            <w:r w:rsidRPr="002D28BB">
              <w:rPr>
                <w:rFonts w:ascii="Arial" w:hAnsi="Arial" w:cs="Arial"/>
              </w:rPr>
              <w:t>NCQA</w:t>
            </w:r>
          </w:p>
        </w:tc>
        <w:tc>
          <w:tcPr>
            <w:tcW w:w="108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52F7E5C6" w14:textId="77777777">
            <w:pPr>
              <w:spacing w:after="120" w:line="23" w:lineRule="atLeast"/>
              <w:jc w:val="center"/>
              <w:rPr>
                <w:rFonts w:ascii="Arial" w:hAnsi="Arial" w:cs="Arial"/>
                <w:color w:val="000000"/>
              </w:rPr>
            </w:pPr>
            <w:r w:rsidRPr="002D28BB">
              <w:rPr>
                <w:rFonts w:ascii="Arial" w:hAnsi="Arial" w:eastAsia="Calibri" w:cs="Arial"/>
                <w:color w:val="000000" w:themeColor="text1"/>
              </w:rPr>
              <w:t>0004</w:t>
            </w:r>
          </w:p>
        </w:tc>
      </w:tr>
      <w:tr w:rsidRPr="002D28BB" w:rsidR="00201D73" w:rsidTr="4838C3B5" w14:paraId="1EBADAAE" w14:textId="77777777">
        <w:trPr>
          <w:trHeight w:val="745"/>
          <w:jc w:val="center"/>
        </w:trPr>
        <w:tc>
          <w:tcPr>
            <w:tcW w:w="3685"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D5669B" w:rsidRDefault="00201D73" w14:paraId="3BE6F555" w14:textId="524D586C">
            <w:pPr>
              <w:pStyle w:val="ListParagraph"/>
              <w:numPr>
                <w:ilvl w:val="0"/>
                <w:numId w:val="6"/>
              </w:numPr>
              <w:spacing w:after="120" w:line="23" w:lineRule="atLeast"/>
              <w:rPr>
                <w:rFonts w:ascii="Arial" w:hAnsi="Arial" w:cs="Arial"/>
                <w:sz w:val="24"/>
                <w:szCs w:val="24"/>
              </w:rPr>
            </w:pPr>
            <w:r w:rsidRPr="002D28BB">
              <w:rPr>
                <w:rFonts w:ascii="Arial" w:hAnsi="Arial" w:cs="Arial"/>
                <w:sz w:val="24"/>
                <w:szCs w:val="24"/>
              </w:rPr>
              <w:t>Long-Term Services and Supports Comprehensive Care Plan and Update (CPU)</w:t>
            </w:r>
          </w:p>
        </w:tc>
        <w:tc>
          <w:tcPr>
            <w:tcW w:w="531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vAlign w:val="center"/>
          </w:tcPr>
          <w:p w:rsidRPr="002D28BB" w:rsidR="00201D73" w:rsidP="00201D73" w:rsidRDefault="00201D73" w14:paraId="10999298" w14:textId="77777777">
            <w:pPr>
              <w:spacing w:after="120" w:line="23" w:lineRule="atLeast"/>
              <w:rPr>
                <w:rFonts w:ascii="Arial" w:hAnsi="Arial" w:cs="Arial"/>
                <w:color w:val="000000"/>
              </w:rPr>
            </w:pPr>
            <w:r w:rsidRPr="002D28BB">
              <w:rPr>
                <w:rFonts w:ascii="Arial" w:hAnsi="Arial" w:cs="Arial"/>
                <w:color w:val="000000"/>
              </w:rPr>
              <w:t>The percentage of long-term services and supports (LTSS) organization members 18 years of age and older who have documentation of a comprehensive LTSS care plan in a specified time frame that includes core elements. The following rates are reported:</w:t>
            </w:r>
          </w:p>
          <w:p w:rsidRPr="002D28BB" w:rsidR="00201D73" w:rsidP="00D5669B" w:rsidRDefault="00201D73" w14:paraId="4B391A3D" w14:textId="77777777">
            <w:pPr>
              <w:pStyle w:val="ListParagraph"/>
              <w:numPr>
                <w:ilvl w:val="0"/>
                <w:numId w:val="4"/>
              </w:numPr>
              <w:spacing w:after="120" w:line="23" w:lineRule="atLeast"/>
              <w:rPr>
                <w:rFonts w:ascii="Arial" w:hAnsi="Arial" w:cs="Arial"/>
                <w:color w:val="000000"/>
                <w:sz w:val="24"/>
                <w:szCs w:val="24"/>
              </w:rPr>
            </w:pPr>
            <w:r w:rsidRPr="002D28BB">
              <w:rPr>
                <w:rFonts w:ascii="Arial" w:hAnsi="Arial" w:cs="Arial"/>
                <w:color w:val="000000"/>
                <w:sz w:val="24"/>
                <w:szCs w:val="24"/>
              </w:rPr>
              <w:t xml:space="preserve">Care Plan With Core Elements Documented. Members who had a comprehensive LTSS care plan with 9 core elements documented within 120 days of enrollment (for new members) or during the measurement year (for established members). </w:t>
            </w:r>
          </w:p>
          <w:p w:rsidRPr="002D28BB" w:rsidR="00201D73" w:rsidP="00D5669B" w:rsidRDefault="00201D73" w14:paraId="265E9AB8" w14:textId="428A35A7">
            <w:pPr>
              <w:pStyle w:val="ListParagraph"/>
              <w:numPr>
                <w:ilvl w:val="0"/>
                <w:numId w:val="4"/>
              </w:numPr>
              <w:spacing w:after="120" w:line="23" w:lineRule="atLeast"/>
              <w:rPr>
                <w:rFonts w:ascii="Arial" w:hAnsi="Arial" w:cs="Arial"/>
                <w:color w:val="000000"/>
                <w:sz w:val="24"/>
                <w:szCs w:val="24"/>
              </w:rPr>
            </w:pPr>
            <w:r w:rsidRPr="002D28BB">
              <w:rPr>
                <w:rFonts w:ascii="Arial" w:hAnsi="Arial" w:cs="Arial"/>
                <w:color w:val="000000"/>
                <w:sz w:val="24"/>
                <w:szCs w:val="24"/>
              </w:rPr>
              <w:t xml:space="preserve">Care Plan With Supplemental Elements Documented. Members who had a comprehensive LTSS care plan with 9 core </w:t>
            </w:r>
            <w:r w:rsidRPr="002D28BB">
              <w:rPr>
                <w:rFonts w:ascii="Arial" w:hAnsi="Arial" w:cs="Arial"/>
                <w:color w:val="000000"/>
                <w:sz w:val="24"/>
                <w:szCs w:val="24"/>
              </w:rPr>
              <w:t>elements and at least 4 supplemental elements documented within 120 days of enrollment (for new members) or during the measurement year (for established members).</w:t>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16623A58" w14:textId="07E71B72">
            <w:pPr>
              <w:spacing w:after="120" w:line="23" w:lineRule="atLeast"/>
              <w:jc w:val="center"/>
              <w:rPr>
                <w:rFonts w:ascii="Arial" w:hAnsi="Arial" w:cs="Arial"/>
                <w:color w:val="000000"/>
              </w:rPr>
            </w:pPr>
            <w:r w:rsidRPr="002D28BB">
              <w:rPr>
                <w:rFonts w:ascii="Arial" w:hAnsi="Arial" w:cs="Arial"/>
                <w:color w:val="000000"/>
              </w:rPr>
              <w:t>Case Record Review</w:t>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51650FF8" w14:textId="46EA1418">
            <w:pPr>
              <w:spacing w:after="120" w:line="23" w:lineRule="atLeast"/>
              <w:jc w:val="center"/>
              <w:rPr>
                <w:rFonts w:ascii="Arial" w:hAnsi="Arial" w:cs="Arial"/>
              </w:rPr>
            </w:pPr>
            <w:r w:rsidRPr="002D28BB">
              <w:rPr>
                <w:rFonts w:ascii="Arial" w:hAnsi="Arial" w:cs="Arial"/>
              </w:rPr>
              <w:t>NCQA</w:t>
            </w:r>
          </w:p>
        </w:tc>
        <w:tc>
          <w:tcPr>
            <w:tcW w:w="108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2D227A4E" w14:textId="1C2859AD">
            <w:pPr>
              <w:spacing w:after="120" w:line="23" w:lineRule="atLeast"/>
              <w:jc w:val="center"/>
              <w:rPr>
                <w:rFonts w:ascii="Arial" w:hAnsi="Arial" w:cs="Arial"/>
              </w:rPr>
            </w:pPr>
            <w:r w:rsidRPr="002D28BB">
              <w:rPr>
                <w:rFonts w:ascii="Arial" w:hAnsi="Arial" w:cs="Arial"/>
              </w:rPr>
              <w:t>N/A</w:t>
            </w:r>
          </w:p>
        </w:tc>
      </w:tr>
      <w:tr w:rsidRPr="002D28BB" w:rsidR="00570E0F" w:rsidTr="4838C3B5" w14:paraId="5A0605CE" w14:textId="77777777">
        <w:trPr>
          <w:trHeight w:val="745"/>
          <w:jc w:val="center"/>
        </w:trPr>
        <w:tc>
          <w:tcPr>
            <w:tcW w:w="3685"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570E0F" w:rsidP="00D5669B" w:rsidRDefault="00570E0F" w14:paraId="3AEF2432" w14:textId="11343D90">
            <w:pPr>
              <w:pStyle w:val="ListParagraph"/>
              <w:numPr>
                <w:ilvl w:val="0"/>
                <w:numId w:val="6"/>
              </w:numPr>
              <w:spacing w:after="120" w:line="23" w:lineRule="atLeast"/>
              <w:rPr>
                <w:rFonts w:ascii="Arial" w:hAnsi="Arial" w:cs="Arial"/>
                <w:sz w:val="24"/>
                <w:szCs w:val="24"/>
              </w:rPr>
            </w:pPr>
            <w:r w:rsidRPr="002D28BB">
              <w:rPr>
                <w:rFonts w:ascii="Arial" w:hAnsi="Arial" w:cs="Arial"/>
                <w:sz w:val="24"/>
                <w:szCs w:val="24"/>
              </w:rPr>
              <w:t>Osteoporosis Management in Women Who Had a Fracture</w:t>
            </w:r>
          </w:p>
        </w:tc>
        <w:tc>
          <w:tcPr>
            <w:tcW w:w="531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vAlign w:val="center"/>
          </w:tcPr>
          <w:p w:rsidRPr="002D28BB" w:rsidR="00570E0F" w:rsidP="00201D73" w:rsidRDefault="00706250" w14:paraId="034C724D" w14:textId="2B15EBB6">
            <w:pPr>
              <w:spacing w:after="120" w:line="23" w:lineRule="atLeast"/>
              <w:rPr>
                <w:rFonts w:ascii="Arial" w:hAnsi="Arial" w:cs="Arial"/>
                <w:color w:val="000000"/>
              </w:rPr>
            </w:pPr>
            <w:r w:rsidRPr="002D28BB">
              <w:rPr>
                <w:rFonts w:ascii="Arial" w:hAnsi="Arial" w:cs="Arial"/>
                <w:color w:val="000000"/>
              </w:rPr>
              <w:t>The percentage of women 67–85 years of age who suffered a fracture and who had either a bone mineral density (BMD) test or prescription for a drug to treat osteoporosis in the six months after the fracture.</w:t>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570E0F" w:rsidP="00201D73" w:rsidRDefault="00706250" w14:paraId="26C9A92C" w14:textId="769A7E96">
            <w:pPr>
              <w:spacing w:after="120" w:line="23" w:lineRule="atLeast"/>
              <w:jc w:val="center"/>
              <w:rPr>
                <w:rFonts w:ascii="Arial" w:hAnsi="Arial" w:cs="Arial"/>
                <w:color w:val="000000"/>
              </w:rPr>
            </w:pPr>
            <w:r w:rsidRPr="002D28BB">
              <w:rPr>
                <w:rFonts w:ascii="Arial" w:hAnsi="Arial" w:cs="Arial"/>
                <w:color w:val="000000"/>
              </w:rPr>
              <w:t>Claims</w:t>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570E0F" w:rsidP="00201D73" w:rsidRDefault="00706250" w14:paraId="216BD57B" w14:textId="7E5AF8B3">
            <w:pPr>
              <w:spacing w:after="120" w:line="23" w:lineRule="atLeast"/>
              <w:jc w:val="center"/>
              <w:rPr>
                <w:rFonts w:ascii="Arial" w:hAnsi="Arial" w:cs="Arial"/>
              </w:rPr>
            </w:pPr>
            <w:r w:rsidRPr="002D28BB">
              <w:rPr>
                <w:rFonts w:ascii="Arial" w:hAnsi="Arial" w:cs="Arial"/>
              </w:rPr>
              <w:t>NCQA</w:t>
            </w:r>
          </w:p>
        </w:tc>
        <w:tc>
          <w:tcPr>
            <w:tcW w:w="108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570E0F" w:rsidP="00201D73" w:rsidRDefault="0003457A" w14:paraId="40E987A8" w14:textId="64D15A4A">
            <w:pPr>
              <w:spacing w:after="120" w:line="23" w:lineRule="atLeast"/>
              <w:jc w:val="center"/>
              <w:rPr>
                <w:rFonts w:ascii="Arial" w:hAnsi="Arial" w:cs="Arial"/>
              </w:rPr>
            </w:pPr>
            <w:r w:rsidRPr="002D28BB">
              <w:rPr>
                <w:rFonts w:ascii="Arial" w:hAnsi="Arial" w:cs="Arial"/>
              </w:rPr>
              <w:t>0053</w:t>
            </w:r>
          </w:p>
        </w:tc>
      </w:tr>
      <w:tr w:rsidRPr="002D28BB" w:rsidR="00165486" w:rsidTr="4838C3B5" w14:paraId="3F645B05" w14:textId="77777777">
        <w:trPr>
          <w:trHeight w:val="745"/>
          <w:jc w:val="center"/>
        </w:trPr>
        <w:tc>
          <w:tcPr>
            <w:tcW w:w="3685"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165486" w:rsidP="00D5669B" w:rsidRDefault="00165486" w14:paraId="12040B14" w14:textId="2866F29D">
            <w:pPr>
              <w:pStyle w:val="ListParagraph"/>
              <w:numPr>
                <w:ilvl w:val="0"/>
                <w:numId w:val="6"/>
              </w:numPr>
              <w:tabs>
                <w:tab w:val="left" w:pos="2520"/>
              </w:tabs>
              <w:spacing w:after="120" w:line="23" w:lineRule="atLeast"/>
              <w:rPr>
                <w:rFonts w:ascii="Arial" w:hAnsi="Arial" w:cs="Arial"/>
                <w:color w:val="000000" w:themeColor="text1"/>
                <w:sz w:val="24"/>
                <w:szCs w:val="24"/>
              </w:rPr>
            </w:pPr>
            <w:r w:rsidRPr="002D28BB">
              <w:rPr>
                <w:rFonts w:ascii="Arial" w:hAnsi="Arial" w:cs="Arial"/>
                <w:color w:val="000000" w:themeColor="text1"/>
                <w:sz w:val="24"/>
                <w:szCs w:val="24"/>
              </w:rPr>
              <w:t xml:space="preserve">Persistence of Beta-Blocker Treatment </w:t>
            </w:r>
            <w:r w:rsidRPr="002D28BB" w:rsidR="0070453B">
              <w:rPr>
                <w:rFonts w:ascii="Arial" w:hAnsi="Arial" w:cs="Arial"/>
                <w:color w:val="000000" w:themeColor="text1"/>
                <w:sz w:val="24"/>
                <w:szCs w:val="24"/>
              </w:rPr>
              <w:t>after Heart Attack (PBH)</w:t>
            </w:r>
          </w:p>
        </w:tc>
        <w:tc>
          <w:tcPr>
            <w:tcW w:w="531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165486" w:rsidP="00201D73" w:rsidRDefault="000949D9" w14:paraId="45ACFA74" w14:textId="77777777">
            <w:pPr>
              <w:pStyle w:val="Body"/>
              <w:spacing w:before="0"/>
              <w:rPr>
                <w:rFonts w:ascii="Arial" w:hAnsi="Arial" w:cs="Arial"/>
                <w:sz w:val="24"/>
                <w:szCs w:val="24"/>
              </w:rPr>
            </w:pPr>
            <w:r w:rsidRPr="002D28BB">
              <w:rPr>
                <w:rFonts w:ascii="Arial" w:hAnsi="Arial" w:cs="Arial"/>
                <w:sz w:val="24"/>
                <w:szCs w:val="24"/>
              </w:rPr>
              <w:t>The percentage of adults 18 years of age and older during the measurement year who were hospitalized and discharged alive with a diagnosis of acute myocardial infarction and who received persistent beta-blocker treatment for six months after discharge.</w:t>
            </w:r>
          </w:p>
          <w:p w:rsidRPr="002D28BB" w:rsidR="000949D9" w:rsidP="00201D73" w:rsidRDefault="000949D9" w14:paraId="4029B4D0" w14:textId="21AD8BBA">
            <w:pPr>
              <w:pStyle w:val="Body"/>
              <w:spacing w:before="0"/>
              <w:rPr>
                <w:rFonts w:ascii="Arial" w:hAnsi="Arial" w:cs="Arial"/>
                <w:sz w:val="24"/>
                <w:szCs w:val="24"/>
              </w:rPr>
            </w:pP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165486" w:rsidP="00201D73" w:rsidRDefault="0070453B" w14:paraId="1B0A7265" w14:textId="2C1F3DDF">
            <w:pPr>
              <w:spacing w:after="120" w:line="23" w:lineRule="atLeast"/>
              <w:jc w:val="center"/>
              <w:rPr>
                <w:rFonts w:ascii="Arial" w:hAnsi="Arial" w:cs="Arial"/>
                <w:color w:val="000000"/>
              </w:rPr>
            </w:pPr>
            <w:r w:rsidRPr="002D28BB">
              <w:rPr>
                <w:rFonts w:ascii="Arial" w:hAnsi="Arial" w:cs="Arial"/>
                <w:color w:val="000000"/>
              </w:rPr>
              <w:t>Claims</w:t>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165486" w:rsidP="00201D73" w:rsidRDefault="0070453B" w14:paraId="7AD35691" w14:textId="3803755F">
            <w:pPr>
              <w:spacing w:after="120" w:line="23" w:lineRule="atLeast"/>
              <w:jc w:val="center"/>
              <w:rPr>
                <w:rFonts w:ascii="Arial" w:hAnsi="Arial" w:cs="Arial"/>
                <w:color w:val="000000"/>
              </w:rPr>
            </w:pPr>
            <w:r w:rsidRPr="002D28BB">
              <w:rPr>
                <w:rFonts w:ascii="Arial" w:hAnsi="Arial" w:cs="Arial"/>
                <w:color w:val="000000"/>
              </w:rPr>
              <w:t>HEDIS</w:t>
            </w:r>
          </w:p>
        </w:tc>
        <w:tc>
          <w:tcPr>
            <w:tcW w:w="108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165486" w:rsidP="00201D73" w:rsidRDefault="00F00BF4" w14:paraId="18ACFCA1" w14:textId="4922C347">
            <w:pPr>
              <w:spacing w:after="120" w:line="23" w:lineRule="atLeast"/>
              <w:jc w:val="center"/>
              <w:rPr>
                <w:rFonts w:ascii="Arial" w:hAnsi="Arial" w:cs="Arial"/>
                <w:color w:val="000000"/>
              </w:rPr>
            </w:pPr>
            <w:r w:rsidRPr="002D28BB">
              <w:rPr>
                <w:rFonts w:ascii="Arial" w:hAnsi="Arial" w:cs="Arial"/>
                <w:color w:val="000000"/>
              </w:rPr>
              <w:t>0071</w:t>
            </w:r>
          </w:p>
        </w:tc>
      </w:tr>
      <w:tr w:rsidRPr="002D28BB" w:rsidR="00165486" w:rsidTr="4838C3B5" w14:paraId="006949F0" w14:textId="77777777">
        <w:trPr>
          <w:trHeight w:val="745"/>
          <w:jc w:val="center"/>
        </w:trPr>
        <w:tc>
          <w:tcPr>
            <w:tcW w:w="3685"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165486" w:rsidP="00D5669B" w:rsidRDefault="001C7E73" w14:paraId="5475BD93" w14:textId="1EDFCC94">
            <w:pPr>
              <w:pStyle w:val="ListParagraph"/>
              <w:numPr>
                <w:ilvl w:val="0"/>
                <w:numId w:val="6"/>
              </w:numPr>
              <w:tabs>
                <w:tab w:val="left" w:pos="2520"/>
              </w:tabs>
              <w:spacing w:after="120" w:line="23" w:lineRule="atLeast"/>
              <w:rPr>
                <w:rFonts w:ascii="Arial" w:hAnsi="Arial" w:cs="Arial"/>
                <w:color w:val="000000" w:themeColor="text1"/>
                <w:sz w:val="24"/>
                <w:szCs w:val="24"/>
              </w:rPr>
            </w:pPr>
            <w:r w:rsidRPr="002D28BB">
              <w:rPr>
                <w:rFonts w:ascii="Arial" w:hAnsi="Arial" w:cs="Arial"/>
                <w:color w:val="000000" w:themeColor="text1"/>
                <w:sz w:val="24"/>
                <w:szCs w:val="24"/>
              </w:rPr>
              <w:t>Pharmacotherapy Management of</w:t>
            </w:r>
            <w:r w:rsidRPr="002D28BB" w:rsidR="007F4115">
              <w:rPr>
                <w:rFonts w:ascii="Arial" w:hAnsi="Arial" w:cs="Arial"/>
                <w:color w:val="000000" w:themeColor="text1"/>
                <w:sz w:val="24"/>
                <w:szCs w:val="24"/>
              </w:rPr>
              <w:t xml:space="preserve"> COPD Exacerbation</w:t>
            </w:r>
            <w:r w:rsidRPr="002D28BB" w:rsidR="0020488F">
              <w:rPr>
                <w:rFonts w:ascii="Arial" w:hAnsi="Arial" w:cs="Arial"/>
                <w:color w:val="000000" w:themeColor="text1"/>
                <w:sz w:val="24"/>
                <w:szCs w:val="24"/>
              </w:rPr>
              <w:t xml:space="preserve"> </w:t>
            </w:r>
            <w:r w:rsidRPr="002D28BB" w:rsidR="008A4A30">
              <w:rPr>
                <w:rFonts w:ascii="Arial" w:hAnsi="Arial" w:cs="Arial"/>
                <w:color w:val="000000" w:themeColor="text1"/>
                <w:sz w:val="24"/>
                <w:szCs w:val="24"/>
              </w:rPr>
              <w:t>(PCE)</w:t>
            </w:r>
            <w:r w:rsidRPr="002D28BB" w:rsidR="00693338">
              <w:rPr>
                <w:rStyle w:val="FootnoteReference"/>
                <w:rFonts w:ascii="Arial" w:hAnsi="Arial" w:cs="Arial"/>
                <w:color w:val="000000" w:themeColor="text1"/>
                <w:sz w:val="24"/>
                <w:szCs w:val="24"/>
              </w:rPr>
              <w:footnoteReference w:id="6"/>
            </w:r>
          </w:p>
        </w:tc>
        <w:tc>
          <w:tcPr>
            <w:tcW w:w="531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165486" w:rsidP="00584F87" w:rsidRDefault="007E377B" w14:paraId="43F688BE" w14:textId="747C7E0D">
            <w:pPr>
              <w:pStyle w:val="Body"/>
              <w:spacing w:before="0" w:after="120"/>
              <w:rPr>
                <w:rFonts w:ascii="Arial" w:hAnsi="Arial" w:cs="Arial"/>
                <w:sz w:val="24"/>
                <w:szCs w:val="24"/>
              </w:rPr>
            </w:pPr>
            <w:r w:rsidRPr="002D28BB">
              <w:rPr>
                <w:rFonts w:ascii="Arial" w:hAnsi="Arial" w:cs="Arial"/>
                <w:sz w:val="24"/>
                <w:szCs w:val="24"/>
              </w:rPr>
              <w:t>Percentage of adults 40 years of age and older who had appropriate medication therapy to manage a chronic obstructive pulmonary disease (COPD) exacerbation.</w:t>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165486" w:rsidP="00201D73" w:rsidRDefault="00584F87" w14:paraId="63E8C0C8" w14:textId="701B2B41">
            <w:pPr>
              <w:spacing w:after="120" w:line="23" w:lineRule="atLeast"/>
              <w:jc w:val="center"/>
              <w:rPr>
                <w:rFonts w:ascii="Arial" w:hAnsi="Arial" w:cs="Arial"/>
                <w:color w:val="000000"/>
              </w:rPr>
            </w:pPr>
            <w:r w:rsidRPr="002D28BB">
              <w:rPr>
                <w:rFonts w:ascii="Arial" w:hAnsi="Arial" w:cs="Arial"/>
                <w:color w:val="000000"/>
              </w:rPr>
              <w:t>Claims</w:t>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165486" w:rsidP="00201D73" w:rsidRDefault="00584F87" w14:paraId="733897BD" w14:textId="0A5D2B55">
            <w:pPr>
              <w:spacing w:after="120" w:line="23" w:lineRule="atLeast"/>
              <w:jc w:val="center"/>
              <w:rPr>
                <w:rFonts w:ascii="Arial" w:hAnsi="Arial" w:cs="Arial"/>
                <w:color w:val="000000"/>
              </w:rPr>
            </w:pPr>
            <w:r w:rsidRPr="002D28BB">
              <w:rPr>
                <w:rFonts w:ascii="Arial" w:hAnsi="Arial" w:cs="Arial"/>
                <w:color w:val="000000"/>
              </w:rPr>
              <w:t>HEDIS</w:t>
            </w:r>
          </w:p>
        </w:tc>
        <w:tc>
          <w:tcPr>
            <w:tcW w:w="108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165486" w:rsidP="00201D73" w:rsidRDefault="0020488F" w14:paraId="5D221AC1" w14:textId="3CE6F101">
            <w:pPr>
              <w:spacing w:after="120" w:line="23" w:lineRule="atLeast"/>
              <w:jc w:val="center"/>
              <w:rPr>
                <w:rFonts w:ascii="Arial" w:hAnsi="Arial" w:cs="Arial"/>
                <w:color w:val="000000"/>
              </w:rPr>
            </w:pPr>
            <w:r w:rsidRPr="002D28BB">
              <w:rPr>
                <w:rFonts w:ascii="Arial" w:hAnsi="Arial" w:cs="Arial"/>
                <w:color w:val="000000"/>
              </w:rPr>
              <w:t>0549</w:t>
            </w:r>
          </w:p>
        </w:tc>
      </w:tr>
      <w:tr w:rsidRPr="002D28BB" w:rsidR="00201D73" w:rsidTr="4838C3B5" w14:paraId="6214A2C5" w14:textId="77777777">
        <w:trPr>
          <w:trHeight w:val="745"/>
          <w:jc w:val="center"/>
        </w:trPr>
        <w:tc>
          <w:tcPr>
            <w:tcW w:w="3685"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D5669B" w:rsidRDefault="00201D73" w14:paraId="2D67C1C4" w14:textId="21665EFE">
            <w:pPr>
              <w:pStyle w:val="ListParagraph"/>
              <w:numPr>
                <w:ilvl w:val="0"/>
                <w:numId w:val="6"/>
              </w:numPr>
              <w:tabs>
                <w:tab w:val="left" w:pos="2520"/>
              </w:tabs>
              <w:spacing w:after="120" w:line="23" w:lineRule="atLeast"/>
              <w:rPr>
                <w:rFonts w:ascii="Arial" w:hAnsi="Arial" w:cs="Arial"/>
                <w:color w:val="000000" w:themeColor="text1"/>
                <w:sz w:val="24"/>
                <w:szCs w:val="24"/>
              </w:rPr>
            </w:pPr>
            <w:r w:rsidRPr="002D28BB">
              <w:rPr>
                <w:rFonts w:ascii="Arial" w:hAnsi="Arial" w:cs="Arial"/>
                <w:color w:val="000000" w:themeColor="text1"/>
                <w:sz w:val="24"/>
                <w:szCs w:val="24"/>
              </w:rPr>
              <w:t>Plan All-Cause Readmission (PCR)</w:t>
            </w:r>
            <w:r w:rsidRPr="002D28BB" w:rsidR="00693338">
              <w:rPr>
                <w:rFonts w:ascii="Arial" w:hAnsi="Arial" w:cs="Arial"/>
                <w:color w:val="000000" w:themeColor="text1"/>
                <w:sz w:val="24"/>
                <w:szCs w:val="24"/>
              </w:rPr>
              <w:fldChar w:fldCharType="begin"/>
            </w:r>
            <w:r w:rsidRPr="002D28BB" w:rsidR="00693338">
              <w:rPr>
                <w:rFonts w:ascii="Arial" w:hAnsi="Arial" w:cs="Arial"/>
                <w:color w:val="000000" w:themeColor="text1"/>
                <w:sz w:val="24"/>
                <w:szCs w:val="24"/>
              </w:rPr>
              <w:instrText xml:space="preserve"> NOTEREF _Ref146121066 \f \h </w:instrText>
            </w:r>
            <w:r w:rsidRPr="002D28BB" w:rsidR="001F25B9">
              <w:rPr>
                <w:rFonts w:ascii="Arial" w:hAnsi="Arial" w:cs="Arial"/>
                <w:color w:val="000000" w:themeColor="text1"/>
                <w:sz w:val="24"/>
                <w:szCs w:val="24"/>
              </w:rPr>
              <w:instrText xml:space="preserve"> \* MERGEFORMAT </w:instrText>
            </w:r>
            <w:r w:rsidRPr="002D28BB" w:rsidR="00693338">
              <w:rPr>
                <w:rFonts w:ascii="Arial" w:hAnsi="Arial" w:cs="Arial"/>
                <w:color w:val="000000" w:themeColor="text1"/>
                <w:sz w:val="24"/>
                <w:szCs w:val="24"/>
              </w:rPr>
            </w:r>
            <w:r w:rsidRPr="002D28BB" w:rsidR="00693338">
              <w:rPr>
                <w:rFonts w:ascii="Arial" w:hAnsi="Arial" w:cs="Arial"/>
                <w:color w:val="000000" w:themeColor="text1"/>
                <w:sz w:val="24"/>
                <w:szCs w:val="24"/>
              </w:rPr>
              <w:fldChar w:fldCharType="separate"/>
            </w:r>
            <w:r w:rsidRPr="002D28BB" w:rsidR="00693338">
              <w:rPr>
                <w:rStyle w:val="FootnoteReference"/>
                <w:rFonts w:ascii="Arial" w:hAnsi="Arial" w:cs="Arial"/>
                <w:sz w:val="24"/>
                <w:szCs w:val="24"/>
              </w:rPr>
              <w:t>*</w:t>
            </w:r>
            <w:r w:rsidRPr="002D28BB" w:rsidR="00693338">
              <w:rPr>
                <w:rFonts w:ascii="Arial" w:hAnsi="Arial" w:cs="Arial"/>
                <w:color w:val="000000" w:themeColor="text1"/>
                <w:sz w:val="24"/>
                <w:szCs w:val="24"/>
              </w:rPr>
              <w:fldChar w:fldCharType="end"/>
            </w:r>
          </w:p>
        </w:tc>
        <w:tc>
          <w:tcPr>
            <w:tcW w:w="531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23624686" w14:textId="77777777">
            <w:pPr>
              <w:pStyle w:val="Body"/>
              <w:spacing w:before="0"/>
              <w:rPr>
                <w:rFonts w:ascii="Arial" w:hAnsi="Arial" w:cs="Arial"/>
                <w:sz w:val="24"/>
                <w:szCs w:val="24"/>
              </w:rPr>
            </w:pPr>
            <w:r w:rsidRPr="002D28BB">
              <w:rPr>
                <w:rFonts w:ascii="Arial" w:hAnsi="Arial" w:cs="Arial"/>
                <w:sz w:val="24"/>
                <w:szCs w:val="24"/>
              </w:rPr>
              <w:t xml:space="preserve">For members 18 years of age and older, the number of acute inpatient and observation stays during the measurement year that were followed by an unplanned acute readmission for any diagnosis within 30 days and the predicted probability of an acute readmission. </w:t>
            </w:r>
            <w:bookmarkStart w:name="_Hlk505332169" w:id="2"/>
            <w:bookmarkEnd w:id="2"/>
          </w:p>
          <w:p w:rsidRPr="002D28BB" w:rsidR="00201D73" w:rsidP="00201D73" w:rsidRDefault="00201D73" w14:paraId="00815778" w14:textId="77777777">
            <w:pPr>
              <w:spacing w:after="120" w:line="23" w:lineRule="atLeast"/>
              <w:rPr>
                <w:rFonts w:ascii="Arial" w:hAnsi="Arial" w:cs="Arial"/>
                <w:color w:val="000000"/>
              </w:rPr>
            </w:pP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7D055335" w14:textId="15C0C5C8">
            <w:pPr>
              <w:spacing w:after="120" w:line="23" w:lineRule="atLeast"/>
              <w:jc w:val="center"/>
              <w:rPr>
                <w:rFonts w:ascii="Arial" w:hAnsi="Arial" w:cs="Arial"/>
                <w:color w:val="000000"/>
              </w:rPr>
            </w:pPr>
            <w:r w:rsidRPr="002D28BB">
              <w:rPr>
                <w:rFonts w:ascii="Arial" w:hAnsi="Arial" w:cs="Arial"/>
                <w:color w:val="000000"/>
              </w:rPr>
              <w:t>Claims</w:t>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5056166F" w14:textId="1CA46DEA">
            <w:pPr>
              <w:spacing w:after="120" w:line="23" w:lineRule="atLeast"/>
              <w:jc w:val="center"/>
              <w:rPr>
                <w:rFonts w:ascii="Arial" w:hAnsi="Arial" w:cs="Arial"/>
                <w:color w:val="000000"/>
              </w:rPr>
            </w:pPr>
            <w:r w:rsidRPr="002D28BB">
              <w:rPr>
                <w:rFonts w:ascii="Arial" w:hAnsi="Arial" w:cs="Arial"/>
                <w:color w:val="000000"/>
              </w:rPr>
              <w:t>NCQA</w:t>
            </w:r>
          </w:p>
        </w:tc>
        <w:tc>
          <w:tcPr>
            <w:tcW w:w="108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11A78136" w14:textId="19394DC9">
            <w:pPr>
              <w:spacing w:after="120" w:line="23" w:lineRule="atLeast"/>
              <w:jc w:val="center"/>
              <w:rPr>
                <w:rFonts w:ascii="Arial" w:hAnsi="Arial" w:cs="Arial"/>
                <w:color w:val="000000"/>
              </w:rPr>
            </w:pPr>
            <w:r w:rsidRPr="002D28BB">
              <w:rPr>
                <w:rFonts w:ascii="Arial" w:hAnsi="Arial" w:cs="Arial"/>
                <w:color w:val="000000"/>
              </w:rPr>
              <w:t>1768</w:t>
            </w:r>
          </w:p>
        </w:tc>
      </w:tr>
      <w:tr w:rsidRPr="002D28BB" w:rsidR="00295819" w:rsidTr="4838C3B5" w14:paraId="429478AF" w14:textId="77777777">
        <w:trPr>
          <w:trHeight w:val="745"/>
          <w:jc w:val="center"/>
        </w:trPr>
        <w:tc>
          <w:tcPr>
            <w:tcW w:w="3685"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95819" w:rsidP="00D5669B" w:rsidRDefault="00120CA6" w14:paraId="46464DC3" w14:textId="7E89BF9E">
            <w:pPr>
              <w:pStyle w:val="ListParagraph"/>
              <w:numPr>
                <w:ilvl w:val="0"/>
                <w:numId w:val="6"/>
              </w:numPr>
              <w:tabs>
                <w:tab w:val="left" w:pos="2520"/>
              </w:tabs>
              <w:spacing w:after="120" w:line="23" w:lineRule="atLeast"/>
              <w:rPr>
                <w:rFonts w:ascii="Arial" w:hAnsi="Arial" w:cs="Arial"/>
                <w:color w:val="000000" w:themeColor="text1"/>
                <w:sz w:val="24"/>
                <w:szCs w:val="24"/>
              </w:rPr>
            </w:pPr>
            <w:r w:rsidRPr="002D28BB">
              <w:rPr>
                <w:rFonts w:ascii="Arial" w:hAnsi="Arial" w:cs="Arial"/>
                <w:color w:val="000000" w:themeColor="text1"/>
                <w:sz w:val="24"/>
                <w:szCs w:val="24"/>
              </w:rPr>
              <w:t xml:space="preserve">Potentially Harmful </w:t>
            </w:r>
            <w:r w:rsidRPr="002D28BB" w:rsidR="00F16594">
              <w:rPr>
                <w:rFonts w:ascii="Arial" w:hAnsi="Arial" w:cs="Arial"/>
                <w:color w:val="000000" w:themeColor="text1"/>
                <w:sz w:val="24"/>
                <w:szCs w:val="24"/>
              </w:rPr>
              <w:t>Drug-Disease Interaction in Older Adults (DDE)</w:t>
            </w:r>
          </w:p>
        </w:tc>
        <w:tc>
          <w:tcPr>
            <w:tcW w:w="531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95819" w:rsidP="00201D73" w:rsidRDefault="00CB1695" w14:paraId="66C5EBBD" w14:textId="77777777">
            <w:pPr>
              <w:pStyle w:val="Body"/>
              <w:spacing w:before="0"/>
              <w:rPr>
                <w:rFonts w:ascii="Arial" w:hAnsi="Arial" w:cs="Arial"/>
                <w:sz w:val="24"/>
                <w:szCs w:val="24"/>
              </w:rPr>
            </w:pPr>
            <w:r w:rsidRPr="002D28BB">
              <w:rPr>
                <w:rFonts w:ascii="Arial" w:hAnsi="Arial" w:cs="Arial"/>
                <w:sz w:val="24"/>
                <w:szCs w:val="24"/>
              </w:rPr>
              <w:t xml:space="preserve">Percentage of </w:t>
            </w:r>
            <w:r w:rsidRPr="002D28BB" w:rsidR="000362DE">
              <w:rPr>
                <w:rFonts w:ascii="Arial" w:hAnsi="Arial" w:cs="Arial"/>
                <w:sz w:val="24"/>
                <w:szCs w:val="24"/>
              </w:rPr>
              <w:t>adults 65 years of age and older who have a specific disease or condition (chronic kidney disease, dementia, history of falls) and were dispensed a prescription for a medication that could exacerbate it.</w:t>
            </w:r>
          </w:p>
          <w:p w:rsidRPr="002D28BB" w:rsidR="00F90042" w:rsidP="00D5669B" w:rsidRDefault="00036076" w14:paraId="4CF6A2FA" w14:textId="500C3BFF">
            <w:pPr>
              <w:pStyle w:val="Body"/>
              <w:numPr>
                <w:ilvl w:val="0"/>
                <w:numId w:val="18"/>
              </w:numPr>
              <w:rPr>
                <w:rFonts w:ascii="Arial" w:hAnsi="Arial" w:cs="Arial"/>
                <w:sz w:val="24"/>
                <w:szCs w:val="24"/>
              </w:rPr>
            </w:pPr>
            <w:r w:rsidRPr="002D28BB">
              <w:rPr>
                <w:rFonts w:ascii="Arial" w:hAnsi="Arial" w:cs="Arial"/>
                <w:sz w:val="24"/>
                <w:szCs w:val="24"/>
              </w:rPr>
              <w:t>T</w:t>
            </w:r>
            <w:r w:rsidRPr="002D28BB" w:rsidR="00F90042">
              <w:rPr>
                <w:rFonts w:ascii="Arial" w:hAnsi="Arial" w:cs="Arial"/>
                <w:sz w:val="24"/>
                <w:szCs w:val="24"/>
              </w:rPr>
              <w:t>he percentage of older adults with a history of falls who had a dispensed prescription for antiepileptics, antipsychotics, benzodiazepines, nonbenzodiazepine hypnotics or antidepressants (SSRIs, tricyclic antidepressants and SNRIs).</w:t>
            </w:r>
          </w:p>
          <w:p w:rsidRPr="002D28BB" w:rsidR="00F90042" w:rsidP="00D5669B" w:rsidRDefault="00F90042" w14:paraId="22DECCA8" w14:textId="77777777">
            <w:pPr>
              <w:pStyle w:val="Body"/>
              <w:numPr>
                <w:ilvl w:val="0"/>
                <w:numId w:val="17"/>
              </w:numPr>
              <w:spacing w:before="0"/>
              <w:rPr>
                <w:rFonts w:ascii="Arial" w:hAnsi="Arial" w:cs="Arial"/>
                <w:sz w:val="24"/>
                <w:szCs w:val="24"/>
              </w:rPr>
            </w:pPr>
            <w:r w:rsidRPr="002D28BB">
              <w:rPr>
                <w:rFonts w:ascii="Arial" w:hAnsi="Arial" w:cs="Arial"/>
                <w:sz w:val="24"/>
                <w:szCs w:val="24"/>
              </w:rPr>
              <w:t xml:space="preserve">The percentage of older adults with diagnosed dementia who had a dispensed prescription for antipsychotics, benzodiazepines, nonbenzodiazepine hypnotics, tricyclic </w:t>
            </w:r>
            <w:proofErr w:type="gramStart"/>
            <w:r w:rsidRPr="002D28BB">
              <w:rPr>
                <w:rFonts w:ascii="Arial" w:hAnsi="Arial" w:cs="Arial"/>
                <w:sz w:val="24"/>
                <w:szCs w:val="24"/>
              </w:rPr>
              <w:t>antidepressants</w:t>
            </w:r>
            <w:proofErr w:type="gramEnd"/>
            <w:r w:rsidRPr="002D28BB">
              <w:rPr>
                <w:rFonts w:ascii="Arial" w:hAnsi="Arial" w:cs="Arial"/>
                <w:sz w:val="24"/>
                <w:szCs w:val="24"/>
              </w:rPr>
              <w:t xml:space="preserve"> or anticholinergic agents.</w:t>
            </w:r>
          </w:p>
          <w:p w:rsidRPr="002D28BB" w:rsidR="00F90042" w:rsidP="00D5669B" w:rsidRDefault="00F90042" w14:paraId="12221187" w14:textId="3EA6DFA7">
            <w:pPr>
              <w:pStyle w:val="Body"/>
              <w:numPr>
                <w:ilvl w:val="0"/>
                <w:numId w:val="17"/>
              </w:numPr>
              <w:spacing w:before="0"/>
              <w:rPr>
                <w:rFonts w:ascii="Arial" w:hAnsi="Arial" w:cs="Arial"/>
                <w:sz w:val="24"/>
                <w:szCs w:val="24"/>
              </w:rPr>
            </w:pPr>
            <w:r w:rsidRPr="002D28BB">
              <w:rPr>
                <w:rFonts w:ascii="Arial" w:hAnsi="Arial" w:cs="Arial"/>
                <w:sz w:val="24"/>
                <w:szCs w:val="24"/>
              </w:rPr>
              <w:t>The percentage of older adults with chronic kidney disease who had a prescription for Cox-2 selective NSAIDs or non-aspirin NSAIDs.</w:t>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95819" w:rsidP="00201D73" w:rsidRDefault="00036076" w14:paraId="400719CC" w14:textId="5A00F675">
            <w:pPr>
              <w:spacing w:after="120" w:line="23" w:lineRule="atLeast"/>
              <w:jc w:val="center"/>
              <w:rPr>
                <w:rFonts w:ascii="Arial" w:hAnsi="Arial" w:cs="Arial"/>
                <w:color w:val="000000"/>
              </w:rPr>
            </w:pPr>
            <w:r w:rsidRPr="002D28BB">
              <w:rPr>
                <w:rFonts w:ascii="Arial" w:hAnsi="Arial" w:cs="Arial"/>
                <w:color w:val="000000"/>
              </w:rPr>
              <w:t>Claims</w:t>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95819" w:rsidP="00201D73" w:rsidRDefault="00036076" w14:paraId="6B7571F6" w14:textId="7FDEEFBE">
            <w:pPr>
              <w:spacing w:after="120" w:line="23" w:lineRule="atLeast"/>
              <w:jc w:val="center"/>
              <w:rPr>
                <w:rFonts w:ascii="Arial" w:hAnsi="Arial" w:cs="Arial"/>
                <w:color w:val="000000"/>
              </w:rPr>
            </w:pPr>
            <w:r w:rsidRPr="002D28BB">
              <w:rPr>
                <w:rFonts w:ascii="Arial" w:hAnsi="Arial" w:cs="Arial"/>
                <w:color w:val="000000"/>
              </w:rPr>
              <w:t>NCQA</w:t>
            </w:r>
          </w:p>
        </w:tc>
        <w:tc>
          <w:tcPr>
            <w:tcW w:w="108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95819" w:rsidP="00201D73" w:rsidRDefault="00036076" w14:paraId="13A1D5D1" w14:textId="30CE6A7D">
            <w:pPr>
              <w:spacing w:after="120" w:line="23" w:lineRule="atLeast"/>
              <w:jc w:val="center"/>
              <w:rPr>
                <w:rFonts w:ascii="Arial" w:hAnsi="Arial" w:cs="Arial"/>
                <w:color w:val="000000"/>
              </w:rPr>
            </w:pPr>
            <w:r w:rsidRPr="002D28BB">
              <w:rPr>
                <w:rFonts w:ascii="Arial" w:hAnsi="Arial" w:cs="Arial"/>
                <w:color w:val="000000"/>
              </w:rPr>
              <w:t>N/A</w:t>
            </w:r>
          </w:p>
        </w:tc>
      </w:tr>
      <w:tr w:rsidRPr="002D28BB" w:rsidR="00201D73" w:rsidTr="4838C3B5" w14:paraId="7BD348CA" w14:textId="77777777">
        <w:trPr>
          <w:trHeight w:val="745"/>
          <w:jc w:val="center"/>
        </w:trPr>
        <w:tc>
          <w:tcPr>
            <w:tcW w:w="3685"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D5669B" w:rsidRDefault="00201D73" w14:paraId="2AFD8763" w14:textId="77777777">
            <w:pPr>
              <w:pStyle w:val="ListParagraph"/>
              <w:numPr>
                <w:ilvl w:val="0"/>
                <w:numId w:val="6"/>
              </w:numPr>
              <w:spacing w:after="120" w:line="23" w:lineRule="atLeast"/>
              <w:rPr>
                <w:rFonts w:ascii="Arial" w:hAnsi="Arial" w:eastAsia="Times New Roman" w:cs="Arial"/>
                <w:color w:val="000000"/>
                <w:sz w:val="24"/>
                <w:szCs w:val="24"/>
              </w:rPr>
            </w:pPr>
            <w:r w:rsidRPr="002D28BB">
              <w:rPr>
                <w:rFonts w:ascii="Arial" w:hAnsi="Arial" w:cs="Arial"/>
                <w:color w:val="000000" w:themeColor="text1"/>
                <w:sz w:val="24"/>
                <w:szCs w:val="24"/>
              </w:rPr>
              <w:t>Transitions of Care (TRC)</w:t>
            </w:r>
          </w:p>
          <w:p w:rsidRPr="002D28BB" w:rsidR="00036076" w:rsidP="00D5669B" w:rsidRDefault="00036076" w14:paraId="4DC8203B" w14:textId="280B078F">
            <w:pPr>
              <w:pStyle w:val="ListParagraph"/>
              <w:numPr>
                <w:ilvl w:val="0"/>
                <w:numId w:val="19"/>
              </w:numPr>
              <w:spacing w:after="120" w:line="23" w:lineRule="atLeast"/>
              <w:rPr>
                <w:rFonts w:ascii="Arial" w:hAnsi="Arial" w:cs="Arial"/>
                <w:color w:val="000000"/>
                <w:sz w:val="24"/>
                <w:szCs w:val="24"/>
              </w:rPr>
            </w:pPr>
            <w:r w:rsidRPr="002D28BB">
              <w:rPr>
                <w:rFonts w:ascii="Arial" w:hAnsi="Arial" w:cs="Arial"/>
                <w:color w:val="000000"/>
                <w:sz w:val="24"/>
                <w:szCs w:val="24"/>
              </w:rPr>
              <w:t>Notification of Inpatient Admission</w:t>
            </w:r>
          </w:p>
          <w:p w:rsidRPr="002D28BB" w:rsidR="00131B39" w:rsidP="00D5669B" w:rsidRDefault="00036076" w14:paraId="0B6B3C33" w14:textId="32E6205D">
            <w:pPr>
              <w:pStyle w:val="ListParagraph"/>
              <w:numPr>
                <w:ilvl w:val="0"/>
                <w:numId w:val="19"/>
              </w:numPr>
              <w:spacing w:after="120" w:line="23" w:lineRule="atLeast"/>
              <w:rPr>
                <w:rFonts w:ascii="Arial" w:hAnsi="Arial" w:cs="Arial"/>
                <w:color w:val="000000"/>
                <w:sz w:val="24"/>
                <w:szCs w:val="24"/>
              </w:rPr>
            </w:pPr>
            <w:r w:rsidRPr="002D28BB">
              <w:rPr>
                <w:rFonts w:ascii="Arial" w:hAnsi="Arial" w:cs="Arial"/>
                <w:color w:val="000000"/>
                <w:sz w:val="24"/>
                <w:szCs w:val="24"/>
              </w:rPr>
              <w:t>Receipt of Discharge Information.</w:t>
            </w:r>
          </w:p>
          <w:p w:rsidRPr="002D28BB" w:rsidR="00131B39" w:rsidP="00D5669B" w:rsidRDefault="00036076" w14:paraId="573F9567" w14:textId="1E9E1DB3">
            <w:pPr>
              <w:pStyle w:val="ListParagraph"/>
              <w:numPr>
                <w:ilvl w:val="0"/>
                <w:numId w:val="19"/>
              </w:numPr>
              <w:spacing w:after="120" w:line="23" w:lineRule="atLeast"/>
              <w:rPr>
                <w:rFonts w:ascii="Arial" w:hAnsi="Arial" w:eastAsia="Times New Roman" w:cs="Arial"/>
                <w:color w:val="000000"/>
                <w:sz w:val="24"/>
                <w:szCs w:val="24"/>
              </w:rPr>
            </w:pPr>
            <w:r w:rsidRPr="002D28BB">
              <w:rPr>
                <w:rFonts w:ascii="Arial" w:hAnsi="Arial" w:cs="Arial"/>
                <w:color w:val="000000"/>
                <w:sz w:val="24"/>
                <w:szCs w:val="24"/>
              </w:rPr>
              <w:t>Patient Engagement After Inpatient Discharge</w:t>
            </w:r>
          </w:p>
          <w:p w:rsidRPr="002D28BB" w:rsidR="00036076" w:rsidP="00D5669B" w:rsidRDefault="00036076" w14:paraId="789E6C70" w14:textId="6F56FAAE">
            <w:pPr>
              <w:pStyle w:val="ListParagraph"/>
              <w:numPr>
                <w:ilvl w:val="0"/>
                <w:numId w:val="19"/>
              </w:numPr>
              <w:spacing w:after="120" w:line="23" w:lineRule="atLeast"/>
              <w:rPr>
                <w:rFonts w:ascii="Arial" w:hAnsi="Arial" w:eastAsia="Times New Roman" w:cs="Arial"/>
                <w:color w:val="000000"/>
                <w:sz w:val="24"/>
                <w:szCs w:val="24"/>
              </w:rPr>
            </w:pPr>
            <w:r w:rsidRPr="002D28BB">
              <w:rPr>
                <w:rFonts w:ascii="Arial" w:hAnsi="Arial" w:cs="Arial"/>
                <w:color w:val="000000"/>
                <w:sz w:val="24"/>
                <w:szCs w:val="24"/>
              </w:rPr>
              <w:t>Medication Reconciliation Post-Discharge</w:t>
            </w:r>
            <w:r w:rsidRPr="002D28BB" w:rsidR="007E318D">
              <w:rPr>
                <w:rFonts w:ascii="Arial" w:hAnsi="Arial" w:cs="Arial"/>
                <w:color w:val="000000"/>
                <w:sz w:val="24"/>
                <w:szCs w:val="24"/>
              </w:rPr>
              <w:fldChar w:fldCharType="begin"/>
            </w:r>
            <w:r w:rsidRPr="002D28BB" w:rsidR="007E318D">
              <w:rPr>
                <w:rFonts w:ascii="Arial" w:hAnsi="Arial" w:cs="Arial"/>
                <w:color w:val="000000"/>
                <w:sz w:val="24"/>
                <w:szCs w:val="24"/>
              </w:rPr>
              <w:instrText xml:space="preserve"> NOTEREF _Ref146121066 \f \h </w:instrText>
            </w:r>
            <w:r w:rsidRPr="002D28BB" w:rsidR="001F25B9">
              <w:rPr>
                <w:rFonts w:ascii="Arial" w:hAnsi="Arial" w:cs="Arial"/>
                <w:color w:val="000000"/>
                <w:sz w:val="24"/>
                <w:szCs w:val="24"/>
              </w:rPr>
              <w:instrText xml:space="preserve"> \* MERGEFORMAT </w:instrText>
            </w:r>
            <w:r w:rsidRPr="002D28BB" w:rsidR="007E318D">
              <w:rPr>
                <w:rFonts w:ascii="Arial" w:hAnsi="Arial" w:cs="Arial"/>
                <w:color w:val="000000"/>
                <w:sz w:val="24"/>
                <w:szCs w:val="24"/>
              </w:rPr>
            </w:r>
            <w:r w:rsidRPr="002D28BB" w:rsidR="007E318D">
              <w:rPr>
                <w:rFonts w:ascii="Arial" w:hAnsi="Arial" w:cs="Arial"/>
                <w:color w:val="000000"/>
                <w:sz w:val="24"/>
                <w:szCs w:val="24"/>
              </w:rPr>
              <w:fldChar w:fldCharType="separate"/>
            </w:r>
            <w:r w:rsidRPr="002D28BB" w:rsidR="007E318D">
              <w:rPr>
                <w:rStyle w:val="FootnoteReference"/>
                <w:rFonts w:ascii="Arial" w:hAnsi="Arial" w:cs="Arial"/>
                <w:sz w:val="24"/>
                <w:szCs w:val="24"/>
              </w:rPr>
              <w:t>*</w:t>
            </w:r>
            <w:r w:rsidRPr="002D28BB" w:rsidR="007E318D">
              <w:rPr>
                <w:rFonts w:ascii="Arial" w:hAnsi="Arial" w:cs="Arial"/>
                <w:color w:val="000000"/>
                <w:sz w:val="24"/>
                <w:szCs w:val="24"/>
              </w:rPr>
              <w:fldChar w:fldCharType="end"/>
            </w:r>
          </w:p>
        </w:tc>
        <w:tc>
          <w:tcPr>
            <w:tcW w:w="531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vAlign w:val="center"/>
          </w:tcPr>
          <w:p w:rsidRPr="002D28BB" w:rsidR="00201D73" w:rsidP="00201D73" w:rsidRDefault="00201D73" w14:paraId="1BCF2DB0" w14:textId="77777777">
            <w:pPr>
              <w:spacing w:after="120" w:line="23" w:lineRule="atLeast"/>
              <w:rPr>
                <w:rFonts w:ascii="Arial" w:hAnsi="Arial" w:cs="Arial"/>
              </w:rPr>
            </w:pPr>
            <w:r w:rsidRPr="002D28BB">
              <w:rPr>
                <w:rFonts w:ascii="Arial" w:hAnsi="Arial" w:cs="Arial"/>
              </w:rPr>
              <w:t>The percentage of discharges for members 18 years of age and older who had each of the following. Four rates are reported:</w:t>
            </w:r>
          </w:p>
          <w:p w:rsidRPr="002D28BB" w:rsidR="00201D73" w:rsidP="00D5669B" w:rsidRDefault="00201D73" w14:paraId="6EA5D300" w14:textId="77777777">
            <w:pPr>
              <w:pStyle w:val="ListParagraph"/>
              <w:numPr>
                <w:ilvl w:val="0"/>
                <w:numId w:val="5"/>
              </w:numPr>
              <w:spacing w:after="120" w:line="23" w:lineRule="atLeast"/>
              <w:rPr>
                <w:rFonts w:ascii="Arial" w:hAnsi="Arial" w:cs="Arial"/>
                <w:sz w:val="24"/>
                <w:szCs w:val="24"/>
              </w:rPr>
            </w:pPr>
            <w:r w:rsidRPr="002D28BB">
              <w:rPr>
                <w:rFonts w:ascii="Arial" w:hAnsi="Arial" w:cs="Arial"/>
                <w:sz w:val="24"/>
                <w:szCs w:val="24"/>
              </w:rPr>
              <w:t>Notification of Inpatient Admission. Documentation of receipt of notification of inpatient admission on the day of admission through 2 days after the admission (3 total days).</w:t>
            </w:r>
          </w:p>
          <w:p w:rsidRPr="002D28BB" w:rsidR="00201D73" w:rsidP="00D5669B" w:rsidRDefault="00201D73" w14:paraId="3DAF88EF" w14:textId="77777777">
            <w:pPr>
              <w:pStyle w:val="ListParagraph"/>
              <w:numPr>
                <w:ilvl w:val="0"/>
                <w:numId w:val="5"/>
              </w:numPr>
              <w:spacing w:after="120" w:line="23" w:lineRule="atLeast"/>
              <w:rPr>
                <w:rFonts w:ascii="Arial" w:hAnsi="Arial" w:cs="Arial"/>
                <w:sz w:val="24"/>
                <w:szCs w:val="24"/>
              </w:rPr>
            </w:pPr>
            <w:r w:rsidRPr="002D28BB">
              <w:rPr>
                <w:rFonts w:ascii="Arial" w:hAnsi="Arial" w:cs="Arial"/>
                <w:sz w:val="24"/>
                <w:szCs w:val="24"/>
              </w:rPr>
              <w:t xml:space="preserve">Receipt of Discharge Information. Documentation of receipt of discharge </w:t>
            </w:r>
            <w:r w:rsidRPr="002D28BB">
              <w:rPr>
                <w:rFonts w:ascii="Arial" w:hAnsi="Arial" w:cs="Arial"/>
                <w:sz w:val="24"/>
                <w:szCs w:val="24"/>
              </w:rPr>
              <w:t>information on the day of discharge through 2 days after the discharge (3 total days).</w:t>
            </w:r>
          </w:p>
          <w:p w:rsidRPr="002D28BB" w:rsidR="00201D73" w:rsidP="00D5669B" w:rsidRDefault="00201D73" w14:paraId="7DFC9ED1" w14:textId="77777777">
            <w:pPr>
              <w:pStyle w:val="ListParagraph"/>
              <w:numPr>
                <w:ilvl w:val="0"/>
                <w:numId w:val="5"/>
              </w:numPr>
              <w:spacing w:after="120" w:line="23" w:lineRule="atLeast"/>
              <w:rPr>
                <w:rFonts w:ascii="Arial" w:hAnsi="Arial" w:cs="Arial"/>
                <w:sz w:val="24"/>
                <w:szCs w:val="24"/>
              </w:rPr>
            </w:pPr>
            <w:r w:rsidRPr="002D28BB">
              <w:rPr>
                <w:rFonts w:ascii="Arial" w:hAnsi="Arial" w:cs="Arial"/>
                <w:sz w:val="24"/>
                <w:szCs w:val="24"/>
              </w:rPr>
              <w:t>Patient Engagement After Inpatient Discharge. Documentation of patient engagement (e.g., office visits, visits to the home, telehealth) provided within 30 days after discharge.</w:t>
            </w:r>
          </w:p>
          <w:p w:rsidRPr="002D28BB" w:rsidR="00201D73" w:rsidP="00D5669B" w:rsidRDefault="00201D73" w14:paraId="70B30064" w14:textId="261F7681">
            <w:pPr>
              <w:pStyle w:val="ListParagraph"/>
              <w:numPr>
                <w:ilvl w:val="0"/>
                <w:numId w:val="5"/>
              </w:numPr>
              <w:spacing w:after="120" w:line="23" w:lineRule="atLeast"/>
              <w:rPr>
                <w:rFonts w:ascii="Arial" w:hAnsi="Arial" w:cs="Arial"/>
                <w:sz w:val="24"/>
                <w:szCs w:val="24"/>
              </w:rPr>
            </w:pPr>
            <w:r w:rsidRPr="002D28BB">
              <w:rPr>
                <w:rFonts w:ascii="Arial" w:hAnsi="Arial" w:cs="Arial"/>
                <w:sz w:val="24"/>
                <w:szCs w:val="24"/>
              </w:rPr>
              <w:t>Medication Reconciliation Post-Discharge</w:t>
            </w:r>
            <w:bookmarkStart w:name="_Ref146121066" w:id="3"/>
            <w:r w:rsidRPr="002D28BB">
              <w:rPr>
                <w:rStyle w:val="FootnoteReference"/>
                <w:rFonts w:ascii="Arial" w:hAnsi="Arial" w:cs="Arial"/>
                <w:sz w:val="24"/>
                <w:szCs w:val="24"/>
              </w:rPr>
              <w:footnoteReference w:id="7"/>
            </w:r>
            <w:bookmarkEnd w:id="3"/>
            <w:r w:rsidRPr="002D28BB">
              <w:rPr>
                <w:rFonts w:ascii="Arial" w:hAnsi="Arial" w:cs="Arial"/>
                <w:sz w:val="24"/>
                <w:szCs w:val="24"/>
              </w:rPr>
              <w:t>. Documentation of medication reconciliation on the date of discharge through 30 days after discharge (31 total days).</w:t>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1E22F856" w14:textId="38852065">
            <w:pPr>
              <w:spacing w:after="120" w:line="23" w:lineRule="atLeast"/>
              <w:jc w:val="center"/>
              <w:rPr>
                <w:rFonts w:ascii="Arial" w:hAnsi="Arial" w:cs="Arial"/>
                <w:color w:val="000000"/>
              </w:rPr>
            </w:pPr>
            <w:r w:rsidRPr="002D28BB">
              <w:rPr>
                <w:rFonts w:ascii="Arial" w:hAnsi="Arial" w:cs="Arial"/>
                <w:color w:val="000000"/>
              </w:rPr>
              <w:t>Hybrid</w:t>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3E9DC665" w14:textId="5C08815C">
            <w:pPr>
              <w:spacing w:after="120" w:line="23" w:lineRule="atLeast"/>
              <w:jc w:val="center"/>
              <w:rPr>
                <w:rFonts w:ascii="Arial" w:hAnsi="Arial" w:cs="Arial"/>
                <w:color w:val="000000"/>
              </w:rPr>
            </w:pPr>
            <w:r w:rsidRPr="002D28BB">
              <w:rPr>
                <w:rFonts w:ascii="Arial" w:hAnsi="Arial" w:cs="Arial"/>
                <w:color w:val="000000"/>
              </w:rPr>
              <w:t>NCQA</w:t>
            </w:r>
          </w:p>
        </w:tc>
        <w:tc>
          <w:tcPr>
            <w:tcW w:w="108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01D73" w:rsidP="00201D73" w:rsidRDefault="00201D73" w14:paraId="45D0F1A6" w14:textId="7F35E622">
            <w:pPr>
              <w:spacing w:after="120" w:line="23" w:lineRule="atLeast"/>
              <w:jc w:val="center"/>
              <w:rPr>
                <w:rFonts w:ascii="Arial" w:hAnsi="Arial" w:cs="Arial"/>
                <w:color w:val="000000"/>
              </w:rPr>
            </w:pPr>
            <w:r w:rsidRPr="002D28BB">
              <w:rPr>
                <w:rFonts w:ascii="Arial" w:hAnsi="Arial" w:cs="Arial"/>
                <w:color w:val="000000"/>
              </w:rPr>
              <w:t>N/A</w:t>
            </w:r>
          </w:p>
        </w:tc>
      </w:tr>
      <w:tr w:rsidRPr="002D28BB" w:rsidR="00307D16" w:rsidTr="4838C3B5" w14:paraId="3045B4D0" w14:textId="77777777">
        <w:trPr>
          <w:trHeight w:val="745"/>
          <w:jc w:val="center"/>
        </w:trPr>
        <w:tc>
          <w:tcPr>
            <w:tcW w:w="3685"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307D16" w:rsidP="00D5669B" w:rsidRDefault="00307D16" w14:paraId="09E34791" w14:textId="5CB8844D">
            <w:pPr>
              <w:pStyle w:val="ListParagraph"/>
              <w:numPr>
                <w:ilvl w:val="0"/>
                <w:numId w:val="6"/>
              </w:numPr>
              <w:spacing w:after="120" w:line="23" w:lineRule="atLeast"/>
              <w:rPr>
                <w:rFonts w:ascii="Arial" w:hAnsi="Arial" w:cs="Arial"/>
                <w:color w:val="000000" w:themeColor="text1"/>
                <w:sz w:val="24"/>
                <w:szCs w:val="24"/>
              </w:rPr>
            </w:pPr>
            <w:r w:rsidRPr="002D28BB">
              <w:rPr>
                <w:rFonts w:ascii="Arial" w:hAnsi="Arial" w:cs="Arial"/>
                <w:color w:val="000000" w:themeColor="text1"/>
                <w:sz w:val="24"/>
                <w:szCs w:val="24"/>
              </w:rPr>
              <w:t xml:space="preserve">Use of High-Risk Medication in </w:t>
            </w:r>
            <w:r w:rsidRPr="002D28BB" w:rsidR="00643DCC">
              <w:rPr>
                <w:rFonts w:ascii="Arial" w:hAnsi="Arial" w:cs="Arial"/>
                <w:color w:val="000000" w:themeColor="text1"/>
                <w:sz w:val="24"/>
                <w:szCs w:val="24"/>
              </w:rPr>
              <w:t>Older Adults (DAE)</w:t>
            </w:r>
            <w:r w:rsidRPr="002D28BB" w:rsidR="007E318D">
              <w:rPr>
                <w:rStyle w:val="FootnoteReference"/>
                <w:rFonts w:ascii="Arial" w:hAnsi="Arial" w:cs="Arial"/>
                <w:color w:val="000000" w:themeColor="text1"/>
                <w:sz w:val="24"/>
                <w:szCs w:val="24"/>
              </w:rPr>
              <w:footnoteReference w:id="8"/>
            </w:r>
          </w:p>
        </w:tc>
        <w:tc>
          <w:tcPr>
            <w:tcW w:w="531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vAlign w:val="center"/>
          </w:tcPr>
          <w:p w:rsidRPr="002D28BB" w:rsidR="00680BF5" w:rsidP="00680BF5" w:rsidRDefault="003A7E38" w14:paraId="7C86D344" w14:textId="089BA0C7">
            <w:pPr>
              <w:spacing w:after="120" w:line="23" w:lineRule="atLeast"/>
              <w:rPr>
                <w:rFonts w:ascii="Arial" w:hAnsi="Arial" w:cs="Arial"/>
              </w:rPr>
            </w:pPr>
            <w:r w:rsidRPr="002D28BB">
              <w:rPr>
                <w:rFonts w:ascii="Arial" w:hAnsi="Arial" w:cs="Arial"/>
              </w:rPr>
              <w:t>Percentage of</w:t>
            </w:r>
            <w:r w:rsidRPr="002D28BB" w:rsidR="00680BF5">
              <w:rPr>
                <w:rFonts w:ascii="Arial" w:hAnsi="Arial" w:cs="Arial"/>
              </w:rPr>
              <w:t xml:space="preserve"> adults 67 years of age and older who had at least two dispensing events for the same high-risk medication. Two rates and a total rate are reported:</w:t>
            </w:r>
          </w:p>
          <w:p w:rsidRPr="002D28BB" w:rsidR="003A7E38" w:rsidP="00D5669B" w:rsidRDefault="00680BF5" w14:paraId="5B63E41E" w14:textId="77777777">
            <w:pPr>
              <w:pStyle w:val="ListParagraph"/>
              <w:numPr>
                <w:ilvl w:val="0"/>
                <w:numId w:val="20"/>
              </w:numPr>
              <w:spacing w:after="120" w:line="23" w:lineRule="atLeast"/>
              <w:rPr>
                <w:rFonts w:ascii="Arial" w:hAnsi="Arial" w:cs="Arial"/>
                <w:sz w:val="24"/>
                <w:szCs w:val="24"/>
              </w:rPr>
            </w:pPr>
            <w:r w:rsidRPr="002D28BB">
              <w:rPr>
                <w:rFonts w:ascii="Arial" w:hAnsi="Arial" w:cs="Arial"/>
                <w:sz w:val="24"/>
                <w:szCs w:val="24"/>
              </w:rPr>
              <w:t>The percentage of older adults who had at least two dispensing events for high-risk medications from the same drug class where any use is inappropriate.</w:t>
            </w:r>
          </w:p>
          <w:p w:rsidRPr="002D28BB" w:rsidR="00307D16" w:rsidP="00D5669B" w:rsidRDefault="00680BF5" w14:paraId="6F3D2EA9" w14:textId="22333C06">
            <w:pPr>
              <w:pStyle w:val="ListParagraph"/>
              <w:numPr>
                <w:ilvl w:val="0"/>
                <w:numId w:val="20"/>
              </w:numPr>
              <w:spacing w:after="120" w:line="23" w:lineRule="atLeast"/>
              <w:rPr>
                <w:rFonts w:ascii="Arial" w:hAnsi="Arial" w:cs="Arial"/>
                <w:sz w:val="24"/>
                <w:szCs w:val="24"/>
              </w:rPr>
            </w:pPr>
            <w:r w:rsidRPr="002D28BB">
              <w:rPr>
                <w:rFonts w:ascii="Arial" w:hAnsi="Arial" w:cs="Arial"/>
                <w:sz w:val="24"/>
                <w:szCs w:val="24"/>
              </w:rPr>
              <w:t>The percentage of older adults who had at least two dispensing events for high-risk medications to avoid, from the same drug class where use is potentially inappropriate except for specific conditions.</w:t>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307D16" w:rsidP="00201D73" w:rsidRDefault="00430FBD" w14:paraId="1933F0F3" w14:textId="4314E388">
            <w:pPr>
              <w:spacing w:after="120" w:line="23" w:lineRule="atLeast"/>
              <w:jc w:val="center"/>
              <w:rPr>
                <w:rFonts w:ascii="Arial" w:hAnsi="Arial" w:cs="Arial"/>
                <w:color w:val="000000"/>
              </w:rPr>
            </w:pPr>
            <w:r w:rsidRPr="002D28BB">
              <w:rPr>
                <w:rFonts w:ascii="Arial" w:hAnsi="Arial" w:cs="Arial"/>
                <w:color w:val="000000"/>
              </w:rPr>
              <w:t>Claims</w:t>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307D16" w:rsidP="00201D73" w:rsidRDefault="00430FBD" w14:paraId="78AF4EF3" w14:textId="6CE20FB3">
            <w:pPr>
              <w:spacing w:after="120" w:line="23" w:lineRule="atLeast"/>
              <w:jc w:val="center"/>
              <w:rPr>
                <w:rFonts w:ascii="Arial" w:hAnsi="Arial" w:cs="Arial"/>
                <w:color w:val="000000"/>
              </w:rPr>
            </w:pPr>
            <w:r w:rsidRPr="002D28BB">
              <w:rPr>
                <w:rFonts w:ascii="Arial" w:hAnsi="Arial" w:cs="Arial"/>
                <w:color w:val="000000"/>
              </w:rPr>
              <w:t>NCQA</w:t>
            </w:r>
          </w:p>
        </w:tc>
        <w:tc>
          <w:tcPr>
            <w:tcW w:w="108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307D16" w:rsidP="00201D73" w:rsidRDefault="00FD1611" w14:paraId="7874B4B6" w14:textId="55546FFC">
            <w:pPr>
              <w:spacing w:after="120" w:line="23" w:lineRule="atLeast"/>
              <w:jc w:val="center"/>
              <w:rPr>
                <w:rFonts w:ascii="Arial" w:hAnsi="Arial" w:cs="Arial"/>
                <w:color w:val="000000"/>
              </w:rPr>
            </w:pPr>
            <w:r w:rsidRPr="002D28BB">
              <w:rPr>
                <w:rFonts w:ascii="Arial" w:hAnsi="Arial" w:cs="Arial"/>
                <w:color w:val="000000"/>
              </w:rPr>
              <w:t>0</w:t>
            </w:r>
            <w:r w:rsidRPr="002D28BB" w:rsidR="0036187D">
              <w:rPr>
                <w:rFonts w:ascii="Arial" w:hAnsi="Arial" w:cs="Arial"/>
                <w:color w:val="000000"/>
              </w:rPr>
              <w:t>022</w:t>
            </w:r>
          </w:p>
        </w:tc>
      </w:tr>
      <w:tr w:rsidRPr="002D28BB" w:rsidR="0025680A" w:rsidTr="4838C3B5" w14:paraId="04F6BF5C" w14:textId="77777777">
        <w:trPr>
          <w:trHeight w:val="745"/>
          <w:jc w:val="center"/>
        </w:trPr>
        <w:tc>
          <w:tcPr>
            <w:tcW w:w="3685"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5680A" w:rsidP="00D5669B" w:rsidRDefault="0025680A" w14:paraId="1E0D4C78" w14:textId="6C093498">
            <w:pPr>
              <w:pStyle w:val="ListParagraph"/>
              <w:numPr>
                <w:ilvl w:val="0"/>
                <w:numId w:val="6"/>
              </w:numPr>
              <w:spacing w:after="120" w:line="23" w:lineRule="atLeast"/>
              <w:rPr>
                <w:rFonts w:ascii="Arial" w:hAnsi="Arial" w:cs="Arial"/>
                <w:color w:val="000000" w:themeColor="text1"/>
                <w:sz w:val="24"/>
                <w:szCs w:val="24"/>
              </w:rPr>
            </w:pPr>
            <w:r w:rsidRPr="002D28BB">
              <w:rPr>
                <w:rFonts w:ascii="Arial" w:hAnsi="Arial" w:cs="Arial"/>
                <w:color w:val="000000" w:themeColor="text1"/>
                <w:sz w:val="24"/>
                <w:szCs w:val="24"/>
              </w:rPr>
              <w:t>Use of Spirometry Testing in the Assessment and Diagnosis of COPD</w:t>
            </w:r>
          </w:p>
        </w:tc>
        <w:tc>
          <w:tcPr>
            <w:tcW w:w="531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vAlign w:val="center"/>
          </w:tcPr>
          <w:p w:rsidRPr="002D28BB" w:rsidR="0025680A" w:rsidP="00680BF5" w:rsidRDefault="001F74CD" w14:paraId="7F3B5B8D" w14:textId="1ECDC033">
            <w:pPr>
              <w:spacing w:after="120" w:line="23" w:lineRule="atLeast"/>
              <w:rPr>
                <w:rFonts w:ascii="Arial" w:hAnsi="Arial" w:cs="Arial"/>
              </w:rPr>
            </w:pPr>
            <w:r w:rsidRPr="002D28BB">
              <w:rPr>
                <w:rFonts w:ascii="Arial" w:hAnsi="Arial" w:cs="Arial"/>
              </w:rPr>
              <w:t xml:space="preserve">Percentage of adults 40 years of age and older who have a new diagnosis of chronic obstructive pulmonary disease (COPD) or </w:t>
            </w:r>
            <w:r w:rsidRPr="002D28BB">
              <w:rPr>
                <w:rFonts w:ascii="Arial" w:hAnsi="Arial" w:cs="Arial"/>
              </w:rPr>
              <w:t>newly active COPD, who received spirometry testing to confirm the diagnosis.</w:t>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5680A" w:rsidP="00201D73" w:rsidRDefault="001F74CD" w14:paraId="233426C3" w14:textId="35F6A3B2">
            <w:pPr>
              <w:spacing w:after="120" w:line="23" w:lineRule="atLeast"/>
              <w:jc w:val="center"/>
              <w:rPr>
                <w:rFonts w:ascii="Arial" w:hAnsi="Arial" w:cs="Arial"/>
                <w:color w:val="000000"/>
              </w:rPr>
            </w:pPr>
            <w:r w:rsidRPr="002D28BB">
              <w:rPr>
                <w:rFonts w:ascii="Arial" w:hAnsi="Arial" w:cs="Arial"/>
                <w:color w:val="000000"/>
              </w:rPr>
              <w:t>Claims</w:t>
            </w:r>
          </w:p>
        </w:tc>
        <w:tc>
          <w:tcPr>
            <w:tcW w:w="135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5680A" w:rsidP="00201D73" w:rsidRDefault="001F74CD" w14:paraId="22BFC81B" w14:textId="37B3A612">
            <w:pPr>
              <w:spacing w:after="120" w:line="23" w:lineRule="atLeast"/>
              <w:jc w:val="center"/>
              <w:rPr>
                <w:rFonts w:ascii="Arial" w:hAnsi="Arial" w:cs="Arial"/>
                <w:color w:val="000000"/>
              </w:rPr>
            </w:pPr>
            <w:r w:rsidRPr="002D28BB">
              <w:rPr>
                <w:rFonts w:ascii="Arial" w:hAnsi="Arial" w:cs="Arial"/>
                <w:color w:val="000000"/>
              </w:rPr>
              <w:t>NCQA</w:t>
            </w:r>
          </w:p>
        </w:tc>
        <w:tc>
          <w:tcPr>
            <w:tcW w:w="1080" w:type="dxa"/>
            <w:tc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tcBorders>
            <w:shd w:val="clear" w:color="auto" w:fill="auto"/>
          </w:tcPr>
          <w:p w:rsidRPr="002D28BB" w:rsidR="0025680A" w:rsidP="00201D73" w:rsidRDefault="00FD1009" w14:paraId="326C6F4E" w14:textId="314F2FB3">
            <w:pPr>
              <w:spacing w:after="120" w:line="23" w:lineRule="atLeast"/>
              <w:jc w:val="center"/>
              <w:rPr>
                <w:rFonts w:ascii="Arial" w:hAnsi="Arial" w:cs="Arial"/>
                <w:color w:val="000000"/>
              </w:rPr>
            </w:pPr>
            <w:r w:rsidRPr="002D28BB">
              <w:rPr>
                <w:rFonts w:ascii="Arial" w:hAnsi="Arial" w:cs="Arial"/>
                <w:color w:val="000000"/>
              </w:rPr>
              <w:t>0577</w:t>
            </w:r>
          </w:p>
        </w:tc>
      </w:tr>
    </w:tbl>
    <w:p w:rsidRPr="002D28BB" w:rsidR="002E2391" w:rsidP="7CC04AD0" w:rsidRDefault="002E2391" w14:paraId="739C6544" w14:textId="3BC38E76">
      <w:pPr>
        <w:pStyle w:val="Heading2"/>
        <w:tabs>
          <w:tab w:val="left" w:pos="1553"/>
        </w:tabs>
        <w:spacing w:before="200" w:line="276" w:lineRule="auto"/>
        <w:rPr>
          <w:rFonts w:ascii="Arial" w:hAnsi="Arial" w:cs="Arial"/>
          <w:sz w:val="24"/>
          <w:szCs w:val="24"/>
        </w:rPr>
        <w:sectPr w:rsidRPr="002D28BB" w:rsidR="002E2391" w:rsidSect="004317B7">
          <w:footerReference w:type="default" r:id="rId16"/>
          <w:headerReference w:type="first" r:id="rId17"/>
          <w:footerReference w:type="first" r:id="rId18"/>
          <w:footnotePr>
            <w:numFmt w:val="chicago"/>
            <w:numRestart w:val="eachPage"/>
          </w:footnotePr>
          <w:pgSz w:w="15840" w:h="12240" w:orient="landscape"/>
          <w:pgMar w:top="720" w:right="720" w:bottom="720" w:left="720" w:header="720" w:footer="720" w:gutter="0"/>
          <w:cols w:space="720"/>
          <w:docGrid w:linePitch="360"/>
        </w:sectPr>
      </w:pPr>
    </w:p>
    <w:p w:rsidRPr="002D28BB" w:rsidR="00D97DB9" w:rsidP="002D28BB" w:rsidRDefault="00D97DB9" w14:paraId="6ACFA673" w14:textId="77777777">
      <w:pPr>
        <w:rPr>
          <w:rFonts w:ascii="Arial" w:hAnsi="Arial" w:eastAsia="Calibri" w:cs="Arial"/>
          <w:b/>
        </w:rPr>
      </w:pPr>
    </w:p>
    <w:sectPr w:rsidRPr="002D28BB" w:rsidR="00D97DB9" w:rsidSect="003C0112">
      <w:headerReference w:type="default" r:id="rId19"/>
      <w:footerReference w:type="even" r:id="rId20"/>
      <w:footerReference w:type="default" r:id="rId21"/>
      <w:headerReference w:type="first" r:id="rId22"/>
      <w:footerReference w:type="first" r:id="rId23"/>
      <w:pgSz w:w="12240" w:h="15840" w:orient="portrait"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2694F" w:rsidRDefault="0062694F" w14:paraId="1D276DBC" w14:textId="77777777">
      <w:r>
        <w:separator/>
      </w:r>
    </w:p>
  </w:endnote>
  <w:endnote w:type="continuationSeparator" w:id="0">
    <w:p w:rsidR="0062694F" w:rsidRDefault="0062694F" w14:paraId="61847C4F" w14:textId="77777777">
      <w:r>
        <w:continuationSeparator/>
      </w:r>
    </w:p>
  </w:endnote>
  <w:endnote w:type="continuationNotice" w:id="1">
    <w:p w:rsidR="0062694F" w:rsidRDefault="0062694F" w14:paraId="0418114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9AAB8D4" w:rsidTr="00B5500D" w14:paraId="593F8233" w14:textId="77777777">
      <w:trPr>
        <w:trHeight w:val="300"/>
      </w:trPr>
      <w:tc>
        <w:tcPr>
          <w:tcW w:w="3600" w:type="dxa"/>
        </w:tcPr>
        <w:p w:rsidR="09AAB8D4" w:rsidP="00B5500D" w:rsidRDefault="09AAB8D4" w14:paraId="242A7074" w14:textId="0DA62DE2">
          <w:pPr>
            <w:pStyle w:val="Header"/>
            <w:ind w:left="-115"/>
          </w:pPr>
        </w:p>
      </w:tc>
      <w:tc>
        <w:tcPr>
          <w:tcW w:w="3600" w:type="dxa"/>
        </w:tcPr>
        <w:p w:rsidR="09AAB8D4" w:rsidP="00B5500D" w:rsidRDefault="09AAB8D4" w14:paraId="46CFFC07" w14:textId="5061E4BD">
          <w:pPr>
            <w:pStyle w:val="Header"/>
            <w:jc w:val="center"/>
          </w:pPr>
        </w:p>
      </w:tc>
      <w:tc>
        <w:tcPr>
          <w:tcW w:w="3600" w:type="dxa"/>
        </w:tcPr>
        <w:p w:rsidR="09AAB8D4" w:rsidP="00B5500D" w:rsidRDefault="09AAB8D4" w14:paraId="314D454E" w14:textId="4206516A">
          <w:pPr>
            <w:pStyle w:val="Header"/>
            <w:ind w:right="-115"/>
            <w:jc w:val="right"/>
          </w:pPr>
        </w:p>
      </w:tc>
    </w:tr>
  </w:tbl>
  <w:p w:rsidR="09AAB8D4" w:rsidP="00B5500D" w:rsidRDefault="09AAB8D4" w14:paraId="73724210" w14:textId="1B014F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9AAB8D4" w:rsidTr="00CD71D9" w14:paraId="09F7CCC7" w14:textId="77777777">
      <w:trPr>
        <w:trHeight w:val="300"/>
      </w:trPr>
      <w:tc>
        <w:tcPr>
          <w:tcW w:w="3600" w:type="dxa"/>
        </w:tcPr>
        <w:p w:rsidR="09AAB8D4" w:rsidP="00CD71D9" w:rsidRDefault="09AAB8D4" w14:paraId="501D2192" w14:textId="42D26036">
          <w:pPr>
            <w:pStyle w:val="Header"/>
            <w:ind w:left="-115"/>
          </w:pPr>
        </w:p>
      </w:tc>
      <w:tc>
        <w:tcPr>
          <w:tcW w:w="3600" w:type="dxa"/>
        </w:tcPr>
        <w:p w:rsidR="09AAB8D4" w:rsidP="00CD71D9" w:rsidRDefault="09AAB8D4" w14:paraId="1A418738" w14:textId="4610653E">
          <w:pPr>
            <w:pStyle w:val="Header"/>
            <w:jc w:val="center"/>
          </w:pPr>
        </w:p>
      </w:tc>
      <w:tc>
        <w:tcPr>
          <w:tcW w:w="3600" w:type="dxa"/>
        </w:tcPr>
        <w:p w:rsidR="09AAB8D4" w:rsidP="00CD71D9" w:rsidRDefault="09AAB8D4" w14:paraId="5605D662" w14:textId="3333E08C">
          <w:pPr>
            <w:pStyle w:val="Header"/>
            <w:ind w:right="-115"/>
            <w:jc w:val="right"/>
          </w:pPr>
        </w:p>
      </w:tc>
    </w:tr>
  </w:tbl>
  <w:p w:rsidR="09AAB8D4" w:rsidP="00CD71D9" w:rsidRDefault="09AAB8D4" w14:paraId="4F58E39F" w14:textId="2D296D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09AAB8D4" w:rsidTr="00CD71D9" w14:paraId="578C0237" w14:textId="77777777">
      <w:trPr>
        <w:trHeight w:val="300"/>
      </w:trPr>
      <w:tc>
        <w:tcPr>
          <w:tcW w:w="4800" w:type="dxa"/>
        </w:tcPr>
        <w:p w:rsidR="09AAB8D4" w:rsidP="00CD71D9" w:rsidRDefault="09AAB8D4" w14:paraId="32BE38CD" w14:textId="6CDD7514">
          <w:pPr>
            <w:pStyle w:val="Header"/>
            <w:ind w:left="-115"/>
          </w:pPr>
        </w:p>
      </w:tc>
      <w:tc>
        <w:tcPr>
          <w:tcW w:w="4800" w:type="dxa"/>
        </w:tcPr>
        <w:p w:rsidR="09AAB8D4" w:rsidP="00CD71D9" w:rsidRDefault="09AAB8D4" w14:paraId="1AA7DE34" w14:textId="68C0F23B">
          <w:pPr>
            <w:pStyle w:val="Header"/>
            <w:jc w:val="center"/>
          </w:pPr>
        </w:p>
      </w:tc>
      <w:tc>
        <w:tcPr>
          <w:tcW w:w="4800" w:type="dxa"/>
        </w:tcPr>
        <w:p w:rsidR="09AAB8D4" w:rsidP="00CD71D9" w:rsidRDefault="09AAB8D4" w14:paraId="772A9FD5" w14:textId="6DCE73E0">
          <w:pPr>
            <w:pStyle w:val="Header"/>
            <w:ind w:right="-115"/>
            <w:jc w:val="right"/>
          </w:pPr>
        </w:p>
      </w:tc>
    </w:tr>
  </w:tbl>
  <w:p w:rsidR="09AAB8D4" w:rsidP="00CD71D9" w:rsidRDefault="09AAB8D4" w14:paraId="05F9892C" w14:textId="36E1DC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09AAB8D4" w:rsidTr="00CD71D9" w14:paraId="1DE5BC4F" w14:textId="77777777">
      <w:trPr>
        <w:trHeight w:val="300"/>
      </w:trPr>
      <w:tc>
        <w:tcPr>
          <w:tcW w:w="4800" w:type="dxa"/>
        </w:tcPr>
        <w:p w:rsidR="09AAB8D4" w:rsidP="00CD71D9" w:rsidRDefault="09AAB8D4" w14:paraId="3037FAC0" w14:textId="43E8C0DC">
          <w:pPr>
            <w:pStyle w:val="Header"/>
            <w:ind w:left="-115"/>
          </w:pPr>
        </w:p>
      </w:tc>
      <w:tc>
        <w:tcPr>
          <w:tcW w:w="4800" w:type="dxa"/>
        </w:tcPr>
        <w:p w:rsidR="09AAB8D4" w:rsidP="00CD71D9" w:rsidRDefault="09AAB8D4" w14:paraId="1EB7EA58" w14:textId="22888A96">
          <w:pPr>
            <w:pStyle w:val="Header"/>
            <w:jc w:val="center"/>
          </w:pPr>
        </w:p>
      </w:tc>
      <w:tc>
        <w:tcPr>
          <w:tcW w:w="4800" w:type="dxa"/>
        </w:tcPr>
        <w:p w:rsidR="09AAB8D4" w:rsidP="00CD71D9" w:rsidRDefault="09AAB8D4" w14:paraId="124F6716" w14:textId="6D61928A">
          <w:pPr>
            <w:pStyle w:val="Header"/>
            <w:ind w:right="-115"/>
            <w:jc w:val="right"/>
          </w:pPr>
        </w:p>
      </w:tc>
    </w:tr>
  </w:tbl>
  <w:p w:rsidR="09AAB8D4" w:rsidP="00CD71D9" w:rsidRDefault="09AAB8D4" w14:paraId="2FB63EB5" w14:textId="2261782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2B40" w:rsidP="004317B7" w:rsidRDefault="00FF2B40" w14:paraId="1A2664A7" w14:textId="43B3D14F">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A2C50">
      <w:rPr>
        <w:rStyle w:val="PageNumber"/>
        <w:noProof/>
      </w:rPr>
      <w:t>2</w:t>
    </w:r>
    <w:r>
      <w:rPr>
        <w:rStyle w:val="PageNumber"/>
      </w:rPr>
      <w:fldChar w:fldCharType="end"/>
    </w:r>
  </w:p>
  <w:p w:rsidR="00FF2B40" w:rsidP="00FF2B40" w:rsidRDefault="00FF2B40" w14:paraId="44920070" w14:textId="77777777">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2"/>
        <w:szCs w:val="22"/>
      </w:rPr>
      <w:id w:val="-631169810"/>
      <w:docPartObj>
        <w:docPartGallery w:val="Page Numbers (Bottom of Page)"/>
        <w:docPartUnique/>
      </w:docPartObj>
    </w:sdtPr>
    <w:sdtContent>
      <w:p w:rsidRPr="00A10357" w:rsidR="00FF2B40" w:rsidP="004317B7" w:rsidRDefault="00FF2B40" w14:paraId="667D18A0" w14:textId="4C4C9AF5">
        <w:pPr>
          <w:pStyle w:val="Footer"/>
          <w:framePr w:wrap="none" w:hAnchor="margin" w:vAnchor="text" w:xAlign="right" w:y="1"/>
          <w:rPr>
            <w:rStyle w:val="PageNumber"/>
            <w:sz w:val="22"/>
            <w:szCs w:val="22"/>
          </w:rPr>
        </w:pPr>
        <w:r w:rsidRPr="00A10357">
          <w:rPr>
            <w:rStyle w:val="PageNumber"/>
            <w:sz w:val="22"/>
            <w:szCs w:val="22"/>
          </w:rPr>
          <w:fldChar w:fldCharType="begin"/>
        </w:r>
        <w:r w:rsidRPr="00A10357">
          <w:rPr>
            <w:rStyle w:val="PageNumber"/>
            <w:sz w:val="22"/>
            <w:szCs w:val="22"/>
          </w:rPr>
          <w:instrText xml:space="preserve"> PAGE </w:instrText>
        </w:r>
        <w:r w:rsidRPr="00A10357">
          <w:rPr>
            <w:rStyle w:val="PageNumber"/>
            <w:sz w:val="22"/>
            <w:szCs w:val="22"/>
          </w:rPr>
          <w:fldChar w:fldCharType="separate"/>
        </w:r>
        <w:r w:rsidRPr="00A10357">
          <w:rPr>
            <w:rStyle w:val="PageNumber"/>
            <w:noProof/>
            <w:sz w:val="22"/>
            <w:szCs w:val="22"/>
          </w:rPr>
          <w:t>1</w:t>
        </w:r>
        <w:r w:rsidRPr="00A10357">
          <w:rPr>
            <w:rStyle w:val="PageNumber"/>
            <w:sz w:val="22"/>
            <w:szCs w:val="22"/>
          </w:rPr>
          <w:fldChar w:fldCharType="end"/>
        </w:r>
      </w:p>
    </w:sdtContent>
  </w:sdt>
  <w:p w:rsidRPr="00A10357" w:rsidR="00FF2B40" w:rsidP="00FF2B40" w:rsidRDefault="00FF2B40" w14:paraId="31E194D4" w14:textId="3996365C">
    <w:pPr>
      <w:pStyle w:val="Footer"/>
      <w:ind w:right="360"/>
      <w:rPr>
        <w:sz w:val="22"/>
        <w:szCs w:val="22"/>
        <w:lang w:val="en-US"/>
      </w:rPr>
    </w:pPr>
    <w:r w:rsidRPr="00A10357">
      <w:rPr>
        <w:sz w:val="22"/>
        <w:szCs w:val="22"/>
        <w:lang w:val="en-US"/>
      </w:rPr>
      <w:t>Accountable Care Partnership Contract</w:t>
    </w:r>
  </w:p>
  <w:p w:rsidRPr="00A10357" w:rsidR="00FF2B40" w:rsidP="00FF2B40" w:rsidRDefault="00FF2B40" w14:paraId="7D89F014" w14:textId="6B82AEAB">
    <w:pPr>
      <w:pStyle w:val="Footer"/>
      <w:ind w:right="360"/>
      <w:rPr>
        <w:sz w:val="22"/>
        <w:szCs w:val="22"/>
      </w:rPr>
    </w:pPr>
    <w:r w:rsidRPr="00A10357">
      <w:rPr>
        <w:sz w:val="22"/>
        <w:szCs w:val="22"/>
        <w:lang w:val="en-US"/>
      </w:rPr>
      <w:t>Appendix B – Quality Improvement Goals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F2B40" w:rsidR="0082601A" w:rsidP="004317B7" w:rsidRDefault="0082601A" w14:paraId="345EC16C" w14:textId="6174327D">
    <w:pPr>
      <w:pStyle w:val="Footer"/>
      <w:framePr w:wrap="none" w:hAnchor="margin" w:vAnchor="text" w:xAlign="right" w:y="1"/>
      <w:rPr>
        <w:rStyle w:val="PageNumber"/>
        <w:sz w:val="22"/>
        <w:szCs w:val="22"/>
      </w:rPr>
    </w:pPr>
    <w:r w:rsidRPr="00FF2B40">
      <w:rPr>
        <w:rStyle w:val="PageNumber"/>
        <w:sz w:val="22"/>
        <w:szCs w:val="22"/>
      </w:rPr>
      <w:fldChar w:fldCharType="begin"/>
    </w:r>
    <w:r w:rsidRPr="00FF2B40">
      <w:rPr>
        <w:rStyle w:val="PageNumber"/>
        <w:sz w:val="22"/>
        <w:szCs w:val="22"/>
      </w:rPr>
      <w:instrText xml:space="preserve"> PAGE </w:instrText>
    </w:r>
    <w:r w:rsidRPr="00FF2B40">
      <w:rPr>
        <w:rStyle w:val="PageNumber"/>
        <w:sz w:val="22"/>
        <w:szCs w:val="22"/>
      </w:rPr>
      <w:fldChar w:fldCharType="separate"/>
    </w:r>
    <w:r w:rsidRPr="00FF2B40">
      <w:rPr>
        <w:rStyle w:val="PageNumber"/>
        <w:noProof/>
        <w:sz w:val="22"/>
        <w:szCs w:val="22"/>
      </w:rPr>
      <w:t>1</w:t>
    </w:r>
    <w:r w:rsidRPr="00FF2B40">
      <w:rPr>
        <w:rStyle w:val="PageNumber"/>
        <w:sz w:val="22"/>
        <w:szCs w:val="22"/>
      </w:rPr>
      <w:fldChar w:fldCharType="end"/>
    </w:r>
  </w:p>
  <w:p w:rsidRPr="00FF2B40" w:rsidR="0019216F" w:rsidP="00FF2B40" w:rsidRDefault="0019216F" w14:paraId="33457BC6" w14:textId="2E1E52D2">
    <w:pPr>
      <w:pStyle w:val="Footer"/>
      <w:ind w:right="36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2694F" w:rsidRDefault="0062694F" w14:paraId="5B9C8462" w14:textId="77777777">
      <w:r>
        <w:separator/>
      </w:r>
    </w:p>
  </w:footnote>
  <w:footnote w:type="continuationSeparator" w:id="0">
    <w:p w:rsidR="0062694F" w:rsidRDefault="0062694F" w14:paraId="022DE554" w14:textId="77777777">
      <w:r>
        <w:continuationSeparator/>
      </w:r>
    </w:p>
  </w:footnote>
  <w:footnote w:type="continuationNotice" w:id="1">
    <w:p w:rsidR="0062694F" w:rsidRDefault="0062694F" w14:paraId="29409DB5" w14:textId="77777777"/>
  </w:footnote>
  <w:footnote w:id="2">
    <w:p w:rsidRPr="002D28BB" w:rsidR="00D1280D" w:rsidRDefault="00D1280D" w14:paraId="3D49F801" w14:textId="38866976">
      <w:pPr>
        <w:pStyle w:val="FootnoteText"/>
        <w:rPr>
          <w:rFonts w:ascii="Arial" w:hAnsi="Arial" w:cs="Arial"/>
          <w:sz w:val="24"/>
          <w:szCs w:val="24"/>
        </w:rPr>
      </w:pPr>
      <w:r w:rsidRPr="002D28BB">
        <w:rPr>
          <w:rStyle w:val="FootnoteReference"/>
          <w:rFonts w:ascii="Arial" w:hAnsi="Arial" w:cs="Arial"/>
          <w:sz w:val="24"/>
          <w:szCs w:val="24"/>
        </w:rPr>
        <w:footnoteRef/>
      </w:r>
      <w:r w:rsidRPr="002D28BB">
        <w:rPr>
          <w:rFonts w:ascii="Arial" w:hAnsi="Arial" w:cs="Arial"/>
          <w:sz w:val="24"/>
          <w:szCs w:val="24"/>
        </w:rPr>
        <w:t xml:space="preserve"> Quality Withhold Measure</w:t>
      </w:r>
    </w:p>
  </w:footnote>
  <w:footnote w:id="3">
    <w:p w:rsidRPr="002D28BB" w:rsidR="00693338" w:rsidRDefault="00693338" w14:paraId="04C6F13B" w14:textId="2C659A8F">
      <w:pPr>
        <w:pStyle w:val="FootnoteText"/>
        <w:rPr>
          <w:rFonts w:ascii="Arial" w:hAnsi="Arial" w:cs="Arial"/>
          <w:sz w:val="24"/>
          <w:szCs w:val="24"/>
        </w:rPr>
      </w:pPr>
      <w:r w:rsidRPr="002D28BB">
        <w:rPr>
          <w:rStyle w:val="FootnoteReference"/>
          <w:rFonts w:ascii="Arial" w:hAnsi="Arial" w:cs="Arial"/>
          <w:sz w:val="24"/>
          <w:szCs w:val="24"/>
        </w:rPr>
        <w:footnoteRef/>
      </w:r>
      <w:r w:rsidRPr="002D28BB">
        <w:rPr>
          <w:rFonts w:ascii="Arial" w:hAnsi="Arial" w:cs="Arial"/>
          <w:sz w:val="24"/>
          <w:szCs w:val="24"/>
        </w:rPr>
        <w:t>Quality Withhold Measure</w:t>
      </w:r>
    </w:p>
  </w:footnote>
  <w:footnote w:id="4">
    <w:p w:rsidRPr="002D28BB" w:rsidR="00693338" w:rsidRDefault="00693338" w14:paraId="71BB066F" w14:textId="4B6A0BD8">
      <w:pPr>
        <w:pStyle w:val="FootnoteText"/>
        <w:rPr>
          <w:rFonts w:ascii="Arial" w:hAnsi="Arial" w:cs="Arial"/>
          <w:sz w:val="24"/>
          <w:szCs w:val="24"/>
        </w:rPr>
      </w:pPr>
      <w:r w:rsidRPr="002D28BB">
        <w:rPr>
          <w:rStyle w:val="FootnoteReference"/>
          <w:rFonts w:ascii="Arial" w:hAnsi="Arial" w:cs="Arial"/>
          <w:sz w:val="24"/>
          <w:szCs w:val="24"/>
        </w:rPr>
        <w:footnoteRef/>
      </w:r>
      <w:r w:rsidRPr="002D28BB">
        <w:rPr>
          <w:rFonts w:ascii="Arial" w:hAnsi="Arial" w:cs="Arial"/>
          <w:sz w:val="24"/>
          <w:szCs w:val="24"/>
        </w:rPr>
        <w:t xml:space="preserve"> Quality Withhold Measure</w:t>
      </w:r>
    </w:p>
  </w:footnote>
  <w:footnote w:id="5">
    <w:p w:rsidRPr="002D28BB" w:rsidR="00201D73" w:rsidRDefault="00201D73" w14:paraId="1A769C15" w14:textId="15D21F1F">
      <w:pPr>
        <w:pStyle w:val="FootnoteText"/>
        <w:rPr>
          <w:rFonts w:ascii="Arial" w:hAnsi="Arial" w:cs="Arial"/>
          <w:sz w:val="24"/>
          <w:szCs w:val="24"/>
        </w:rPr>
      </w:pPr>
      <w:r w:rsidRPr="002D28BB">
        <w:rPr>
          <w:rStyle w:val="FootnoteReference"/>
          <w:rFonts w:ascii="Arial" w:hAnsi="Arial" w:cs="Arial"/>
          <w:sz w:val="36"/>
          <w:szCs w:val="36"/>
        </w:rPr>
        <w:footnoteRef/>
      </w:r>
      <w:r w:rsidRPr="002D28BB">
        <w:rPr>
          <w:rFonts w:ascii="Arial" w:hAnsi="Arial" w:cs="Arial"/>
          <w:sz w:val="36"/>
          <w:szCs w:val="36"/>
        </w:rPr>
        <w:t xml:space="preserve"> </w:t>
      </w:r>
      <w:r w:rsidRPr="002D28BB">
        <w:rPr>
          <w:rFonts w:ascii="Arial" w:hAnsi="Arial" w:cs="Arial"/>
          <w:sz w:val="24"/>
          <w:szCs w:val="24"/>
        </w:rPr>
        <w:t>Quality Withhold Measure</w:t>
      </w:r>
    </w:p>
  </w:footnote>
  <w:footnote w:id="6">
    <w:p w:rsidRPr="002D28BB" w:rsidR="00693338" w:rsidRDefault="00693338" w14:paraId="0AB8142C" w14:textId="3371D405">
      <w:pPr>
        <w:pStyle w:val="FootnoteText"/>
        <w:rPr>
          <w:rFonts w:ascii="Arial" w:hAnsi="Arial" w:cs="Arial"/>
          <w:sz w:val="24"/>
          <w:szCs w:val="24"/>
        </w:rPr>
      </w:pPr>
      <w:r w:rsidRPr="002D28BB">
        <w:rPr>
          <w:rStyle w:val="FootnoteReference"/>
          <w:rFonts w:ascii="Arial" w:hAnsi="Arial" w:cs="Arial"/>
          <w:sz w:val="24"/>
          <w:szCs w:val="24"/>
        </w:rPr>
        <w:footnoteRef/>
      </w:r>
      <w:r w:rsidRPr="002D28BB">
        <w:rPr>
          <w:rFonts w:ascii="Arial" w:hAnsi="Arial" w:cs="Arial"/>
          <w:sz w:val="24"/>
          <w:szCs w:val="24"/>
        </w:rPr>
        <w:t xml:space="preserve"> Quality Withhold Measure</w:t>
      </w:r>
    </w:p>
  </w:footnote>
  <w:footnote w:id="7">
    <w:p w:rsidRPr="002D28BB" w:rsidR="00201D73" w:rsidRDefault="00201D73" w14:paraId="20120583" w14:textId="7696C798">
      <w:pPr>
        <w:pStyle w:val="FootnoteText"/>
        <w:rPr>
          <w:rFonts w:ascii="Arial" w:hAnsi="Arial" w:cs="Arial"/>
          <w:sz w:val="24"/>
          <w:szCs w:val="24"/>
        </w:rPr>
      </w:pPr>
      <w:r w:rsidRPr="002C3891">
        <w:rPr>
          <w:rStyle w:val="FootnoteReference"/>
          <w:sz w:val="28"/>
          <w:szCs w:val="28"/>
        </w:rPr>
        <w:footnoteRef/>
      </w:r>
      <w:r w:rsidRPr="002C3891">
        <w:rPr>
          <w:sz w:val="28"/>
          <w:szCs w:val="28"/>
        </w:rPr>
        <w:t xml:space="preserve"> </w:t>
      </w:r>
      <w:r w:rsidRPr="002D28BB">
        <w:rPr>
          <w:rFonts w:ascii="Arial" w:hAnsi="Arial" w:cs="Arial"/>
          <w:sz w:val="24"/>
          <w:szCs w:val="24"/>
        </w:rPr>
        <w:t>Quality Withhold Measure</w:t>
      </w:r>
    </w:p>
  </w:footnote>
  <w:footnote w:id="8">
    <w:p w:rsidR="007E318D" w:rsidRDefault="007E318D" w14:paraId="2DB86A52" w14:textId="7D98BC19">
      <w:pPr>
        <w:pStyle w:val="FootnoteText"/>
      </w:pPr>
      <w:r w:rsidRPr="002D28BB">
        <w:rPr>
          <w:rStyle w:val="FootnoteReference"/>
          <w:rFonts w:ascii="Arial" w:hAnsi="Arial" w:cs="Arial"/>
          <w:sz w:val="24"/>
          <w:szCs w:val="24"/>
        </w:rPr>
        <w:footnoteRef/>
      </w:r>
      <w:r w:rsidRPr="002D28BB">
        <w:rPr>
          <w:rFonts w:ascii="Arial" w:hAnsi="Arial" w:cs="Arial"/>
          <w:sz w:val="24"/>
          <w:szCs w:val="24"/>
        </w:rPr>
        <w:t xml:space="preserve"> Quality Withhold Measure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D28BB" w:rsidR="00134709" w:rsidRDefault="09AAB8D4" w14:paraId="5D238084" w14:textId="7EB291E1">
    <w:pPr>
      <w:pStyle w:val="Header"/>
      <w:rPr>
        <w:rFonts w:ascii="Arial" w:hAnsi="Arial" w:cs="Arial"/>
      </w:rPr>
    </w:pPr>
    <w:r w:rsidRPr="002D28BB">
      <w:rPr>
        <w:rFonts w:ascii="Arial" w:hAnsi="Arial" w:cs="Arial"/>
      </w:rPr>
      <w:t xml:space="preserve">Draft SCO Appendix </w:t>
    </w:r>
    <w:r w:rsidRPr="002D28BB" w:rsidR="009D07F2">
      <w:rPr>
        <w:rFonts w:ascii="Arial" w:hAnsi="Arial" w:cs="Arial"/>
      </w:rPr>
      <w:t>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9AAB8D4" w:rsidTr="00CD71D9" w14:paraId="066CCBAA" w14:textId="77777777">
      <w:trPr>
        <w:trHeight w:val="300"/>
      </w:trPr>
      <w:tc>
        <w:tcPr>
          <w:tcW w:w="3600" w:type="dxa"/>
        </w:tcPr>
        <w:p w:rsidR="09AAB8D4" w:rsidP="00B5500D" w:rsidRDefault="09AAB8D4" w14:paraId="5041B3B1" w14:textId="23F375EC">
          <w:pPr>
            <w:pStyle w:val="Header"/>
            <w:ind w:left="-115"/>
          </w:pPr>
        </w:p>
      </w:tc>
      <w:tc>
        <w:tcPr>
          <w:tcW w:w="3600" w:type="dxa"/>
        </w:tcPr>
        <w:p w:rsidR="09AAB8D4" w:rsidP="00B5500D" w:rsidRDefault="09AAB8D4" w14:paraId="73698453" w14:textId="6D6B6FCF">
          <w:pPr>
            <w:pStyle w:val="Header"/>
            <w:jc w:val="center"/>
          </w:pPr>
        </w:p>
      </w:tc>
      <w:tc>
        <w:tcPr>
          <w:tcW w:w="3600" w:type="dxa"/>
        </w:tcPr>
        <w:p w:rsidR="09AAB8D4" w:rsidP="00B5500D" w:rsidRDefault="09AAB8D4" w14:paraId="43761EB2" w14:textId="74CA9381">
          <w:pPr>
            <w:pStyle w:val="Header"/>
            <w:ind w:right="-115"/>
            <w:jc w:val="right"/>
          </w:pPr>
        </w:p>
      </w:tc>
    </w:tr>
  </w:tbl>
  <w:p w:rsidR="09AAB8D4" w:rsidP="00CD71D9" w:rsidRDefault="09AAB8D4" w14:paraId="2EE8FA1A" w14:textId="107C54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09AAB8D4" w:rsidTr="00CD71D9" w14:paraId="6CF5DE17" w14:textId="77777777">
      <w:trPr>
        <w:trHeight w:val="300"/>
      </w:trPr>
      <w:tc>
        <w:tcPr>
          <w:tcW w:w="4800" w:type="dxa"/>
        </w:tcPr>
        <w:p w:rsidR="09AAB8D4" w:rsidP="00CD71D9" w:rsidRDefault="09AAB8D4" w14:paraId="70A30EAC" w14:textId="4E797FA4">
          <w:pPr>
            <w:pStyle w:val="Header"/>
            <w:ind w:left="-115"/>
          </w:pPr>
        </w:p>
      </w:tc>
      <w:tc>
        <w:tcPr>
          <w:tcW w:w="4800" w:type="dxa"/>
        </w:tcPr>
        <w:p w:rsidR="09AAB8D4" w:rsidP="00CD71D9" w:rsidRDefault="09AAB8D4" w14:paraId="6FE0F988" w14:textId="020F8D11">
          <w:pPr>
            <w:pStyle w:val="Header"/>
            <w:jc w:val="center"/>
          </w:pPr>
        </w:p>
      </w:tc>
      <w:tc>
        <w:tcPr>
          <w:tcW w:w="4800" w:type="dxa"/>
        </w:tcPr>
        <w:p w:rsidR="09AAB8D4" w:rsidP="00CD71D9" w:rsidRDefault="09AAB8D4" w14:paraId="3A318EF0" w14:textId="6F03549E">
          <w:pPr>
            <w:pStyle w:val="Header"/>
            <w:ind w:right="-115"/>
            <w:jc w:val="right"/>
          </w:pPr>
        </w:p>
      </w:tc>
    </w:tr>
  </w:tbl>
  <w:p w:rsidR="09AAB8D4" w:rsidP="00CD71D9" w:rsidRDefault="09AAB8D4" w14:paraId="0F25EBD5" w14:textId="48BA9A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04C7" w:rsidP="008104C7" w:rsidRDefault="008104C7" w14:paraId="67B8B2FC" w14:textId="77777777">
    <w:pPr>
      <w:jc w:val="center"/>
      <w:rPr>
        <w:rFonts w:ascii="Calibri" w:hAnsi="Calibri" w:cs="Arial"/>
        <w:b/>
        <w:sz w:val="22"/>
        <w:szCs w:val="22"/>
      </w:rPr>
    </w:pPr>
    <w:r w:rsidRPr="00051A9D">
      <w:rPr>
        <w:rFonts w:ascii="Calibri" w:hAnsi="Calibri" w:cs="Arial"/>
        <w:b/>
        <w:sz w:val="22"/>
        <w:szCs w:val="22"/>
      </w:rPr>
      <w:t>APPENDIX B</w:t>
    </w:r>
  </w:p>
  <w:p w:rsidRPr="008104C7" w:rsidR="008104C7" w:rsidP="008104C7" w:rsidRDefault="008104C7" w14:paraId="4C90BD3D" w14:textId="06CE3748">
    <w:pPr>
      <w:jc w:val="center"/>
      <w:rPr>
        <w:rFonts w:ascii="Calibri" w:hAnsi="Calibri" w:cs="Arial"/>
        <w:b/>
        <w:sz w:val="22"/>
        <w:szCs w:val="22"/>
      </w:rPr>
    </w:pPr>
    <w:r w:rsidRPr="00051A9D">
      <w:rPr>
        <w:rFonts w:ascii="Calibri" w:hAnsi="Calibri" w:cs="Arial"/>
        <w:b/>
        <w:sz w:val="22"/>
        <w:szCs w:val="22"/>
      </w:rPr>
      <w:t>Quality Improvement Goals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1871" w:rsidP="00B11871" w:rsidRDefault="00B11871" w14:paraId="56F67640" w14:textId="23BC8CE4">
    <w:pPr>
      <w:jc w:val="center"/>
      <w:rPr>
        <w:rFonts w:ascii="Calibri" w:hAnsi="Calibri" w:cs="Arial"/>
        <w:b/>
        <w:sz w:val="22"/>
        <w:szCs w:val="22"/>
      </w:rPr>
    </w:pPr>
    <w:r w:rsidRPr="00051A9D">
      <w:rPr>
        <w:rFonts w:ascii="Calibri" w:hAnsi="Calibri" w:cs="Arial"/>
        <w:b/>
        <w:sz w:val="22"/>
        <w:szCs w:val="22"/>
      </w:rPr>
      <w:t xml:space="preserve">APPENDIX </w:t>
    </w:r>
    <w:r w:rsidR="008D745E">
      <w:rPr>
        <w:rFonts w:ascii="Calibri" w:hAnsi="Calibri" w:cs="Arial"/>
        <w:b/>
        <w:sz w:val="22"/>
        <w:szCs w:val="22"/>
      </w:rPr>
      <w:t>E</w:t>
    </w:r>
  </w:p>
  <w:p w:rsidR="00B11871" w:rsidP="00B11871" w:rsidRDefault="00CF0979" w14:paraId="48235D53" w14:textId="2BD430C8">
    <w:pPr>
      <w:jc w:val="center"/>
      <w:rPr>
        <w:rFonts w:ascii="Calibri" w:hAnsi="Calibri" w:cs="Arial"/>
        <w:b/>
        <w:sz w:val="22"/>
        <w:szCs w:val="22"/>
      </w:rPr>
    </w:pPr>
    <w:r>
      <w:rPr>
        <w:rFonts w:ascii="Calibri" w:hAnsi="Calibri" w:cs="Arial"/>
        <w:b/>
        <w:sz w:val="22"/>
        <w:szCs w:val="22"/>
      </w:rPr>
      <w:t>Performance</w:t>
    </w:r>
    <w:r w:rsidRPr="00051A9D" w:rsidR="00B11871">
      <w:rPr>
        <w:rFonts w:ascii="Calibri" w:hAnsi="Calibri" w:cs="Arial"/>
        <w:b/>
        <w:sz w:val="22"/>
        <w:szCs w:val="22"/>
      </w:rPr>
      <w:t xml:space="preserve"> Improvement Goals</w:t>
    </w:r>
  </w:p>
  <w:p w:rsidR="00B11871" w:rsidRDefault="00B11871" w14:paraId="31DF7C5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39C"/>
    <w:multiLevelType w:val="hybridMultilevel"/>
    <w:tmpl w:val="4180548C"/>
    <w:lvl w:ilvl="0" w:tplc="04090001">
      <w:start w:val="1"/>
      <w:numFmt w:val="bullet"/>
      <w:lvlText w:val=""/>
      <w:lvlJc w:val="left"/>
      <w:pPr>
        <w:ind w:left="360" w:hanging="360"/>
      </w:pPr>
      <w:rPr>
        <w:rFonts w:hint="default" w:ascii="Symbol" w:hAnsi="Symbol"/>
        <w:i w:val="0"/>
        <w:iCs w:val="0"/>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18618FA"/>
    <w:multiLevelType w:val="hybridMultilevel"/>
    <w:tmpl w:val="AAE6CD5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1B539BD"/>
    <w:multiLevelType w:val="hybridMultilevel"/>
    <w:tmpl w:val="A5703DDA"/>
    <w:lvl w:ilvl="0" w:tplc="04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0DF7EBC"/>
    <w:multiLevelType w:val="hybridMultilevel"/>
    <w:tmpl w:val="D6249C40"/>
    <w:lvl w:ilvl="0" w:tplc="04090001">
      <w:start w:val="1"/>
      <w:numFmt w:val="bullet"/>
      <w:lvlText w:val=""/>
      <w:lvlJc w:val="left"/>
      <w:pPr>
        <w:ind w:left="1530" w:hanging="360"/>
      </w:pPr>
      <w:rPr>
        <w:rFonts w:hint="default" w:ascii="Symbol" w:hAnsi="Symbol"/>
      </w:rPr>
    </w:lvl>
    <w:lvl w:ilvl="1" w:tplc="04090003" w:tentative="1">
      <w:start w:val="1"/>
      <w:numFmt w:val="bullet"/>
      <w:lvlText w:val="o"/>
      <w:lvlJc w:val="left"/>
      <w:pPr>
        <w:ind w:left="2250" w:hanging="360"/>
      </w:pPr>
      <w:rPr>
        <w:rFonts w:hint="default" w:ascii="Courier New" w:hAnsi="Courier New" w:cs="Courier New"/>
      </w:rPr>
    </w:lvl>
    <w:lvl w:ilvl="2" w:tplc="04090005" w:tentative="1">
      <w:start w:val="1"/>
      <w:numFmt w:val="bullet"/>
      <w:lvlText w:val=""/>
      <w:lvlJc w:val="left"/>
      <w:pPr>
        <w:ind w:left="2970" w:hanging="360"/>
      </w:pPr>
      <w:rPr>
        <w:rFonts w:hint="default" w:ascii="Wingdings" w:hAnsi="Wingdings"/>
      </w:rPr>
    </w:lvl>
    <w:lvl w:ilvl="3" w:tplc="04090001" w:tentative="1">
      <w:start w:val="1"/>
      <w:numFmt w:val="bullet"/>
      <w:lvlText w:val=""/>
      <w:lvlJc w:val="left"/>
      <w:pPr>
        <w:ind w:left="3690" w:hanging="360"/>
      </w:pPr>
      <w:rPr>
        <w:rFonts w:hint="default" w:ascii="Symbol" w:hAnsi="Symbol"/>
      </w:rPr>
    </w:lvl>
    <w:lvl w:ilvl="4" w:tplc="04090003" w:tentative="1">
      <w:start w:val="1"/>
      <w:numFmt w:val="bullet"/>
      <w:lvlText w:val="o"/>
      <w:lvlJc w:val="left"/>
      <w:pPr>
        <w:ind w:left="4410" w:hanging="360"/>
      </w:pPr>
      <w:rPr>
        <w:rFonts w:hint="default" w:ascii="Courier New" w:hAnsi="Courier New" w:cs="Courier New"/>
      </w:rPr>
    </w:lvl>
    <w:lvl w:ilvl="5" w:tplc="04090005" w:tentative="1">
      <w:start w:val="1"/>
      <w:numFmt w:val="bullet"/>
      <w:lvlText w:val=""/>
      <w:lvlJc w:val="left"/>
      <w:pPr>
        <w:ind w:left="5130" w:hanging="360"/>
      </w:pPr>
      <w:rPr>
        <w:rFonts w:hint="default" w:ascii="Wingdings" w:hAnsi="Wingdings"/>
      </w:rPr>
    </w:lvl>
    <w:lvl w:ilvl="6" w:tplc="04090001" w:tentative="1">
      <w:start w:val="1"/>
      <w:numFmt w:val="bullet"/>
      <w:lvlText w:val=""/>
      <w:lvlJc w:val="left"/>
      <w:pPr>
        <w:ind w:left="5850" w:hanging="360"/>
      </w:pPr>
      <w:rPr>
        <w:rFonts w:hint="default" w:ascii="Symbol" w:hAnsi="Symbol"/>
      </w:rPr>
    </w:lvl>
    <w:lvl w:ilvl="7" w:tplc="04090003" w:tentative="1">
      <w:start w:val="1"/>
      <w:numFmt w:val="bullet"/>
      <w:lvlText w:val="o"/>
      <w:lvlJc w:val="left"/>
      <w:pPr>
        <w:ind w:left="6570" w:hanging="360"/>
      </w:pPr>
      <w:rPr>
        <w:rFonts w:hint="default" w:ascii="Courier New" w:hAnsi="Courier New" w:cs="Courier New"/>
      </w:rPr>
    </w:lvl>
    <w:lvl w:ilvl="8" w:tplc="04090005" w:tentative="1">
      <w:start w:val="1"/>
      <w:numFmt w:val="bullet"/>
      <w:lvlText w:val=""/>
      <w:lvlJc w:val="left"/>
      <w:pPr>
        <w:ind w:left="7290" w:hanging="360"/>
      </w:pPr>
      <w:rPr>
        <w:rFonts w:hint="default" w:ascii="Wingdings" w:hAnsi="Wingdings"/>
      </w:rPr>
    </w:lvl>
  </w:abstractNum>
  <w:abstractNum w:abstractNumId="4" w15:restartNumberingAfterBreak="0">
    <w:nsid w:val="12696C8B"/>
    <w:multiLevelType w:val="hybridMultilevel"/>
    <w:tmpl w:val="0E1CABCE"/>
    <w:lvl w:ilvl="0" w:tplc="04090001">
      <w:start w:val="1"/>
      <w:numFmt w:val="bullet"/>
      <w:lvlText w:val=""/>
      <w:lvlJc w:val="left"/>
      <w:pPr>
        <w:ind w:left="360" w:hanging="360"/>
      </w:pPr>
      <w:rPr>
        <w:rFonts w:hint="default" w:ascii="Symbol" w:hAnsi="Symbol"/>
        <w:i w:val="0"/>
        <w:iCs w:val="0"/>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51A37F8"/>
    <w:multiLevelType w:val="hybridMultilevel"/>
    <w:tmpl w:val="CE2294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8680085"/>
    <w:multiLevelType w:val="hybridMultilevel"/>
    <w:tmpl w:val="220C9C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A990534"/>
    <w:multiLevelType w:val="hybridMultilevel"/>
    <w:tmpl w:val="50507688"/>
    <w:lvl w:ilvl="0" w:tplc="04090001">
      <w:start w:val="1"/>
      <w:numFmt w:val="bullet"/>
      <w:lvlText w:val=""/>
      <w:lvlJc w:val="left"/>
      <w:pPr>
        <w:ind w:left="360" w:hanging="360"/>
      </w:pPr>
      <w:rPr>
        <w:rFonts w:hint="default" w:ascii="Symbol" w:hAnsi="Symbol"/>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2C406E"/>
    <w:multiLevelType w:val="hybridMultilevel"/>
    <w:tmpl w:val="5510C2DC"/>
    <w:lvl w:ilvl="0" w:tplc="04090001">
      <w:start w:val="1"/>
      <w:numFmt w:val="bullet"/>
      <w:lvlText w:val=""/>
      <w:lvlJc w:val="left"/>
      <w:pPr>
        <w:ind w:left="360" w:hanging="360"/>
      </w:pPr>
      <w:rPr>
        <w:rFonts w:hint="default" w:ascii="Symbol" w:hAnsi="Symbol"/>
        <w:i w:val="0"/>
        <w:iCs w:val="0"/>
        <w:sz w:val="22"/>
        <w:szCs w:val="22"/>
      </w:rPr>
    </w:lvl>
    <w:lvl w:ilvl="1" w:tplc="FC724134">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4532F1A"/>
    <w:multiLevelType w:val="hybridMultilevel"/>
    <w:tmpl w:val="8D36F1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DB87E67"/>
    <w:multiLevelType w:val="hybridMultilevel"/>
    <w:tmpl w:val="F900FA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FB4140E"/>
    <w:multiLevelType w:val="hybridMultilevel"/>
    <w:tmpl w:val="5482726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45C60CD0"/>
    <w:multiLevelType w:val="hybridMultilevel"/>
    <w:tmpl w:val="74007E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BF81EF2"/>
    <w:multiLevelType w:val="hybridMultilevel"/>
    <w:tmpl w:val="AAAAB2E6"/>
    <w:lvl w:ilvl="0" w:tplc="04090001">
      <w:start w:val="1"/>
      <w:numFmt w:val="bullet"/>
      <w:lvlText w:val=""/>
      <w:lvlJc w:val="left"/>
      <w:pPr>
        <w:ind w:left="360" w:hanging="360"/>
      </w:pPr>
      <w:rPr>
        <w:rFonts w:hint="default" w:ascii="Symbol" w:hAnsi="Symbol"/>
        <w:i w:val="0"/>
        <w:iCs w:val="0"/>
        <w:sz w:val="22"/>
        <w:szCs w:val="22"/>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4" w15:restartNumberingAfterBreak="0">
    <w:nsid w:val="50E35D7B"/>
    <w:multiLevelType w:val="hybridMultilevel"/>
    <w:tmpl w:val="CA92C0EC"/>
    <w:lvl w:ilvl="0" w:tplc="04090001">
      <w:start w:val="1"/>
      <w:numFmt w:val="bullet"/>
      <w:lvlText w:val=""/>
      <w:lvlJc w:val="left"/>
      <w:pPr>
        <w:ind w:left="360" w:hanging="360"/>
      </w:pPr>
      <w:rPr>
        <w:rFonts w:hint="default" w:ascii="Symbol" w:hAnsi="Symbol"/>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7806755"/>
    <w:multiLevelType w:val="hybridMultilevel"/>
    <w:tmpl w:val="89422984"/>
    <w:lvl w:ilvl="0" w:tplc="F6FA6B4C">
      <w:start w:val="1"/>
      <w:numFmt w:val="decimal"/>
      <w:lvlText w:val="%1."/>
      <w:lvlJc w:val="left"/>
      <w:pPr>
        <w:ind w:left="720" w:hanging="360"/>
      </w:pPr>
      <w:rPr>
        <w:rFonts w:hint="default" w:ascii="Cambria" w:hAnsi="Cambria"/>
        <w:i w:val="0"/>
        <w:iCs w:val="0"/>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811412"/>
    <w:multiLevelType w:val="hybridMultilevel"/>
    <w:tmpl w:val="93D8628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7" w15:restartNumberingAfterBreak="0">
    <w:nsid w:val="78FE0D93"/>
    <w:multiLevelType w:val="hybridMultilevel"/>
    <w:tmpl w:val="CE0C34C2"/>
    <w:lvl w:ilvl="0" w:tplc="40E63286">
      <w:start w:val="1"/>
      <w:numFmt w:val="decimal"/>
      <w:lvlText w:val="%1."/>
      <w:lvlJc w:val="left"/>
      <w:pPr>
        <w:ind w:left="360" w:hanging="360"/>
      </w:pPr>
      <w:rPr>
        <w:rFonts w:hint="default" w:ascii="Times New Roman" w:hAnsi="Times New Roman" w:cs="Times New Roman"/>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9724C84"/>
    <w:multiLevelType w:val="hybridMultilevel"/>
    <w:tmpl w:val="6E8EC20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9" w15:restartNumberingAfterBreak="0">
    <w:nsid w:val="7D4939D3"/>
    <w:multiLevelType w:val="hybridMultilevel"/>
    <w:tmpl w:val="2D823B7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1109350532">
    <w:abstractNumId w:val="15"/>
  </w:num>
  <w:num w:numId="2" w16cid:durableId="148137720">
    <w:abstractNumId w:val="16"/>
  </w:num>
  <w:num w:numId="3" w16cid:durableId="1859738344">
    <w:abstractNumId w:val="13"/>
  </w:num>
  <w:num w:numId="4" w16cid:durableId="1500265653">
    <w:abstractNumId w:val="7"/>
  </w:num>
  <w:num w:numId="5" w16cid:durableId="1642149246">
    <w:abstractNumId w:val="14"/>
  </w:num>
  <w:num w:numId="6" w16cid:durableId="2122602834">
    <w:abstractNumId w:val="17"/>
  </w:num>
  <w:num w:numId="7" w16cid:durableId="912399780">
    <w:abstractNumId w:val="2"/>
  </w:num>
  <w:num w:numId="8" w16cid:durableId="2115515869">
    <w:abstractNumId w:val="8"/>
  </w:num>
  <w:num w:numId="9" w16cid:durableId="1025327943">
    <w:abstractNumId w:val="11"/>
  </w:num>
  <w:num w:numId="10" w16cid:durableId="1626504337">
    <w:abstractNumId w:val="0"/>
  </w:num>
  <w:num w:numId="11" w16cid:durableId="1330448257">
    <w:abstractNumId w:val="4"/>
  </w:num>
  <w:num w:numId="12" w16cid:durableId="1815945224">
    <w:abstractNumId w:val="3"/>
  </w:num>
  <w:num w:numId="13" w16cid:durableId="701595261">
    <w:abstractNumId w:val="12"/>
  </w:num>
  <w:num w:numId="14" w16cid:durableId="690843772">
    <w:abstractNumId w:val="6"/>
  </w:num>
  <w:num w:numId="15" w16cid:durableId="416095091">
    <w:abstractNumId w:val="10"/>
  </w:num>
  <w:num w:numId="16" w16cid:durableId="260531681">
    <w:abstractNumId w:val="9"/>
  </w:num>
  <w:num w:numId="17" w16cid:durableId="719211367">
    <w:abstractNumId w:val="19"/>
  </w:num>
  <w:num w:numId="18" w16cid:durableId="1977025091">
    <w:abstractNumId w:val="18"/>
  </w:num>
  <w:num w:numId="19" w16cid:durableId="632828070">
    <w:abstractNumId w:val="5"/>
  </w:num>
  <w:num w:numId="20" w16cid:durableId="851257636">
    <w:abstractNumId w:val="1"/>
  </w:num>
  <w:numIdMacAtCleanup w:val="2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5F3"/>
    <w:rsid w:val="00000B44"/>
    <w:rsid w:val="00000BB3"/>
    <w:rsid w:val="00000D61"/>
    <w:rsid w:val="0000128A"/>
    <w:rsid w:val="000012C8"/>
    <w:rsid w:val="0000165A"/>
    <w:rsid w:val="0000236A"/>
    <w:rsid w:val="000027B4"/>
    <w:rsid w:val="000031BA"/>
    <w:rsid w:val="00003586"/>
    <w:rsid w:val="000039CC"/>
    <w:rsid w:val="00003FEA"/>
    <w:rsid w:val="00004236"/>
    <w:rsid w:val="000049B4"/>
    <w:rsid w:val="00004D00"/>
    <w:rsid w:val="00004E68"/>
    <w:rsid w:val="000063DF"/>
    <w:rsid w:val="000064DE"/>
    <w:rsid w:val="000072EE"/>
    <w:rsid w:val="00007B47"/>
    <w:rsid w:val="00010088"/>
    <w:rsid w:val="000110AB"/>
    <w:rsid w:val="0001167E"/>
    <w:rsid w:val="00011D7B"/>
    <w:rsid w:val="000136F7"/>
    <w:rsid w:val="000137CE"/>
    <w:rsid w:val="000138CD"/>
    <w:rsid w:val="00013BD3"/>
    <w:rsid w:val="00013E91"/>
    <w:rsid w:val="0001459F"/>
    <w:rsid w:val="000157C1"/>
    <w:rsid w:val="00016731"/>
    <w:rsid w:val="0001734D"/>
    <w:rsid w:val="0002007D"/>
    <w:rsid w:val="000201B5"/>
    <w:rsid w:val="0002148B"/>
    <w:rsid w:val="00021697"/>
    <w:rsid w:val="000219FD"/>
    <w:rsid w:val="00021FC7"/>
    <w:rsid w:val="00022EAD"/>
    <w:rsid w:val="00022FBA"/>
    <w:rsid w:val="00024A9E"/>
    <w:rsid w:val="00024F25"/>
    <w:rsid w:val="0002534E"/>
    <w:rsid w:val="0002569D"/>
    <w:rsid w:val="00025ACE"/>
    <w:rsid w:val="000260CE"/>
    <w:rsid w:val="00026B47"/>
    <w:rsid w:val="00026C16"/>
    <w:rsid w:val="000273FC"/>
    <w:rsid w:val="000278B6"/>
    <w:rsid w:val="00030600"/>
    <w:rsid w:val="000323DF"/>
    <w:rsid w:val="00033329"/>
    <w:rsid w:val="0003334E"/>
    <w:rsid w:val="00033804"/>
    <w:rsid w:val="00033812"/>
    <w:rsid w:val="00033CEC"/>
    <w:rsid w:val="00033FFA"/>
    <w:rsid w:val="00034445"/>
    <w:rsid w:val="0003457A"/>
    <w:rsid w:val="00034B5D"/>
    <w:rsid w:val="00034C0A"/>
    <w:rsid w:val="00036076"/>
    <w:rsid w:val="000362DE"/>
    <w:rsid w:val="0003662E"/>
    <w:rsid w:val="0003680D"/>
    <w:rsid w:val="00037D58"/>
    <w:rsid w:val="00037E61"/>
    <w:rsid w:val="00040FBD"/>
    <w:rsid w:val="000411B0"/>
    <w:rsid w:val="00041318"/>
    <w:rsid w:val="000417A9"/>
    <w:rsid w:val="00041E9F"/>
    <w:rsid w:val="0004235E"/>
    <w:rsid w:val="0004240A"/>
    <w:rsid w:val="00043EDE"/>
    <w:rsid w:val="00044280"/>
    <w:rsid w:val="000444E4"/>
    <w:rsid w:val="00044513"/>
    <w:rsid w:val="00044B33"/>
    <w:rsid w:val="00044BD5"/>
    <w:rsid w:val="00044E3C"/>
    <w:rsid w:val="00044F60"/>
    <w:rsid w:val="00045237"/>
    <w:rsid w:val="0004558C"/>
    <w:rsid w:val="00045B7A"/>
    <w:rsid w:val="00045E3B"/>
    <w:rsid w:val="000465DB"/>
    <w:rsid w:val="00046DC5"/>
    <w:rsid w:val="00046E07"/>
    <w:rsid w:val="00047E90"/>
    <w:rsid w:val="00047FB7"/>
    <w:rsid w:val="00050526"/>
    <w:rsid w:val="000508FC"/>
    <w:rsid w:val="00050B5F"/>
    <w:rsid w:val="0005117A"/>
    <w:rsid w:val="0005199D"/>
    <w:rsid w:val="00051A70"/>
    <w:rsid w:val="00051A9D"/>
    <w:rsid w:val="00051C48"/>
    <w:rsid w:val="00052210"/>
    <w:rsid w:val="00052C31"/>
    <w:rsid w:val="00053409"/>
    <w:rsid w:val="00053B8C"/>
    <w:rsid w:val="00053C27"/>
    <w:rsid w:val="00053C51"/>
    <w:rsid w:val="0005424B"/>
    <w:rsid w:val="000542AA"/>
    <w:rsid w:val="000542CB"/>
    <w:rsid w:val="00054B7F"/>
    <w:rsid w:val="00054D69"/>
    <w:rsid w:val="000563ED"/>
    <w:rsid w:val="00056BF8"/>
    <w:rsid w:val="00057902"/>
    <w:rsid w:val="00057914"/>
    <w:rsid w:val="00061134"/>
    <w:rsid w:val="00061761"/>
    <w:rsid w:val="00062CBB"/>
    <w:rsid w:val="00063C11"/>
    <w:rsid w:val="00064286"/>
    <w:rsid w:val="00064A8E"/>
    <w:rsid w:val="000654A1"/>
    <w:rsid w:val="00065D1C"/>
    <w:rsid w:val="000661A7"/>
    <w:rsid w:val="00066A9E"/>
    <w:rsid w:val="000670C7"/>
    <w:rsid w:val="00067242"/>
    <w:rsid w:val="000677B2"/>
    <w:rsid w:val="00067A04"/>
    <w:rsid w:val="00067BEE"/>
    <w:rsid w:val="00067D0D"/>
    <w:rsid w:val="000702A8"/>
    <w:rsid w:val="00070735"/>
    <w:rsid w:val="000708AB"/>
    <w:rsid w:val="000715E9"/>
    <w:rsid w:val="00072143"/>
    <w:rsid w:val="000721DF"/>
    <w:rsid w:val="00072581"/>
    <w:rsid w:val="00072D50"/>
    <w:rsid w:val="00073341"/>
    <w:rsid w:val="00073B0B"/>
    <w:rsid w:val="00073D60"/>
    <w:rsid w:val="00073D67"/>
    <w:rsid w:val="00074587"/>
    <w:rsid w:val="00074C85"/>
    <w:rsid w:val="00074EFC"/>
    <w:rsid w:val="000754ED"/>
    <w:rsid w:val="00076344"/>
    <w:rsid w:val="00076441"/>
    <w:rsid w:val="00076494"/>
    <w:rsid w:val="00076B04"/>
    <w:rsid w:val="00076D10"/>
    <w:rsid w:val="00076FBE"/>
    <w:rsid w:val="0007717A"/>
    <w:rsid w:val="000773D6"/>
    <w:rsid w:val="00077B5B"/>
    <w:rsid w:val="00077B92"/>
    <w:rsid w:val="00077EDA"/>
    <w:rsid w:val="00080294"/>
    <w:rsid w:val="000812CE"/>
    <w:rsid w:val="00081356"/>
    <w:rsid w:val="0008216F"/>
    <w:rsid w:val="000821DC"/>
    <w:rsid w:val="000822F7"/>
    <w:rsid w:val="00082F64"/>
    <w:rsid w:val="00083388"/>
    <w:rsid w:val="00083687"/>
    <w:rsid w:val="00083EC5"/>
    <w:rsid w:val="00084532"/>
    <w:rsid w:val="000849F1"/>
    <w:rsid w:val="00084CCF"/>
    <w:rsid w:val="000859AA"/>
    <w:rsid w:val="00086071"/>
    <w:rsid w:val="00086200"/>
    <w:rsid w:val="0008678E"/>
    <w:rsid w:val="0008721A"/>
    <w:rsid w:val="00087EED"/>
    <w:rsid w:val="000908B0"/>
    <w:rsid w:val="0009090A"/>
    <w:rsid w:val="000909B3"/>
    <w:rsid w:val="000909B4"/>
    <w:rsid w:val="00091291"/>
    <w:rsid w:val="00091D52"/>
    <w:rsid w:val="00091FC3"/>
    <w:rsid w:val="0009295F"/>
    <w:rsid w:val="00092A59"/>
    <w:rsid w:val="00093FD2"/>
    <w:rsid w:val="0009407D"/>
    <w:rsid w:val="00094488"/>
    <w:rsid w:val="0009474C"/>
    <w:rsid w:val="000949D9"/>
    <w:rsid w:val="00094C36"/>
    <w:rsid w:val="00094ECA"/>
    <w:rsid w:val="00096794"/>
    <w:rsid w:val="00096A41"/>
    <w:rsid w:val="00096C08"/>
    <w:rsid w:val="00096C2A"/>
    <w:rsid w:val="00096D59"/>
    <w:rsid w:val="0009700F"/>
    <w:rsid w:val="0009709E"/>
    <w:rsid w:val="000974F8"/>
    <w:rsid w:val="000A117C"/>
    <w:rsid w:val="000A12B2"/>
    <w:rsid w:val="000A19CD"/>
    <w:rsid w:val="000A1D17"/>
    <w:rsid w:val="000A3B99"/>
    <w:rsid w:val="000A4060"/>
    <w:rsid w:val="000A4158"/>
    <w:rsid w:val="000A437A"/>
    <w:rsid w:val="000A48BC"/>
    <w:rsid w:val="000A4C4C"/>
    <w:rsid w:val="000A51AB"/>
    <w:rsid w:val="000A53FD"/>
    <w:rsid w:val="000A5829"/>
    <w:rsid w:val="000A5A40"/>
    <w:rsid w:val="000A5BAB"/>
    <w:rsid w:val="000A6422"/>
    <w:rsid w:val="000A667E"/>
    <w:rsid w:val="000A67A6"/>
    <w:rsid w:val="000A71BE"/>
    <w:rsid w:val="000B0323"/>
    <w:rsid w:val="000B05B2"/>
    <w:rsid w:val="000B08FC"/>
    <w:rsid w:val="000B0C37"/>
    <w:rsid w:val="000B2703"/>
    <w:rsid w:val="000B27F2"/>
    <w:rsid w:val="000B2E17"/>
    <w:rsid w:val="000B4065"/>
    <w:rsid w:val="000B498D"/>
    <w:rsid w:val="000B509B"/>
    <w:rsid w:val="000B5D37"/>
    <w:rsid w:val="000B6111"/>
    <w:rsid w:val="000B620B"/>
    <w:rsid w:val="000B67A8"/>
    <w:rsid w:val="000B6861"/>
    <w:rsid w:val="000B6969"/>
    <w:rsid w:val="000B6C3F"/>
    <w:rsid w:val="000B6F46"/>
    <w:rsid w:val="000B730B"/>
    <w:rsid w:val="000B7CF9"/>
    <w:rsid w:val="000C05EE"/>
    <w:rsid w:val="000C07A7"/>
    <w:rsid w:val="000C0841"/>
    <w:rsid w:val="000C0CF5"/>
    <w:rsid w:val="000C0FE2"/>
    <w:rsid w:val="000C1559"/>
    <w:rsid w:val="000C1E72"/>
    <w:rsid w:val="000C20B3"/>
    <w:rsid w:val="000C26E8"/>
    <w:rsid w:val="000C27A6"/>
    <w:rsid w:val="000C2CF2"/>
    <w:rsid w:val="000C32C2"/>
    <w:rsid w:val="000C33CD"/>
    <w:rsid w:val="000C3A4F"/>
    <w:rsid w:val="000C3AA7"/>
    <w:rsid w:val="000C4620"/>
    <w:rsid w:val="000C5149"/>
    <w:rsid w:val="000C51CD"/>
    <w:rsid w:val="000C67C6"/>
    <w:rsid w:val="000C71E1"/>
    <w:rsid w:val="000C7C56"/>
    <w:rsid w:val="000D0635"/>
    <w:rsid w:val="000D15CE"/>
    <w:rsid w:val="000D1AAD"/>
    <w:rsid w:val="000D22C1"/>
    <w:rsid w:val="000D2382"/>
    <w:rsid w:val="000D24C4"/>
    <w:rsid w:val="000D2612"/>
    <w:rsid w:val="000D27B3"/>
    <w:rsid w:val="000D32F1"/>
    <w:rsid w:val="000D38C8"/>
    <w:rsid w:val="000D3930"/>
    <w:rsid w:val="000D3E0A"/>
    <w:rsid w:val="000D3E84"/>
    <w:rsid w:val="000D4D2A"/>
    <w:rsid w:val="000D54AE"/>
    <w:rsid w:val="000D59CF"/>
    <w:rsid w:val="000D644F"/>
    <w:rsid w:val="000D68DE"/>
    <w:rsid w:val="000D6CC9"/>
    <w:rsid w:val="000D73A6"/>
    <w:rsid w:val="000E0AD1"/>
    <w:rsid w:val="000E1108"/>
    <w:rsid w:val="000E1A57"/>
    <w:rsid w:val="000E24B1"/>
    <w:rsid w:val="000E284D"/>
    <w:rsid w:val="000E297C"/>
    <w:rsid w:val="000E2AEC"/>
    <w:rsid w:val="000E2BB3"/>
    <w:rsid w:val="000E4682"/>
    <w:rsid w:val="000E4B99"/>
    <w:rsid w:val="000E53AD"/>
    <w:rsid w:val="000E571B"/>
    <w:rsid w:val="000E66D2"/>
    <w:rsid w:val="000E68C9"/>
    <w:rsid w:val="000E68F4"/>
    <w:rsid w:val="000E6A23"/>
    <w:rsid w:val="000E6D6E"/>
    <w:rsid w:val="000E727C"/>
    <w:rsid w:val="000F024E"/>
    <w:rsid w:val="000F09D9"/>
    <w:rsid w:val="000F0D3B"/>
    <w:rsid w:val="000F1043"/>
    <w:rsid w:val="000F1052"/>
    <w:rsid w:val="000F19DD"/>
    <w:rsid w:val="000F23C6"/>
    <w:rsid w:val="000F242A"/>
    <w:rsid w:val="000F2537"/>
    <w:rsid w:val="000F27C4"/>
    <w:rsid w:val="000F471C"/>
    <w:rsid w:val="000F53B0"/>
    <w:rsid w:val="000F5696"/>
    <w:rsid w:val="000F5A83"/>
    <w:rsid w:val="000F5FA2"/>
    <w:rsid w:val="000F6374"/>
    <w:rsid w:val="000F65BA"/>
    <w:rsid w:val="000F6B28"/>
    <w:rsid w:val="000F718E"/>
    <w:rsid w:val="0010004E"/>
    <w:rsid w:val="00100268"/>
    <w:rsid w:val="00100564"/>
    <w:rsid w:val="0010074D"/>
    <w:rsid w:val="00101569"/>
    <w:rsid w:val="00101BB9"/>
    <w:rsid w:val="00102A56"/>
    <w:rsid w:val="00102E47"/>
    <w:rsid w:val="00103247"/>
    <w:rsid w:val="001035EA"/>
    <w:rsid w:val="0010367C"/>
    <w:rsid w:val="00104107"/>
    <w:rsid w:val="001049E6"/>
    <w:rsid w:val="00104AC2"/>
    <w:rsid w:val="00104B20"/>
    <w:rsid w:val="00104FAF"/>
    <w:rsid w:val="001052AF"/>
    <w:rsid w:val="001055EB"/>
    <w:rsid w:val="001055F9"/>
    <w:rsid w:val="00105980"/>
    <w:rsid w:val="001069AF"/>
    <w:rsid w:val="00106BC2"/>
    <w:rsid w:val="0011013A"/>
    <w:rsid w:val="0011165E"/>
    <w:rsid w:val="001117FD"/>
    <w:rsid w:val="00111A0A"/>
    <w:rsid w:val="001129BB"/>
    <w:rsid w:val="00112BA5"/>
    <w:rsid w:val="00113FDE"/>
    <w:rsid w:val="0011409A"/>
    <w:rsid w:val="00114BB0"/>
    <w:rsid w:val="00114DC0"/>
    <w:rsid w:val="00115EB6"/>
    <w:rsid w:val="001160C5"/>
    <w:rsid w:val="001168C6"/>
    <w:rsid w:val="00117699"/>
    <w:rsid w:val="001177A8"/>
    <w:rsid w:val="00117C24"/>
    <w:rsid w:val="00117EC8"/>
    <w:rsid w:val="001208E4"/>
    <w:rsid w:val="00120CA6"/>
    <w:rsid w:val="00121088"/>
    <w:rsid w:val="00121805"/>
    <w:rsid w:val="00122244"/>
    <w:rsid w:val="00122E4E"/>
    <w:rsid w:val="00122F2A"/>
    <w:rsid w:val="001240F6"/>
    <w:rsid w:val="00124146"/>
    <w:rsid w:val="00124DE8"/>
    <w:rsid w:val="00125034"/>
    <w:rsid w:val="00125B45"/>
    <w:rsid w:val="00125F7B"/>
    <w:rsid w:val="00126722"/>
    <w:rsid w:val="0012787F"/>
    <w:rsid w:val="001278BB"/>
    <w:rsid w:val="00127AFF"/>
    <w:rsid w:val="00127B5D"/>
    <w:rsid w:val="00127F8C"/>
    <w:rsid w:val="00130627"/>
    <w:rsid w:val="00130BE6"/>
    <w:rsid w:val="00130FDB"/>
    <w:rsid w:val="00130FF6"/>
    <w:rsid w:val="00131B39"/>
    <w:rsid w:val="00132059"/>
    <w:rsid w:val="0013245C"/>
    <w:rsid w:val="00132C4D"/>
    <w:rsid w:val="00132C73"/>
    <w:rsid w:val="00132DE6"/>
    <w:rsid w:val="00132EB2"/>
    <w:rsid w:val="00133360"/>
    <w:rsid w:val="001340CC"/>
    <w:rsid w:val="00134423"/>
    <w:rsid w:val="00134656"/>
    <w:rsid w:val="00134709"/>
    <w:rsid w:val="001351E8"/>
    <w:rsid w:val="00135AC9"/>
    <w:rsid w:val="00135C7F"/>
    <w:rsid w:val="00136013"/>
    <w:rsid w:val="001365A6"/>
    <w:rsid w:val="001365E9"/>
    <w:rsid w:val="0013660A"/>
    <w:rsid w:val="00136D9A"/>
    <w:rsid w:val="0013706B"/>
    <w:rsid w:val="0013716F"/>
    <w:rsid w:val="001376A7"/>
    <w:rsid w:val="00140208"/>
    <w:rsid w:val="001405CC"/>
    <w:rsid w:val="001409DF"/>
    <w:rsid w:val="00140BBA"/>
    <w:rsid w:val="00140D2F"/>
    <w:rsid w:val="00141205"/>
    <w:rsid w:val="00141284"/>
    <w:rsid w:val="00141317"/>
    <w:rsid w:val="001416E8"/>
    <w:rsid w:val="00141794"/>
    <w:rsid w:val="00142061"/>
    <w:rsid w:val="0014273C"/>
    <w:rsid w:val="0014305C"/>
    <w:rsid w:val="001439B6"/>
    <w:rsid w:val="00143AE8"/>
    <w:rsid w:val="00145015"/>
    <w:rsid w:val="0014537E"/>
    <w:rsid w:val="0014554F"/>
    <w:rsid w:val="001457FB"/>
    <w:rsid w:val="00146317"/>
    <w:rsid w:val="001473B2"/>
    <w:rsid w:val="0014740F"/>
    <w:rsid w:val="00147E90"/>
    <w:rsid w:val="00150CAF"/>
    <w:rsid w:val="0015156C"/>
    <w:rsid w:val="00151C6B"/>
    <w:rsid w:val="00151F3D"/>
    <w:rsid w:val="0015202B"/>
    <w:rsid w:val="001520A3"/>
    <w:rsid w:val="00152984"/>
    <w:rsid w:val="00152EDA"/>
    <w:rsid w:val="001536EA"/>
    <w:rsid w:val="0015387B"/>
    <w:rsid w:val="001548FA"/>
    <w:rsid w:val="00155400"/>
    <w:rsid w:val="00155916"/>
    <w:rsid w:val="00155B0A"/>
    <w:rsid w:val="00155C4B"/>
    <w:rsid w:val="00155D15"/>
    <w:rsid w:val="00155DA8"/>
    <w:rsid w:val="00156046"/>
    <w:rsid w:val="0015624C"/>
    <w:rsid w:val="0015630A"/>
    <w:rsid w:val="00156788"/>
    <w:rsid w:val="0015694B"/>
    <w:rsid w:val="001569D6"/>
    <w:rsid w:val="00156DB4"/>
    <w:rsid w:val="001570C3"/>
    <w:rsid w:val="00157275"/>
    <w:rsid w:val="001577CE"/>
    <w:rsid w:val="0016019B"/>
    <w:rsid w:val="001618F2"/>
    <w:rsid w:val="00161E8D"/>
    <w:rsid w:val="00162576"/>
    <w:rsid w:val="001627D5"/>
    <w:rsid w:val="00162E33"/>
    <w:rsid w:val="00163356"/>
    <w:rsid w:val="00163A89"/>
    <w:rsid w:val="00163B7D"/>
    <w:rsid w:val="00164167"/>
    <w:rsid w:val="001644D8"/>
    <w:rsid w:val="00164A7F"/>
    <w:rsid w:val="00165486"/>
    <w:rsid w:val="0016558B"/>
    <w:rsid w:val="001657DF"/>
    <w:rsid w:val="00165A93"/>
    <w:rsid w:val="00166002"/>
    <w:rsid w:val="001663CE"/>
    <w:rsid w:val="001669E4"/>
    <w:rsid w:val="0016738F"/>
    <w:rsid w:val="00167526"/>
    <w:rsid w:val="001678EB"/>
    <w:rsid w:val="001679D2"/>
    <w:rsid w:val="0017029B"/>
    <w:rsid w:val="001706D9"/>
    <w:rsid w:val="00170BCE"/>
    <w:rsid w:val="00170D6C"/>
    <w:rsid w:val="001723F5"/>
    <w:rsid w:val="00172EB4"/>
    <w:rsid w:val="001731C5"/>
    <w:rsid w:val="00173B7F"/>
    <w:rsid w:val="00173C5E"/>
    <w:rsid w:val="00173FBA"/>
    <w:rsid w:val="00174112"/>
    <w:rsid w:val="001742B5"/>
    <w:rsid w:val="00175073"/>
    <w:rsid w:val="0017522F"/>
    <w:rsid w:val="00175346"/>
    <w:rsid w:val="00175A6C"/>
    <w:rsid w:val="00175B38"/>
    <w:rsid w:val="001760FD"/>
    <w:rsid w:val="001763D8"/>
    <w:rsid w:val="001763E4"/>
    <w:rsid w:val="001765D3"/>
    <w:rsid w:val="00176ADC"/>
    <w:rsid w:val="00176B5F"/>
    <w:rsid w:val="00176C96"/>
    <w:rsid w:val="00176F7A"/>
    <w:rsid w:val="00177357"/>
    <w:rsid w:val="00177652"/>
    <w:rsid w:val="00177DEA"/>
    <w:rsid w:val="00180875"/>
    <w:rsid w:val="0018120F"/>
    <w:rsid w:val="0018201D"/>
    <w:rsid w:val="0018217C"/>
    <w:rsid w:val="001821E7"/>
    <w:rsid w:val="001823FE"/>
    <w:rsid w:val="00182D20"/>
    <w:rsid w:val="001830FA"/>
    <w:rsid w:val="001834D6"/>
    <w:rsid w:val="0018354E"/>
    <w:rsid w:val="00183E99"/>
    <w:rsid w:val="00184012"/>
    <w:rsid w:val="0018440C"/>
    <w:rsid w:val="00184E88"/>
    <w:rsid w:val="00184F12"/>
    <w:rsid w:val="00185C4E"/>
    <w:rsid w:val="0018654A"/>
    <w:rsid w:val="00186A53"/>
    <w:rsid w:val="00186CC1"/>
    <w:rsid w:val="00186F36"/>
    <w:rsid w:val="0018732A"/>
    <w:rsid w:val="00187353"/>
    <w:rsid w:val="00187752"/>
    <w:rsid w:val="00187A63"/>
    <w:rsid w:val="0019009E"/>
    <w:rsid w:val="001900E3"/>
    <w:rsid w:val="001904DB"/>
    <w:rsid w:val="00191697"/>
    <w:rsid w:val="001919B4"/>
    <w:rsid w:val="00191B97"/>
    <w:rsid w:val="0019216F"/>
    <w:rsid w:val="00192382"/>
    <w:rsid w:val="0019315B"/>
    <w:rsid w:val="0019345C"/>
    <w:rsid w:val="001936DD"/>
    <w:rsid w:val="00193716"/>
    <w:rsid w:val="001940B2"/>
    <w:rsid w:val="0019495A"/>
    <w:rsid w:val="001952CE"/>
    <w:rsid w:val="00195863"/>
    <w:rsid w:val="001959B9"/>
    <w:rsid w:val="00195F05"/>
    <w:rsid w:val="00195F0E"/>
    <w:rsid w:val="001963F6"/>
    <w:rsid w:val="00196587"/>
    <w:rsid w:val="001965A7"/>
    <w:rsid w:val="00196790"/>
    <w:rsid w:val="0019689D"/>
    <w:rsid w:val="001A01E6"/>
    <w:rsid w:val="001A022A"/>
    <w:rsid w:val="001A0526"/>
    <w:rsid w:val="001A05ED"/>
    <w:rsid w:val="001A0640"/>
    <w:rsid w:val="001A06B8"/>
    <w:rsid w:val="001A0F94"/>
    <w:rsid w:val="001A0FE1"/>
    <w:rsid w:val="001A14AA"/>
    <w:rsid w:val="001A2E86"/>
    <w:rsid w:val="001A3D5E"/>
    <w:rsid w:val="001A4493"/>
    <w:rsid w:val="001A49AC"/>
    <w:rsid w:val="001A4E36"/>
    <w:rsid w:val="001A52B1"/>
    <w:rsid w:val="001A5D2F"/>
    <w:rsid w:val="001A6F0E"/>
    <w:rsid w:val="001A7084"/>
    <w:rsid w:val="001A73C0"/>
    <w:rsid w:val="001A76AE"/>
    <w:rsid w:val="001A7E2C"/>
    <w:rsid w:val="001B0268"/>
    <w:rsid w:val="001B16E5"/>
    <w:rsid w:val="001B198E"/>
    <w:rsid w:val="001B265A"/>
    <w:rsid w:val="001B2DCB"/>
    <w:rsid w:val="001B2F21"/>
    <w:rsid w:val="001B3207"/>
    <w:rsid w:val="001B32D4"/>
    <w:rsid w:val="001B3642"/>
    <w:rsid w:val="001B46BA"/>
    <w:rsid w:val="001B5736"/>
    <w:rsid w:val="001B62E0"/>
    <w:rsid w:val="001B6546"/>
    <w:rsid w:val="001B679E"/>
    <w:rsid w:val="001B68EF"/>
    <w:rsid w:val="001B72D2"/>
    <w:rsid w:val="001B7E39"/>
    <w:rsid w:val="001C0259"/>
    <w:rsid w:val="001C0FA7"/>
    <w:rsid w:val="001C166F"/>
    <w:rsid w:val="001C1A52"/>
    <w:rsid w:val="001C1DDE"/>
    <w:rsid w:val="001C1FC5"/>
    <w:rsid w:val="001C25F6"/>
    <w:rsid w:val="001C296F"/>
    <w:rsid w:val="001C3487"/>
    <w:rsid w:val="001C397C"/>
    <w:rsid w:val="001C3B6D"/>
    <w:rsid w:val="001C3B8A"/>
    <w:rsid w:val="001C3ED2"/>
    <w:rsid w:val="001C40C9"/>
    <w:rsid w:val="001C46C5"/>
    <w:rsid w:val="001C4836"/>
    <w:rsid w:val="001C5DF1"/>
    <w:rsid w:val="001C6489"/>
    <w:rsid w:val="001C651B"/>
    <w:rsid w:val="001C6868"/>
    <w:rsid w:val="001C6D19"/>
    <w:rsid w:val="001C7485"/>
    <w:rsid w:val="001C7541"/>
    <w:rsid w:val="001C7615"/>
    <w:rsid w:val="001C7B7C"/>
    <w:rsid w:val="001C7E73"/>
    <w:rsid w:val="001C7F81"/>
    <w:rsid w:val="001D0987"/>
    <w:rsid w:val="001D0D0F"/>
    <w:rsid w:val="001D1611"/>
    <w:rsid w:val="001D18EB"/>
    <w:rsid w:val="001D19CE"/>
    <w:rsid w:val="001D26C9"/>
    <w:rsid w:val="001D2892"/>
    <w:rsid w:val="001D318A"/>
    <w:rsid w:val="001D32DC"/>
    <w:rsid w:val="001D35DA"/>
    <w:rsid w:val="001D35E5"/>
    <w:rsid w:val="001D408B"/>
    <w:rsid w:val="001D4AD6"/>
    <w:rsid w:val="001D509B"/>
    <w:rsid w:val="001D6090"/>
    <w:rsid w:val="001D60DD"/>
    <w:rsid w:val="001D61BE"/>
    <w:rsid w:val="001D6304"/>
    <w:rsid w:val="001D68E5"/>
    <w:rsid w:val="001D6A16"/>
    <w:rsid w:val="001D6D1E"/>
    <w:rsid w:val="001D6E99"/>
    <w:rsid w:val="001D76A4"/>
    <w:rsid w:val="001D7AA1"/>
    <w:rsid w:val="001E0441"/>
    <w:rsid w:val="001E0679"/>
    <w:rsid w:val="001E08D2"/>
    <w:rsid w:val="001E0ACC"/>
    <w:rsid w:val="001E0F2E"/>
    <w:rsid w:val="001E16EB"/>
    <w:rsid w:val="001E212B"/>
    <w:rsid w:val="001E22E7"/>
    <w:rsid w:val="001E235D"/>
    <w:rsid w:val="001E26D3"/>
    <w:rsid w:val="001E2C85"/>
    <w:rsid w:val="001E2CF4"/>
    <w:rsid w:val="001E2DEA"/>
    <w:rsid w:val="001E318C"/>
    <w:rsid w:val="001E3744"/>
    <w:rsid w:val="001E4211"/>
    <w:rsid w:val="001E4334"/>
    <w:rsid w:val="001E5321"/>
    <w:rsid w:val="001E5475"/>
    <w:rsid w:val="001E55C8"/>
    <w:rsid w:val="001E5678"/>
    <w:rsid w:val="001E5C42"/>
    <w:rsid w:val="001E6026"/>
    <w:rsid w:val="001E62A9"/>
    <w:rsid w:val="001E64B8"/>
    <w:rsid w:val="001E718E"/>
    <w:rsid w:val="001E7C0D"/>
    <w:rsid w:val="001F0646"/>
    <w:rsid w:val="001F11F9"/>
    <w:rsid w:val="001F1D1F"/>
    <w:rsid w:val="001F2290"/>
    <w:rsid w:val="001F25B9"/>
    <w:rsid w:val="001F2A58"/>
    <w:rsid w:val="001F2C99"/>
    <w:rsid w:val="001F3335"/>
    <w:rsid w:val="001F35EE"/>
    <w:rsid w:val="001F3825"/>
    <w:rsid w:val="001F4F6B"/>
    <w:rsid w:val="001F6188"/>
    <w:rsid w:val="001F6645"/>
    <w:rsid w:val="001F6827"/>
    <w:rsid w:val="001F6890"/>
    <w:rsid w:val="001F74CD"/>
    <w:rsid w:val="001F77C8"/>
    <w:rsid w:val="001F7A29"/>
    <w:rsid w:val="00200717"/>
    <w:rsid w:val="00200721"/>
    <w:rsid w:val="00200F0A"/>
    <w:rsid w:val="002012F4"/>
    <w:rsid w:val="0020154E"/>
    <w:rsid w:val="002016D4"/>
    <w:rsid w:val="00201D73"/>
    <w:rsid w:val="00201EBD"/>
    <w:rsid w:val="0020201D"/>
    <w:rsid w:val="00202893"/>
    <w:rsid w:val="00202E62"/>
    <w:rsid w:val="00203896"/>
    <w:rsid w:val="002041FA"/>
    <w:rsid w:val="0020456F"/>
    <w:rsid w:val="0020488F"/>
    <w:rsid w:val="00204C04"/>
    <w:rsid w:val="0020534A"/>
    <w:rsid w:val="00205505"/>
    <w:rsid w:val="00206260"/>
    <w:rsid w:val="00206983"/>
    <w:rsid w:val="00206F0D"/>
    <w:rsid w:val="0020758B"/>
    <w:rsid w:val="002078E3"/>
    <w:rsid w:val="00207D65"/>
    <w:rsid w:val="00211050"/>
    <w:rsid w:val="002113FD"/>
    <w:rsid w:val="00211E01"/>
    <w:rsid w:val="00211EA2"/>
    <w:rsid w:val="0021233D"/>
    <w:rsid w:val="002124F9"/>
    <w:rsid w:val="0021296B"/>
    <w:rsid w:val="00212A20"/>
    <w:rsid w:val="002135AD"/>
    <w:rsid w:val="00214D3A"/>
    <w:rsid w:val="00215B05"/>
    <w:rsid w:val="00216120"/>
    <w:rsid w:val="00217227"/>
    <w:rsid w:val="0021747D"/>
    <w:rsid w:val="00217741"/>
    <w:rsid w:val="00217E96"/>
    <w:rsid w:val="00220C1F"/>
    <w:rsid w:val="00220E36"/>
    <w:rsid w:val="00220F06"/>
    <w:rsid w:val="002217EA"/>
    <w:rsid w:val="002224F4"/>
    <w:rsid w:val="002225DC"/>
    <w:rsid w:val="002228B8"/>
    <w:rsid w:val="00222D2B"/>
    <w:rsid w:val="00222D69"/>
    <w:rsid w:val="00222F6E"/>
    <w:rsid w:val="00223A5F"/>
    <w:rsid w:val="00223FB2"/>
    <w:rsid w:val="0022490F"/>
    <w:rsid w:val="00224B7F"/>
    <w:rsid w:val="00224F41"/>
    <w:rsid w:val="00225D92"/>
    <w:rsid w:val="00226279"/>
    <w:rsid w:val="00226C75"/>
    <w:rsid w:val="00227121"/>
    <w:rsid w:val="00227319"/>
    <w:rsid w:val="00230303"/>
    <w:rsid w:val="0023032B"/>
    <w:rsid w:val="00230665"/>
    <w:rsid w:val="0023090B"/>
    <w:rsid w:val="0023093C"/>
    <w:rsid w:val="00230F2B"/>
    <w:rsid w:val="00231764"/>
    <w:rsid w:val="002317CA"/>
    <w:rsid w:val="00231D0B"/>
    <w:rsid w:val="00231E50"/>
    <w:rsid w:val="00231FDB"/>
    <w:rsid w:val="00232C11"/>
    <w:rsid w:val="002330E5"/>
    <w:rsid w:val="00233C3F"/>
    <w:rsid w:val="00234AD5"/>
    <w:rsid w:val="00235219"/>
    <w:rsid w:val="002365CE"/>
    <w:rsid w:val="00236AF3"/>
    <w:rsid w:val="00236BD6"/>
    <w:rsid w:val="00237307"/>
    <w:rsid w:val="0023771C"/>
    <w:rsid w:val="00237AB5"/>
    <w:rsid w:val="00237EC9"/>
    <w:rsid w:val="00240633"/>
    <w:rsid w:val="002409AC"/>
    <w:rsid w:val="002413A5"/>
    <w:rsid w:val="0024144C"/>
    <w:rsid w:val="002419FD"/>
    <w:rsid w:val="00242A7F"/>
    <w:rsid w:val="00243500"/>
    <w:rsid w:val="0024379D"/>
    <w:rsid w:val="00245368"/>
    <w:rsid w:val="00245EC3"/>
    <w:rsid w:val="002461CE"/>
    <w:rsid w:val="0024635E"/>
    <w:rsid w:val="0024670A"/>
    <w:rsid w:val="00247489"/>
    <w:rsid w:val="00251323"/>
    <w:rsid w:val="00251F42"/>
    <w:rsid w:val="002525C3"/>
    <w:rsid w:val="0025277E"/>
    <w:rsid w:val="00252C69"/>
    <w:rsid w:val="00252D63"/>
    <w:rsid w:val="00253B0A"/>
    <w:rsid w:val="00253E12"/>
    <w:rsid w:val="0025418B"/>
    <w:rsid w:val="002548E2"/>
    <w:rsid w:val="00254B16"/>
    <w:rsid w:val="0025680A"/>
    <w:rsid w:val="00256920"/>
    <w:rsid w:val="00256D25"/>
    <w:rsid w:val="00257CA5"/>
    <w:rsid w:val="0026041D"/>
    <w:rsid w:val="00260779"/>
    <w:rsid w:val="00260841"/>
    <w:rsid w:val="002613A8"/>
    <w:rsid w:val="002617DD"/>
    <w:rsid w:val="00262AD3"/>
    <w:rsid w:val="00262BDB"/>
    <w:rsid w:val="00262D47"/>
    <w:rsid w:val="0026477B"/>
    <w:rsid w:val="002648D3"/>
    <w:rsid w:val="00264C37"/>
    <w:rsid w:val="002651D1"/>
    <w:rsid w:val="002660F3"/>
    <w:rsid w:val="002662B3"/>
    <w:rsid w:val="00266F81"/>
    <w:rsid w:val="00267DE0"/>
    <w:rsid w:val="00267F49"/>
    <w:rsid w:val="00270358"/>
    <w:rsid w:val="00270D74"/>
    <w:rsid w:val="00270E6E"/>
    <w:rsid w:val="002712D1"/>
    <w:rsid w:val="002716AA"/>
    <w:rsid w:val="00271795"/>
    <w:rsid w:val="00271EDC"/>
    <w:rsid w:val="0027323A"/>
    <w:rsid w:val="00273594"/>
    <w:rsid w:val="002736ED"/>
    <w:rsid w:val="00273B56"/>
    <w:rsid w:val="00273BB0"/>
    <w:rsid w:val="00274256"/>
    <w:rsid w:val="00274AA0"/>
    <w:rsid w:val="0027502D"/>
    <w:rsid w:val="00275247"/>
    <w:rsid w:val="002754ED"/>
    <w:rsid w:val="002755FF"/>
    <w:rsid w:val="0027573F"/>
    <w:rsid w:val="00275891"/>
    <w:rsid w:val="00276565"/>
    <w:rsid w:val="00276BB4"/>
    <w:rsid w:val="00276CDF"/>
    <w:rsid w:val="00277260"/>
    <w:rsid w:val="002772D6"/>
    <w:rsid w:val="0027768D"/>
    <w:rsid w:val="002808DB"/>
    <w:rsid w:val="002812B3"/>
    <w:rsid w:val="00281DFB"/>
    <w:rsid w:val="00283407"/>
    <w:rsid w:val="00283C72"/>
    <w:rsid w:val="00283F16"/>
    <w:rsid w:val="00284574"/>
    <w:rsid w:val="00285306"/>
    <w:rsid w:val="0028530C"/>
    <w:rsid w:val="00285A0B"/>
    <w:rsid w:val="00285BFA"/>
    <w:rsid w:val="00286059"/>
    <w:rsid w:val="00286630"/>
    <w:rsid w:val="00286BBB"/>
    <w:rsid w:val="00286C29"/>
    <w:rsid w:val="0028766F"/>
    <w:rsid w:val="00287BFF"/>
    <w:rsid w:val="00287CC5"/>
    <w:rsid w:val="0029000F"/>
    <w:rsid w:val="00290C08"/>
    <w:rsid w:val="00292440"/>
    <w:rsid w:val="00292B01"/>
    <w:rsid w:val="00293670"/>
    <w:rsid w:val="00293E76"/>
    <w:rsid w:val="0029421C"/>
    <w:rsid w:val="0029491D"/>
    <w:rsid w:val="00294AA8"/>
    <w:rsid w:val="00294C30"/>
    <w:rsid w:val="00295241"/>
    <w:rsid w:val="00295819"/>
    <w:rsid w:val="002959B6"/>
    <w:rsid w:val="00295F7F"/>
    <w:rsid w:val="002966A7"/>
    <w:rsid w:val="00296E19"/>
    <w:rsid w:val="00296FF4"/>
    <w:rsid w:val="00297987"/>
    <w:rsid w:val="002A0BBE"/>
    <w:rsid w:val="002A0C0A"/>
    <w:rsid w:val="002A1984"/>
    <w:rsid w:val="002A1A35"/>
    <w:rsid w:val="002A1E15"/>
    <w:rsid w:val="002A2876"/>
    <w:rsid w:val="002A2DB3"/>
    <w:rsid w:val="002A2E3E"/>
    <w:rsid w:val="002A32B2"/>
    <w:rsid w:val="002A32DF"/>
    <w:rsid w:val="002A331B"/>
    <w:rsid w:val="002A3831"/>
    <w:rsid w:val="002A3A9F"/>
    <w:rsid w:val="002A3B8D"/>
    <w:rsid w:val="002A3CAC"/>
    <w:rsid w:val="002A5360"/>
    <w:rsid w:val="002A58FF"/>
    <w:rsid w:val="002A5984"/>
    <w:rsid w:val="002A5F14"/>
    <w:rsid w:val="002A5F7B"/>
    <w:rsid w:val="002A65A4"/>
    <w:rsid w:val="002A6635"/>
    <w:rsid w:val="002A6948"/>
    <w:rsid w:val="002A6E08"/>
    <w:rsid w:val="002A7197"/>
    <w:rsid w:val="002A78CE"/>
    <w:rsid w:val="002A7A63"/>
    <w:rsid w:val="002A7ABE"/>
    <w:rsid w:val="002A7F31"/>
    <w:rsid w:val="002B0995"/>
    <w:rsid w:val="002B1771"/>
    <w:rsid w:val="002B26BF"/>
    <w:rsid w:val="002B27D3"/>
    <w:rsid w:val="002B2EF5"/>
    <w:rsid w:val="002B2FDE"/>
    <w:rsid w:val="002B31A0"/>
    <w:rsid w:val="002B34EC"/>
    <w:rsid w:val="002B3B3E"/>
    <w:rsid w:val="002B3C03"/>
    <w:rsid w:val="002B3C5A"/>
    <w:rsid w:val="002B471A"/>
    <w:rsid w:val="002B4F83"/>
    <w:rsid w:val="002B58F0"/>
    <w:rsid w:val="002B59DB"/>
    <w:rsid w:val="002B5B31"/>
    <w:rsid w:val="002B5E3D"/>
    <w:rsid w:val="002B63C1"/>
    <w:rsid w:val="002B6675"/>
    <w:rsid w:val="002B71BB"/>
    <w:rsid w:val="002B73B0"/>
    <w:rsid w:val="002B73DD"/>
    <w:rsid w:val="002B785B"/>
    <w:rsid w:val="002B79FC"/>
    <w:rsid w:val="002B7AAE"/>
    <w:rsid w:val="002C0375"/>
    <w:rsid w:val="002C06A6"/>
    <w:rsid w:val="002C097B"/>
    <w:rsid w:val="002C10B4"/>
    <w:rsid w:val="002C1670"/>
    <w:rsid w:val="002C181C"/>
    <w:rsid w:val="002C19CC"/>
    <w:rsid w:val="002C1BA0"/>
    <w:rsid w:val="002C1D17"/>
    <w:rsid w:val="002C294B"/>
    <w:rsid w:val="002C29D9"/>
    <w:rsid w:val="002C2B38"/>
    <w:rsid w:val="002C2C8B"/>
    <w:rsid w:val="002C2D62"/>
    <w:rsid w:val="002C315C"/>
    <w:rsid w:val="002C3581"/>
    <w:rsid w:val="002C37EC"/>
    <w:rsid w:val="002C3891"/>
    <w:rsid w:val="002C39B8"/>
    <w:rsid w:val="002C3ACB"/>
    <w:rsid w:val="002C3F1A"/>
    <w:rsid w:val="002C46FC"/>
    <w:rsid w:val="002C4B3B"/>
    <w:rsid w:val="002C4DFE"/>
    <w:rsid w:val="002C5071"/>
    <w:rsid w:val="002C577E"/>
    <w:rsid w:val="002C63EF"/>
    <w:rsid w:val="002C64E0"/>
    <w:rsid w:val="002C7C12"/>
    <w:rsid w:val="002D0A26"/>
    <w:rsid w:val="002D15D3"/>
    <w:rsid w:val="002D17C7"/>
    <w:rsid w:val="002D2000"/>
    <w:rsid w:val="002D22E7"/>
    <w:rsid w:val="002D25AE"/>
    <w:rsid w:val="002D28BB"/>
    <w:rsid w:val="002D2EA2"/>
    <w:rsid w:val="002D498A"/>
    <w:rsid w:val="002D51BC"/>
    <w:rsid w:val="002D54C4"/>
    <w:rsid w:val="002D5D54"/>
    <w:rsid w:val="002D6022"/>
    <w:rsid w:val="002D6E74"/>
    <w:rsid w:val="002D7C1A"/>
    <w:rsid w:val="002D7F70"/>
    <w:rsid w:val="002E0423"/>
    <w:rsid w:val="002E0C39"/>
    <w:rsid w:val="002E129D"/>
    <w:rsid w:val="002E181B"/>
    <w:rsid w:val="002E198C"/>
    <w:rsid w:val="002E1CB1"/>
    <w:rsid w:val="002E209D"/>
    <w:rsid w:val="002E220C"/>
    <w:rsid w:val="002E2391"/>
    <w:rsid w:val="002E2EC7"/>
    <w:rsid w:val="002E304E"/>
    <w:rsid w:val="002E30EA"/>
    <w:rsid w:val="002E3B7C"/>
    <w:rsid w:val="002E41F2"/>
    <w:rsid w:val="002E46C4"/>
    <w:rsid w:val="002E4C29"/>
    <w:rsid w:val="002E4D16"/>
    <w:rsid w:val="002E63D9"/>
    <w:rsid w:val="002E6557"/>
    <w:rsid w:val="002E6A98"/>
    <w:rsid w:val="002E7871"/>
    <w:rsid w:val="002E79DD"/>
    <w:rsid w:val="002E7B67"/>
    <w:rsid w:val="002F019D"/>
    <w:rsid w:val="002F1504"/>
    <w:rsid w:val="002F1594"/>
    <w:rsid w:val="002F1D8B"/>
    <w:rsid w:val="002F2355"/>
    <w:rsid w:val="002F26C2"/>
    <w:rsid w:val="002F28B4"/>
    <w:rsid w:val="002F2E87"/>
    <w:rsid w:val="002F3048"/>
    <w:rsid w:val="002F3311"/>
    <w:rsid w:val="002F3BC7"/>
    <w:rsid w:val="002F46C5"/>
    <w:rsid w:val="002F523B"/>
    <w:rsid w:val="002F5D68"/>
    <w:rsid w:val="002F63C1"/>
    <w:rsid w:val="002F6DD3"/>
    <w:rsid w:val="002F6EF5"/>
    <w:rsid w:val="002F7594"/>
    <w:rsid w:val="002F7C89"/>
    <w:rsid w:val="0030097D"/>
    <w:rsid w:val="00300E7E"/>
    <w:rsid w:val="00301083"/>
    <w:rsid w:val="003014B6"/>
    <w:rsid w:val="00301943"/>
    <w:rsid w:val="00302089"/>
    <w:rsid w:val="003020D1"/>
    <w:rsid w:val="0030215D"/>
    <w:rsid w:val="00302309"/>
    <w:rsid w:val="003027EC"/>
    <w:rsid w:val="0030283B"/>
    <w:rsid w:val="00302973"/>
    <w:rsid w:val="00302981"/>
    <w:rsid w:val="00302CCE"/>
    <w:rsid w:val="00302D52"/>
    <w:rsid w:val="00304506"/>
    <w:rsid w:val="0030545F"/>
    <w:rsid w:val="00305AFF"/>
    <w:rsid w:val="00305BC8"/>
    <w:rsid w:val="00305CB7"/>
    <w:rsid w:val="00306287"/>
    <w:rsid w:val="0030646C"/>
    <w:rsid w:val="0030692C"/>
    <w:rsid w:val="00306EAC"/>
    <w:rsid w:val="003070B9"/>
    <w:rsid w:val="003074EE"/>
    <w:rsid w:val="00307D0A"/>
    <w:rsid w:val="00307D16"/>
    <w:rsid w:val="00310ABB"/>
    <w:rsid w:val="00311B23"/>
    <w:rsid w:val="003128CE"/>
    <w:rsid w:val="00312C30"/>
    <w:rsid w:val="00312F69"/>
    <w:rsid w:val="00314592"/>
    <w:rsid w:val="003151E9"/>
    <w:rsid w:val="003152E5"/>
    <w:rsid w:val="00315432"/>
    <w:rsid w:val="0031599C"/>
    <w:rsid w:val="0031693D"/>
    <w:rsid w:val="003172C7"/>
    <w:rsid w:val="003176BA"/>
    <w:rsid w:val="0031772A"/>
    <w:rsid w:val="0031788D"/>
    <w:rsid w:val="00317DCA"/>
    <w:rsid w:val="00317ED4"/>
    <w:rsid w:val="003202DC"/>
    <w:rsid w:val="00320F59"/>
    <w:rsid w:val="003217D8"/>
    <w:rsid w:val="003222AD"/>
    <w:rsid w:val="0032243F"/>
    <w:rsid w:val="0032256E"/>
    <w:rsid w:val="0032261D"/>
    <w:rsid w:val="00323679"/>
    <w:rsid w:val="00323F59"/>
    <w:rsid w:val="00324FBC"/>
    <w:rsid w:val="0032519D"/>
    <w:rsid w:val="00325CD1"/>
    <w:rsid w:val="0032644F"/>
    <w:rsid w:val="0032683A"/>
    <w:rsid w:val="00326D6D"/>
    <w:rsid w:val="0032705A"/>
    <w:rsid w:val="0032767B"/>
    <w:rsid w:val="00327F83"/>
    <w:rsid w:val="00330027"/>
    <w:rsid w:val="0033041D"/>
    <w:rsid w:val="00331465"/>
    <w:rsid w:val="00331C30"/>
    <w:rsid w:val="003322DE"/>
    <w:rsid w:val="00332953"/>
    <w:rsid w:val="00332D02"/>
    <w:rsid w:val="00332F74"/>
    <w:rsid w:val="00333828"/>
    <w:rsid w:val="00333A6B"/>
    <w:rsid w:val="00334342"/>
    <w:rsid w:val="0033446A"/>
    <w:rsid w:val="00334511"/>
    <w:rsid w:val="003345BD"/>
    <w:rsid w:val="00335076"/>
    <w:rsid w:val="0033569B"/>
    <w:rsid w:val="00335C66"/>
    <w:rsid w:val="0033605C"/>
    <w:rsid w:val="00336149"/>
    <w:rsid w:val="003365BB"/>
    <w:rsid w:val="00336B77"/>
    <w:rsid w:val="003372AA"/>
    <w:rsid w:val="00337879"/>
    <w:rsid w:val="00337914"/>
    <w:rsid w:val="0033798C"/>
    <w:rsid w:val="00340B65"/>
    <w:rsid w:val="00341FD4"/>
    <w:rsid w:val="00342F27"/>
    <w:rsid w:val="0034322E"/>
    <w:rsid w:val="00344048"/>
    <w:rsid w:val="00344849"/>
    <w:rsid w:val="00344A74"/>
    <w:rsid w:val="00344B52"/>
    <w:rsid w:val="0034538C"/>
    <w:rsid w:val="00345836"/>
    <w:rsid w:val="00345972"/>
    <w:rsid w:val="003461BB"/>
    <w:rsid w:val="00346264"/>
    <w:rsid w:val="0034646A"/>
    <w:rsid w:val="003464C4"/>
    <w:rsid w:val="00346589"/>
    <w:rsid w:val="003473FE"/>
    <w:rsid w:val="00347C84"/>
    <w:rsid w:val="00347E06"/>
    <w:rsid w:val="00347F92"/>
    <w:rsid w:val="003500B9"/>
    <w:rsid w:val="00350450"/>
    <w:rsid w:val="003505B8"/>
    <w:rsid w:val="0035071D"/>
    <w:rsid w:val="00350967"/>
    <w:rsid w:val="0035189B"/>
    <w:rsid w:val="003519E8"/>
    <w:rsid w:val="00352993"/>
    <w:rsid w:val="00352AF3"/>
    <w:rsid w:val="00352EB7"/>
    <w:rsid w:val="003543AA"/>
    <w:rsid w:val="003557A7"/>
    <w:rsid w:val="00356A0C"/>
    <w:rsid w:val="00357336"/>
    <w:rsid w:val="00360016"/>
    <w:rsid w:val="003601CC"/>
    <w:rsid w:val="0036021D"/>
    <w:rsid w:val="00360462"/>
    <w:rsid w:val="0036064B"/>
    <w:rsid w:val="00360F12"/>
    <w:rsid w:val="0036187D"/>
    <w:rsid w:val="003625E4"/>
    <w:rsid w:val="0036302C"/>
    <w:rsid w:val="003636CD"/>
    <w:rsid w:val="00364119"/>
    <w:rsid w:val="00364618"/>
    <w:rsid w:val="00364E78"/>
    <w:rsid w:val="00365D20"/>
    <w:rsid w:val="00365EB0"/>
    <w:rsid w:val="00365ECA"/>
    <w:rsid w:val="00366577"/>
    <w:rsid w:val="003666E7"/>
    <w:rsid w:val="00366831"/>
    <w:rsid w:val="00366842"/>
    <w:rsid w:val="003669EC"/>
    <w:rsid w:val="00367D1D"/>
    <w:rsid w:val="003708CB"/>
    <w:rsid w:val="00371D47"/>
    <w:rsid w:val="00372AA6"/>
    <w:rsid w:val="00372C90"/>
    <w:rsid w:val="003730B8"/>
    <w:rsid w:val="00373DB7"/>
    <w:rsid w:val="003740EC"/>
    <w:rsid w:val="00374FEC"/>
    <w:rsid w:val="00376206"/>
    <w:rsid w:val="003779CC"/>
    <w:rsid w:val="003800E8"/>
    <w:rsid w:val="003800F2"/>
    <w:rsid w:val="00380295"/>
    <w:rsid w:val="00380683"/>
    <w:rsid w:val="00380EDC"/>
    <w:rsid w:val="00381075"/>
    <w:rsid w:val="003811A6"/>
    <w:rsid w:val="00381690"/>
    <w:rsid w:val="00381905"/>
    <w:rsid w:val="00381F92"/>
    <w:rsid w:val="003826DB"/>
    <w:rsid w:val="003826FF"/>
    <w:rsid w:val="003827EA"/>
    <w:rsid w:val="003829CE"/>
    <w:rsid w:val="00382F64"/>
    <w:rsid w:val="00383255"/>
    <w:rsid w:val="00383B3B"/>
    <w:rsid w:val="00383D1D"/>
    <w:rsid w:val="00384294"/>
    <w:rsid w:val="00384F96"/>
    <w:rsid w:val="00385A29"/>
    <w:rsid w:val="0038747E"/>
    <w:rsid w:val="00387629"/>
    <w:rsid w:val="00387D94"/>
    <w:rsid w:val="00390331"/>
    <w:rsid w:val="00390BC2"/>
    <w:rsid w:val="00390CF8"/>
    <w:rsid w:val="00391BB2"/>
    <w:rsid w:val="00392751"/>
    <w:rsid w:val="00392992"/>
    <w:rsid w:val="00392FDE"/>
    <w:rsid w:val="0039317B"/>
    <w:rsid w:val="00393DF6"/>
    <w:rsid w:val="003941DA"/>
    <w:rsid w:val="0039420D"/>
    <w:rsid w:val="0039442F"/>
    <w:rsid w:val="00394635"/>
    <w:rsid w:val="0039477A"/>
    <w:rsid w:val="0039485E"/>
    <w:rsid w:val="00394BF9"/>
    <w:rsid w:val="003953D3"/>
    <w:rsid w:val="00395771"/>
    <w:rsid w:val="0039629C"/>
    <w:rsid w:val="003965B5"/>
    <w:rsid w:val="0039687D"/>
    <w:rsid w:val="00396E3C"/>
    <w:rsid w:val="00397593"/>
    <w:rsid w:val="003977B9"/>
    <w:rsid w:val="00397B4D"/>
    <w:rsid w:val="003A0167"/>
    <w:rsid w:val="003A0378"/>
    <w:rsid w:val="003A106B"/>
    <w:rsid w:val="003A1213"/>
    <w:rsid w:val="003A1357"/>
    <w:rsid w:val="003A1604"/>
    <w:rsid w:val="003A167D"/>
    <w:rsid w:val="003A1DFB"/>
    <w:rsid w:val="003A224B"/>
    <w:rsid w:val="003A2DF5"/>
    <w:rsid w:val="003A3380"/>
    <w:rsid w:val="003A450C"/>
    <w:rsid w:val="003A60E5"/>
    <w:rsid w:val="003A6179"/>
    <w:rsid w:val="003A62D3"/>
    <w:rsid w:val="003A66CB"/>
    <w:rsid w:val="003A6C81"/>
    <w:rsid w:val="003A6D75"/>
    <w:rsid w:val="003A72E5"/>
    <w:rsid w:val="003A7B34"/>
    <w:rsid w:val="003A7E38"/>
    <w:rsid w:val="003A7F81"/>
    <w:rsid w:val="003B0958"/>
    <w:rsid w:val="003B0E62"/>
    <w:rsid w:val="003B194A"/>
    <w:rsid w:val="003B1A33"/>
    <w:rsid w:val="003B1B9B"/>
    <w:rsid w:val="003B22AB"/>
    <w:rsid w:val="003B2A0A"/>
    <w:rsid w:val="003B2DDF"/>
    <w:rsid w:val="003B35F7"/>
    <w:rsid w:val="003B388D"/>
    <w:rsid w:val="003B3A2E"/>
    <w:rsid w:val="003B4293"/>
    <w:rsid w:val="003B434D"/>
    <w:rsid w:val="003B515D"/>
    <w:rsid w:val="003B51B0"/>
    <w:rsid w:val="003B51E2"/>
    <w:rsid w:val="003B54BC"/>
    <w:rsid w:val="003B5678"/>
    <w:rsid w:val="003B6477"/>
    <w:rsid w:val="003B76CB"/>
    <w:rsid w:val="003B7752"/>
    <w:rsid w:val="003B7B25"/>
    <w:rsid w:val="003B7C40"/>
    <w:rsid w:val="003C0112"/>
    <w:rsid w:val="003C0840"/>
    <w:rsid w:val="003C0D02"/>
    <w:rsid w:val="003C1113"/>
    <w:rsid w:val="003C11A9"/>
    <w:rsid w:val="003C13ED"/>
    <w:rsid w:val="003C1B62"/>
    <w:rsid w:val="003C1C56"/>
    <w:rsid w:val="003C2A03"/>
    <w:rsid w:val="003C2AAA"/>
    <w:rsid w:val="003C3055"/>
    <w:rsid w:val="003C4299"/>
    <w:rsid w:val="003C4384"/>
    <w:rsid w:val="003C4434"/>
    <w:rsid w:val="003C44BC"/>
    <w:rsid w:val="003C490F"/>
    <w:rsid w:val="003C4DE9"/>
    <w:rsid w:val="003C4F62"/>
    <w:rsid w:val="003C522B"/>
    <w:rsid w:val="003C526D"/>
    <w:rsid w:val="003C52E6"/>
    <w:rsid w:val="003C5DCD"/>
    <w:rsid w:val="003C61D2"/>
    <w:rsid w:val="003C6381"/>
    <w:rsid w:val="003C6DD4"/>
    <w:rsid w:val="003C6F99"/>
    <w:rsid w:val="003C7505"/>
    <w:rsid w:val="003C79F9"/>
    <w:rsid w:val="003C95A4"/>
    <w:rsid w:val="003D08E7"/>
    <w:rsid w:val="003D08F9"/>
    <w:rsid w:val="003D0AF9"/>
    <w:rsid w:val="003D285C"/>
    <w:rsid w:val="003D2BCE"/>
    <w:rsid w:val="003D2D3F"/>
    <w:rsid w:val="003D32BC"/>
    <w:rsid w:val="003D33E0"/>
    <w:rsid w:val="003D4667"/>
    <w:rsid w:val="003D47DF"/>
    <w:rsid w:val="003D4B47"/>
    <w:rsid w:val="003D4CAA"/>
    <w:rsid w:val="003D4DBD"/>
    <w:rsid w:val="003D5508"/>
    <w:rsid w:val="003D578A"/>
    <w:rsid w:val="003D5973"/>
    <w:rsid w:val="003D6891"/>
    <w:rsid w:val="003D6A67"/>
    <w:rsid w:val="003E0408"/>
    <w:rsid w:val="003E0A5A"/>
    <w:rsid w:val="003E0BCC"/>
    <w:rsid w:val="003E0E1F"/>
    <w:rsid w:val="003E1876"/>
    <w:rsid w:val="003E1D26"/>
    <w:rsid w:val="003E2714"/>
    <w:rsid w:val="003E2B28"/>
    <w:rsid w:val="003E3127"/>
    <w:rsid w:val="003E3870"/>
    <w:rsid w:val="003E3951"/>
    <w:rsid w:val="003E3ABE"/>
    <w:rsid w:val="003E3C10"/>
    <w:rsid w:val="003E3C47"/>
    <w:rsid w:val="003E428A"/>
    <w:rsid w:val="003E48FE"/>
    <w:rsid w:val="003E4AF5"/>
    <w:rsid w:val="003E5443"/>
    <w:rsid w:val="003E5967"/>
    <w:rsid w:val="003E5A15"/>
    <w:rsid w:val="003E650D"/>
    <w:rsid w:val="003E6516"/>
    <w:rsid w:val="003E66CB"/>
    <w:rsid w:val="003E6D8A"/>
    <w:rsid w:val="003E7182"/>
    <w:rsid w:val="003E77A4"/>
    <w:rsid w:val="003E7CB7"/>
    <w:rsid w:val="003F038A"/>
    <w:rsid w:val="003F04F7"/>
    <w:rsid w:val="003F0719"/>
    <w:rsid w:val="003F07E1"/>
    <w:rsid w:val="003F23ED"/>
    <w:rsid w:val="003F24BA"/>
    <w:rsid w:val="003F3A34"/>
    <w:rsid w:val="003F3C1B"/>
    <w:rsid w:val="003F3E52"/>
    <w:rsid w:val="003F4102"/>
    <w:rsid w:val="003F492D"/>
    <w:rsid w:val="003F4DC0"/>
    <w:rsid w:val="003F4F7D"/>
    <w:rsid w:val="003F5372"/>
    <w:rsid w:val="003F58FA"/>
    <w:rsid w:val="003F5DD7"/>
    <w:rsid w:val="003F69EE"/>
    <w:rsid w:val="003F7061"/>
    <w:rsid w:val="003F76BA"/>
    <w:rsid w:val="003F7872"/>
    <w:rsid w:val="003F7976"/>
    <w:rsid w:val="003F7E8E"/>
    <w:rsid w:val="00401077"/>
    <w:rsid w:val="00401253"/>
    <w:rsid w:val="004039BB"/>
    <w:rsid w:val="00403D7F"/>
    <w:rsid w:val="00404D75"/>
    <w:rsid w:val="004050BC"/>
    <w:rsid w:val="004050FB"/>
    <w:rsid w:val="0040520D"/>
    <w:rsid w:val="00405211"/>
    <w:rsid w:val="00405375"/>
    <w:rsid w:val="00406130"/>
    <w:rsid w:val="00406348"/>
    <w:rsid w:val="00407014"/>
    <w:rsid w:val="00407712"/>
    <w:rsid w:val="00407B41"/>
    <w:rsid w:val="0041029D"/>
    <w:rsid w:val="004103C0"/>
    <w:rsid w:val="00410455"/>
    <w:rsid w:val="004104CC"/>
    <w:rsid w:val="00410832"/>
    <w:rsid w:val="00410DDB"/>
    <w:rsid w:val="004118D8"/>
    <w:rsid w:val="00411D90"/>
    <w:rsid w:val="00411DC1"/>
    <w:rsid w:val="00412224"/>
    <w:rsid w:val="00412259"/>
    <w:rsid w:val="0041292B"/>
    <w:rsid w:val="00412D75"/>
    <w:rsid w:val="004136E7"/>
    <w:rsid w:val="00414A1F"/>
    <w:rsid w:val="0041527E"/>
    <w:rsid w:val="004168D6"/>
    <w:rsid w:val="00416BDA"/>
    <w:rsid w:val="00416C4C"/>
    <w:rsid w:val="0042065E"/>
    <w:rsid w:val="00420B79"/>
    <w:rsid w:val="00421048"/>
    <w:rsid w:val="0042155A"/>
    <w:rsid w:val="004218D1"/>
    <w:rsid w:val="00422355"/>
    <w:rsid w:val="00422430"/>
    <w:rsid w:val="00422462"/>
    <w:rsid w:val="004229B6"/>
    <w:rsid w:val="00422D7D"/>
    <w:rsid w:val="00423039"/>
    <w:rsid w:val="004236C3"/>
    <w:rsid w:val="00424249"/>
    <w:rsid w:val="0042440C"/>
    <w:rsid w:val="00424670"/>
    <w:rsid w:val="004249E1"/>
    <w:rsid w:val="0042598C"/>
    <w:rsid w:val="004259B6"/>
    <w:rsid w:val="00425D70"/>
    <w:rsid w:val="0042627A"/>
    <w:rsid w:val="004263A7"/>
    <w:rsid w:val="0042693D"/>
    <w:rsid w:val="004269F9"/>
    <w:rsid w:val="00426BE6"/>
    <w:rsid w:val="00426F0F"/>
    <w:rsid w:val="00430FBD"/>
    <w:rsid w:val="0043155D"/>
    <w:rsid w:val="004317B7"/>
    <w:rsid w:val="00431A92"/>
    <w:rsid w:val="00431D99"/>
    <w:rsid w:val="00431F3C"/>
    <w:rsid w:val="004322B2"/>
    <w:rsid w:val="004325E9"/>
    <w:rsid w:val="004328C7"/>
    <w:rsid w:val="00432A7B"/>
    <w:rsid w:val="00432E0F"/>
    <w:rsid w:val="004333E7"/>
    <w:rsid w:val="00433FDD"/>
    <w:rsid w:val="0043536C"/>
    <w:rsid w:val="0043565A"/>
    <w:rsid w:val="00435B0A"/>
    <w:rsid w:val="00436652"/>
    <w:rsid w:val="004366D6"/>
    <w:rsid w:val="004369B1"/>
    <w:rsid w:val="00436E4A"/>
    <w:rsid w:val="004404B4"/>
    <w:rsid w:val="0044071C"/>
    <w:rsid w:val="0044083F"/>
    <w:rsid w:val="00440F02"/>
    <w:rsid w:val="00441436"/>
    <w:rsid w:val="00441582"/>
    <w:rsid w:val="0044235E"/>
    <w:rsid w:val="004430EB"/>
    <w:rsid w:val="00443713"/>
    <w:rsid w:val="00443AE5"/>
    <w:rsid w:val="004444B7"/>
    <w:rsid w:val="0044489B"/>
    <w:rsid w:val="00444BD1"/>
    <w:rsid w:val="00444CBB"/>
    <w:rsid w:val="00444E20"/>
    <w:rsid w:val="004450CD"/>
    <w:rsid w:val="004450D4"/>
    <w:rsid w:val="0044511A"/>
    <w:rsid w:val="00445628"/>
    <w:rsid w:val="00445C17"/>
    <w:rsid w:val="00445F5C"/>
    <w:rsid w:val="00446497"/>
    <w:rsid w:val="004464CF"/>
    <w:rsid w:val="0044661E"/>
    <w:rsid w:val="00446CF7"/>
    <w:rsid w:val="004470EB"/>
    <w:rsid w:val="00447E0B"/>
    <w:rsid w:val="00447F80"/>
    <w:rsid w:val="00450041"/>
    <w:rsid w:val="00450126"/>
    <w:rsid w:val="004511DF"/>
    <w:rsid w:val="00451B09"/>
    <w:rsid w:val="00451EF0"/>
    <w:rsid w:val="0045243B"/>
    <w:rsid w:val="004524FA"/>
    <w:rsid w:val="004529EC"/>
    <w:rsid w:val="0045385E"/>
    <w:rsid w:val="00454966"/>
    <w:rsid w:val="00454E3E"/>
    <w:rsid w:val="00454F45"/>
    <w:rsid w:val="004555FB"/>
    <w:rsid w:val="00455A4B"/>
    <w:rsid w:val="00455D62"/>
    <w:rsid w:val="00456B08"/>
    <w:rsid w:val="00456DB7"/>
    <w:rsid w:val="00456E25"/>
    <w:rsid w:val="00457BAC"/>
    <w:rsid w:val="00457DFC"/>
    <w:rsid w:val="004602A8"/>
    <w:rsid w:val="004604E6"/>
    <w:rsid w:val="0046077C"/>
    <w:rsid w:val="00460B94"/>
    <w:rsid w:val="00460BC4"/>
    <w:rsid w:val="00461E6D"/>
    <w:rsid w:val="0046267B"/>
    <w:rsid w:val="0046336A"/>
    <w:rsid w:val="00463A7F"/>
    <w:rsid w:val="00464239"/>
    <w:rsid w:val="00464ED5"/>
    <w:rsid w:val="00465261"/>
    <w:rsid w:val="00465FE3"/>
    <w:rsid w:val="004676CB"/>
    <w:rsid w:val="00467F2A"/>
    <w:rsid w:val="00470092"/>
    <w:rsid w:val="00470422"/>
    <w:rsid w:val="004708A2"/>
    <w:rsid w:val="00470A33"/>
    <w:rsid w:val="00470A6F"/>
    <w:rsid w:val="00470C28"/>
    <w:rsid w:val="004717F6"/>
    <w:rsid w:val="00471A53"/>
    <w:rsid w:val="00471CDE"/>
    <w:rsid w:val="00471CF0"/>
    <w:rsid w:val="00471D0A"/>
    <w:rsid w:val="0047237E"/>
    <w:rsid w:val="0047250F"/>
    <w:rsid w:val="00472840"/>
    <w:rsid w:val="00472FE5"/>
    <w:rsid w:val="00473A8C"/>
    <w:rsid w:val="004742CA"/>
    <w:rsid w:val="004746DB"/>
    <w:rsid w:val="0047471B"/>
    <w:rsid w:val="00475108"/>
    <w:rsid w:val="004755BA"/>
    <w:rsid w:val="00475D69"/>
    <w:rsid w:val="00476083"/>
    <w:rsid w:val="0047657A"/>
    <w:rsid w:val="0047670B"/>
    <w:rsid w:val="00476AE8"/>
    <w:rsid w:val="00477046"/>
    <w:rsid w:val="004770BD"/>
    <w:rsid w:val="00477899"/>
    <w:rsid w:val="00477D2F"/>
    <w:rsid w:val="004800CA"/>
    <w:rsid w:val="00480717"/>
    <w:rsid w:val="00480A45"/>
    <w:rsid w:val="004814A8"/>
    <w:rsid w:val="004818CB"/>
    <w:rsid w:val="00481A7A"/>
    <w:rsid w:val="00481F96"/>
    <w:rsid w:val="00482122"/>
    <w:rsid w:val="00482380"/>
    <w:rsid w:val="004824BA"/>
    <w:rsid w:val="0048259A"/>
    <w:rsid w:val="004826BC"/>
    <w:rsid w:val="00482BD1"/>
    <w:rsid w:val="00482D8D"/>
    <w:rsid w:val="004840FC"/>
    <w:rsid w:val="004841DD"/>
    <w:rsid w:val="0048462B"/>
    <w:rsid w:val="00484A05"/>
    <w:rsid w:val="00484BF2"/>
    <w:rsid w:val="00484CF9"/>
    <w:rsid w:val="004851F0"/>
    <w:rsid w:val="004865D9"/>
    <w:rsid w:val="00486A54"/>
    <w:rsid w:val="00486BD9"/>
    <w:rsid w:val="00486C66"/>
    <w:rsid w:val="00486CDA"/>
    <w:rsid w:val="0048727D"/>
    <w:rsid w:val="0048736F"/>
    <w:rsid w:val="0048751B"/>
    <w:rsid w:val="0048767A"/>
    <w:rsid w:val="00487BD7"/>
    <w:rsid w:val="0049017F"/>
    <w:rsid w:val="00490182"/>
    <w:rsid w:val="00490571"/>
    <w:rsid w:val="004911C1"/>
    <w:rsid w:val="00491722"/>
    <w:rsid w:val="00491847"/>
    <w:rsid w:val="0049192F"/>
    <w:rsid w:val="00491A04"/>
    <w:rsid w:val="00491EDD"/>
    <w:rsid w:val="00492539"/>
    <w:rsid w:val="00492CB9"/>
    <w:rsid w:val="004944A9"/>
    <w:rsid w:val="004947FE"/>
    <w:rsid w:val="004956CC"/>
    <w:rsid w:val="0049574E"/>
    <w:rsid w:val="004957C2"/>
    <w:rsid w:val="00495CD9"/>
    <w:rsid w:val="00495D94"/>
    <w:rsid w:val="00496299"/>
    <w:rsid w:val="00496861"/>
    <w:rsid w:val="004975E6"/>
    <w:rsid w:val="00497860"/>
    <w:rsid w:val="004A010A"/>
    <w:rsid w:val="004A074E"/>
    <w:rsid w:val="004A1324"/>
    <w:rsid w:val="004A1DAC"/>
    <w:rsid w:val="004A1E2E"/>
    <w:rsid w:val="004A200A"/>
    <w:rsid w:val="004A26E3"/>
    <w:rsid w:val="004A2BE1"/>
    <w:rsid w:val="004A2EF2"/>
    <w:rsid w:val="004A3102"/>
    <w:rsid w:val="004A3CEA"/>
    <w:rsid w:val="004A43D9"/>
    <w:rsid w:val="004A4C68"/>
    <w:rsid w:val="004A5125"/>
    <w:rsid w:val="004A5964"/>
    <w:rsid w:val="004A7519"/>
    <w:rsid w:val="004A7992"/>
    <w:rsid w:val="004A7A58"/>
    <w:rsid w:val="004A7BE7"/>
    <w:rsid w:val="004A7CB5"/>
    <w:rsid w:val="004B04C7"/>
    <w:rsid w:val="004B060C"/>
    <w:rsid w:val="004B0A4A"/>
    <w:rsid w:val="004B0C44"/>
    <w:rsid w:val="004B2E7F"/>
    <w:rsid w:val="004B2EB2"/>
    <w:rsid w:val="004B345B"/>
    <w:rsid w:val="004B34E1"/>
    <w:rsid w:val="004B3539"/>
    <w:rsid w:val="004B41BF"/>
    <w:rsid w:val="004B423B"/>
    <w:rsid w:val="004B4343"/>
    <w:rsid w:val="004B4673"/>
    <w:rsid w:val="004B47B1"/>
    <w:rsid w:val="004B4A3E"/>
    <w:rsid w:val="004B4A8B"/>
    <w:rsid w:val="004B56F4"/>
    <w:rsid w:val="004B57F9"/>
    <w:rsid w:val="004B646F"/>
    <w:rsid w:val="004B698C"/>
    <w:rsid w:val="004B6B4A"/>
    <w:rsid w:val="004B710D"/>
    <w:rsid w:val="004B75CD"/>
    <w:rsid w:val="004B7EA6"/>
    <w:rsid w:val="004C107F"/>
    <w:rsid w:val="004C111B"/>
    <w:rsid w:val="004C18C7"/>
    <w:rsid w:val="004C1DDC"/>
    <w:rsid w:val="004C22B5"/>
    <w:rsid w:val="004C24D4"/>
    <w:rsid w:val="004C2539"/>
    <w:rsid w:val="004C26D8"/>
    <w:rsid w:val="004C289A"/>
    <w:rsid w:val="004C2B2D"/>
    <w:rsid w:val="004C347A"/>
    <w:rsid w:val="004C36CD"/>
    <w:rsid w:val="004C4920"/>
    <w:rsid w:val="004C4A6D"/>
    <w:rsid w:val="004C50CF"/>
    <w:rsid w:val="004C6033"/>
    <w:rsid w:val="004C6678"/>
    <w:rsid w:val="004C6B41"/>
    <w:rsid w:val="004C74A1"/>
    <w:rsid w:val="004C794E"/>
    <w:rsid w:val="004C7FDD"/>
    <w:rsid w:val="004D1353"/>
    <w:rsid w:val="004D1789"/>
    <w:rsid w:val="004D179B"/>
    <w:rsid w:val="004D204B"/>
    <w:rsid w:val="004D27B7"/>
    <w:rsid w:val="004D3398"/>
    <w:rsid w:val="004D33EC"/>
    <w:rsid w:val="004D3ABF"/>
    <w:rsid w:val="004D3EB5"/>
    <w:rsid w:val="004D44E1"/>
    <w:rsid w:val="004D44F8"/>
    <w:rsid w:val="004D45AB"/>
    <w:rsid w:val="004D4956"/>
    <w:rsid w:val="004D4E60"/>
    <w:rsid w:val="004D4E85"/>
    <w:rsid w:val="004D5548"/>
    <w:rsid w:val="004D5A3E"/>
    <w:rsid w:val="004D674A"/>
    <w:rsid w:val="004D68AF"/>
    <w:rsid w:val="004D6ABC"/>
    <w:rsid w:val="004D6FB1"/>
    <w:rsid w:val="004D71F8"/>
    <w:rsid w:val="004D7710"/>
    <w:rsid w:val="004D7EDB"/>
    <w:rsid w:val="004E0BBE"/>
    <w:rsid w:val="004E0F75"/>
    <w:rsid w:val="004E3622"/>
    <w:rsid w:val="004E3DB5"/>
    <w:rsid w:val="004E5016"/>
    <w:rsid w:val="004E58D2"/>
    <w:rsid w:val="004E5A68"/>
    <w:rsid w:val="004E6691"/>
    <w:rsid w:val="004E69B6"/>
    <w:rsid w:val="004E6D9F"/>
    <w:rsid w:val="004E769E"/>
    <w:rsid w:val="004E76D9"/>
    <w:rsid w:val="004E79E6"/>
    <w:rsid w:val="004E7D87"/>
    <w:rsid w:val="004F1483"/>
    <w:rsid w:val="004F1ADB"/>
    <w:rsid w:val="004F268C"/>
    <w:rsid w:val="004F27A1"/>
    <w:rsid w:val="004F2D23"/>
    <w:rsid w:val="004F31D6"/>
    <w:rsid w:val="004F364B"/>
    <w:rsid w:val="004F3A24"/>
    <w:rsid w:val="004F3AE0"/>
    <w:rsid w:val="004F3B07"/>
    <w:rsid w:val="004F3BD7"/>
    <w:rsid w:val="004F3EFF"/>
    <w:rsid w:val="004F447A"/>
    <w:rsid w:val="004F4CED"/>
    <w:rsid w:val="004F51CF"/>
    <w:rsid w:val="004F5B53"/>
    <w:rsid w:val="004F6284"/>
    <w:rsid w:val="004F6390"/>
    <w:rsid w:val="004F6896"/>
    <w:rsid w:val="004F6997"/>
    <w:rsid w:val="004F705F"/>
    <w:rsid w:val="004F70D0"/>
    <w:rsid w:val="004F726B"/>
    <w:rsid w:val="004F7407"/>
    <w:rsid w:val="004F7576"/>
    <w:rsid w:val="0050005E"/>
    <w:rsid w:val="0050008C"/>
    <w:rsid w:val="00500189"/>
    <w:rsid w:val="0050023E"/>
    <w:rsid w:val="0050069E"/>
    <w:rsid w:val="00500C28"/>
    <w:rsid w:val="00500F94"/>
    <w:rsid w:val="005011A4"/>
    <w:rsid w:val="00501FC0"/>
    <w:rsid w:val="005021F5"/>
    <w:rsid w:val="00502A57"/>
    <w:rsid w:val="00502C5C"/>
    <w:rsid w:val="00502E24"/>
    <w:rsid w:val="005032A0"/>
    <w:rsid w:val="00503416"/>
    <w:rsid w:val="0050382C"/>
    <w:rsid w:val="00503AAE"/>
    <w:rsid w:val="00503B06"/>
    <w:rsid w:val="00503C9E"/>
    <w:rsid w:val="00504115"/>
    <w:rsid w:val="005048C9"/>
    <w:rsid w:val="00504D14"/>
    <w:rsid w:val="00505048"/>
    <w:rsid w:val="00505439"/>
    <w:rsid w:val="00506357"/>
    <w:rsid w:val="00506720"/>
    <w:rsid w:val="00506AE1"/>
    <w:rsid w:val="00506C18"/>
    <w:rsid w:val="00506F2A"/>
    <w:rsid w:val="00506FBA"/>
    <w:rsid w:val="0050751D"/>
    <w:rsid w:val="005105FC"/>
    <w:rsid w:val="00510E4D"/>
    <w:rsid w:val="005111C6"/>
    <w:rsid w:val="00511290"/>
    <w:rsid w:val="0051166F"/>
    <w:rsid w:val="00511CDD"/>
    <w:rsid w:val="005120ED"/>
    <w:rsid w:val="005125D9"/>
    <w:rsid w:val="0051355D"/>
    <w:rsid w:val="005137A6"/>
    <w:rsid w:val="00514AB6"/>
    <w:rsid w:val="00514B43"/>
    <w:rsid w:val="0051609A"/>
    <w:rsid w:val="005164B8"/>
    <w:rsid w:val="0051672D"/>
    <w:rsid w:val="00516A90"/>
    <w:rsid w:val="0051705E"/>
    <w:rsid w:val="005171DD"/>
    <w:rsid w:val="005178E2"/>
    <w:rsid w:val="00517A80"/>
    <w:rsid w:val="00517D13"/>
    <w:rsid w:val="00517EFA"/>
    <w:rsid w:val="00520344"/>
    <w:rsid w:val="00520DC3"/>
    <w:rsid w:val="00521E12"/>
    <w:rsid w:val="0052216E"/>
    <w:rsid w:val="005227D8"/>
    <w:rsid w:val="00523521"/>
    <w:rsid w:val="0052493E"/>
    <w:rsid w:val="00525118"/>
    <w:rsid w:val="005253E3"/>
    <w:rsid w:val="00525773"/>
    <w:rsid w:val="00525A63"/>
    <w:rsid w:val="00526405"/>
    <w:rsid w:val="005264FE"/>
    <w:rsid w:val="00526C39"/>
    <w:rsid w:val="00526EA5"/>
    <w:rsid w:val="0052722C"/>
    <w:rsid w:val="005273D8"/>
    <w:rsid w:val="00530137"/>
    <w:rsid w:val="005306CB"/>
    <w:rsid w:val="00530A15"/>
    <w:rsid w:val="00530DDB"/>
    <w:rsid w:val="00530E7A"/>
    <w:rsid w:val="0053100D"/>
    <w:rsid w:val="00531F91"/>
    <w:rsid w:val="00532008"/>
    <w:rsid w:val="00532B97"/>
    <w:rsid w:val="00532F62"/>
    <w:rsid w:val="00533123"/>
    <w:rsid w:val="0053331A"/>
    <w:rsid w:val="00533B95"/>
    <w:rsid w:val="00533F71"/>
    <w:rsid w:val="00534533"/>
    <w:rsid w:val="005351A2"/>
    <w:rsid w:val="00535F4B"/>
    <w:rsid w:val="00536116"/>
    <w:rsid w:val="0053636D"/>
    <w:rsid w:val="0053665E"/>
    <w:rsid w:val="00536EC4"/>
    <w:rsid w:val="00537905"/>
    <w:rsid w:val="005379CA"/>
    <w:rsid w:val="00540172"/>
    <w:rsid w:val="00540B4E"/>
    <w:rsid w:val="00541599"/>
    <w:rsid w:val="00541DF2"/>
    <w:rsid w:val="00542BAF"/>
    <w:rsid w:val="00542CB1"/>
    <w:rsid w:val="0054326F"/>
    <w:rsid w:val="005434E4"/>
    <w:rsid w:val="00543EF5"/>
    <w:rsid w:val="00544038"/>
    <w:rsid w:val="005454A8"/>
    <w:rsid w:val="00545D19"/>
    <w:rsid w:val="00545D2A"/>
    <w:rsid w:val="00546D4F"/>
    <w:rsid w:val="00546F8D"/>
    <w:rsid w:val="00547CC1"/>
    <w:rsid w:val="00550BD1"/>
    <w:rsid w:val="00551301"/>
    <w:rsid w:val="00551579"/>
    <w:rsid w:val="005520FB"/>
    <w:rsid w:val="00552E7B"/>
    <w:rsid w:val="0055342A"/>
    <w:rsid w:val="00553858"/>
    <w:rsid w:val="0055419D"/>
    <w:rsid w:val="00554C9D"/>
    <w:rsid w:val="0055570F"/>
    <w:rsid w:val="0055613C"/>
    <w:rsid w:val="005562EE"/>
    <w:rsid w:val="00556356"/>
    <w:rsid w:val="005570E6"/>
    <w:rsid w:val="0055733E"/>
    <w:rsid w:val="00557637"/>
    <w:rsid w:val="00557AFB"/>
    <w:rsid w:val="00560C26"/>
    <w:rsid w:val="00560FFF"/>
    <w:rsid w:val="0056195C"/>
    <w:rsid w:val="00561986"/>
    <w:rsid w:val="00561DB0"/>
    <w:rsid w:val="0056230B"/>
    <w:rsid w:val="00562319"/>
    <w:rsid w:val="00562455"/>
    <w:rsid w:val="005636B5"/>
    <w:rsid w:val="00563B83"/>
    <w:rsid w:val="00563C84"/>
    <w:rsid w:val="00563D18"/>
    <w:rsid w:val="005640D4"/>
    <w:rsid w:val="005645F3"/>
    <w:rsid w:val="00565483"/>
    <w:rsid w:val="0056553C"/>
    <w:rsid w:val="00565F0F"/>
    <w:rsid w:val="00566168"/>
    <w:rsid w:val="00566BDF"/>
    <w:rsid w:val="005670C9"/>
    <w:rsid w:val="0056758F"/>
    <w:rsid w:val="00567C8B"/>
    <w:rsid w:val="0057075B"/>
    <w:rsid w:val="00570B31"/>
    <w:rsid w:val="00570E0F"/>
    <w:rsid w:val="00571673"/>
    <w:rsid w:val="005727C0"/>
    <w:rsid w:val="00572A1C"/>
    <w:rsid w:val="00572C06"/>
    <w:rsid w:val="00572EA2"/>
    <w:rsid w:val="005733E8"/>
    <w:rsid w:val="0057398A"/>
    <w:rsid w:val="005739AF"/>
    <w:rsid w:val="00573D19"/>
    <w:rsid w:val="00574D32"/>
    <w:rsid w:val="00575439"/>
    <w:rsid w:val="00575C2D"/>
    <w:rsid w:val="00576559"/>
    <w:rsid w:val="00576830"/>
    <w:rsid w:val="00576A0D"/>
    <w:rsid w:val="00577289"/>
    <w:rsid w:val="005772E7"/>
    <w:rsid w:val="00577515"/>
    <w:rsid w:val="00580409"/>
    <w:rsid w:val="005804E5"/>
    <w:rsid w:val="0058056A"/>
    <w:rsid w:val="005808D4"/>
    <w:rsid w:val="00580C03"/>
    <w:rsid w:val="00580CCD"/>
    <w:rsid w:val="0058100C"/>
    <w:rsid w:val="0058123E"/>
    <w:rsid w:val="00581901"/>
    <w:rsid w:val="00581BF5"/>
    <w:rsid w:val="005827C3"/>
    <w:rsid w:val="005827F6"/>
    <w:rsid w:val="00582EB4"/>
    <w:rsid w:val="005835A1"/>
    <w:rsid w:val="005837FC"/>
    <w:rsid w:val="00583EB2"/>
    <w:rsid w:val="005842BB"/>
    <w:rsid w:val="00584F87"/>
    <w:rsid w:val="00586747"/>
    <w:rsid w:val="00586896"/>
    <w:rsid w:val="00586BF2"/>
    <w:rsid w:val="00586FB6"/>
    <w:rsid w:val="00587C51"/>
    <w:rsid w:val="00590597"/>
    <w:rsid w:val="0059143B"/>
    <w:rsid w:val="00591446"/>
    <w:rsid w:val="00591B83"/>
    <w:rsid w:val="00591DA9"/>
    <w:rsid w:val="00592465"/>
    <w:rsid w:val="00592B16"/>
    <w:rsid w:val="0059310D"/>
    <w:rsid w:val="00594975"/>
    <w:rsid w:val="00594C7B"/>
    <w:rsid w:val="0059556C"/>
    <w:rsid w:val="005955E5"/>
    <w:rsid w:val="005957FF"/>
    <w:rsid w:val="00595B34"/>
    <w:rsid w:val="0059604D"/>
    <w:rsid w:val="00596537"/>
    <w:rsid w:val="0059669A"/>
    <w:rsid w:val="005973E8"/>
    <w:rsid w:val="00597C1F"/>
    <w:rsid w:val="005A0634"/>
    <w:rsid w:val="005A09E0"/>
    <w:rsid w:val="005A0E85"/>
    <w:rsid w:val="005A142F"/>
    <w:rsid w:val="005A150B"/>
    <w:rsid w:val="005A249B"/>
    <w:rsid w:val="005A26B8"/>
    <w:rsid w:val="005A294F"/>
    <w:rsid w:val="005A2C8E"/>
    <w:rsid w:val="005A339A"/>
    <w:rsid w:val="005A356F"/>
    <w:rsid w:val="005A3ED9"/>
    <w:rsid w:val="005A4327"/>
    <w:rsid w:val="005A4B82"/>
    <w:rsid w:val="005A4C0F"/>
    <w:rsid w:val="005A4FD6"/>
    <w:rsid w:val="005A5013"/>
    <w:rsid w:val="005A5687"/>
    <w:rsid w:val="005A5913"/>
    <w:rsid w:val="005A5A1F"/>
    <w:rsid w:val="005A5AE4"/>
    <w:rsid w:val="005A5CD7"/>
    <w:rsid w:val="005A70A0"/>
    <w:rsid w:val="005A73BB"/>
    <w:rsid w:val="005B052A"/>
    <w:rsid w:val="005B1649"/>
    <w:rsid w:val="005B24F1"/>
    <w:rsid w:val="005B24F6"/>
    <w:rsid w:val="005B253B"/>
    <w:rsid w:val="005B310E"/>
    <w:rsid w:val="005B367D"/>
    <w:rsid w:val="005B3901"/>
    <w:rsid w:val="005B40CE"/>
    <w:rsid w:val="005B46D3"/>
    <w:rsid w:val="005B49AC"/>
    <w:rsid w:val="005B4C40"/>
    <w:rsid w:val="005B4CE1"/>
    <w:rsid w:val="005B4E3C"/>
    <w:rsid w:val="005B57E7"/>
    <w:rsid w:val="005B59B6"/>
    <w:rsid w:val="005B5EF8"/>
    <w:rsid w:val="005B6529"/>
    <w:rsid w:val="005B6C6C"/>
    <w:rsid w:val="005B7316"/>
    <w:rsid w:val="005B7420"/>
    <w:rsid w:val="005B7F97"/>
    <w:rsid w:val="005C007A"/>
    <w:rsid w:val="005C0247"/>
    <w:rsid w:val="005C0261"/>
    <w:rsid w:val="005C2368"/>
    <w:rsid w:val="005C27FE"/>
    <w:rsid w:val="005C2F0A"/>
    <w:rsid w:val="005C3453"/>
    <w:rsid w:val="005C34D6"/>
    <w:rsid w:val="005C3613"/>
    <w:rsid w:val="005C4887"/>
    <w:rsid w:val="005C4FBE"/>
    <w:rsid w:val="005C5C3E"/>
    <w:rsid w:val="005C5EB2"/>
    <w:rsid w:val="005C699C"/>
    <w:rsid w:val="005C71E6"/>
    <w:rsid w:val="005C77C7"/>
    <w:rsid w:val="005D0A7A"/>
    <w:rsid w:val="005D1B9B"/>
    <w:rsid w:val="005D1C57"/>
    <w:rsid w:val="005D22D4"/>
    <w:rsid w:val="005D2345"/>
    <w:rsid w:val="005D27CE"/>
    <w:rsid w:val="005D2D5A"/>
    <w:rsid w:val="005D3074"/>
    <w:rsid w:val="005D33EA"/>
    <w:rsid w:val="005D4B2C"/>
    <w:rsid w:val="005D504C"/>
    <w:rsid w:val="005D5402"/>
    <w:rsid w:val="005D5483"/>
    <w:rsid w:val="005D5515"/>
    <w:rsid w:val="005D57C8"/>
    <w:rsid w:val="005D58FB"/>
    <w:rsid w:val="005E0021"/>
    <w:rsid w:val="005E0E18"/>
    <w:rsid w:val="005E1FC4"/>
    <w:rsid w:val="005E23D0"/>
    <w:rsid w:val="005E2B12"/>
    <w:rsid w:val="005E2EB7"/>
    <w:rsid w:val="005E3301"/>
    <w:rsid w:val="005E379A"/>
    <w:rsid w:val="005E3C43"/>
    <w:rsid w:val="005E3E11"/>
    <w:rsid w:val="005E412E"/>
    <w:rsid w:val="005E436E"/>
    <w:rsid w:val="005E440F"/>
    <w:rsid w:val="005E4656"/>
    <w:rsid w:val="005E49CD"/>
    <w:rsid w:val="005E4A48"/>
    <w:rsid w:val="005E4A76"/>
    <w:rsid w:val="005E4CCF"/>
    <w:rsid w:val="005E4EEC"/>
    <w:rsid w:val="005E51DE"/>
    <w:rsid w:val="005E5726"/>
    <w:rsid w:val="005E6480"/>
    <w:rsid w:val="005E679C"/>
    <w:rsid w:val="005E6965"/>
    <w:rsid w:val="005E70D2"/>
    <w:rsid w:val="005E7BB3"/>
    <w:rsid w:val="005F0574"/>
    <w:rsid w:val="005F0887"/>
    <w:rsid w:val="005F0BC1"/>
    <w:rsid w:val="005F0D21"/>
    <w:rsid w:val="005F0DC7"/>
    <w:rsid w:val="005F0EA2"/>
    <w:rsid w:val="005F102B"/>
    <w:rsid w:val="005F1113"/>
    <w:rsid w:val="005F2D59"/>
    <w:rsid w:val="005F2ED0"/>
    <w:rsid w:val="005F37D4"/>
    <w:rsid w:val="005F4118"/>
    <w:rsid w:val="005F457C"/>
    <w:rsid w:val="005F4655"/>
    <w:rsid w:val="005F566A"/>
    <w:rsid w:val="005F5BDC"/>
    <w:rsid w:val="005F5D3D"/>
    <w:rsid w:val="005F5E10"/>
    <w:rsid w:val="005F652F"/>
    <w:rsid w:val="005F6AB3"/>
    <w:rsid w:val="005F6E85"/>
    <w:rsid w:val="005F70EB"/>
    <w:rsid w:val="005F7AE0"/>
    <w:rsid w:val="005F7DAB"/>
    <w:rsid w:val="006004CB"/>
    <w:rsid w:val="0060060C"/>
    <w:rsid w:val="00600CCB"/>
    <w:rsid w:val="00600FC5"/>
    <w:rsid w:val="006012EF"/>
    <w:rsid w:val="00601AFC"/>
    <w:rsid w:val="00601C83"/>
    <w:rsid w:val="00601EE8"/>
    <w:rsid w:val="006020AE"/>
    <w:rsid w:val="00602567"/>
    <w:rsid w:val="006025B8"/>
    <w:rsid w:val="00602A6B"/>
    <w:rsid w:val="00602D65"/>
    <w:rsid w:val="006033E6"/>
    <w:rsid w:val="00603714"/>
    <w:rsid w:val="0060401E"/>
    <w:rsid w:val="00605328"/>
    <w:rsid w:val="00606144"/>
    <w:rsid w:val="0060654B"/>
    <w:rsid w:val="006066BF"/>
    <w:rsid w:val="006067FE"/>
    <w:rsid w:val="00606E60"/>
    <w:rsid w:val="006076D4"/>
    <w:rsid w:val="00607AA0"/>
    <w:rsid w:val="00607E81"/>
    <w:rsid w:val="0061004D"/>
    <w:rsid w:val="00610BA8"/>
    <w:rsid w:val="006111D8"/>
    <w:rsid w:val="00612273"/>
    <w:rsid w:val="006125F2"/>
    <w:rsid w:val="0061277F"/>
    <w:rsid w:val="006128C4"/>
    <w:rsid w:val="00612BA7"/>
    <w:rsid w:val="006132A3"/>
    <w:rsid w:val="00613339"/>
    <w:rsid w:val="00614BAD"/>
    <w:rsid w:val="006150A1"/>
    <w:rsid w:val="00615449"/>
    <w:rsid w:val="00615AEE"/>
    <w:rsid w:val="00615E97"/>
    <w:rsid w:val="0061639A"/>
    <w:rsid w:val="006163AE"/>
    <w:rsid w:val="006163CA"/>
    <w:rsid w:val="006176D4"/>
    <w:rsid w:val="00620CC0"/>
    <w:rsid w:val="00620EC6"/>
    <w:rsid w:val="00621022"/>
    <w:rsid w:val="00621237"/>
    <w:rsid w:val="00621357"/>
    <w:rsid w:val="006218ED"/>
    <w:rsid w:val="00621E21"/>
    <w:rsid w:val="00622DE9"/>
    <w:rsid w:val="0062331D"/>
    <w:rsid w:val="006237B5"/>
    <w:rsid w:val="00624A5A"/>
    <w:rsid w:val="00625203"/>
    <w:rsid w:val="0062535E"/>
    <w:rsid w:val="00626317"/>
    <w:rsid w:val="006263F1"/>
    <w:rsid w:val="0062694F"/>
    <w:rsid w:val="006275DA"/>
    <w:rsid w:val="00627A3B"/>
    <w:rsid w:val="00627BFA"/>
    <w:rsid w:val="00627C4E"/>
    <w:rsid w:val="00627D8F"/>
    <w:rsid w:val="00627E69"/>
    <w:rsid w:val="0063123E"/>
    <w:rsid w:val="00631B81"/>
    <w:rsid w:val="00632BC7"/>
    <w:rsid w:val="0063397D"/>
    <w:rsid w:val="00634858"/>
    <w:rsid w:val="0063497E"/>
    <w:rsid w:val="00635026"/>
    <w:rsid w:val="006351DB"/>
    <w:rsid w:val="006351E4"/>
    <w:rsid w:val="006359EF"/>
    <w:rsid w:val="00635B53"/>
    <w:rsid w:val="00635D21"/>
    <w:rsid w:val="00635D84"/>
    <w:rsid w:val="00636264"/>
    <w:rsid w:val="00636471"/>
    <w:rsid w:val="0063666B"/>
    <w:rsid w:val="00636F50"/>
    <w:rsid w:val="00637368"/>
    <w:rsid w:val="006402ED"/>
    <w:rsid w:val="006402F8"/>
    <w:rsid w:val="0064179D"/>
    <w:rsid w:val="006417B5"/>
    <w:rsid w:val="00641EF8"/>
    <w:rsid w:val="00642CE7"/>
    <w:rsid w:val="00643117"/>
    <w:rsid w:val="00643697"/>
    <w:rsid w:val="00643DCC"/>
    <w:rsid w:val="00644F56"/>
    <w:rsid w:val="006455AB"/>
    <w:rsid w:val="0064622A"/>
    <w:rsid w:val="006476BB"/>
    <w:rsid w:val="00650759"/>
    <w:rsid w:val="006513D4"/>
    <w:rsid w:val="0065191A"/>
    <w:rsid w:val="006519E7"/>
    <w:rsid w:val="00651C3A"/>
    <w:rsid w:val="00651E6F"/>
    <w:rsid w:val="00652490"/>
    <w:rsid w:val="00652DE2"/>
    <w:rsid w:val="006531A7"/>
    <w:rsid w:val="00653CD2"/>
    <w:rsid w:val="00654109"/>
    <w:rsid w:val="006543BA"/>
    <w:rsid w:val="006547B7"/>
    <w:rsid w:val="00654B6F"/>
    <w:rsid w:val="006554DF"/>
    <w:rsid w:val="006564FB"/>
    <w:rsid w:val="006567A2"/>
    <w:rsid w:val="00656B6B"/>
    <w:rsid w:val="00656DC0"/>
    <w:rsid w:val="006575BA"/>
    <w:rsid w:val="00657D3A"/>
    <w:rsid w:val="006601A7"/>
    <w:rsid w:val="006605EB"/>
    <w:rsid w:val="00660FA3"/>
    <w:rsid w:val="00661367"/>
    <w:rsid w:val="00661641"/>
    <w:rsid w:val="00661E96"/>
    <w:rsid w:val="00662415"/>
    <w:rsid w:val="00662B7E"/>
    <w:rsid w:val="00662DD8"/>
    <w:rsid w:val="00662EAE"/>
    <w:rsid w:val="006632CC"/>
    <w:rsid w:val="006633AC"/>
    <w:rsid w:val="006634DC"/>
    <w:rsid w:val="00664074"/>
    <w:rsid w:val="00664B1E"/>
    <w:rsid w:val="00664CAF"/>
    <w:rsid w:val="00664E9F"/>
    <w:rsid w:val="00664ECD"/>
    <w:rsid w:val="0066564C"/>
    <w:rsid w:val="00665652"/>
    <w:rsid w:val="006656AB"/>
    <w:rsid w:val="006656C9"/>
    <w:rsid w:val="00665A24"/>
    <w:rsid w:val="00665C93"/>
    <w:rsid w:val="00665CCE"/>
    <w:rsid w:val="0066628E"/>
    <w:rsid w:val="0066647C"/>
    <w:rsid w:val="00666F97"/>
    <w:rsid w:val="00667068"/>
    <w:rsid w:val="00670C09"/>
    <w:rsid w:val="006714B9"/>
    <w:rsid w:val="0067216C"/>
    <w:rsid w:val="0067223C"/>
    <w:rsid w:val="006733A9"/>
    <w:rsid w:val="00673B3B"/>
    <w:rsid w:val="00673C50"/>
    <w:rsid w:val="00673D1E"/>
    <w:rsid w:val="00674280"/>
    <w:rsid w:val="00674AA8"/>
    <w:rsid w:val="00675D5C"/>
    <w:rsid w:val="00675FB2"/>
    <w:rsid w:val="0067600F"/>
    <w:rsid w:val="00676274"/>
    <w:rsid w:val="00676B12"/>
    <w:rsid w:val="00676EE8"/>
    <w:rsid w:val="00680800"/>
    <w:rsid w:val="00680BF5"/>
    <w:rsid w:val="00680EE5"/>
    <w:rsid w:val="00681328"/>
    <w:rsid w:val="00682B7D"/>
    <w:rsid w:val="00683ED1"/>
    <w:rsid w:val="00685456"/>
    <w:rsid w:val="00685D2E"/>
    <w:rsid w:val="006872C9"/>
    <w:rsid w:val="006879FC"/>
    <w:rsid w:val="00687DBC"/>
    <w:rsid w:val="00690038"/>
    <w:rsid w:val="006902AB"/>
    <w:rsid w:val="00690322"/>
    <w:rsid w:val="0069074B"/>
    <w:rsid w:val="006908AC"/>
    <w:rsid w:val="00690AA3"/>
    <w:rsid w:val="00690CD1"/>
    <w:rsid w:val="00690D3C"/>
    <w:rsid w:val="0069199C"/>
    <w:rsid w:val="00692114"/>
    <w:rsid w:val="00693338"/>
    <w:rsid w:val="00693610"/>
    <w:rsid w:val="00693F4B"/>
    <w:rsid w:val="006942C8"/>
    <w:rsid w:val="006942F6"/>
    <w:rsid w:val="006948B6"/>
    <w:rsid w:val="00694F2B"/>
    <w:rsid w:val="006952ED"/>
    <w:rsid w:val="00695CFD"/>
    <w:rsid w:val="00695DEF"/>
    <w:rsid w:val="00696565"/>
    <w:rsid w:val="00696A33"/>
    <w:rsid w:val="00697514"/>
    <w:rsid w:val="00697518"/>
    <w:rsid w:val="006A0004"/>
    <w:rsid w:val="006A0407"/>
    <w:rsid w:val="006A0C0F"/>
    <w:rsid w:val="006A2080"/>
    <w:rsid w:val="006A322C"/>
    <w:rsid w:val="006A356C"/>
    <w:rsid w:val="006A383C"/>
    <w:rsid w:val="006A3CE2"/>
    <w:rsid w:val="006A425A"/>
    <w:rsid w:val="006A4A5E"/>
    <w:rsid w:val="006A537F"/>
    <w:rsid w:val="006A60AF"/>
    <w:rsid w:val="006A6F40"/>
    <w:rsid w:val="006A7402"/>
    <w:rsid w:val="006A77FE"/>
    <w:rsid w:val="006A7A04"/>
    <w:rsid w:val="006B0447"/>
    <w:rsid w:val="006B0890"/>
    <w:rsid w:val="006B0D41"/>
    <w:rsid w:val="006B1D64"/>
    <w:rsid w:val="006B1DA1"/>
    <w:rsid w:val="006B278D"/>
    <w:rsid w:val="006B2DF0"/>
    <w:rsid w:val="006B3AF5"/>
    <w:rsid w:val="006B3F4D"/>
    <w:rsid w:val="006B45EC"/>
    <w:rsid w:val="006B4980"/>
    <w:rsid w:val="006B4AB7"/>
    <w:rsid w:val="006B4B6E"/>
    <w:rsid w:val="006B54B1"/>
    <w:rsid w:val="006B55CB"/>
    <w:rsid w:val="006B5E4A"/>
    <w:rsid w:val="006B6BB5"/>
    <w:rsid w:val="006B6CBF"/>
    <w:rsid w:val="006B73AB"/>
    <w:rsid w:val="006C0676"/>
    <w:rsid w:val="006C0BB1"/>
    <w:rsid w:val="006C0C90"/>
    <w:rsid w:val="006C2A64"/>
    <w:rsid w:val="006C32AC"/>
    <w:rsid w:val="006C3364"/>
    <w:rsid w:val="006C4364"/>
    <w:rsid w:val="006C467D"/>
    <w:rsid w:val="006C49C6"/>
    <w:rsid w:val="006C5013"/>
    <w:rsid w:val="006C5023"/>
    <w:rsid w:val="006C5749"/>
    <w:rsid w:val="006C5782"/>
    <w:rsid w:val="006C57B2"/>
    <w:rsid w:val="006C6346"/>
    <w:rsid w:val="006C6353"/>
    <w:rsid w:val="006C7B4D"/>
    <w:rsid w:val="006C7D80"/>
    <w:rsid w:val="006D0692"/>
    <w:rsid w:val="006D18BD"/>
    <w:rsid w:val="006D18C9"/>
    <w:rsid w:val="006D20FE"/>
    <w:rsid w:val="006D2250"/>
    <w:rsid w:val="006D25E5"/>
    <w:rsid w:val="006D3225"/>
    <w:rsid w:val="006D32AA"/>
    <w:rsid w:val="006D3471"/>
    <w:rsid w:val="006D4BCA"/>
    <w:rsid w:val="006D5137"/>
    <w:rsid w:val="006D6939"/>
    <w:rsid w:val="006D6D1C"/>
    <w:rsid w:val="006D70D1"/>
    <w:rsid w:val="006E0E9E"/>
    <w:rsid w:val="006E0EB5"/>
    <w:rsid w:val="006E1B1A"/>
    <w:rsid w:val="006E288C"/>
    <w:rsid w:val="006E28B7"/>
    <w:rsid w:val="006E31E6"/>
    <w:rsid w:val="006E435B"/>
    <w:rsid w:val="006E4497"/>
    <w:rsid w:val="006E4547"/>
    <w:rsid w:val="006E549A"/>
    <w:rsid w:val="006E55E3"/>
    <w:rsid w:val="006E5911"/>
    <w:rsid w:val="006E67CA"/>
    <w:rsid w:val="006E7013"/>
    <w:rsid w:val="006E7B27"/>
    <w:rsid w:val="006F0420"/>
    <w:rsid w:val="006F1084"/>
    <w:rsid w:val="006F121B"/>
    <w:rsid w:val="006F1453"/>
    <w:rsid w:val="006F17CD"/>
    <w:rsid w:val="006F1F8B"/>
    <w:rsid w:val="006F379F"/>
    <w:rsid w:val="006F38F7"/>
    <w:rsid w:val="006F39B2"/>
    <w:rsid w:val="006F3A04"/>
    <w:rsid w:val="006F3C64"/>
    <w:rsid w:val="006F3E63"/>
    <w:rsid w:val="006F46D6"/>
    <w:rsid w:val="006F47B2"/>
    <w:rsid w:val="006F4FEC"/>
    <w:rsid w:val="006F5332"/>
    <w:rsid w:val="006F5335"/>
    <w:rsid w:val="006F538F"/>
    <w:rsid w:val="006F5727"/>
    <w:rsid w:val="006F57EB"/>
    <w:rsid w:val="006F61D0"/>
    <w:rsid w:val="006F6806"/>
    <w:rsid w:val="006F6BFF"/>
    <w:rsid w:val="006F711C"/>
    <w:rsid w:val="006F7122"/>
    <w:rsid w:val="006F7153"/>
    <w:rsid w:val="006F7CBA"/>
    <w:rsid w:val="0070088B"/>
    <w:rsid w:val="00700E45"/>
    <w:rsid w:val="00701D72"/>
    <w:rsid w:val="00701EAC"/>
    <w:rsid w:val="007027C7"/>
    <w:rsid w:val="00702B0D"/>
    <w:rsid w:val="007036F7"/>
    <w:rsid w:val="00703D7F"/>
    <w:rsid w:val="00704096"/>
    <w:rsid w:val="0070453B"/>
    <w:rsid w:val="007046CF"/>
    <w:rsid w:val="00704AEC"/>
    <w:rsid w:val="007050B8"/>
    <w:rsid w:val="00705401"/>
    <w:rsid w:val="00705597"/>
    <w:rsid w:val="00706237"/>
    <w:rsid w:val="00706250"/>
    <w:rsid w:val="0070687B"/>
    <w:rsid w:val="007069EC"/>
    <w:rsid w:val="00706CB8"/>
    <w:rsid w:val="007077AD"/>
    <w:rsid w:val="00707810"/>
    <w:rsid w:val="0071004D"/>
    <w:rsid w:val="00710286"/>
    <w:rsid w:val="00710900"/>
    <w:rsid w:val="00710EE4"/>
    <w:rsid w:val="00711B10"/>
    <w:rsid w:val="0071350B"/>
    <w:rsid w:val="00713686"/>
    <w:rsid w:val="007148C8"/>
    <w:rsid w:val="00714AE4"/>
    <w:rsid w:val="00714B21"/>
    <w:rsid w:val="00714E25"/>
    <w:rsid w:val="007155B0"/>
    <w:rsid w:val="007156E7"/>
    <w:rsid w:val="007160CD"/>
    <w:rsid w:val="00716355"/>
    <w:rsid w:val="00716426"/>
    <w:rsid w:val="00716473"/>
    <w:rsid w:val="00717217"/>
    <w:rsid w:val="00717244"/>
    <w:rsid w:val="007176ED"/>
    <w:rsid w:val="00720396"/>
    <w:rsid w:val="0072078D"/>
    <w:rsid w:val="0072116D"/>
    <w:rsid w:val="0072228C"/>
    <w:rsid w:val="0072309D"/>
    <w:rsid w:val="007237A3"/>
    <w:rsid w:val="00723935"/>
    <w:rsid w:val="00723FF7"/>
    <w:rsid w:val="007240B4"/>
    <w:rsid w:val="00724696"/>
    <w:rsid w:val="00725096"/>
    <w:rsid w:val="00725174"/>
    <w:rsid w:val="00725409"/>
    <w:rsid w:val="00725B1E"/>
    <w:rsid w:val="00725BB5"/>
    <w:rsid w:val="00726895"/>
    <w:rsid w:val="00726D2A"/>
    <w:rsid w:val="00726D51"/>
    <w:rsid w:val="00730050"/>
    <w:rsid w:val="007301C2"/>
    <w:rsid w:val="00730D69"/>
    <w:rsid w:val="007324AE"/>
    <w:rsid w:val="00732868"/>
    <w:rsid w:val="00732CE7"/>
    <w:rsid w:val="00732FF7"/>
    <w:rsid w:val="007341B0"/>
    <w:rsid w:val="00734D1C"/>
    <w:rsid w:val="007358CE"/>
    <w:rsid w:val="00735AC1"/>
    <w:rsid w:val="0073613B"/>
    <w:rsid w:val="007365E1"/>
    <w:rsid w:val="00736CE7"/>
    <w:rsid w:val="007372D0"/>
    <w:rsid w:val="0074009A"/>
    <w:rsid w:val="00740304"/>
    <w:rsid w:val="007407FF"/>
    <w:rsid w:val="00740E6E"/>
    <w:rsid w:val="00741375"/>
    <w:rsid w:val="00741548"/>
    <w:rsid w:val="00741695"/>
    <w:rsid w:val="0074172E"/>
    <w:rsid w:val="00741813"/>
    <w:rsid w:val="00741A02"/>
    <w:rsid w:val="007421B3"/>
    <w:rsid w:val="007422DB"/>
    <w:rsid w:val="007426F5"/>
    <w:rsid w:val="00742935"/>
    <w:rsid w:val="00742FF0"/>
    <w:rsid w:val="00744111"/>
    <w:rsid w:val="00744838"/>
    <w:rsid w:val="0074516B"/>
    <w:rsid w:val="00745D01"/>
    <w:rsid w:val="0074626A"/>
    <w:rsid w:val="00746D61"/>
    <w:rsid w:val="00746EC9"/>
    <w:rsid w:val="0074762D"/>
    <w:rsid w:val="00747813"/>
    <w:rsid w:val="00747E32"/>
    <w:rsid w:val="007507D5"/>
    <w:rsid w:val="007510D7"/>
    <w:rsid w:val="00751404"/>
    <w:rsid w:val="00751DCE"/>
    <w:rsid w:val="007522AC"/>
    <w:rsid w:val="00752C03"/>
    <w:rsid w:val="0075309B"/>
    <w:rsid w:val="0075345C"/>
    <w:rsid w:val="00753C1A"/>
    <w:rsid w:val="00754252"/>
    <w:rsid w:val="0075465E"/>
    <w:rsid w:val="00754950"/>
    <w:rsid w:val="00756DA2"/>
    <w:rsid w:val="00757061"/>
    <w:rsid w:val="0075777E"/>
    <w:rsid w:val="00757980"/>
    <w:rsid w:val="00760E3B"/>
    <w:rsid w:val="00761195"/>
    <w:rsid w:val="007611C5"/>
    <w:rsid w:val="00761956"/>
    <w:rsid w:val="00762C00"/>
    <w:rsid w:val="00762DAE"/>
    <w:rsid w:val="00762F82"/>
    <w:rsid w:val="007631A4"/>
    <w:rsid w:val="007634B3"/>
    <w:rsid w:val="007647F9"/>
    <w:rsid w:val="00764E51"/>
    <w:rsid w:val="00765556"/>
    <w:rsid w:val="007656F7"/>
    <w:rsid w:val="0076644A"/>
    <w:rsid w:val="00766508"/>
    <w:rsid w:val="00766F5C"/>
    <w:rsid w:val="00766FFD"/>
    <w:rsid w:val="0076702A"/>
    <w:rsid w:val="007675A9"/>
    <w:rsid w:val="00767946"/>
    <w:rsid w:val="0077017E"/>
    <w:rsid w:val="0077038A"/>
    <w:rsid w:val="007704AE"/>
    <w:rsid w:val="007704FA"/>
    <w:rsid w:val="00770E0C"/>
    <w:rsid w:val="00771A49"/>
    <w:rsid w:val="00771F76"/>
    <w:rsid w:val="007736FB"/>
    <w:rsid w:val="00773889"/>
    <w:rsid w:val="00773B52"/>
    <w:rsid w:val="00773D9D"/>
    <w:rsid w:val="00774057"/>
    <w:rsid w:val="007743B2"/>
    <w:rsid w:val="00775145"/>
    <w:rsid w:val="007759AC"/>
    <w:rsid w:val="007768A5"/>
    <w:rsid w:val="00777546"/>
    <w:rsid w:val="0077764E"/>
    <w:rsid w:val="00777A29"/>
    <w:rsid w:val="00777AEC"/>
    <w:rsid w:val="007801F2"/>
    <w:rsid w:val="00780531"/>
    <w:rsid w:val="007815F1"/>
    <w:rsid w:val="00781AF0"/>
    <w:rsid w:val="00781D32"/>
    <w:rsid w:val="00781E84"/>
    <w:rsid w:val="00781F00"/>
    <w:rsid w:val="00782D5C"/>
    <w:rsid w:val="00782F15"/>
    <w:rsid w:val="00783421"/>
    <w:rsid w:val="007839FD"/>
    <w:rsid w:val="00784263"/>
    <w:rsid w:val="0078472C"/>
    <w:rsid w:val="007852E5"/>
    <w:rsid w:val="00785735"/>
    <w:rsid w:val="00785C48"/>
    <w:rsid w:val="00786C91"/>
    <w:rsid w:val="007871CB"/>
    <w:rsid w:val="0078735D"/>
    <w:rsid w:val="00787EDB"/>
    <w:rsid w:val="00790640"/>
    <w:rsid w:val="00790A0F"/>
    <w:rsid w:val="00790F0C"/>
    <w:rsid w:val="00790F66"/>
    <w:rsid w:val="0079103E"/>
    <w:rsid w:val="00791148"/>
    <w:rsid w:val="00792C14"/>
    <w:rsid w:val="007933A3"/>
    <w:rsid w:val="0079347C"/>
    <w:rsid w:val="00793606"/>
    <w:rsid w:val="00793EE4"/>
    <w:rsid w:val="00794954"/>
    <w:rsid w:val="00794F71"/>
    <w:rsid w:val="0079505D"/>
    <w:rsid w:val="0079561A"/>
    <w:rsid w:val="00795682"/>
    <w:rsid w:val="00795C5F"/>
    <w:rsid w:val="00795CAD"/>
    <w:rsid w:val="007961D5"/>
    <w:rsid w:val="007965F8"/>
    <w:rsid w:val="007A03F6"/>
    <w:rsid w:val="007A0F10"/>
    <w:rsid w:val="007A11C1"/>
    <w:rsid w:val="007A1B1A"/>
    <w:rsid w:val="007A1BEC"/>
    <w:rsid w:val="007A1EEB"/>
    <w:rsid w:val="007A23D1"/>
    <w:rsid w:val="007A29C1"/>
    <w:rsid w:val="007A3497"/>
    <w:rsid w:val="007A34E3"/>
    <w:rsid w:val="007A3C68"/>
    <w:rsid w:val="007A4282"/>
    <w:rsid w:val="007A43A5"/>
    <w:rsid w:val="007A4BC9"/>
    <w:rsid w:val="007A54C4"/>
    <w:rsid w:val="007A5AA5"/>
    <w:rsid w:val="007A5CD6"/>
    <w:rsid w:val="007A5F04"/>
    <w:rsid w:val="007A68F9"/>
    <w:rsid w:val="007A6ED9"/>
    <w:rsid w:val="007A734C"/>
    <w:rsid w:val="007A73BF"/>
    <w:rsid w:val="007A7A76"/>
    <w:rsid w:val="007A7CFC"/>
    <w:rsid w:val="007B009E"/>
    <w:rsid w:val="007B04A4"/>
    <w:rsid w:val="007B0AED"/>
    <w:rsid w:val="007B0C06"/>
    <w:rsid w:val="007B0E40"/>
    <w:rsid w:val="007B1187"/>
    <w:rsid w:val="007B13F1"/>
    <w:rsid w:val="007B172E"/>
    <w:rsid w:val="007B1947"/>
    <w:rsid w:val="007B2160"/>
    <w:rsid w:val="007B2AE7"/>
    <w:rsid w:val="007B2F71"/>
    <w:rsid w:val="007B2F8D"/>
    <w:rsid w:val="007B32B9"/>
    <w:rsid w:val="007B388D"/>
    <w:rsid w:val="007B39E2"/>
    <w:rsid w:val="007B3CE4"/>
    <w:rsid w:val="007B478B"/>
    <w:rsid w:val="007B51E4"/>
    <w:rsid w:val="007B52DD"/>
    <w:rsid w:val="007B57BA"/>
    <w:rsid w:val="007B61AB"/>
    <w:rsid w:val="007B68B0"/>
    <w:rsid w:val="007B6B26"/>
    <w:rsid w:val="007B6B9D"/>
    <w:rsid w:val="007B7510"/>
    <w:rsid w:val="007B7A04"/>
    <w:rsid w:val="007C0AEA"/>
    <w:rsid w:val="007C0DE7"/>
    <w:rsid w:val="007C0E46"/>
    <w:rsid w:val="007C0FA6"/>
    <w:rsid w:val="007C14E2"/>
    <w:rsid w:val="007C14FA"/>
    <w:rsid w:val="007C1A95"/>
    <w:rsid w:val="007C1DA4"/>
    <w:rsid w:val="007C2055"/>
    <w:rsid w:val="007C20C8"/>
    <w:rsid w:val="007C20E5"/>
    <w:rsid w:val="007C2586"/>
    <w:rsid w:val="007C279F"/>
    <w:rsid w:val="007C289F"/>
    <w:rsid w:val="007C2C84"/>
    <w:rsid w:val="007C3999"/>
    <w:rsid w:val="007C3BC4"/>
    <w:rsid w:val="007C42B2"/>
    <w:rsid w:val="007C50AD"/>
    <w:rsid w:val="007C5261"/>
    <w:rsid w:val="007C54B0"/>
    <w:rsid w:val="007C5714"/>
    <w:rsid w:val="007C5788"/>
    <w:rsid w:val="007C62CD"/>
    <w:rsid w:val="007C6510"/>
    <w:rsid w:val="007C68CE"/>
    <w:rsid w:val="007C73AC"/>
    <w:rsid w:val="007C7804"/>
    <w:rsid w:val="007C7B38"/>
    <w:rsid w:val="007D04F9"/>
    <w:rsid w:val="007D0583"/>
    <w:rsid w:val="007D0889"/>
    <w:rsid w:val="007D0AFE"/>
    <w:rsid w:val="007D0F1A"/>
    <w:rsid w:val="007D115D"/>
    <w:rsid w:val="007D127D"/>
    <w:rsid w:val="007D136E"/>
    <w:rsid w:val="007D1DCE"/>
    <w:rsid w:val="007D2291"/>
    <w:rsid w:val="007D23EC"/>
    <w:rsid w:val="007D2670"/>
    <w:rsid w:val="007D27BF"/>
    <w:rsid w:val="007D3000"/>
    <w:rsid w:val="007D3E5B"/>
    <w:rsid w:val="007D3F96"/>
    <w:rsid w:val="007D4459"/>
    <w:rsid w:val="007D6A88"/>
    <w:rsid w:val="007D6ACB"/>
    <w:rsid w:val="007D6AFE"/>
    <w:rsid w:val="007D6B6A"/>
    <w:rsid w:val="007D6E91"/>
    <w:rsid w:val="007D7392"/>
    <w:rsid w:val="007D73D8"/>
    <w:rsid w:val="007D7E44"/>
    <w:rsid w:val="007D7EAC"/>
    <w:rsid w:val="007E037C"/>
    <w:rsid w:val="007E0461"/>
    <w:rsid w:val="007E0880"/>
    <w:rsid w:val="007E0FF8"/>
    <w:rsid w:val="007E17BB"/>
    <w:rsid w:val="007E19EE"/>
    <w:rsid w:val="007E1E75"/>
    <w:rsid w:val="007E22BF"/>
    <w:rsid w:val="007E271D"/>
    <w:rsid w:val="007E2CFF"/>
    <w:rsid w:val="007E318D"/>
    <w:rsid w:val="007E32F7"/>
    <w:rsid w:val="007E377B"/>
    <w:rsid w:val="007E3DF1"/>
    <w:rsid w:val="007E4BC3"/>
    <w:rsid w:val="007E4DCF"/>
    <w:rsid w:val="007E5036"/>
    <w:rsid w:val="007E575C"/>
    <w:rsid w:val="007E6297"/>
    <w:rsid w:val="007E728B"/>
    <w:rsid w:val="007E7C6F"/>
    <w:rsid w:val="007E7E79"/>
    <w:rsid w:val="007F11FF"/>
    <w:rsid w:val="007F1400"/>
    <w:rsid w:val="007F28C6"/>
    <w:rsid w:val="007F2EE4"/>
    <w:rsid w:val="007F306E"/>
    <w:rsid w:val="007F309F"/>
    <w:rsid w:val="007F38C3"/>
    <w:rsid w:val="007F3BA4"/>
    <w:rsid w:val="007F3D33"/>
    <w:rsid w:val="007F4115"/>
    <w:rsid w:val="007F4171"/>
    <w:rsid w:val="007F427D"/>
    <w:rsid w:val="007F4A12"/>
    <w:rsid w:val="007F5BE6"/>
    <w:rsid w:val="007F5F56"/>
    <w:rsid w:val="007F602B"/>
    <w:rsid w:val="007F64DE"/>
    <w:rsid w:val="007F79CC"/>
    <w:rsid w:val="00800035"/>
    <w:rsid w:val="008001D0"/>
    <w:rsid w:val="00800201"/>
    <w:rsid w:val="00800B26"/>
    <w:rsid w:val="00800F70"/>
    <w:rsid w:val="008011F6"/>
    <w:rsid w:val="00801496"/>
    <w:rsid w:val="00801A08"/>
    <w:rsid w:val="00801A59"/>
    <w:rsid w:val="00801D0A"/>
    <w:rsid w:val="00801F06"/>
    <w:rsid w:val="0080237B"/>
    <w:rsid w:val="00802C1F"/>
    <w:rsid w:val="00802FD2"/>
    <w:rsid w:val="00803233"/>
    <w:rsid w:val="00803681"/>
    <w:rsid w:val="00804BD3"/>
    <w:rsid w:val="0080516D"/>
    <w:rsid w:val="008052DC"/>
    <w:rsid w:val="00805327"/>
    <w:rsid w:val="0080604D"/>
    <w:rsid w:val="008061AC"/>
    <w:rsid w:val="00806B6A"/>
    <w:rsid w:val="0080783C"/>
    <w:rsid w:val="008078B1"/>
    <w:rsid w:val="00810075"/>
    <w:rsid w:val="00810346"/>
    <w:rsid w:val="008104C7"/>
    <w:rsid w:val="00812156"/>
    <w:rsid w:val="0081284B"/>
    <w:rsid w:val="00812BC5"/>
    <w:rsid w:val="00812C2C"/>
    <w:rsid w:val="00812D50"/>
    <w:rsid w:val="008130A7"/>
    <w:rsid w:val="00813132"/>
    <w:rsid w:val="008135C3"/>
    <w:rsid w:val="00813835"/>
    <w:rsid w:val="00813E46"/>
    <w:rsid w:val="00814307"/>
    <w:rsid w:val="008157BB"/>
    <w:rsid w:val="00815B4B"/>
    <w:rsid w:val="00815C44"/>
    <w:rsid w:val="00815DFB"/>
    <w:rsid w:val="00816053"/>
    <w:rsid w:val="008163DF"/>
    <w:rsid w:val="00816508"/>
    <w:rsid w:val="00816B87"/>
    <w:rsid w:val="00816F44"/>
    <w:rsid w:val="00817407"/>
    <w:rsid w:val="00817F9F"/>
    <w:rsid w:val="008200D9"/>
    <w:rsid w:val="00820333"/>
    <w:rsid w:val="00820593"/>
    <w:rsid w:val="008208F8"/>
    <w:rsid w:val="008227A3"/>
    <w:rsid w:val="008231E6"/>
    <w:rsid w:val="00823976"/>
    <w:rsid w:val="00823F91"/>
    <w:rsid w:val="0082516E"/>
    <w:rsid w:val="008252FF"/>
    <w:rsid w:val="0082530B"/>
    <w:rsid w:val="0082577D"/>
    <w:rsid w:val="00825891"/>
    <w:rsid w:val="0082601A"/>
    <w:rsid w:val="008263D8"/>
    <w:rsid w:val="00826D91"/>
    <w:rsid w:val="00826DBD"/>
    <w:rsid w:val="00826ED1"/>
    <w:rsid w:val="0082709A"/>
    <w:rsid w:val="0082768C"/>
    <w:rsid w:val="00827784"/>
    <w:rsid w:val="00827E15"/>
    <w:rsid w:val="00827F88"/>
    <w:rsid w:val="0083015A"/>
    <w:rsid w:val="0083029D"/>
    <w:rsid w:val="008310B0"/>
    <w:rsid w:val="008311BE"/>
    <w:rsid w:val="008313E3"/>
    <w:rsid w:val="00832C95"/>
    <w:rsid w:val="00833573"/>
    <w:rsid w:val="008335E7"/>
    <w:rsid w:val="0083363A"/>
    <w:rsid w:val="008336A6"/>
    <w:rsid w:val="00833BE5"/>
    <w:rsid w:val="00833DD8"/>
    <w:rsid w:val="00834388"/>
    <w:rsid w:val="00834826"/>
    <w:rsid w:val="00834893"/>
    <w:rsid w:val="008350E2"/>
    <w:rsid w:val="00835610"/>
    <w:rsid w:val="00835AFC"/>
    <w:rsid w:val="008363BB"/>
    <w:rsid w:val="00836442"/>
    <w:rsid w:val="00836660"/>
    <w:rsid w:val="008366FB"/>
    <w:rsid w:val="00836A6C"/>
    <w:rsid w:val="00837044"/>
    <w:rsid w:val="00837178"/>
    <w:rsid w:val="0083721E"/>
    <w:rsid w:val="00837330"/>
    <w:rsid w:val="00837A5F"/>
    <w:rsid w:val="00837B15"/>
    <w:rsid w:val="00837C7A"/>
    <w:rsid w:val="00837FC0"/>
    <w:rsid w:val="0084005C"/>
    <w:rsid w:val="00840502"/>
    <w:rsid w:val="00841619"/>
    <w:rsid w:val="008416AB"/>
    <w:rsid w:val="00841CF3"/>
    <w:rsid w:val="008428C7"/>
    <w:rsid w:val="00843490"/>
    <w:rsid w:val="00843C42"/>
    <w:rsid w:val="008443FC"/>
    <w:rsid w:val="00844602"/>
    <w:rsid w:val="00844A7B"/>
    <w:rsid w:val="00844C4A"/>
    <w:rsid w:val="008451C0"/>
    <w:rsid w:val="008453B1"/>
    <w:rsid w:val="00846162"/>
    <w:rsid w:val="00847663"/>
    <w:rsid w:val="00847C61"/>
    <w:rsid w:val="0085065D"/>
    <w:rsid w:val="00850686"/>
    <w:rsid w:val="008506D1"/>
    <w:rsid w:val="00851681"/>
    <w:rsid w:val="0085173F"/>
    <w:rsid w:val="008518C3"/>
    <w:rsid w:val="00852357"/>
    <w:rsid w:val="00852AED"/>
    <w:rsid w:val="00852C9A"/>
    <w:rsid w:val="008531FE"/>
    <w:rsid w:val="00853AC1"/>
    <w:rsid w:val="00854214"/>
    <w:rsid w:val="00855972"/>
    <w:rsid w:val="00855FF7"/>
    <w:rsid w:val="0085621F"/>
    <w:rsid w:val="008568EE"/>
    <w:rsid w:val="00856CE0"/>
    <w:rsid w:val="008574D0"/>
    <w:rsid w:val="00857704"/>
    <w:rsid w:val="008602B2"/>
    <w:rsid w:val="00860BDA"/>
    <w:rsid w:val="00860DAB"/>
    <w:rsid w:val="00861E61"/>
    <w:rsid w:val="008623FB"/>
    <w:rsid w:val="008630AB"/>
    <w:rsid w:val="00863760"/>
    <w:rsid w:val="00863B2F"/>
    <w:rsid w:val="00863CAC"/>
    <w:rsid w:val="00863D81"/>
    <w:rsid w:val="00864186"/>
    <w:rsid w:val="00864258"/>
    <w:rsid w:val="008644DF"/>
    <w:rsid w:val="0086536C"/>
    <w:rsid w:val="00866A32"/>
    <w:rsid w:val="00866F05"/>
    <w:rsid w:val="00867193"/>
    <w:rsid w:val="00867381"/>
    <w:rsid w:val="00867E35"/>
    <w:rsid w:val="00867EA1"/>
    <w:rsid w:val="0087091D"/>
    <w:rsid w:val="008719D2"/>
    <w:rsid w:val="00871A24"/>
    <w:rsid w:val="00872C21"/>
    <w:rsid w:val="00874267"/>
    <w:rsid w:val="00874DFE"/>
    <w:rsid w:val="0087505F"/>
    <w:rsid w:val="00875127"/>
    <w:rsid w:val="0087531B"/>
    <w:rsid w:val="008757C9"/>
    <w:rsid w:val="00877019"/>
    <w:rsid w:val="0087783B"/>
    <w:rsid w:val="00877A45"/>
    <w:rsid w:val="00877EAF"/>
    <w:rsid w:val="00880176"/>
    <w:rsid w:val="00880980"/>
    <w:rsid w:val="00880DE0"/>
    <w:rsid w:val="00881483"/>
    <w:rsid w:val="00881AF7"/>
    <w:rsid w:val="00881BA2"/>
    <w:rsid w:val="00882411"/>
    <w:rsid w:val="0088315F"/>
    <w:rsid w:val="008831C4"/>
    <w:rsid w:val="008832D6"/>
    <w:rsid w:val="0088393C"/>
    <w:rsid w:val="00884B3D"/>
    <w:rsid w:val="00884C81"/>
    <w:rsid w:val="00884E69"/>
    <w:rsid w:val="0088591F"/>
    <w:rsid w:val="00885DB6"/>
    <w:rsid w:val="00886C4E"/>
    <w:rsid w:val="00886FC7"/>
    <w:rsid w:val="0088779B"/>
    <w:rsid w:val="00892854"/>
    <w:rsid w:val="008928C6"/>
    <w:rsid w:val="00892A64"/>
    <w:rsid w:val="0089421D"/>
    <w:rsid w:val="008943FF"/>
    <w:rsid w:val="00894710"/>
    <w:rsid w:val="00894B86"/>
    <w:rsid w:val="0089521C"/>
    <w:rsid w:val="008954DF"/>
    <w:rsid w:val="00895A69"/>
    <w:rsid w:val="00895D50"/>
    <w:rsid w:val="00895E52"/>
    <w:rsid w:val="008964B2"/>
    <w:rsid w:val="00896872"/>
    <w:rsid w:val="008970B0"/>
    <w:rsid w:val="00897297"/>
    <w:rsid w:val="0089797E"/>
    <w:rsid w:val="00897C5C"/>
    <w:rsid w:val="008A1280"/>
    <w:rsid w:val="008A220E"/>
    <w:rsid w:val="008A25DE"/>
    <w:rsid w:val="008A25F5"/>
    <w:rsid w:val="008A276D"/>
    <w:rsid w:val="008A4223"/>
    <w:rsid w:val="008A46DE"/>
    <w:rsid w:val="008A49E5"/>
    <w:rsid w:val="008A4A30"/>
    <w:rsid w:val="008A4B14"/>
    <w:rsid w:val="008A4D4F"/>
    <w:rsid w:val="008A51A4"/>
    <w:rsid w:val="008A5839"/>
    <w:rsid w:val="008A5A4D"/>
    <w:rsid w:val="008A5A81"/>
    <w:rsid w:val="008A5E84"/>
    <w:rsid w:val="008A610F"/>
    <w:rsid w:val="008A6AA7"/>
    <w:rsid w:val="008A6F16"/>
    <w:rsid w:val="008A7539"/>
    <w:rsid w:val="008A777E"/>
    <w:rsid w:val="008B0DC5"/>
    <w:rsid w:val="008B2DA3"/>
    <w:rsid w:val="008B2F9A"/>
    <w:rsid w:val="008B3314"/>
    <w:rsid w:val="008B366D"/>
    <w:rsid w:val="008B3E26"/>
    <w:rsid w:val="008B4D9B"/>
    <w:rsid w:val="008B4E05"/>
    <w:rsid w:val="008B4E15"/>
    <w:rsid w:val="008B4E7C"/>
    <w:rsid w:val="008B52C6"/>
    <w:rsid w:val="008B558F"/>
    <w:rsid w:val="008B5D3A"/>
    <w:rsid w:val="008B6319"/>
    <w:rsid w:val="008B6CEA"/>
    <w:rsid w:val="008B6CFF"/>
    <w:rsid w:val="008B7502"/>
    <w:rsid w:val="008B7F4D"/>
    <w:rsid w:val="008C0959"/>
    <w:rsid w:val="008C0C4A"/>
    <w:rsid w:val="008C0D15"/>
    <w:rsid w:val="008C102D"/>
    <w:rsid w:val="008C13F2"/>
    <w:rsid w:val="008C1D92"/>
    <w:rsid w:val="008C2610"/>
    <w:rsid w:val="008C2C38"/>
    <w:rsid w:val="008C2D52"/>
    <w:rsid w:val="008C36A0"/>
    <w:rsid w:val="008C4B91"/>
    <w:rsid w:val="008C4BC8"/>
    <w:rsid w:val="008C5C1A"/>
    <w:rsid w:val="008C62F9"/>
    <w:rsid w:val="008C65CF"/>
    <w:rsid w:val="008C6FFC"/>
    <w:rsid w:val="008C7952"/>
    <w:rsid w:val="008C7FDD"/>
    <w:rsid w:val="008D0231"/>
    <w:rsid w:val="008D088B"/>
    <w:rsid w:val="008D08F9"/>
    <w:rsid w:val="008D0D97"/>
    <w:rsid w:val="008D183F"/>
    <w:rsid w:val="008D1D0B"/>
    <w:rsid w:val="008D2790"/>
    <w:rsid w:val="008D2B7A"/>
    <w:rsid w:val="008D2CA0"/>
    <w:rsid w:val="008D2D71"/>
    <w:rsid w:val="008D332F"/>
    <w:rsid w:val="008D3795"/>
    <w:rsid w:val="008D37F8"/>
    <w:rsid w:val="008D3AE6"/>
    <w:rsid w:val="008D3B70"/>
    <w:rsid w:val="008D3FEC"/>
    <w:rsid w:val="008D40CE"/>
    <w:rsid w:val="008D4DD0"/>
    <w:rsid w:val="008D4EDC"/>
    <w:rsid w:val="008D5682"/>
    <w:rsid w:val="008D5E28"/>
    <w:rsid w:val="008D5ED1"/>
    <w:rsid w:val="008D699B"/>
    <w:rsid w:val="008D6D81"/>
    <w:rsid w:val="008D6DB7"/>
    <w:rsid w:val="008D745E"/>
    <w:rsid w:val="008D7D98"/>
    <w:rsid w:val="008E03FE"/>
    <w:rsid w:val="008E05CE"/>
    <w:rsid w:val="008E06DD"/>
    <w:rsid w:val="008E15BE"/>
    <w:rsid w:val="008E1D89"/>
    <w:rsid w:val="008E255A"/>
    <w:rsid w:val="008E27AD"/>
    <w:rsid w:val="008E2867"/>
    <w:rsid w:val="008E359A"/>
    <w:rsid w:val="008E47A7"/>
    <w:rsid w:val="008E486A"/>
    <w:rsid w:val="008E4F1E"/>
    <w:rsid w:val="008E5145"/>
    <w:rsid w:val="008E5C8B"/>
    <w:rsid w:val="008E62FD"/>
    <w:rsid w:val="008E6DA0"/>
    <w:rsid w:val="008F04C1"/>
    <w:rsid w:val="008F09B7"/>
    <w:rsid w:val="008F0BB1"/>
    <w:rsid w:val="008F0D4A"/>
    <w:rsid w:val="008F1928"/>
    <w:rsid w:val="008F2042"/>
    <w:rsid w:val="008F244E"/>
    <w:rsid w:val="008F29D3"/>
    <w:rsid w:val="008F2A1B"/>
    <w:rsid w:val="008F2ED7"/>
    <w:rsid w:val="008F3097"/>
    <w:rsid w:val="008F3886"/>
    <w:rsid w:val="008F3BB7"/>
    <w:rsid w:val="008F44A6"/>
    <w:rsid w:val="008F4E8D"/>
    <w:rsid w:val="008F51A1"/>
    <w:rsid w:val="008F52D7"/>
    <w:rsid w:val="008F54D0"/>
    <w:rsid w:val="008F6698"/>
    <w:rsid w:val="008F680E"/>
    <w:rsid w:val="008F6A14"/>
    <w:rsid w:val="008F7495"/>
    <w:rsid w:val="008F7BE2"/>
    <w:rsid w:val="0090101B"/>
    <w:rsid w:val="0090115E"/>
    <w:rsid w:val="00901DEB"/>
    <w:rsid w:val="009025F1"/>
    <w:rsid w:val="00902A38"/>
    <w:rsid w:val="00902B9C"/>
    <w:rsid w:val="00902C25"/>
    <w:rsid w:val="00902E15"/>
    <w:rsid w:val="00902EAA"/>
    <w:rsid w:val="009032A4"/>
    <w:rsid w:val="009033AC"/>
    <w:rsid w:val="00903D6D"/>
    <w:rsid w:val="0090465F"/>
    <w:rsid w:val="009048BB"/>
    <w:rsid w:val="009049FF"/>
    <w:rsid w:val="00904C78"/>
    <w:rsid w:val="00904DE0"/>
    <w:rsid w:val="00905375"/>
    <w:rsid w:val="00905442"/>
    <w:rsid w:val="00905CE0"/>
    <w:rsid w:val="00905E29"/>
    <w:rsid w:val="0090632F"/>
    <w:rsid w:val="009067A5"/>
    <w:rsid w:val="009070BB"/>
    <w:rsid w:val="009071D3"/>
    <w:rsid w:val="00907650"/>
    <w:rsid w:val="009102E1"/>
    <w:rsid w:val="0091050F"/>
    <w:rsid w:val="00910697"/>
    <w:rsid w:val="009107C2"/>
    <w:rsid w:val="0091336A"/>
    <w:rsid w:val="0091343D"/>
    <w:rsid w:val="009139D2"/>
    <w:rsid w:val="00913C0E"/>
    <w:rsid w:val="00914123"/>
    <w:rsid w:val="0091441C"/>
    <w:rsid w:val="00914498"/>
    <w:rsid w:val="00915C24"/>
    <w:rsid w:val="0091622D"/>
    <w:rsid w:val="0091625E"/>
    <w:rsid w:val="00916724"/>
    <w:rsid w:val="00920B3A"/>
    <w:rsid w:val="0092193E"/>
    <w:rsid w:val="009219EE"/>
    <w:rsid w:val="0092265D"/>
    <w:rsid w:val="00922A11"/>
    <w:rsid w:val="00922B9D"/>
    <w:rsid w:val="0092302D"/>
    <w:rsid w:val="00924CD5"/>
    <w:rsid w:val="00925B0C"/>
    <w:rsid w:val="00926144"/>
    <w:rsid w:val="009263A3"/>
    <w:rsid w:val="00926951"/>
    <w:rsid w:val="00927210"/>
    <w:rsid w:val="009274C4"/>
    <w:rsid w:val="009274D5"/>
    <w:rsid w:val="00927BBF"/>
    <w:rsid w:val="009306D3"/>
    <w:rsid w:val="0093097D"/>
    <w:rsid w:val="0093205A"/>
    <w:rsid w:val="009331E0"/>
    <w:rsid w:val="009332B4"/>
    <w:rsid w:val="009342EA"/>
    <w:rsid w:val="0093450C"/>
    <w:rsid w:val="0093501D"/>
    <w:rsid w:val="00935160"/>
    <w:rsid w:val="00935B5A"/>
    <w:rsid w:val="00935C03"/>
    <w:rsid w:val="00935C6F"/>
    <w:rsid w:val="00936518"/>
    <w:rsid w:val="00936F27"/>
    <w:rsid w:val="00937A3D"/>
    <w:rsid w:val="00937F34"/>
    <w:rsid w:val="00940434"/>
    <w:rsid w:val="00940AE2"/>
    <w:rsid w:val="00940CD3"/>
    <w:rsid w:val="009411D4"/>
    <w:rsid w:val="0094159C"/>
    <w:rsid w:val="0094168D"/>
    <w:rsid w:val="00942878"/>
    <w:rsid w:val="00943105"/>
    <w:rsid w:val="00943EC9"/>
    <w:rsid w:val="00943ECA"/>
    <w:rsid w:val="009441BA"/>
    <w:rsid w:val="00944D2F"/>
    <w:rsid w:val="00944D56"/>
    <w:rsid w:val="0094550B"/>
    <w:rsid w:val="00945D77"/>
    <w:rsid w:val="00945DC4"/>
    <w:rsid w:val="00946174"/>
    <w:rsid w:val="00946298"/>
    <w:rsid w:val="00946C1E"/>
    <w:rsid w:val="0094718F"/>
    <w:rsid w:val="00950941"/>
    <w:rsid w:val="00950C9C"/>
    <w:rsid w:val="009516B3"/>
    <w:rsid w:val="00952021"/>
    <w:rsid w:val="00952103"/>
    <w:rsid w:val="0095258D"/>
    <w:rsid w:val="009526A1"/>
    <w:rsid w:val="009526BD"/>
    <w:rsid w:val="0095296F"/>
    <w:rsid w:val="009529AC"/>
    <w:rsid w:val="00953410"/>
    <w:rsid w:val="009538C1"/>
    <w:rsid w:val="00954034"/>
    <w:rsid w:val="00954285"/>
    <w:rsid w:val="00954E32"/>
    <w:rsid w:val="00954FA7"/>
    <w:rsid w:val="009552E8"/>
    <w:rsid w:val="00955654"/>
    <w:rsid w:val="0095581A"/>
    <w:rsid w:val="00955D1A"/>
    <w:rsid w:val="00955F01"/>
    <w:rsid w:val="0095682D"/>
    <w:rsid w:val="00956B7A"/>
    <w:rsid w:val="009571E7"/>
    <w:rsid w:val="00957556"/>
    <w:rsid w:val="00957D91"/>
    <w:rsid w:val="009606D0"/>
    <w:rsid w:val="00960C8A"/>
    <w:rsid w:val="00960D99"/>
    <w:rsid w:val="009611D4"/>
    <w:rsid w:val="00961227"/>
    <w:rsid w:val="009612A9"/>
    <w:rsid w:val="00961FF0"/>
    <w:rsid w:val="0096261F"/>
    <w:rsid w:val="00963028"/>
    <w:rsid w:val="009630D2"/>
    <w:rsid w:val="009636A3"/>
    <w:rsid w:val="00963A93"/>
    <w:rsid w:val="00964249"/>
    <w:rsid w:val="00964963"/>
    <w:rsid w:val="009649CB"/>
    <w:rsid w:val="00964D91"/>
    <w:rsid w:val="00966202"/>
    <w:rsid w:val="009662A5"/>
    <w:rsid w:val="00966596"/>
    <w:rsid w:val="00966A02"/>
    <w:rsid w:val="00967658"/>
    <w:rsid w:val="00967A16"/>
    <w:rsid w:val="00967A9A"/>
    <w:rsid w:val="00967ABE"/>
    <w:rsid w:val="009707D5"/>
    <w:rsid w:val="00970F10"/>
    <w:rsid w:val="00971233"/>
    <w:rsid w:val="009717E3"/>
    <w:rsid w:val="00971D95"/>
    <w:rsid w:val="009729F3"/>
    <w:rsid w:val="00972A09"/>
    <w:rsid w:val="0097363B"/>
    <w:rsid w:val="00974148"/>
    <w:rsid w:val="0097426A"/>
    <w:rsid w:val="00974737"/>
    <w:rsid w:val="0097498A"/>
    <w:rsid w:val="00974FE9"/>
    <w:rsid w:val="0097500C"/>
    <w:rsid w:val="00975174"/>
    <w:rsid w:val="00975574"/>
    <w:rsid w:val="009757EA"/>
    <w:rsid w:val="00975E52"/>
    <w:rsid w:val="00976678"/>
    <w:rsid w:val="00976A1C"/>
    <w:rsid w:val="00976E4F"/>
    <w:rsid w:val="009772AF"/>
    <w:rsid w:val="009772B3"/>
    <w:rsid w:val="00977A52"/>
    <w:rsid w:val="00977C65"/>
    <w:rsid w:val="009806BD"/>
    <w:rsid w:val="00980F76"/>
    <w:rsid w:val="00981181"/>
    <w:rsid w:val="0098169B"/>
    <w:rsid w:val="00981F39"/>
    <w:rsid w:val="00983737"/>
    <w:rsid w:val="009838D8"/>
    <w:rsid w:val="00983A73"/>
    <w:rsid w:val="00983C25"/>
    <w:rsid w:val="0098461F"/>
    <w:rsid w:val="0098578F"/>
    <w:rsid w:val="00985FAD"/>
    <w:rsid w:val="009861EF"/>
    <w:rsid w:val="009866C8"/>
    <w:rsid w:val="00986B89"/>
    <w:rsid w:val="00987262"/>
    <w:rsid w:val="00987B8A"/>
    <w:rsid w:val="00987E90"/>
    <w:rsid w:val="00987FB0"/>
    <w:rsid w:val="009922B6"/>
    <w:rsid w:val="0099252E"/>
    <w:rsid w:val="00992C83"/>
    <w:rsid w:val="00993AE3"/>
    <w:rsid w:val="00993EAD"/>
    <w:rsid w:val="009965FA"/>
    <w:rsid w:val="00997353"/>
    <w:rsid w:val="00997CC3"/>
    <w:rsid w:val="00997DBB"/>
    <w:rsid w:val="00997DDB"/>
    <w:rsid w:val="009A00CF"/>
    <w:rsid w:val="009A0613"/>
    <w:rsid w:val="009A0F0F"/>
    <w:rsid w:val="009A103E"/>
    <w:rsid w:val="009A1116"/>
    <w:rsid w:val="009A1407"/>
    <w:rsid w:val="009A1A2F"/>
    <w:rsid w:val="009A25B8"/>
    <w:rsid w:val="009A29C7"/>
    <w:rsid w:val="009A2ED1"/>
    <w:rsid w:val="009A2EF6"/>
    <w:rsid w:val="009A2F16"/>
    <w:rsid w:val="009A3436"/>
    <w:rsid w:val="009A34EE"/>
    <w:rsid w:val="009A3AAC"/>
    <w:rsid w:val="009A3F59"/>
    <w:rsid w:val="009A43AD"/>
    <w:rsid w:val="009A5197"/>
    <w:rsid w:val="009A51BB"/>
    <w:rsid w:val="009A7597"/>
    <w:rsid w:val="009B000E"/>
    <w:rsid w:val="009B0375"/>
    <w:rsid w:val="009B04E6"/>
    <w:rsid w:val="009B0800"/>
    <w:rsid w:val="009B0F20"/>
    <w:rsid w:val="009B10B1"/>
    <w:rsid w:val="009B1491"/>
    <w:rsid w:val="009B164A"/>
    <w:rsid w:val="009B2079"/>
    <w:rsid w:val="009B21FE"/>
    <w:rsid w:val="009B25CD"/>
    <w:rsid w:val="009B29A3"/>
    <w:rsid w:val="009B29EA"/>
    <w:rsid w:val="009B2A14"/>
    <w:rsid w:val="009B2C8B"/>
    <w:rsid w:val="009B31E8"/>
    <w:rsid w:val="009B32EF"/>
    <w:rsid w:val="009B3468"/>
    <w:rsid w:val="009B365D"/>
    <w:rsid w:val="009B3C6F"/>
    <w:rsid w:val="009B3CFB"/>
    <w:rsid w:val="009B4175"/>
    <w:rsid w:val="009B44CD"/>
    <w:rsid w:val="009B51DC"/>
    <w:rsid w:val="009B547F"/>
    <w:rsid w:val="009B5BC7"/>
    <w:rsid w:val="009B6D56"/>
    <w:rsid w:val="009B7111"/>
    <w:rsid w:val="009B7DF6"/>
    <w:rsid w:val="009C066B"/>
    <w:rsid w:val="009C0F7A"/>
    <w:rsid w:val="009C101F"/>
    <w:rsid w:val="009C10A5"/>
    <w:rsid w:val="009C1B13"/>
    <w:rsid w:val="009C2F35"/>
    <w:rsid w:val="009C3457"/>
    <w:rsid w:val="009C3712"/>
    <w:rsid w:val="009C3AED"/>
    <w:rsid w:val="009C3FC2"/>
    <w:rsid w:val="009C4392"/>
    <w:rsid w:val="009C5239"/>
    <w:rsid w:val="009C54B1"/>
    <w:rsid w:val="009C6F07"/>
    <w:rsid w:val="009C6F1F"/>
    <w:rsid w:val="009C719F"/>
    <w:rsid w:val="009C720A"/>
    <w:rsid w:val="009C7F77"/>
    <w:rsid w:val="009D007D"/>
    <w:rsid w:val="009D07F2"/>
    <w:rsid w:val="009D11B5"/>
    <w:rsid w:val="009D1C23"/>
    <w:rsid w:val="009D1EF8"/>
    <w:rsid w:val="009D2DB1"/>
    <w:rsid w:val="009D3D8D"/>
    <w:rsid w:val="009D4772"/>
    <w:rsid w:val="009D4E5E"/>
    <w:rsid w:val="009D53D3"/>
    <w:rsid w:val="009D5D6F"/>
    <w:rsid w:val="009D5D90"/>
    <w:rsid w:val="009D5E04"/>
    <w:rsid w:val="009D6207"/>
    <w:rsid w:val="009D6DAE"/>
    <w:rsid w:val="009D71E8"/>
    <w:rsid w:val="009D74FE"/>
    <w:rsid w:val="009D786C"/>
    <w:rsid w:val="009D7CBC"/>
    <w:rsid w:val="009E0537"/>
    <w:rsid w:val="009E0865"/>
    <w:rsid w:val="009E09AB"/>
    <w:rsid w:val="009E09BB"/>
    <w:rsid w:val="009E0DBD"/>
    <w:rsid w:val="009E1553"/>
    <w:rsid w:val="009E1AF6"/>
    <w:rsid w:val="009E1DBB"/>
    <w:rsid w:val="009E2588"/>
    <w:rsid w:val="009E2A3C"/>
    <w:rsid w:val="009E32F9"/>
    <w:rsid w:val="009E344B"/>
    <w:rsid w:val="009E367C"/>
    <w:rsid w:val="009E3D46"/>
    <w:rsid w:val="009E42BA"/>
    <w:rsid w:val="009E4751"/>
    <w:rsid w:val="009E4CC8"/>
    <w:rsid w:val="009E5325"/>
    <w:rsid w:val="009E5984"/>
    <w:rsid w:val="009E77BE"/>
    <w:rsid w:val="009E791D"/>
    <w:rsid w:val="009F0044"/>
    <w:rsid w:val="009F00C9"/>
    <w:rsid w:val="009F015E"/>
    <w:rsid w:val="009F09BC"/>
    <w:rsid w:val="009F1232"/>
    <w:rsid w:val="009F1244"/>
    <w:rsid w:val="009F18A3"/>
    <w:rsid w:val="009F2903"/>
    <w:rsid w:val="009F507B"/>
    <w:rsid w:val="009F5233"/>
    <w:rsid w:val="009F5754"/>
    <w:rsid w:val="009F5FA4"/>
    <w:rsid w:val="009F63CE"/>
    <w:rsid w:val="009F73BE"/>
    <w:rsid w:val="009F73FF"/>
    <w:rsid w:val="009F79AC"/>
    <w:rsid w:val="009F7B2F"/>
    <w:rsid w:val="009F7F41"/>
    <w:rsid w:val="00A00353"/>
    <w:rsid w:val="00A01094"/>
    <w:rsid w:val="00A01124"/>
    <w:rsid w:val="00A01542"/>
    <w:rsid w:val="00A016CC"/>
    <w:rsid w:val="00A01B55"/>
    <w:rsid w:val="00A01C68"/>
    <w:rsid w:val="00A02AAD"/>
    <w:rsid w:val="00A02AF9"/>
    <w:rsid w:val="00A03019"/>
    <w:rsid w:val="00A03AE2"/>
    <w:rsid w:val="00A04194"/>
    <w:rsid w:val="00A04934"/>
    <w:rsid w:val="00A04B26"/>
    <w:rsid w:val="00A0516C"/>
    <w:rsid w:val="00A05FF2"/>
    <w:rsid w:val="00A06A4C"/>
    <w:rsid w:val="00A06FC8"/>
    <w:rsid w:val="00A073E3"/>
    <w:rsid w:val="00A0794C"/>
    <w:rsid w:val="00A07B4E"/>
    <w:rsid w:val="00A07C48"/>
    <w:rsid w:val="00A10357"/>
    <w:rsid w:val="00A10480"/>
    <w:rsid w:val="00A10AAD"/>
    <w:rsid w:val="00A11A4F"/>
    <w:rsid w:val="00A11D9D"/>
    <w:rsid w:val="00A11FEE"/>
    <w:rsid w:val="00A12007"/>
    <w:rsid w:val="00A12394"/>
    <w:rsid w:val="00A127EB"/>
    <w:rsid w:val="00A1282D"/>
    <w:rsid w:val="00A12896"/>
    <w:rsid w:val="00A12E72"/>
    <w:rsid w:val="00A13570"/>
    <w:rsid w:val="00A13F86"/>
    <w:rsid w:val="00A144B7"/>
    <w:rsid w:val="00A15132"/>
    <w:rsid w:val="00A1514A"/>
    <w:rsid w:val="00A15821"/>
    <w:rsid w:val="00A16D42"/>
    <w:rsid w:val="00A17623"/>
    <w:rsid w:val="00A200E4"/>
    <w:rsid w:val="00A2014A"/>
    <w:rsid w:val="00A202E5"/>
    <w:rsid w:val="00A205B5"/>
    <w:rsid w:val="00A208CD"/>
    <w:rsid w:val="00A219FE"/>
    <w:rsid w:val="00A21AE8"/>
    <w:rsid w:val="00A22897"/>
    <w:rsid w:val="00A22EA2"/>
    <w:rsid w:val="00A23662"/>
    <w:rsid w:val="00A23A4E"/>
    <w:rsid w:val="00A23FB2"/>
    <w:rsid w:val="00A242AB"/>
    <w:rsid w:val="00A251DE"/>
    <w:rsid w:val="00A25A6F"/>
    <w:rsid w:val="00A2602A"/>
    <w:rsid w:val="00A26296"/>
    <w:rsid w:val="00A27780"/>
    <w:rsid w:val="00A27848"/>
    <w:rsid w:val="00A27A17"/>
    <w:rsid w:val="00A27A2A"/>
    <w:rsid w:val="00A27A32"/>
    <w:rsid w:val="00A27B20"/>
    <w:rsid w:val="00A27EB3"/>
    <w:rsid w:val="00A27F17"/>
    <w:rsid w:val="00A302EA"/>
    <w:rsid w:val="00A3157A"/>
    <w:rsid w:val="00A31907"/>
    <w:rsid w:val="00A31B57"/>
    <w:rsid w:val="00A31C0F"/>
    <w:rsid w:val="00A329C9"/>
    <w:rsid w:val="00A32C28"/>
    <w:rsid w:val="00A34A15"/>
    <w:rsid w:val="00A351E7"/>
    <w:rsid w:val="00A35499"/>
    <w:rsid w:val="00A36D9D"/>
    <w:rsid w:val="00A36EDA"/>
    <w:rsid w:val="00A36EEE"/>
    <w:rsid w:val="00A37124"/>
    <w:rsid w:val="00A3712E"/>
    <w:rsid w:val="00A37B54"/>
    <w:rsid w:val="00A40231"/>
    <w:rsid w:val="00A40ABA"/>
    <w:rsid w:val="00A4182B"/>
    <w:rsid w:val="00A41C71"/>
    <w:rsid w:val="00A42270"/>
    <w:rsid w:val="00A424FF"/>
    <w:rsid w:val="00A4273D"/>
    <w:rsid w:val="00A427D6"/>
    <w:rsid w:val="00A44727"/>
    <w:rsid w:val="00A447E2"/>
    <w:rsid w:val="00A44934"/>
    <w:rsid w:val="00A44A80"/>
    <w:rsid w:val="00A44BC2"/>
    <w:rsid w:val="00A45A93"/>
    <w:rsid w:val="00A464EF"/>
    <w:rsid w:val="00A469E8"/>
    <w:rsid w:val="00A46E8C"/>
    <w:rsid w:val="00A472AA"/>
    <w:rsid w:val="00A47621"/>
    <w:rsid w:val="00A47988"/>
    <w:rsid w:val="00A50766"/>
    <w:rsid w:val="00A50D34"/>
    <w:rsid w:val="00A50E6F"/>
    <w:rsid w:val="00A50F4C"/>
    <w:rsid w:val="00A51FA2"/>
    <w:rsid w:val="00A535A6"/>
    <w:rsid w:val="00A5367D"/>
    <w:rsid w:val="00A53893"/>
    <w:rsid w:val="00A5439E"/>
    <w:rsid w:val="00A54A76"/>
    <w:rsid w:val="00A54B1B"/>
    <w:rsid w:val="00A54E18"/>
    <w:rsid w:val="00A5599F"/>
    <w:rsid w:val="00A55DB9"/>
    <w:rsid w:val="00A564F9"/>
    <w:rsid w:val="00A56503"/>
    <w:rsid w:val="00A56584"/>
    <w:rsid w:val="00A574B1"/>
    <w:rsid w:val="00A5765A"/>
    <w:rsid w:val="00A57FE1"/>
    <w:rsid w:val="00A601B4"/>
    <w:rsid w:val="00A60206"/>
    <w:rsid w:val="00A6042A"/>
    <w:rsid w:val="00A60A8C"/>
    <w:rsid w:val="00A60B31"/>
    <w:rsid w:val="00A60D02"/>
    <w:rsid w:val="00A60F93"/>
    <w:rsid w:val="00A6149D"/>
    <w:rsid w:val="00A61AEE"/>
    <w:rsid w:val="00A61FC0"/>
    <w:rsid w:val="00A624EC"/>
    <w:rsid w:val="00A625E2"/>
    <w:rsid w:val="00A62CD9"/>
    <w:rsid w:val="00A62DF7"/>
    <w:rsid w:val="00A62ECC"/>
    <w:rsid w:val="00A63279"/>
    <w:rsid w:val="00A6348F"/>
    <w:rsid w:val="00A6355B"/>
    <w:rsid w:val="00A63EAA"/>
    <w:rsid w:val="00A641AC"/>
    <w:rsid w:val="00A6426C"/>
    <w:rsid w:val="00A647F8"/>
    <w:rsid w:val="00A656B4"/>
    <w:rsid w:val="00A6627F"/>
    <w:rsid w:val="00A66E9E"/>
    <w:rsid w:val="00A70AD3"/>
    <w:rsid w:val="00A719E2"/>
    <w:rsid w:val="00A72327"/>
    <w:rsid w:val="00A7237B"/>
    <w:rsid w:val="00A72CEC"/>
    <w:rsid w:val="00A73492"/>
    <w:rsid w:val="00A73511"/>
    <w:rsid w:val="00A7356B"/>
    <w:rsid w:val="00A735EB"/>
    <w:rsid w:val="00A7363B"/>
    <w:rsid w:val="00A73DAB"/>
    <w:rsid w:val="00A744EA"/>
    <w:rsid w:val="00A7505F"/>
    <w:rsid w:val="00A75274"/>
    <w:rsid w:val="00A75994"/>
    <w:rsid w:val="00A75C8B"/>
    <w:rsid w:val="00A767FB"/>
    <w:rsid w:val="00A76940"/>
    <w:rsid w:val="00A7719E"/>
    <w:rsid w:val="00A774A8"/>
    <w:rsid w:val="00A774EC"/>
    <w:rsid w:val="00A775A3"/>
    <w:rsid w:val="00A77E91"/>
    <w:rsid w:val="00A77E94"/>
    <w:rsid w:val="00A80CC9"/>
    <w:rsid w:val="00A814F2"/>
    <w:rsid w:val="00A8154F"/>
    <w:rsid w:val="00A81878"/>
    <w:rsid w:val="00A818E4"/>
    <w:rsid w:val="00A81D19"/>
    <w:rsid w:val="00A8245D"/>
    <w:rsid w:val="00A82E44"/>
    <w:rsid w:val="00A845DC"/>
    <w:rsid w:val="00A84BE4"/>
    <w:rsid w:val="00A85585"/>
    <w:rsid w:val="00A8601B"/>
    <w:rsid w:val="00A869ED"/>
    <w:rsid w:val="00A86ACA"/>
    <w:rsid w:val="00A8797D"/>
    <w:rsid w:val="00A87F64"/>
    <w:rsid w:val="00A910D9"/>
    <w:rsid w:val="00A91585"/>
    <w:rsid w:val="00A917E0"/>
    <w:rsid w:val="00A922ED"/>
    <w:rsid w:val="00A930EF"/>
    <w:rsid w:val="00A933BA"/>
    <w:rsid w:val="00A945F8"/>
    <w:rsid w:val="00A94614"/>
    <w:rsid w:val="00A952AB"/>
    <w:rsid w:val="00A95553"/>
    <w:rsid w:val="00A95D73"/>
    <w:rsid w:val="00A96342"/>
    <w:rsid w:val="00A9655E"/>
    <w:rsid w:val="00A96F8B"/>
    <w:rsid w:val="00A9704D"/>
    <w:rsid w:val="00AA003A"/>
    <w:rsid w:val="00AA0300"/>
    <w:rsid w:val="00AA0BD4"/>
    <w:rsid w:val="00AA0CD1"/>
    <w:rsid w:val="00AA12F9"/>
    <w:rsid w:val="00AA162F"/>
    <w:rsid w:val="00AA174C"/>
    <w:rsid w:val="00AA2416"/>
    <w:rsid w:val="00AA25A0"/>
    <w:rsid w:val="00AA2FEA"/>
    <w:rsid w:val="00AA3302"/>
    <w:rsid w:val="00AA4066"/>
    <w:rsid w:val="00AA4A46"/>
    <w:rsid w:val="00AA4AED"/>
    <w:rsid w:val="00AA4F44"/>
    <w:rsid w:val="00AA516A"/>
    <w:rsid w:val="00AA59C8"/>
    <w:rsid w:val="00AA5CAE"/>
    <w:rsid w:val="00AA5F3D"/>
    <w:rsid w:val="00AA625D"/>
    <w:rsid w:val="00AA6AD5"/>
    <w:rsid w:val="00AA6D86"/>
    <w:rsid w:val="00AA6E96"/>
    <w:rsid w:val="00AA706F"/>
    <w:rsid w:val="00AA753D"/>
    <w:rsid w:val="00AA7C5A"/>
    <w:rsid w:val="00AB0BE5"/>
    <w:rsid w:val="00AB1119"/>
    <w:rsid w:val="00AB1B4A"/>
    <w:rsid w:val="00AB223C"/>
    <w:rsid w:val="00AB2433"/>
    <w:rsid w:val="00AB2A4E"/>
    <w:rsid w:val="00AB2D4F"/>
    <w:rsid w:val="00AB36DE"/>
    <w:rsid w:val="00AB36E3"/>
    <w:rsid w:val="00AB3C90"/>
    <w:rsid w:val="00AB3F6C"/>
    <w:rsid w:val="00AB425C"/>
    <w:rsid w:val="00AB4599"/>
    <w:rsid w:val="00AB53D2"/>
    <w:rsid w:val="00AB56DC"/>
    <w:rsid w:val="00AB5737"/>
    <w:rsid w:val="00AB584A"/>
    <w:rsid w:val="00AB64B3"/>
    <w:rsid w:val="00AB72B7"/>
    <w:rsid w:val="00AB74E8"/>
    <w:rsid w:val="00AB7A9D"/>
    <w:rsid w:val="00AB7ADC"/>
    <w:rsid w:val="00AB7B12"/>
    <w:rsid w:val="00AC0858"/>
    <w:rsid w:val="00AC11D9"/>
    <w:rsid w:val="00AC1F0A"/>
    <w:rsid w:val="00AC1F66"/>
    <w:rsid w:val="00AC3524"/>
    <w:rsid w:val="00AC3E39"/>
    <w:rsid w:val="00AC43D6"/>
    <w:rsid w:val="00AC4979"/>
    <w:rsid w:val="00AC515C"/>
    <w:rsid w:val="00AC57E7"/>
    <w:rsid w:val="00AC5DD8"/>
    <w:rsid w:val="00AC5DFE"/>
    <w:rsid w:val="00AC6024"/>
    <w:rsid w:val="00AC7286"/>
    <w:rsid w:val="00AC7CBF"/>
    <w:rsid w:val="00AC7FAE"/>
    <w:rsid w:val="00AD057F"/>
    <w:rsid w:val="00AD07A9"/>
    <w:rsid w:val="00AD0A8A"/>
    <w:rsid w:val="00AD0A9F"/>
    <w:rsid w:val="00AD0CD4"/>
    <w:rsid w:val="00AD146E"/>
    <w:rsid w:val="00AD1888"/>
    <w:rsid w:val="00AD1ACE"/>
    <w:rsid w:val="00AD1F0B"/>
    <w:rsid w:val="00AD22CA"/>
    <w:rsid w:val="00AD286E"/>
    <w:rsid w:val="00AD341F"/>
    <w:rsid w:val="00AD36E2"/>
    <w:rsid w:val="00AD38E1"/>
    <w:rsid w:val="00AD3B4D"/>
    <w:rsid w:val="00AD56CA"/>
    <w:rsid w:val="00AD56F7"/>
    <w:rsid w:val="00AD5C48"/>
    <w:rsid w:val="00AD664F"/>
    <w:rsid w:val="00AD69FE"/>
    <w:rsid w:val="00AD7330"/>
    <w:rsid w:val="00AD7331"/>
    <w:rsid w:val="00AD75F9"/>
    <w:rsid w:val="00AD7FE8"/>
    <w:rsid w:val="00AE06C9"/>
    <w:rsid w:val="00AE1958"/>
    <w:rsid w:val="00AE1F9C"/>
    <w:rsid w:val="00AE2B86"/>
    <w:rsid w:val="00AE2C34"/>
    <w:rsid w:val="00AE3045"/>
    <w:rsid w:val="00AE3B7D"/>
    <w:rsid w:val="00AE4C42"/>
    <w:rsid w:val="00AE5064"/>
    <w:rsid w:val="00AE56D7"/>
    <w:rsid w:val="00AE61FE"/>
    <w:rsid w:val="00AE6808"/>
    <w:rsid w:val="00AE6932"/>
    <w:rsid w:val="00AE69AC"/>
    <w:rsid w:val="00AE6BFE"/>
    <w:rsid w:val="00AE6FBC"/>
    <w:rsid w:val="00AE70D0"/>
    <w:rsid w:val="00AE76BC"/>
    <w:rsid w:val="00AF0643"/>
    <w:rsid w:val="00AF08B0"/>
    <w:rsid w:val="00AF0A18"/>
    <w:rsid w:val="00AF1172"/>
    <w:rsid w:val="00AF1201"/>
    <w:rsid w:val="00AF181E"/>
    <w:rsid w:val="00AF19ED"/>
    <w:rsid w:val="00AF1DF4"/>
    <w:rsid w:val="00AF303D"/>
    <w:rsid w:val="00AF3D94"/>
    <w:rsid w:val="00AF41CE"/>
    <w:rsid w:val="00AF4516"/>
    <w:rsid w:val="00AF5013"/>
    <w:rsid w:val="00AF51B8"/>
    <w:rsid w:val="00AF576B"/>
    <w:rsid w:val="00AF58ED"/>
    <w:rsid w:val="00AF6E2E"/>
    <w:rsid w:val="00AF787F"/>
    <w:rsid w:val="00B00011"/>
    <w:rsid w:val="00B0126C"/>
    <w:rsid w:val="00B01AD6"/>
    <w:rsid w:val="00B024A5"/>
    <w:rsid w:val="00B03456"/>
    <w:rsid w:val="00B03530"/>
    <w:rsid w:val="00B03741"/>
    <w:rsid w:val="00B038C7"/>
    <w:rsid w:val="00B038ED"/>
    <w:rsid w:val="00B03A58"/>
    <w:rsid w:val="00B04101"/>
    <w:rsid w:val="00B04300"/>
    <w:rsid w:val="00B046D6"/>
    <w:rsid w:val="00B04753"/>
    <w:rsid w:val="00B056E1"/>
    <w:rsid w:val="00B058FC"/>
    <w:rsid w:val="00B05C6F"/>
    <w:rsid w:val="00B063A7"/>
    <w:rsid w:val="00B06570"/>
    <w:rsid w:val="00B06CEE"/>
    <w:rsid w:val="00B07437"/>
    <w:rsid w:val="00B07704"/>
    <w:rsid w:val="00B078CE"/>
    <w:rsid w:val="00B104F8"/>
    <w:rsid w:val="00B10826"/>
    <w:rsid w:val="00B108BA"/>
    <w:rsid w:val="00B10BD9"/>
    <w:rsid w:val="00B11871"/>
    <w:rsid w:val="00B1188F"/>
    <w:rsid w:val="00B127D4"/>
    <w:rsid w:val="00B12C64"/>
    <w:rsid w:val="00B13673"/>
    <w:rsid w:val="00B13891"/>
    <w:rsid w:val="00B138CC"/>
    <w:rsid w:val="00B13C92"/>
    <w:rsid w:val="00B1470B"/>
    <w:rsid w:val="00B14D84"/>
    <w:rsid w:val="00B15606"/>
    <w:rsid w:val="00B15E1E"/>
    <w:rsid w:val="00B164CF"/>
    <w:rsid w:val="00B166EA"/>
    <w:rsid w:val="00B16966"/>
    <w:rsid w:val="00B16C70"/>
    <w:rsid w:val="00B1734E"/>
    <w:rsid w:val="00B203D8"/>
    <w:rsid w:val="00B207D7"/>
    <w:rsid w:val="00B20EF2"/>
    <w:rsid w:val="00B20FD9"/>
    <w:rsid w:val="00B2230F"/>
    <w:rsid w:val="00B22CDA"/>
    <w:rsid w:val="00B244C9"/>
    <w:rsid w:val="00B24753"/>
    <w:rsid w:val="00B25994"/>
    <w:rsid w:val="00B25E6C"/>
    <w:rsid w:val="00B25FA5"/>
    <w:rsid w:val="00B26A67"/>
    <w:rsid w:val="00B26E65"/>
    <w:rsid w:val="00B27D00"/>
    <w:rsid w:val="00B30095"/>
    <w:rsid w:val="00B30CA1"/>
    <w:rsid w:val="00B321A0"/>
    <w:rsid w:val="00B32444"/>
    <w:rsid w:val="00B32486"/>
    <w:rsid w:val="00B3383C"/>
    <w:rsid w:val="00B34116"/>
    <w:rsid w:val="00B34266"/>
    <w:rsid w:val="00B34E4E"/>
    <w:rsid w:val="00B35317"/>
    <w:rsid w:val="00B35732"/>
    <w:rsid w:val="00B35ADC"/>
    <w:rsid w:val="00B3626C"/>
    <w:rsid w:val="00B36A9C"/>
    <w:rsid w:val="00B36E2B"/>
    <w:rsid w:val="00B36F5A"/>
    <w:rsid w:val="00B3726B"/>
    <w:rsid w:val="00B37306"/>
    <w:rsid w:val="00B37480"/>
    <w:rsid w:val="00B374CD"/>
    <w:rsid w:val="00B37BA1"/>
    <w:rsid w:val="00B40118"/>
    <w:rsid w:val="00B422B4"/>
    <w:rsid w:val="00B4401B"/>
    <w:rsid w:val="00B441BE"/>
    <w:rsid w:val="00B44793"/>
    <w:rsid w:val="00B44C49"/>
    <w:rsid w:val="00B44F92"/>
    <w:rsid w:val="00B45225"/>
    <w:rsid w:val="00B45238"/>
    <w:rsid w:val="00B45435"/>
    <w:rsid w:val="00B45861"/>
    <w:rsid w:val="00B46696"/>
    <w:rsid w:val="00B4697E"/>
    <w:rsid w:val="00B472B1"/>
    <w:rsid w:val="00B476BD"/>
    <w:rsid w:val="00B50948"/>
    <w:rsid w:val="00B50A70"/>
    <w:rsid w:val="00B50F0E"/>
    <w:rsid w:val="00B51B45"/>
    <w:rsid w:val="00B51D57"/>
    <w:rsid w:val="00B52106"/>
    <w:rsid w:val="00B52DB9"/>
    <w:rsid w:val="00B52E3B"/>
    <w:rsid w:val="00B53ED8"/>
    <w:rsid w:val="00B54220"/>
    <w:rsid w:val="00B5500D"/>
    <w:rsid w:val="00B55D71"/>
    <w:rsid w:val="00B567EA"/>
    <w:rsid w:val="00B5751A"/>
    <w:rsid w:val="00B576CC"/>
    <w:rsid w:val="00B579BD"/>
    <w:rsid w:val="00B57DF2"/>
    <w:rsid w:val="00B600E4"/>
    <w:rsid w:val="00B607F9"/>
    <w:rsid w:val="00B60F77"/>
    <w:rsid w:val="00B61173"/>
    <w:rsid w:val="00B61566"/>
    <w:rsid w:val="00B619F0"/>
    <w:rsid w:val="00B62488"/>
    <w:rsid w:val="00B6274D"/>
    <w:rsid w:val="00B62827"/>
    <w:rsid w:val="00B630A7"/>
    <w:rsid w:val="00B63280"/>
    <w:rsid w:val="00B63E02"/>
    <w:rsid w:val="00B63EAA"/>
    <w:rsid w:val="00B64306"/>
    <w:rsid w:val="00B64EE5"/>
    <w:rsid w:val="00B65676"/>
    <w:rsid w:val="00B6599E"/>
    <w:rsid w:val="00B661E2"/>
    <w:rsid w:val="00B66399"/>
    <w:rsid w:val="00B66462"/>
    <w:rsid w:val="00B66A9F"/>
    <w:rsid w:val="00B67201"/>
    <w:rsid w:val="00B67690"/>
    <w:rsid w:val="00B67E7D"/>
    <w:rsid w:val="00B701B1"/>
    <w:rsid w:val="00B70EDA"/>
    <w:rsid w:val="00B71362"/>
    <w:rsid w:val="00B71702"/>
    <w:rsid w:val="00B71C28"/>
    <w:rsid w:val="00B7291A"/>
    <w:rsid w:val="00B72F4C"/>
    <w:rsid w:val="00B7348D"/>
    <w:rsid w:val="00B73BC0"/>
    <w:rsid w:val="00B73F56"/>
    <w:rsid w:val="00B744CD"/>
    <w:rsid w:val="00B74709"/>
    <w:rsid w:val="00B75481"/>
    <w:rsid w:val="00B759F8"/>
    <w:rsid w:val="00B7617A"/>
    <w:rsid w:val="00B76856"/>
    <w:rsid w:val="00B77CD6"/>
    <w:rsid w:val="00B77CFD"/>
    <w:rsid w:val="00B77DC3"/>
    <w:rsid w:val="00B77F31"/>
    <w:rsid w:val="00B8009B"/>
    <w:rsid w:val="00B8083B"/>
    <w:rsid w:val="00B8142F"/>
    <w:rsid w:val="00B824EA"/>
    <w:rsid w:val="00B82F2E"/>
    <w:rsid w:val="00B8440C"/>
    <w:rsid w:val="00B845D1"/>
    <w:rsid w:val="00B84B64"/>
    <w:rsid w:val="00B85716"/>
    <w:rsid w:val="00B86250"/>
    <w:rsid w:val="00B86F34"/>
    <w:rsid w:val="00B86FEF"/>
    <w:rsid w:val="00B87529"/>
    <w:rsid w:val="00B87649"/>
    <w:rsid w:val="00B877DD"/>
    <w:rsid w:val="00B87CF5"/>
    <w:rsid w:val="00B87DF7"/>
    <w:rsid w:val="00B9044C"/>
    <w:rsid w:val="00B90879"/>
    <w:rsid w:val="00B90C22"/>
    <w:rsid w:val="00B91280"/>
    <w:rsid w:val="00B91652"/>
    <w:rsid w:val="00B918DF"/>
    <w:rsid w:val="00B9221F"/>
    <w:rsid w:val="00B9269F"/>
    <w:rsid w:val="00B92935"/>
    <w:rsid w:val="00B92A82"/>
    <w:rsid w:val="00B92AC3"/>
    <w:rsid w:val="00B93358"/>
    <w:rsid w:val="00B93C71"/>
    <w:rsid w:val="00B93EA1"/>
    <w:rsid w:val="00B93F0F"/>
    <w:rsid w:val="00B949BC"/>
    <w:rsid w:val="00B952B7"/>
    <w:rsid w:val="00B95AA4"/>
    <w:rsid w:val="00B967E0"/>
    <w:rsid w:val="00B96DDA"/>
    <w:rsid w:val="00B97F5D"/>
    <w:rsid w:val="00BA07B3"/>
    <w:rsid w:val="00BA0B53"/>
    <w:rsid w:val="00BA0B6D"/>
    <w:rsid w:val="00BA10A4"/>
    <w:rsid w:val="00BA11AE"/>
    <w:rsid w:val="00BA1598"/>
    <w:rsid w:val="00BA165E"/>
    <w:rsid w:val="00BA1B24"/>
    <w:rsid w:val="00BA1C45"/>
    <w:rsid w:val="00BA2084"/>
    <w:rsid w:val="00BA2463"/>
    <w:rsid w:val="00BA2EB8"/>
    <w:rsid w:val="00BA2F4F"/>
    <w:rsid w:val="00BA392D"/>
    <w:rsid w:val="00BA3FFC"/>
    <w:rsid w:val="00BA4C0D"/>
    <w:rsid w:val="00BA4D8D"/>
    <w:rsid w:val="00BA52BD"/>
    <w:rsid w:val="00BA59F6"/>
    <w:rsid w:val="00BA5D62"/>
    <w:rsid w:val="00BA5E27"/>
    <w:rsid w:val="00BA5FCB"/>
    <w:rsid w:val="00BA6239"/>
    <w:rsid w:val="00BA676E"/>
    <w:rsid w:val="00BA7870"/>
    <w:rsid w:val="00BB0F6B"/>
    <w:rsid w:val="00BB117A"/>
    <w:rsid w:val="00BB1ACF"/>
    <w:rsid w:val="00BB1C81"/>
    <w:rsid w:val="00BB2BD4"/>
    <w:rsid w:val="00BB3340"/>
    <w:rsid w:val="00BB511F"/>
    <w:rsid w:val="00BB5315"/>
    <w:rsid w:val="00BB550C"/>
    <w:rsid w:val="00BB55DA"/>
    <w:rsid w:val="00BB59D0"/>
    <w:rsid w:val="00BB5D23"/>
    <w:rsid w:val="00BB6738"/>
    <w:rsid w:val="00BB7903"/>
    <w:rsid w:val="00BC02D3"/>
    <w:rsid w:val="00BC077D"/>
    <w:rsid w:val="00BC142F"/>
    <w:rsid w:val="00BC15E2"/>
    <w:rsid w:val="00BC16D9"/>
    <w:rsid w:val="00BC1C9B"/>
    <w:rsid w:val="00BC2111"/>
    <w:rsid w:val="00BC232F"/>
    <w:rsid w:val="00BC2D9C"/>
    <w:rsid w:val="00BC2E14"/>
    <w:rsid w:val="00BC2FB7"/>
    <w:rsid w:val="00BC3479"/>
    <w:rsid w:val="00BC3CC9"/>
    <w:rsid w:val="00BC4230"/>
    <w:rsid w:val="00BC4721"/>
    <w:rsid w:val="00BC4734"/>
    <w:rsid w:val="00BC4AB6"/>
    <w:rsid w:val="00BC4F60"/>
    <w:rsid w:val="00BC544B"/>
    <w:rsid w:val="00BC58A5"/>
    <w:rsid w:val="00BC5CD9"/>
    <w:rsid w:val="00BC65D9"/>
    <w:rsid w:val="00BC6E9B"/>
    <w:rsid w:val="00BC6F70"/>
    <w:rsid w:val="00BC7868"/>
    <w:rsid w:val="00BD098B"/>
    <w:rsid w:val="00BD1551"/>
    <w:rsid w:val="00BD179F"/>
    <w:rsid w:val="00BD1849"/>
    <w:rsid w:val="00BD23AE"/>
    <w:rsid w:val="00BD39D1"/>
    <w:rsid w:val="00BD3A1E"/>
    <w:rsid w:val="00BD3D74"/>
    <w:rsid w:val="00BD4873"/>
    <w:rsid w:val="00BD5141"/>
    <w:rsid w:val="00BD5F62"/>
    <w:rsid w:val="00BD6A9F"/>
    <w:rsid w:val="00BD73EB"/>
    <w:rsid w:val="00BD7B2A"/>
    <w:rsid w:val="00BE046C"/>
    <w:rsid w:val="00BE0FDE"/>
    <w:rsid w:val="00BE1E52"/>
    <w:rsid w:val="00BE2448"/>
    <w:rsid w:val="00BE2872"/>
    <w:rsid w:val="00BE2AAC"/>
    <w:rsid w:val="00BE2EDD"/>
    <w:rsid w:val="00BE355B"/>
    <w:rsid w:val="00BE365C"/>
    <w:rsid w:val="00BE388A"/>
    <w:rsid w:val="00BE4600"/>
    <w:rsid w:val="00BE539B"/>
    <w:rsid w:val="00BE5587"/>
    <w:rsid w:val="00BE5FF3"/>
    <w:rsid w:val="00BE6177"/>
    <w:rsid w:val="00BE6FF2"/>
    <w:rsid w:val="00BE7264"/>
    <w:rsid w:val="00BE7BE3"/>
    <w:rsid w:val="00BE7ECF"/>
    <w:rsid w:val="00BF0C3E"/>
    <w:rsid w:val="00BF1865"/>
    <w:rsid w:val="00BF1B06"/>
    <w:rsid w:val="00BF2461"/>
    <w:rsid w:val="00BF24E4"/>
    <w:rsid w:val="00BF2F59"/>
    <w:rsid w:val="00BF3214"/>
    <w:rsid w:val="00BF3507"/>
    <w:rsid w:val="00BF4329"/>
    <w:rsid w:val="00BF4CF8"/>
    <w:rsid w:val="00BF51FA"/>
    <w:rsid w:val="00BF5284"/>
    <w:rsid w:val="00BF53D4"/>
    <w:rsid w:val="00BF5B34"/>
    <w:rsid w:val="00BF5C70"/>
    <w:rsid w:val="00BF67B5"/>
    <w:rsid w:val="00BF69A0"/>
    <w:rsid w:val="00BF6C4A"/>
    <w:rsid w:val="00BF6D1A"/>
    <w:rsid w:val="00BF76B4"/>
    <w:rsid w:val="00C000F5"/>
    <w:rsid w:val="00C00D43"/>
    <w:rsid w:val="00C00EC8"/>
    <w:rsid w:val="00C01228"/>
    <w:rsid w:val="00C0137F"/>
    <w:rsid w:val="00C027CF"/>
    <w:rsid w:val="00C0305A"/>
    <w:rsid w:val="00C03604"/>
    <w:rsid w:val="00C03D87"/>
    <w:rsid w:val="00C03DFB"/>
    <w:rsid w:val="00C044B1"/>
    <w:rsid w:val="00C04AA1"/>
    <w:rsid w:val="00C04B63"/>
    <w:rsid w:val="00C051C1"/>
    <w:rsid w:val="00C05224"/>
    <w:rsid w:val="00C0569E"/>
    <w:rsid w:val="00C06241"/>
    <w:rsid w:val="00C0646A"/>
    <w:rsid w:val="00C07178"/>
    <w:rsid w:val="00C07DEB"/>
    <w:rsid w:val="00C104C1"/>
    <w:rsid w:val="00C10602"/>
    <w:rsid w:val="00C1111B"/>
    <w:rsid w:val="00C11121"/>
    <w:rsid w:val="00C11409"/>
    <w:rsid w:val="00C12248"/>
    <w:rsid w:val="00C12802"/>
    <w:rsid w:val="00C1283A"/>
    <w:rsid w:val="00C12D3E"/>
    <w:rsid w:val="00C13149"/>
    <w:rsid w:val="00C139C6"/>
    <w:rsid w:val="00C13E9D"/>
    <w:rsid w:val="00C1469D"/>
    <w:rsid w:val="00C14E12"/>
    <w:rsid w:val="00C14EA7"/>
    <w:rsid w:val="00C15684"/>
    <w:rsid w:val="00C1651E"/>
    <w:rsid w:val="00C17450"/>
    <w:rsid w:val="00C179D9"/>
    <w:rsid w:val="00C20248"/>
    <w:rsid w:val="00C21A25"/>
    <w:rsid w:val="00C21D83"/>
    <w:rsid w:val="00C227F0"/>
    <w:rsid w:val="00C22A77"/>
    <w:rsid w:val="00C2372D"/>
    <w:rsid w:val="00C23D09"/>
    <w:rsid w:val="00C23F1D"/>
    <w:rsid w:val="00C2446C"/>
    <w:rsid w:val="00C247A8"/>
    <w:rsid w:val="00C24996"/>
    <w:rsid w:val="00C24AF9"/>
    <w:rsid w:val="00C25151"/>
    <w:rsid w:val="00C2556A"/>
    <w:rsid w:val="00C26379"/>
    <w:rsid w:val="00C26CCD"/>
    <w:rsid w:val="00C26F11"/>
    <w:rsid w:val="00C26FE4"/>
    <w:rsid w:val="00C270E7"/>
    <w:rsid w:val="00C27A67"/>
    <w:rsid w:val="00C30276"/>
    <w:rsid w:val="00C30DEE"/>
    <w:rsid w:val="00C30E63"/>
    <w:rsid w:val="00C32A15"/>
    <w:rsid w:val="00C33DB9"/>
    <w:rsid w:val="00C34671"/>
    <w:rsid w:val="00C34772"/>
    <w:rsid w:val="00C3482D"/>
    <w:rsid w:val="00C348C3"/>
    <w:rsid w:val="00C352D1"/>
    <w:rsid w:val="00C36602"/>
    <w:rsid w:val="00C36835"/>
    <w:rsid w:val="00C37376"/>
    <w:rsid w:val="00C37A5F"/>
    <w:rsid w:val="00C41B19"/>
    <w:rsid w:val="00C41D01"/>
    <w:rsid w:val="00C41E1B"/>
    <w:rsid w:val="00C42F2A"/>
    <w:rsid w:val="00C42F53"/>
    <w:rsid w:val="00C42FA7"/>
    <w:rsid w:val="00C43993"/>
    <w:rsid w:val="00C4416A"/>
    <w:rsid w:val="00C4450C"/>
    <w:rsid w:val="00C44E51"/>
    <w:rsid w:val="00C455ED"/>
    <w:rsid w:val="00C45BC0"/>
    <w:rsid w:val="00C4720A"/>
    <w:rsid w:val="00C47DBD"/>
    <w:rsid w:val="00C47E5D"/>
    <w:rsid w:val="00C5075D"/>
    <w:rsid w:val="00C50A64"/>
    <w:rsid w:val="00C50F06"/>
    <w:rsid w:val="00C50F3D"/>
    <w:rsid w:val="00C514BD"/>
    <w:rsid w:val="00C51D0C"/>
    <w:rsid w:val="00C51F1F"/>
    <w:rsid w:val="00C5225D"/>
    <w:rsid w:val="00C52501"/>
    <w:rsid w:val="00C525EA"/>
    <w:rsid w:val="00C52754"/>
    <w:rsid w:val="00C52E70"/>
    <w:rsid w:val="00C53094"/>
    <w:rsid w:val="00C53903"/>
    <w:rsid w:val="00C5395A"/>
    <w:rsid w:val="00C54E8B"/>
    <w:rsid w:val="00C55267"/>
    <w:rsid w:val="00C55B6D"/>
    <w:rsid w:val="00C56BF0"/>
    <w:rsid w:val="00C574F0"/>
    <w:rsid w:val="00C575AF"/>
    <w:rsid w:val="00C576E4"/>
    <w:rsid w:val="00C602A5"/>
    <w:rsid w:val="00C60EF3"/>
    <w:rsid w:val="00C60FEE"/>
    <w:rsid w:val="00C61E93"/>
    <w:rsid w:val="00C621CF"/>
    <w:rsid w:val="00C624EC"/>
    <w:rsid w:val="00C636D8"/>
    <w:rsid w:val="00C6403E"/>
    <w:rsid w:val="00C6486C"/>
    <w:rsid w:val="00C64C07"/>
    <w:rsid w:val="00C65F8B"/>
    <w:rsid w:val="00C662B5"/>
    <w:rsid w:val="00C665F4"/>
    <w:rsid w:val="00C666BC"/>
    <w:rsid w:val="00C66704"/>
    <w:rsid w:val="00C67334"/>
    <w:rsid w:val="00C67F64"/>
    <w:rsid w:val="00C70033"/>
    <w:rsid w:val="00C71393"/>
    <w:rsid w:val="00C716A5"/>
    <w:rsid w:val="00C71748"/>
    <w:rsid w:val="00C72A97"/>
    <w:rsid w:val="00C72B2A"/>
    <w:rsid w:val="00C72C21"/>
    <w:rsid w:val="00C73240"/>
    <w:rsid w:val="00C73438"/>
    <w:rsid w:val="00C740AF"/>
    <w:rsid w:val="00C7438D"/>
    <w:rsid w:val="00C74448"/>
    <w:rsid w:val="00C7511B"/>
    <w:rsid w:val="00C752AA"/>
    <w:rsid w:val="00C758D9"/>
    <w:rsid w:val="00C762F4"/>
    <w:rsid w:val="00C773CF"/>
    <w:rsid w:val="00C80334"/>
    <w:rsid w:val="00C80570"/>
    <w:rsid w:val="00C81208"/>
    <w:rsid w:val="00C81B05"/>
    <w:rsid w:val="00C81BCE"/>
    <w:rsid w:val="00C82D6F"/>
    <w:rsid w:val="00C82DEE"/>
    <w:rsid w:val="00C83638"/>
    <w:rsid w:val="00C83B4B"/>
    <w:rsid w:val="00C83C4D"/>
    <w:rsid w:val="00C83FE9"/>
    <w:rsid w:val="00C8487A"/>
    <w:rsid w:val="00C84A72"/>
    <w:rsid w:val="00C84E77"/>
    <w:rsid w:val="00C86EAF"/>
    <w:rsid w:val="00C87322"/>
    <w:rsid w:val="00C8760D"/>
    <w:rsid w:val="00C8765A"/>
    <w:rsid w:val="00C90307"/>
    <w:rsid w:val="00C903A3"/>
    <w:rsid w:val="00C90467"/>
    <w:rsid w:val="00C904B4"/>
    <w:rsid w:val="00C90575"/>
    <w:rsid w:val="00C90A0D"/>
    <w:rsid w:val="00C90F73"/>
    <w:rsid w:val="00C910FA"/>
    <w:rsid w:val="00C91417"/>
    <w:rsid w:val="00C918B6"/>
    <w:rsid w:val="00C918E0"/>
    <w:rsid w:val="00C91A1E"/>
    <w:rsid w:val="00C91AF4"/>
    <w:rsid w:val="00C91DD9"/>
    <w:rsid w:val="00C92060"/>
    <w:rsid w:val="00C9208A"/>
    <w:rsid w:val="00C92586"/>
    <w:rsid w:val="00C925E7"/>
    <w:rsid w:val="00C92C7C"/>
    <w:rsid w:val="00C93049"/>
    <w:rsid w:val="00C938A4"/>
    <w:rsid w:val="00C93C86"/>
    <w:rsid w:val="00C94EBD"/>
    <w:rsid w:val="00C9545D"/>
    <w:rsid w:val="00C959C7"/>
    <w:rsid w:val="00C95B4D"/>
    <w:rsid w:val="00C95E2E"/>
    <w:rsid w:val="00C95FE1"/>
    <w:rsid w:val="00C966EC"/>
    <w:rsid w:val="00C9679C"/>
    <w:rsid w:val="00C96C3A"/>
    <w:rsid w:val="00C96E6C"/>
    <w:rsid w:val="00C97612"/>
    <w:rsid w:val="00C97B48"/>
    <w:rsid w:val="00CA0166"/>
    <w:rsid w:val="00CA01AC"/>
    <w:rsid w:val="00CA065F"/>
    <w:rsid w:val="00CA07E5"/>
    <w:rsid w:val="00CA0DAB"/>
    <w:rsid w:val="00CA0F54"/>
    <w:rsid w:val="00CA1983"/>
    <w:rsid w:val="00CA21EC"/>
    <w:rsid w:val="00CA25BE"/>
    <w:rsid w:val="00CA2640"/>
    <w:rsid w:val="00CA2AC5"/>
    <w:rsid w:val="00CA357C"/>
    <w:rsid w:val="00CA3665"/>
    <w:rsid w:val="00CA394A"/>
    <w:rsid w:val="00CA3F01"/>
    <w:rsid w:val="00CA417B"/>
    <w:rsid w:val="00CA4427"/>
    <w:rsid w:val="00CA49D4"/>
    <w:rsid w:val="00CA5183"/>
    <w:rsid w:val="00CA5875"/>
    <w:rsid w:val="00CA5981"/>
    <w:rsid w:val="00CA5B93"/>
    <w:rsid w:val="00CA6546"/>
    <w:rsid w:val="00CA6BB1"/>
    <w:rsid w:val="00CA6D3C"/>
    <w:rsid w:val="00CA7135"/>
    <w:rsid w:val="00CA72D8"/>
    <w:rsid w:val="00CA79AD"/>
    <w:rsid w:val="00CA7FCF"/>
    <w:rsid w:val="00CB0633"/>
    <w:rsid w:val="00CB06DC"/>
    <w:rsid w:val="00CB1695"/>
    <w:rsid w:val="00CB18BD"/>
    <w:rsid w:val="00CB1A61"/>
    <w:rsid w:val="00CB2233"/>
    <w:rsid w:val="00CB2243"/>
    <w:rsid w:val="00CB3496"/>
    <w:rsid w:val="00CB35AE"/>
    <w:rsid w:val="00CB370F"/>
    <w:rsid w:val="00CB383E"/>
    <w:rsid w:val="00CB3DDE"/>
    <w:rsid w:val="00CB4150"/>
    <w:rsid w:val="00CB41A1"/>
    <w:rsid w:val="00CB4409"/>
    <w:rsid w:val="00CB4B17"/>
    <w:rsid w:val="00CB5213"/>
    <w:rsid w:val="00CB5377"/>
    <w:rsid w:val="00CB5BE0"/>
    <w:rsid w:val="00CB5EBC"/>
    <w:rsid w:val="00CB5ECA"/>
    <w:rsid w:val="00CB625F"/>
    <w:rsid w:val="00CB659C"/>
    <w:rsid w:val="00CB6A25"/>
    <w:rsid w:val="00CB6BBD"/>
    <w:rsid w:val="00CB7033"/>
    <w:rsid w:val="00CB751C"/>
    <w:rsid w:val="00CC0207"/>
    <w:rsid w:val="00CC089B"/>
    <w:rsid w:val="00CC0AFC"/>
    <w:rsid w:val="00CC0ED2"/>
    <w:rsid w:val="00CC1122"/>
    <w:rsid w:val="00CC1965"/>
    <w:rsid w:val="00CC2BEC"/>
    <w:rsid w:val="00CC2C7F"/>
    <w:rsid w:val="00CC2F7C"/>
    <w:rsid w:val="00CC3B4B"/>
    <w:rsid w:val="00CC3B81"/>
    <w:rsid w:val="00CC4A65"/>
    <w:rsid w:val="00CC51D7"/>
    <w:rsid w:val="00CC5202"/>
    <w:rsid w:val="00CC52C2"/>
    <w:rsid w:val="00CC5516"/>
    <w:rsid w:val="00CC6845"/>
    <w:rsid w:val="00CC6C7F"/>
    <w:rsid w:val="00CC732B"/>
    <w:rsid w:val="00CC7335"/>
    <w:rsid w:val="00CD0101"/>
    <w:rsid w:val="00CD01B7"/>
    <w:rsid w:val="00CD0547"/>
    <w:rsid w:val="00CD0630"/>
    <w:rsid w:val="00CD0725"/>
    <w:rsid w:val="00CD0744"/>
    <w:rsid w:val="00CD0F47"/>
    <w:rsid w:val="00CD1C59"/>
    <w:rsid w:val="00CD2547"/>
    <w:rsid w:val="00CD29A1"/>
    <w:rsid w:val="00CD2B0B"/>
    <w:rsid w:val="00CD4706"/>
    <w:rsid w:val="00CD4D25"/>
    <w:rsid w:val="00CD50D2"/>
    <w:rsid w:val="00CD6133"/>
    <w:rsid w:val="00CD662F"/>
    <w:rsid w:val="00CD66C3"/>
    <w:rsid w:val="00CD6C42"/>
    <w:rsid w:val="00CD6F55"/>
    <w:rsid w:val="00CD71D9"/>
    <w:rsid w:val="00CD7BC0"/>
    <w:rsid w:val="00CE006F"/>
    <w:rsid w:val="00CE0926"/>
    <w:rsid w:val="00CE0D34"/>
    <w:rsid w:val="00CE1588"/>
    <w:rsid w:val="00CE2291"/>
    <w:rsid w:val="00CE2A29"/>
    <w:rsid w:val="00CE3AAE"/>
    <w:rsid w:val="00CE3B7C"/>
    <w:rsid w:val="00CE422A"/>
    <w:rsid w:val="00CE42F8"/>
    <w:rsid w:val="00CE43A6"/>
    <w:rsid w:val="00CE4596"/>
    <w:rsid w:val="00CE56CF"/>
    <w:rsid w:val="00CE6B4A"/>
    <w:rsid w:val="00CE6D18"/>
    <w:rsid w:val="00CE7400"/>
    <w:rsid w:val="00CF03CD"/>
    <w:rsid w:val="00CF084C"/>
    <w:rsid w:val="00CF0979"/>
    <w:rsid w:val="00CF0B22"/>
    <w:rsid w:val="00CF0C17"/>
    <w:rsid w:val="00CF123C"/>
    <w:rsid w:val="00CF164A"/>
    <w:rsid w:val="00CF3539"/>
    <w:rsid w:val="00CF399B"/>
    <w:rsid w:val="00CF3E15"/>
    <w:rsid w:val="00CF41CE"/>
    <w:rsid w:val="00CF49A2"/>
    <w:rsid w:val="00CF55D6"/>
    <w:rsid w:val="00CF562D"/>
    <w:rsid w:val="00CF572B"/>
    <w:rsid w:val="00CF6031"/>
    <w:rsid w:val="00CF6DE2"/>
    <w:rsid w:val="00CF74F9"/>
    <w:rsid w:val="00CF793B"/>
    <w:rsid w:val="00CF7E11"/>
    <w:rsid w:val="00D01CC2"/>
    <w:rsid w:val="00D022B8"/>
    <w:rsid w:val="00D04240"/>
    <w:rsid w:val="00D04A08"/>
    <w:rsid w:val="00D0507A"/>
    <w:rsid w:val="00D05748"/>
    <w:rsid w:val="00D059CA"/>
    <w:rsid w:val="00D0613F"/>
    <w:rsid w:val="00D0663D"/>
    <w:rsid w:val="00D067A5"/>
    <w:rsid w:val="00D067A8"/>
    <w:rsid w:val="00D07574"/>
    <w:rsid w:val="00D108C8"/>
    <w:rsid w:val="00D10A22"/>
    <w:rsid w:val="00D10D7A"/>
    <w:rsid w:val="00D112EF"/>
    <w:rsid w:val="00D11D30"/>
    <w:rsid w:val="00D12613"/>
    <w:rsid w:val="00D12787"/>
    <w:rsid w:val="00D1280D"/>
    <w:rsid w:val="00D12A76"/>
    <w:rsid w:val="00D13249"/>
    <w:rsid w:val="00D14A88"/>
    <w:rsid w:val="00D14CFC"/>
    <w:rsid w:val="00D15206"/>
    <w:rsid w:val="00D1593A"/>
    <w:rsid w:val="00D15C29"/>
    <w:rsid w:val="00D15DAF"/>
    <w:rsid w:val="00D1743D"/>
    <w:rsid w:val="00D17BFA"/>
    <w:rsid w:val="00D17FE9"/>
    <w:rsid w:val="00D20161"/>
    <w:rsid w:val="00D206E6"/>
    <w:rsid w:val="00D2075C"/>
    <w:rsid w:val="00D209A7"/>
    <w:rsid w:val="00D20A26"/>
    <w:rsid w:val="00D21FF5"/>
    <w:rsid w:val="00D225FD"/>
    <w:rsid w:val="00D22A2B"/>
    <w:rsid w:val="00D22A3B"/>
    <w:rsid w:val="00D22B6D"/>
    <w:rsid w:val="00D22D11"/>
    <w:rsid w:val="00D22DAA"/>
    <w:rsid w:val="00D22E70"/>
    <w:rsid w:val="00D230E1"/>
    <w:rsid w:val="00D231B6"/>
    <w:rsid w:val="00D238D1"/>
    <w:rsid w:val="00D23B54"/>
    <w:rsid w:val="00D248D1"/>
    <w:rsid w:val="00D249BE"/>
    <w:rsid w:val="00D2535B"/>
    <w:rsid w:val="00D2580A"/>
    <w:rsid w:val="00D26428"/>
    <w:rsid w:val="00D2645A"/>
    <w:rsid w:val="00D265E9"/>
    <w:rsid w:val="00D2772A"/>
    <w:rsid w:val="00D27DA7"/>
    <w:rsid w:val="00D3001A"/>
    <w:rsid w:val="00D30908"/>
    <w:rsid w:val="00D309B2"/>
    <w:rsid w:val="00D30DDA"/>
    <w:rsid w:val="00D3156A"/>
    <w:rsid w:val="00D315C1"/>
    <w:rsid w:val="00D31B3E"/>
    <w:rsid w:val="00D31FA9"/>
    <w:rsid w:val="00D32BA4"/>
    <w:rsid w:val="00D33820"/>
    <w:rsid w:val="00D34D6B"/>
    <w:rsid w:val="00D34E9F"/>
    <w:rsid w:val="00D35150"/>
    <w:rsid w:val="00D354B4"/>
    <w:rsid w:val="00D35E2A"/>
    <w:rsid w:val="00D36096"/>
    <w:rsid w:val="00D36191"/>
    <w:rsid w:val="00D36B8E"/>
    <w:rsid w:val="00D36D1D"/>
    <w:rsid w:val="00D37179"/>
    <w:rsid w:val="00D37247"/>
    <w:rsid w:val="00D37805"/>
    <w:rsid w:val="00D40580"/>
    <w:rsid w:val="00D40D98"/>
    <w:rsid w:val="00D40DB8"/>
    <w:rsid w:val="00D410F8"/>
    <w:rsid w:val="00D415FE"/>
    <w:rsid w:val="00D41C5A"/>
    <w:rsid w:val="00D426FD"/>
    <w:rsid w:val="00D434E1"/>
    <w:rsid w:val="00D434FF"/>
    <w:rsid w:val="00D43705"/>
    <w:rsid w:val="00D43DFB"/>
    <w:rsid w:val="00D43F76"/>
    <w:rsid w:val="00D44CAC"/>
    <w:rsid w:val="00D45EE3"/>
    <w:rsid w:val="00D46487"/>
    <w:rsid w:val="00D46764"/>
    <w:rsid w:val="00D47819"/>
    <w:rsid w:val="00D47D44"/>
    <w:rsid w:val="00D506F9"/>
    <w:rsid w:val="00D50804"/>
    <w:rsid w:val="00D51F82"/>
    <w:rsid w:val="00D523D7"/>
    <w:rsid w:val="00D5305B"/>
    <w:rsid w:val="00D54042"/>
    <w:rsid w:val="00D5445B"/>
    <w:rsid w:val="00D54878"/>
    <w:rsid w:val="00D55A59"/>
    <w:rsid w:val="00D55CC6"/>
    <w:rsid w:val="00D55E6C"/>
    <w:rsid w:val="00D5669B"/>
    <w:rsid w:val="00D56D89"/>
    <w:rsid w:val="00D57499"/>
    <w:rsid w:val="00D5784D"/>
    <w:rsid w:val="00D57A24"/>
    <w:rsid w:val="00D57FDE"/>
    <w:rsid w:val="00D60AE2"/>
    <w:rsid w:val="00D610D5"/>
    <w:rsid w:val="00D61F1D"/>
    <w:rsid w:val="00D633F3"/>
    <w:rsid w:val="00D63658"/>
    <w:rsid w:val="00D643B4"/>
    <w:rsid w:val="00D647BE"/>
    <w:rsid w:val="00D64B12"/>
    <w:rsid w:val="00D6501D"/>
    <w:rsid w:val="00D65110"/>
    <w:rsid w:val="00D66A85"/>
    <w:rsid w:val="00D6749B"/>
    <w:rsid w:val="00D67620"/>
    <w:rsid w:val="00D70258"/>
    <w:rsid w:val="00D706D2"/>
    <w:rsid w:val="00D70990"/>
    <w:rsid w:val="00D718B6"/>
    <w:rsid w:val="00D71F3B"/>
    <w:rsid w:val="00D722F1"/>
    <w:rsid w:val="00D72D75"/>
    <w:rsid w:val="00D72D7C"/>
    <w:rsid w:val="00D734B8"/>
    <w:rsid w:val="00D73C78"/>
    <w:rsid w:val="00D73CC6"/>
    <w:rsid w:val="00D73FE4"/>
    <w:rsid w:val="00D74379"/>
    <w:rsid w:val="00D749C2"/>
    <w:rsid w:val="00D749DB"/>
    <w:rsid w:val="00D74B9B"/>
    <w:rsid w:val="00D74BB3"/>
    <w:rsid w:val="00D75F48"/>
    <w:rsid w:val="00D7710E"/>
    <w:rsid w:val="00D7716C"/>
    <w:rsid w:val="00D7788E"/>
    <w:rsid w:val="00D77D61"/>
    <w:rsid w:val="00D77D92"/>
    <w:rsid w:val="00D80250"/>
    <w:rsid w:val="00D80715"/>
    <w:rsid w:val="00D80740"/>
    <w:rsid w:val="00D81575"/>
    <w:rsid w:val="00D817FF"/>
    <w:rsid w:val="00D81918"/>
    <w:rsid w:val="00D81C88"/>
    <w:rsid w:val="00D81CDA"/>
    <w:rsid w:val="00D8248E"/>
    <w:rsid w:val="00D8276F"/>
    <w:rsid w:val="00D83058"/>
    <w:rsid w:val="00D833DF"/>
    <w:rsid w:val="00D83600"/>
    <w:rsid w:val="00D837F8"/>
    <w:rsid w:val="00D83E1B"/>
    <w:rsid w:val="00D8436C"/>
    <w:rsid w:val="00D84450"/>
    <w:rsid w:val="00D85A08"/>
    <w:rsid w:val="00D86DBE"/>
    <w:rsid w:val="00D875B5"/>
    <w:rsid w:val="00D91341"/>
    <w:rsid w:val="00D91F3C"/>
    <w:rsid w:val="00D92074"/>
    <w:rsid w:val="00D922CB"/>
    <w:rsid w:val="00D92337"/>
    <w:rsid w:val="00D930D0"/>
    <w:rsid w:val="00D93356"/>
    <w:rsid w:val="00D933F2"/>
    <w:rsid w:val="00D93D41"/>
    <w:rsid w:val="00D93D64"/>
    <w:rsid w:val="00D94415"/>
    <w:rsid w:val="00D944DC"/>
    <w:rsid w:val="00D94625"/>
    <w:rsid w:val="00D94D06"/>
    <w:rsid w:val="00D94EA2"/>
    <w:rsid w:val="00D951A8"/>
    <w:rsid w:val="00D95660"/>
    <w:rsid w:val="00D95A64"/>
    <w:rsid w:val="00D95BCE"/>
    <w:rsid w:val="00D9658C"/>
    <w:rsid w:val="00D96777"/>
    <w:rsid w:val="00D967C7"/>
    <w:rsid w:val="00D96EBE"/>
    <w:rsid w:val="00D97157"/>
    <w:rsid w:val="00D97BB1"/>
    <w:rsid w:val="00D97DB9"/>
    <w:rsid w:val="00D97EBF"/>
    <w:rsid w:val="00D97F1E"/>
    <w:rsid w:val="00DA02E9"/>
    <w:rsid w:val="00DA07BC"/>
    <w:rsid w:val="00DA0E65"/>
    <w:rsid w:val="00DA2019"/>
    <w:rsid w:val="00DA2622"/>
    <w:rsid w:val="00DA2C50"/>
    <w:rsid w:val="00DA2F34"/>
    <w:rsid w:val="00DA32A4"/>
    <w:rsid w:val="00DA356D"/>
    <w:rsid w:val="00DA3815"/>
    <w:rsid w:val="00DA3E5F"/>
    <w:rsid w:val="00DA4296"/>
    <w:rsid w:val="00DA44D2"/>
    <w:rsid w:val="00DA50AA"/>
    <w:rsid w:val="00DA64A0"/>
    <w:rsid w:val="00DA6632"/>
    <w:rsid w:val="00DA752C"/>
    <w:rsid w:val="00DA7808"/>
    <w:rsid w:val="00DA7853"/>
    <w:rsid w:val="00DA7E52"/>
    <w:rsid w:val="00DA7E76"/>
    <w:rsid w:val="00DB016A"/>
    <w:rsid w:val="00DB0735"/>
    <w:rsid w:val="00DB124A"/>
    <w:rsid w:val="00DB1489"/>
    <w:rsid w:val="00DB18AE"/>
    <w:rsid w:val="00DB1A07"/>
    <w:rsid w:val="00DB2784"/>
    <w:rsid w:val="00DB3327"/>
    <w:rsid w:val="00DB336C"/>
    <w:rsid w:val="00DB501C"/>
    <w:rsid w:val="00DB52E6"/>
    <w:rsid w:val="00DB6300"/>
    <w:rsid w:val="00DB646C"/>
    <w:rsid w:val="00DB7017"/>
    <w:rsid w:val="00DB77BB"/>
    <w:rsid w:val="00DC0EDC"/>
    <w:rsid w:val="00DC10AD"/>
    <w:rsid w:val="00DC15BA"/>
    <w:rsid w:val="00DC1E39"/>
    <w:rsid w:val="00DC1F0E"/>
    <w:rsid w:val="00DC24E4"/>
    <w:rsid w:val="00DC2EC0"/>
    <w:rsid w:val="00DC386E"/>
    <w:rsid w:val="00DC418E"/>
    <w:rsid w:val="00DC4A14"/>
    <w:rsid w:val="00DC51CC"/>
    <w:rsid w:val="00DC5E74"/>
    <w:rsid w:val="00DC60DE"/>
    <w:rsid w:val="00DC6131"/>
    <w:rsid w:val="00DC6D89"/>
    <w:rsid w:val="00DC70E2"/>
    <w:rsid w:val="00DC73A4"/>
    <w:rsid w:val="00DC74F3"/>
    <w:rsid w:val="00DC75A5"/>
    <w:rsid w:val="00DC79B0"/>
    <w:rsid w:val="00DD00F8"/>
    <w:rsid w:val="00DD05DF"/>
    <w:rsid w:val="00DD0635"/>
    <w:rsid w:val="00DD06DD"/>
    <w:rsid w:val="00DD0E2D"/>
    <w:rsid w:val="00DD1995"/>
    <w:rsid w:val="00DD283F"/>
    <w:rsid w:val="00DD285A"/>
    <w:rsid w:val="00DD28E7"/>
    <w:rsid w:val="00DD32FC"/>
    <w:rsid w:val="00DD40BC"/>
    <w:rsid w:val="00DD523B"/>
    <w:rsid w:val="00DD6079"/>
    <w:rsid w:val="00DD62BB"/>
    <w:rsid w:val="00DD6538"/>
    <w:rsid w:val="00DD655C"/>
    <w:rsid w:val="00DD6684"/>
    <w:rsid w:val="00DD7040"/>
    <w:rsid w:val="00DD73B4"/>
    <w:rsid w:val="00DD73E4"/>
    <w:rsid w:val="00DD7A30"/>
    <w:rsid w:val="00DD7C95"/>
    <w:rsid w:val="00DD7FD1"/>
    <w:rsid w:val="00DE0290"/>
    <w:rsid w:val="00DE0363"/>
    <w:rsid w:val="00DE0B1D"/>
    <w:rsid w:val="00DE207C"/>
    <w:rsid w:val="00DE3114"/>
    <w:rsid w:val="00DE313F"/>
    <w:rsid w:val="00DE3511"/>
    <w:rsid w:val="00DE3765"/>
    <w:rsid w:val="00DE403D"/>
    <w:rsid w:val="00DE4AB7"/>
    <w:rsid w:val="00DE4CCA"/>
    <w:rsid w:val="00DE51F3"/>
    <w:rsid w:val="00DE6332"/>
    <w:rsid w:val="00DE661C"/>
    <w:rsid w:val="00DE6BE2"/>
    <w:rsid w:val="00DF046E"/>
    <w:rsid w:val="00DF0792"/>
    <w:rsid w:val="00DF0A74"/>
    <w:rsid w:val="00DF0BB1"/>
    <w:rsid w:val="00DF109C"/>
    <w:rsid w:val="00DF1110"/>
    <w:rsid w:val="00DF1AD2"/>
    <w:rsid w:val="00DF1F80"/>
    <w:rsid w:val="00DF2287"/>
    <w:rsid w:val="00DF232F"/>
    <w:rsid w:val="00DF23C3"/>
    <w:rsid w:val="00DF2AB3"/>
    <w:rsid w:val="00DF33B9"/>
    <w:rsid w:val="00DF4514"/>
    <w:rsid w:val="00DF48FC"/>
    <w:rsid w:val="00DF4943"/>
    <w:rsid w:val="00DF4AFB"/>
    <w:rsid w:val="00DF4B58"/>
    <w:rsid w:val="00DF5041"/>
    <w:rsid w:val="00DF58A8"/>
    <w:rsid w:val="00DF75CD"/>
    <w:rsid w:val="00DF7774"/>
    <w:rsid w:val="00E00428"/>
    <w:rsid w:val="00E00B79"/>
    <w:rsid w:val="00E00EF3"/>
    <w:rsid w:val="00E0122F"/>
    <w:rsid w:val="00E0143D"/>
    <w:rsid w:val="00E01617"/>
    <w:rsid w:val="00E0367E"/>
    <w:rsid w:val="00E03971"/>
    <w:rsid w:val="00E03FC3"/>
    <w:rsid w:val="00E042E6"/>
    <w:rsid w:val="00E045E2"/>
    <w:rsid w:val="00E0476D"/>
    <w:rsid w:val="00E0595F"/>
    <w:rsid w:val="00E05D10"/>
    <w:rsid w:val="00E05DE4"/>
    <w:rsid w:val="00E063B7"/>
    <w:rsid w:val="00E06FED"/>
    <w:rsid w:val="00E07CAE"/>
    <w:rsid w:val="00E1034E"/>
    <w:rsid w:val="00E10E6D"/>
    <w:rsid w:val="00E11427"/>
    <w:rsid w:val="00E1175F"/>
    <w:rsid w:val="00E12635"/>
    <w:rsid w:val="00E1327A"/>
    <w:rsid w:val="00E13403"/>
    <w:rsid w:val="00E135D8"/>
    <w:rsid w:val="00E153B1"/>
    <w:rsid w:val="00E16693"/>
    <w:rsid w:val="00E16D2B"/>
    <w:rsid w:val="00E1704D"/>
    <w:rsid w:val="00E17439"/>
    <w:rsid w:val="00E17940"/>
    <w:rsid w:val="00E17D92"/>
    <w:rsid w:val="00E2051F"/>
    <w:rsid w:val="00E20751"/>
    <w:rsid w:val="00E20EB7"/>
    <w:rsid w:val="00E21900"/>
    <w:rsid w:val="00E2278C"/>
    <w:rsid w:val="00E24AE3"/>
    <w:rsid w:val="00E250B3"/>
    <w:rsid w:val="00E2582D"/>
    <w:rsid w:val="00E25EF2"/>
    <w:rsid w:val="00E27500"/>
    <w:rsid w:val="00E27C98"/>
    <w:rsid w:val="00E3069C"/>
    <w:rsid w:val="00E30BE1"/>
    <w:rsid w:val="00E31558"/>
    <w:rsid w:val="00E319DA"/>
    <w:rsid w:val="00E3209D"/>
    <w:rsid w:val="00E32567"/>
    <w:rsid w:val="00E33135"/>
    <w:rsid w:val="00E3388C"/>
    <w:rsid w:val="00E34040"/>
    <w:rsid w:val="00E34569"/>
    <w:rsid w:val="00E34B14"/>
    <w:rsid w:val="00E34FD4"/>
    <w:rsid w:val="00E35314"/>
    <w:rsid w:val="00E355F1"/>
    <w:rsid w:val="00E357DB"/>
    <w:rsid w:val="00E36069"/>
    <w:rsid w:val="00E3628A"/>
    <w:rsid w:val="00E364BA"/>
    <w:rsid w:val="00E374C3"/>
    <w:rsid w:val="00E3794E"/>
    <w:rsid w:val="00E40238"/>
    <w:rsid w:val="00E40BDF"/>
    <w:rsid w:val="00E40EAC"/>
    <w:rsid w:val="00E41481"/>
    <w:rsid w:val="00E414EE"/>
    <w:rsid w:val="00E41960"/>
    <w:rsid w:val="00E42387"/>
    <w:rsid w:val="00E427AC"/>
    <w:rsid w:val="00E42B16"/>
    <w:rsid w:val="00E43245"/>
    <w:rsid w:val="00E437C5"/>
    <w:rsid w:val="00E43E7C"/>
    <w:rsid w:val="00E43FB4"/>
    <w:rsid w:val="00E44FBD"/>
    <w:rsid w:val="00E45FD8"/>
    <w:rsid w:val="00E46508"/>
    <w:rsid w:val="00E46632"/>
    <w:rsid w:val="00E46B47"/>
    <w:rsid w:val="00E4712A"/>
    <w:rsid w:val="00E47D38"/>
    <w:rsid w:val="00E5025D"/>
    <w:rsid w:val="00E503BA"/>
    <w:rsid w:val="00E507C5"/>
    <w:rsid w:val="00E50858"/>
    <w:rsid w:val="00E509CF"/>
    <w:rsid w:val="00E51A55"/>
    <w:rsid w:val="00E51B54"/>
    <w:rsid w:val="00E51E62"/>
    <w:rsid w:val="00E5268C"/>
    <w:rsid w:val="00E52B0D"/>
    <w:rsid w:val="00E53CA6"/>
    <w:rsid w:val="00E5408F"/>
    <w:rsid w:val="00E55530"/>
    <w:rsid w:val="00E5579D"/>
    <w:rsid w:val="00E55C40"/>
    <w:rsid w:val="00E55EB5"/>
    <w:rsid w:val="00E56ABB"/>
    <w:rsid w:val="00E57729"/>
    <w:rsid w:val="00E60E47"/>
    <w:rsid w:val="00E60E67"/>
    <w:rsid w:val="00E6101B"/>
    <w:rsid w:val="00E611F3"/>
    <w:rsid w:val="00E614BD"/>
    <w:rsid w:val="00E62BBE"/>
    <w:rsid w:val="00E62FE7"/>
    <w:rsid w:val="00E6302C"/>
    <w:rsid w:val="00E63152"/>
    <w:rsid w:val="00E6316D"/>
    <w:rsid w:val="00E63238"/>
    <w:rsid w:val="00E63777"/>
    <w:rsid w:val="00E6476F"/>
    <w:rsid w:val="00E64EA4"/>
    <w:rsid w:val="00E660D4"/>
    <w:rsid w:val="00E669F6"/>
    <w:rsid w:val="00E678D8"/>
    <w:rsid w:val="00E67926"/>
    <w:rsid w:val="00E7050A"/>
    <w:rsid w:val="00E70A3A"/>
    <w:rsid w:val="00E70B32"/>
    <w:rsid w:val="00E70CF5"/>
    <w:rsid w:val="00E7150D"/>
    <w:rsid w:val="00E715B8"/>
    <w:rsid w:val="00E71608"/>
    <w:rsid w:val="00E71E76"/>
    <w:rsid w:val="00E72CF8"/>
    <w:rsid w:val="00E730C3"/>
    <w:rsid w:val="00E73FAE"/>
    <w:rsid w:val="00E74264"/>
    <w:rsid w:val="00E74522"/>
    <w:rsid w:val="00E74B5F"/>
    <w:rsid w:val="00E7504D"/>
    <w:rsid w:val="00E751AF"/>
    <w:rsid w:val="00E751B7"/>
    <w:rsid w:val="00E757E7"/>
    <w:rsid w:val="00E7743B"/>
    <w:rsid w:val="00E775E4"/>
    <w:rsid w:val="00E77DE0"/>
    <w:rsid w:val="00E80006"/>
    <w:rsid w:val="00E80B75"/>
    <w:rsid w:val="00E81D17"/>
    <w:rsid w:val="00E81E47"/>
    <w:rsid w:val="00E831AF"/>
    <w:rsid w:val="00E83795"/>
    <w:rsid w:val="00E84592"/>
    <w:rsid w:val="00E85415"/>
    <w:rsid w:val="00E855AF"/>
    <w:rsid w:val="00E857C4"/>
    <w:rsid w:val="00E85A7A"/>
    <w:rsid w:val="00E861B9"/>
    <w:rsid w:val="00E862F9"/>
    <w:rsid w:val="00E87A30"/>
    <w:rsid w:val="00E90282"/>
    <w:rsid w:val="00E905EB"/>
    <w:rsid w:val="00E90A80"/>
    <w:rsid w:val="00E91D40"/>
    <w:rsid w:val="00E921E5"/>
    <w:rsid w:val="00E92648"/>
    <w:rsid w:val="00E9295C"/>
    <w:rsid w:val="00E92D5E"/>
    <w:rsid w:val="00E92DC2"/>
    <w:rsid w:val="00E930C1"/>
    <w:rsid w:val="00E93DB5"/>
    <w:rsid w:val="00E94139"/>
    <w:rsid w:val="00E944D5"/>
    <w:rsid w:val="00E954A7"/>
    <w:rsid w:val="00E95A9B"/>
    <w:rsid w:val="00E95DED"/>
    <w:rsid w:val="00E95FE0"/>
    <w:rsid w:val="00E96A4D"/>
    <w:rsid w:val="00E97087"/>
    <w:rsid w:val="00E97337"/>
    <w:rsid w:val="00E975B8"/>
    <w:rsid w:val="00E976D7"/>
    <w:rsid w:val="00EA1E77"/>
    <w:rsid w:val="00EA23E9"/>
    <w:rsid w:val="00EA2514"/>
    <w:rsid w:val="00EA356B"/>
    <w:rsid w:val="00EA538D"/>
    <w:rsid w:val="00EA5BC4"/>
    <w:rsid w:val="00EA5ED0"/>
    <w:rsid w:val="00EA620E"/>
    <w:rsid w:val="00EA6376"/>
    <w:rsid w:val="00EA67AD"/>
    <w:rsid w:val="00EA6A47"/>
    <w:rsid w:val="00EA6FD2"/>
    <w:rsid w:val="00EA746B"/>
    <w:rsid w:val="00EA74B5"/>
    <w:rsid w:val="00EA77F0"/>
    <w:rsid w:val="00EA7C6F"/>
    <w:rsid w:val="00EB06ED"/>
    <w:rsid w:val="00EB1060"/>
    <w:rsid w:val="00EB1548"/>
    <w:rsid w:val="00EB1D49"/>
    <w:rsid w:val="00EB25F8"/>
    <w:rsid w:val="00EB2BE0"/>
    <w:rsid w:val="00EB2CEE"/>
    <w:rsid w:val="00EB2F01"/>
    <w:rsid w:val="00EB3247"/>
    <w:rsid w:val="00EB3652"/>
    <w:rsid w:val="00EB398C"/>
    <w:rsid w:val="00EB39C1"/>
    <w:rsid w:val="00EB3CD8"/>
    <w:rsid w:val="00EB49AD"/>
    <w:rsid w:val="00EB5C84"/>
    <w:rsid w:val="00EB5D42"/>
    <w:rsid w:val="00EB63BE"/>
    <w:rsid w:val="00EB6CB4"/>
    <w:rsid w:val="00EB704D"/>
    <w:rsid w:val="00EB7202"/>
    <w:rsid w:val="00EC0006"/>
    <w:rsid w:val="00EC0AEF"/>
    <w:rsid w:val="00EC125C"/>
    <w:rsid w:val="00EC1934"/>
    <w:rsid w:val="00EC21A6"/>
    <w:rsid w:val="00EC2269"/>
    <w:rsid w:val="00EC234A"/>
    <w:rsid w:val="00EC278A"/>
    <w:rsid w:val="00EC289D"/>
    <w:rsid w:val="00EC2F15"/>
    <w:rsid w:val="00EC2FF4"/>
    <w:rsid w:val="00EC3F19"/>
    <w:rsid w:val="00EC4BE2"/>
    <w:rsid w:val="00EC4D2C"/>
    <w:rsid w:val="00EC5404"/>
    <w:rsid w:val="00EC649D"/>
    <w:rsid w:val="00EC699C"/>
    <w:rsid w:val="00ED13F9"/>
    <w:rsid w:val="00ED1474"/>
    <w:rsid w:val="00ED151B"/>
    <w:rsid w:val="00ED162F"/>
    <w:rsid w:val="00ED18CD"/>
    <w:rsid w:val="00ED1A6B"/>
    <w:rsid w:val="00ED239F"/>
    <w:rsid w:val="00ED2473"/>
    <w:rsid w:val="00ED3756"/>
    <w:rsid w:val="00ED3DF5"/>
    <w:rsid w:val="00ED3FB6"/>
    <w:rsid w:val="00ED546E"/>
    <w:rsid w:val="00ED5483"/>
    <w:rsid w:val="00ED5A2D"/>
    <w:rsid w:val="00ED5C34"/>
    <w:rsid w:val="00ED5EBE"/>
    <w:rsid w:val="00ED638E"/>
    <w:rsid w:val="00ED733A"/>
    <w:rsid w:val="00ED7439"/>
    <w:rsid w:val="00ED771D"/>
    <w:rsid w:val="00ED79F0"/>
    <w:rsid w:val="00EE0F02"/>
    <w:rsid w:val="00EE119D"/>
    <w:rsid w:val="00EE12AC"/>
    <w:rsid w:val="00EE1B28"/>
    <w:rsid w:val="00EE3405"/>
    <w:rsid w:val="00EE3736"/>
    <w:rsid w:val="00EE3B43"/>
    <w:rsid w:val="00EE3D4A"/>
    <w:rsid w:val="00EE43A3"/>
    <w:rsid w:val="00EE4A56"/>
    <w:rsid w:val="00EE526D"/>
    <w:rsid w:val="00EE5426"/>
    <w:rsid w:val="00EE5C38"/>
    <w:rsid w:val="00EE5D78"/>
    <w:rsid w:val="00EE6332"/>
    <w:rsid w:val="00EE7087"/>
    <w:rsid w:val="00EE76A1"/>
    <w:rsid w:val="00EF0355"/>
    <w:rsid w:val="00EF0447"/>
    <w:rsid w:val="00EF056B"/>
    <w:rsid w:val="00EF159B"/>
    <w:rsid w:val="00EF2A3E"/>
    <w:rsid w:val="00EF2A4A"/>
    <w:rsid w:val="00EF2AA4"/>
    <w:rsid w:val="00EF35CB"/>
    <w:rsid w:val="00EF5830"/>
    <w:rsid w:val="00EF5C65"/>
    <w:rsid w:val="00EF67D0"/>
    <w:rsid w:val="00EF7159"/>
    <w:rsid w:val="00EF71D6"/>
    <w:rsid w:val="00EF726E"/>
    <w:rsid w:val="00EF73F2"/>
    <w:rsid w:val="00EF788C"/>
    <w:rsid w:val="00EF7F8D"/>
    <w:rsid w:val="00F00962"/>
    <w:rsid w:val="00F009A0"/>
    <w:rsid w:val="00F00A60"/>
    <w:rsid w:val="00F00BF4"/>
    <w:rsid w:val="00F00E56"/>
    <w:rsid w:val="00F00F76"/>
    <w:rsid w:val="00F0122D"/>
    <w:rsid w:val="00F014A6"/>
    <w:rsid w:val="00F016B2"/>
    <w:rsid w:val="00F01D3B"/>
    <w:rsid w:val="00F01E2B"/>
    <w:rsid w:val="00F0230A"/>
    <w:rsid w:val="00F02533"/>
    <w:rsid w:val="00F02E81"/>
    <w:rsid w:val="00F0310E"/>
    <w:rsid w:val="00F03A9E"/>
    <w:rsid w:val="00F0469B"/>
    <w:rsid w:val="00F046DC"/>
    <w:rsid w:val="00F047B8"/>
    <w:rsid w:val="00F05611"/>
    <w:rsid w:val="00F05ABF"/>
    <w:rsid w:val="00F05CA4"/>
    <w:rsid w:val="00F06412"/>
    <w:rsid w:val="00F06579"/>
    <w:rsid w:val="00F066FF"/>
    <w:rsid w:val="00F06833"/>
    <w:rsid w:val="00F071F1"/>
    <w:rsid w:val="00F073D8"/>
    <w:rsid w:val="00F07550"/>
    <w:rsid w:val="00F10966"/>
    <w:rsid w:val="00F10BE4"/>
    <w:rsid w:val="00F10D92"/>
    <w:rsid w:val="00F10E6C"/>
    <w:rsid w:val="00F11601"/>
    <w:rsid w:val="00F11B28"/>
    <w:rsid w:val="00F12043"/>
    <w:rsid w:val="00F12193"/>
    <w:rsid w:val="00F131F8"/>
    <w:rsid w:val="00F1396D"/>
    <w:rsid w:val="00F14758"/>
    <w:rsid w:val="00F1551F"/>
    <w:rsid w:val="00F15EC2"/>
    <w:rsid w:val="00F16594"/>
    <w:rsid w:val="00F16DDE"/>
    <w:rsid w:val="00F1718C"/>
    <w:rsid w:val="00F1752E"/>
    <w:rsid w:val="00F17C70"/>
    <w:rsid w:val="00F17FFC"/>
    <w:rsid w:val="00F20678"/>
    <w:rsid w:val="00F207D6"/>
    <w:rsid w:val="00F2138D"/>
    <w:rsid w:val="00F21952"/>
    <w:rsid w:val="00F21B49"/>
    <w:rsid w:val="00F227CC"/>
    <w:rsid w:val="00F22A4E"/>
    <w:rsid w:val="00F23664"/>
    <w:rsid w:val="00F23898"/>
    <w:rsid w:val="00F23B49"/>
    <w:rsid w:val="00F24094"/>
    <w:rsid w:val="00F24C09"/>
    <w:rsid w:val="00F24FB6"/>
    <w:rsid w:val="00F2501E"/>
    <w:rsid w:val="00F25A97"/>
    <w:rsid w:val="00F260C0"/>
    <w:rsid w:val="00F261D5"/>
    <w:rsid w:val="00F2643D"/>
    <w:rsid w:val="00F268A1"/>
    <w:rsid w:val="00F26B4D"/>
    <w:rsid w:val="00F27274"/>
    <w:rsid w:val="00F27424"/>
    <w:rsid w:val="00F30221"/>
    <w:rsid w:val="00F30414"/>
    <w:rsid w:val="00F30920"/>
    <w:rsid w:val="00F30A84"/>
    <w:rsid w:val="00F31361"/>
    <w:rsid w:val="00F3151F"/>
    <w:rsid w:val="00F32139"/>
    <w:rsid w:val="00F32598"/>
    <w:rsid w:val="00F32A85"/>
    <w:rsid w:val="00F32C4B"/>
    <w:rsid w:val="00F33EA7"/>
    <w:rsid w:val="00F347D9"/>
    <w:rsid w:val="00F34824"/>
    <w:rsid w:val="00F34B61"/>
    <w:rsid w:val="00F354E5"/>
    <w:rsid w:val="00F37232"/>
    <w:rsid w:val="00F37579"/>
    <w:rsid w:val="00F3780D"/>
    <w:rsid w:val="00F37CD0"/>
    <w:rsid w:val="00F4089B"/>
    <w:rsid w:val="00F408A2"/>
    <w:rsid w:val="00F41248"/>
    <w:rsid w:val="00F412C8"/>
    <w:rsid w:val="00F41708"/>
    <w:rsid w:val="00F41E79"/>
    <w:rsid w:val="00F4214C"/>
    <w:rsid w:val="00F42A73"/>
    <w:rsid w:val="00F42EBA"/>
    <w:rsid w:val="00F4316B"/>
    <w:rsid w:val="00F435E4"/>
    <w:rsid w:val="00F4380E"/>
    <w:rsid w:val="00F43904"/>
    <w:rsid w:val="00F43FC0"/>
    <w:rsid w:val="00F44295"/>
    <w:rsid w:val="00F4429F"/>
    <w:rsid w:val="00F443DD"/>
    <w:rsid w:val="00F4474B"/>
    <w:rsid w:val="00F45A98"/>
    <w:rsid w:val="00F46121"/>
    <w:rsid w:val="00F4636B"/>
    <w:rsid w:val="00F47A60"/>
    <w:rsid w:val="00F47F37"/>
    <w:rsid w:val="00F47F56"/>
    <w:rsid w:val="00F51693"/>
    <w:rsid w:val="00F51862"/>
    <w:rsid w:val="00F51AF9"/>
    <w:rsid w:val="00F51B04"/>
    <w:rsid w:val="00F51F5A"/>
    <w:rsid w:val="00F5273A"/>
    <w:rsid w:val="00F528E5"/>
    <w:rsid w:val="00F52B59"/>
    <w:rsid w:val="00F53C8D"/>
    <w:rsid w:val="00F541DB"/>
    <w:rsid w:val="00F54423"/>
    <w:rsid w:val="00F55025"/>
    <w:rsid w:val="00F55030"/>
    <w:rsid w:val="00F575AF"/>
    <w:rsid w:val="00F608D8"/>
    <w:rsid w:val="00F6098E"/>
    <w:rsid w:val="00F60B7B"/>
    <w:rsid w:val="00F61196"/>
    <w:rsid w:val="00F61C7F"/>
    <w:rsid w:val="00F61D65"/>
    <w:rsid w:val="00F61D75"/>
    <w:rsid w:val="00F61ED3"/>
    <w:rsid w:val="00F61F38"/>
    <w:rsid w:val="00F62779"/>
    <w:rsid w:val="00F6278C"/>
    <w:rsid w:val="00F6283C"/>
    <w:rsid w:val="00F62D85"/>
    <w:rsid w:val="00F62EFE"/>
    <w:rsid w:val="00F6326B"/>
    <w:rsid w:val="00F633B5"/>
    <w:rsid w:val="00F639A6"/>
    <w:rsid w:val="00F64303"/>
    <w:rsid w:val="00F644DE"/>
    <w:rsid w:val="00F645BB"/>
    <w:rsid w:val="00F64CD7"/>
    <w:rsid w:val="00F64E72"/>
    <w:rsid w:val="00F64FAA"/>
    <w:rsid w:val="00F6576B"/>
    <w:rsid w:val="00F664F3"/>
    <w:rsid w:val="00F66B5C"/>
    <w:rsid w:val="00F66CD8"/>
    <w:rsid w:val="00F671C9"/>
    <w:rsid w:val="00F7070D"/>
    <w:rsid w:val="00F70714"/>
    <w:rsid w:val="00F70C39"/>
    <w:rsid w:val="00F7135B"/>
    <w:rsid w:val="00F716EB"/>
    <w:rsid w:val="00F71FAA"/>
    <w:rsid w:val="00F72554"/>
    <w:rsid w:val="00F728BF"/>
    <w:rsid w:val="00F72E76"/>
    <w:rsid w:val="00F73112"/>
    <w:rsid w:val="00F735E9"/>
    <w:rsid w:val="00F73716"/>
    <w:rsid w:val="00F74309"/>
    <w:rsid w:val="00F74562"/>
    <w:rsid w:val="00F7465A"/>
    <w:rsid w:val="00F7490B"/>
    <w:rsid w:val="00F75542"/>
    <w:rsid w:val="00F75651"/>
    <w:rsid w:val="00F75DF3"/>
    <w:rsid w:val="00F76852"/>
    <w:rsid w:val="00F76A3C"/>
    <w:rsid w:val="00F7724C"/>
    <w:rsid w:val="00F77711"/>
    <w:rsid w:val="00F77717"/>
    <w:rsid w:val="00F77E75"/>
    <w:rsid w:val="00F80B4F"/>
    <w:rsid w:val="00F81AF3"/>
    <w:rsid w:val="00F824B5"/>
    <w:rsid w:val="00F82A3F"/>
    <w:rsid w:val="00F82F85"/>
    <w:rsid w:val="00F8333F"/>
    <w:rsid w:val="00F83B99"/>
    <w:rsid w:val="00F8408C"/>
    <w:rsid w:val="00F84116"/>
    <w:rsid w:val="00F84954"/>
    <w:rsid w:val="00F84AAC"/>
    <w:rsid w:val="00F84C3A"/>
    <w:rsid w:val="00F84C84"/>
    <w:rsid w:val="00F85235"/>
    <w:rsid w:val="00F85693"/>
    <w:rsid w:val="00F86050"/>
    <w:rsid w:val="00F86CD3"/>
    <w:rsid w:val="00F87679"/>
    <w:rsid w:val="00F87797"/>
    <w:rsid w:val="00F87A09"/>
    <w:rsid w:val="00F90042"/>
    <w:rsid w:val="00F90207"/>
    <w:rsid w:val="00F906FF"/>
    <w:rsid w:val="00F90AA9"/>
    <w:rsid w:val="00F9131B"/>
    <w:rsid w:val="00F91561"/>
    <w:rsid w:val="00F91685"/>
    <w:rsid w:val="00F91AF2"/>
    <w:rsid w:val="00F920CE"/>
    <w:rsid w:val="00F922A8"/>
    <w:rsid w:val="00F92A10"/>
    <w:rsid w:val="00F930C2"/>
    <w:rsid w:val="00F9342D"/>
    <w:rsid w:val="00F93744"/>
    <w:rsid w:val="00F939E2"/>
    <w:rsid w:val="00F94963"/>
    <w:rsid w:val="00F959F5"/>
    <w:rsid w:val="00F963A6"/>
    <w:rsid w:val="00F967DE"/>
    <w:rsid w:val="00F96EC1"/>
    <w:rsid w:val="00F970B0"/>
    <w:rsid w:val="00F97433"/>
    <w:rsid w:val="00F97AFD"/>
    <w:rsid w:val="00F97D42"/>
    <w:rsid w:val="00F97D91"/>
    <w:rsid w:val="00FA099B"/>
    <w:rsid w:val="00FA1286"/>
    <w:rsid w:val="00FA1A30"/>
    <w:rsid w:val="00FA1D5D"/>
    <w:rsid w:val="00FA1FF3"/>
    <w:rsid w:val="00FA22DB"/>
    <w:rsid w:val="00FA2A7E"/>
    <w:rsid w:val="00FA30F9"/>
    <w:rsid w:val="00FA320F"/>
    <w:rsid w:val="00FA33AB"/>
    <w:rsid w:val="00FA3C40"/>
    <w:rsid w:val="00FA3F3A"/>
    <w:rsid w:val="00FA4855"/>
    <w:rsid w:val="00FA4A4D"/>
    <w:rsid w:val="00FA4A7B"/>
    <w:rsid w:val="00FA4CFC"/>
    <w:rsid w:val="00FA51C9"/>
    <w:rsid w:val="00FA5577"/>
    <w:rsid w:val="00FA5BAF"/>
    <w:rsid w:val="00FA5D9C"/>
    <w:rsid w:val="00FA5FE8"/>
    <w:rsid w:val="00FA6C99"/>
    <w:rsid w:val="00FA6E0D"/>
    <w:rsid w:val="00FA6FE2"/>
    <w:rsid w:val="00FA70C3"/>
    <w:rsid w:val="00FA72C6"/>
    <w:rsid w:val="00FA7B7E"/>
    <w:rsid w:val="00FA7D8B"/>
    <w:rsid w:val="00FB03FE"/>
    <w:rsid w:val="00FB1529"/>
    <w:rsid w:val="00FB2D96"/>
    <w:rsid w:val="00FB2F49"/>
    <w:rsid w:val="00FB3420"/>
    <w:rsid w:val="00FB344F"/>
    <w:rsid w:val="00FB3627"/>
    <w:rsid w:val="00FB458D"/>
    <w:rsid w:val="00FB4876"/>
    <w:rsid w:val="00FB4B46"/>
    <w:rsid w:val="00FB5669"/>
    <w:rsid w:val="00FB5AC4"/>
    <w:rsid w:val="00FB5E72"/>
    <w:rsid w:val="00FB636D"/>
    <w:rsid w:val="00FB6822"/>
    <w:rsid w:val="00FB7E36"/>
    <w:rsid w:val="00FC009A"/>
    <w:rsid w:val="00FC01F1"/>
    <w:rsid w:val="00FC0D8A"/>
    <w:rsid w:val="00FC18E3"/>
    <w:rsid w:val="00FC19FD"/>
    <w:rsid w:val="00FC21D2"/>
    <w:rsid w:val="00FC2868"/>
    <w:rsid w:val="00FC2EEB"/>
    <w:rsid w:val="00FC306F"/>
    <w:rsid w:val="00FC4474"/>
    <w:rsid w:val="00FC4EBB"/>
    <w:rsid w:val="00FC5662"/>
    <w:rsid w:val="00FC5A1B"/>
    <w:rsid w:val="00FC61AC"/>
    <w:rsid w:val="00FC792B"/>
    <w:rsid w:val="00FC7E2A"/>
    <w:rsid w:val="00FD0670"/>
    <w:rsid w:val="00FD0E57"/>
    <w:rsid w:val="00FD0FF3"/>
    <w:rsid w:val="00FD1009"/>
    <w:rsid w:val="00FD13B0"/>
    <w:rsid w:val="00FD15ED"/>
    <w:rsid w:val="00FD1611"/>
    <w:rsid w:val="00FD166A"/>
    <w:rsid w:val="00FD17E5"/>
    <w:rsid w:val="00FD1B50"/>
    <w:rsid w:val="00FD29AF"/>
    <w:rsid w:val="00FD324E"/>
    <w:rsid w:val="00FD3A0B"/>
    <w:rsid w:val="00FD42CB"/>
    <w:rsid w:val="00FD4A16"/>
    <w:rsid w:val="00FD4D30"/>
    <w:rsid w:val="00FD5948"/>
    <w:rsid w:val="00FD5A11"/>
    <w:rsid w:val="00FD652D"/>
    <w:rsid w:val="00FD6739"/>
    <w:rsid w:val="00FD6CAA"/>
    <w:rsid w:val="00FD7822"/>
    <w:rsid w:val="00FE0997"/>
    <w:rsid w:val="00FE128D"/>
    <w:rsid w:val="00FE15FE"/>
    <w:rsid w:val="00FE16D3"/>
    <w:rsid w:val="00FE18D9"/>
    <w:rsid w:val="00FE2C5A"/>
    <w:rsid w:val="00FE3436"/>
    <w:rsid w:val="00FE35FC"/>
    <w:rsid w:val="00FE41D7"/>
    <w:rsid w:val="00FE49A6"/>
    <w:rsid w:val="00FE4D83"/>
    <w:rsid w:val="00FE4DA9"/>
    <w:rsid w:val="00FE57A8"/>
    <w:rsid w:val="00FE58B5"/>
    <w:rsid w:val="00FE5C4A"/>
    <w:rsid w:val="00FE5E2D"/>
    <w:rsid w:val="00FE6599"/>
    <w:rsid w:val="00FE6ADC"/>
    <w:rsid w:val="00FE6B39"/>
    <w:rsid w:val="00FE7728"/>
    <w:rsid w:val="00FF0289"/>
    <w:rsid w:val="00FF0989"/>
    <w:rsid w:val="00FF1C5D"/>
    <w:rsid w:val="00FF23DE"/>
    <w:rsid w:val="00FF25AA"/>
    <w:rsid w:val="00FF2B40"/>
    <w:rsid w:val="00FF2B8F"/>
    <w:rsid w:val="00FF365A"/>
    <w:rsid w:val="00FF4239"/>
    <w:rsid w:val="00FF456A"/>
    <w:rsid w:val="00FF4C42"/>
    <w:rsid w:val="00FF4FE4"/>
    <w:rsid w:val="00FF5EBA"/>
    <w:rsid w:val="00FF5EC3"/>
    <w:rsid w:val="00FF613F"/>
    <w:rsid w:val="00FF66AD"/>
    <w:rsid w:val="00FF6FAB"/>
    <w:rsid w:val="00FF7013"/>
    <w:rsid w:val="00FF73AF"/>
    <w:rsid w:val="00FF752C"/>
    <w:rsid w:val="00FF7B0D"/>
    <w:rsid w:val="00FF7C7E"/>
    <w:rsid w:val="00FF7DE1"/>
    <w:rsid w:val="00FF7E4A"/>
    <w:rsid w:val="036262AF"/>
    <w:rsid w:val="09AAB8D4"/>
    <w:rsid w:val="0AD7DC7D"/>
    <w:rsid w:val="0B39FEB9"/>
    <w:rsid w:val="1D1EC6E4"/>
    <w:rsid w:val="2067D77F"/>
    <w:rsid w:val="256E87B7"/>
    <w:rsid w:val="3380198E"/>
    <w:rsid w:val="3588D750"/>
    <w:rsid w:val="42CB2BAE"/>
    <w:rsid w:val="4838C3B5"/>
    <w:rsid w:val="48B71DC1"/>
    <w:rsid w:val="493FC258"/>
    <w:rsid w:val="50D41931"/>
    <w:rsid w:val="5106503C"/>
    <w:rsid w:val="518A825E"/>
    <w:rsid w:val="55C7EB2F"/>
    <w:rsid w:val="55E4426C"/>
    <w:rsid w:val="56D7DCA7"/>
    <w:rsid w:val="58536C3B"/>
    <w:rsid w:val="5EB335E5"/>
    <w:rsid w:val="6102BE63"/>
    <w:rsid w:val="64BC3AF3"/>
    <w:rsid w:val="6515D570"/>
    <w:rsid w:val="67165360"/>
    <w:rsid w:val="68992F4B"/>
    <w:rsid w:val="7057B726"/>
    <w:rsid w:val="7181959E"/>
    <w:rsid w:val="72380FC5"/>
    <w:rsid w:val="731D65FF"/>
    <w:rsid w:val="7A164852"/>
    <w:rsid w:val="7CC04AD0"/>
    <w:rsid w:val="7F41C348"/>
    <w:rsid w:val="7F83B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891DA9"/>
  <w15:docId w15:val="{850FE8BE-D47D-417A-AE0E-C6BD73DEDB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137A6"/>
    <w:rPr>
      <w:sz w:val="24"/>
      <w:szCs w:val="24"/>
    </w:rPr>
  </w:style>
  <w:style w:type="paragraph" w:styleId="Heading1">
    <w:name w:val="heading 1"/>
    <w:basedOn w:val="Normal"/>
    <w:next w:val="Normal"/>
    <w:link w:val="Heading1Char"/>
    <w:qFormat/>
    <w:rsid w:val="00F7724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971D95"/>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rsid w:val="00051A9D"/>
    <w:pPr>
      <w:tabs>
        <w:tab w:val="center" w:pos="4320"/>
        <w:tab w:val="right" w:pos="8640"/>
      </w:tabs>
    </w:pPr>
    <w:rPr>
      <w:lang w:val="x-none" w:eastAsia="x-none"/>
    </w:rPr>
  </w:style>
  <w:style w:type="character" w:styleId="PageNumber">
    <w:name w:val="page number"/>
    <w:basedOn w:val="DefaultParagraphFont"/>
    <w:rsid w:val="00051A9D"/>
  </w:style>
  <w:style w:type="paragraph" w:styleId="Header">
    <w:name w:val="header"/>
    <w:basedOn w:val="Normal"/>
    <w:link w:val="HeaderChar"/>
    <w:uiPriority w:val="99"/>
    <w:rsid w:val="00051A9D"/>
    <w:pPr>
      <w:tabs>
        <w:tab w:val="center" w:pos="4320"/>
        <w:tab w:val="right" w:pos="8640"/>
      </w:tabs>
    </w:pPr>
  </w:style>
  <w:style w:type="character" w:styleId="Hyperlink">
    <w:name w:val="Hyperlink"/>
    <w:rsid w:val="00364E78"/>
    <w:rPr>
      <w:color w:val="0000FF"/>
      <w:u w:val="single"/>
    </w:rPr>
  </w:style>
  <w:style w:type="character" w:styleId="Emphasis">
    <w:name w:val="Emphasis"/>
    <w:qFormat/>
    <w:rsid w:val="004975E6"/>
    <w:rPr>
      <w:i/>
      <w:iCs/>
    </w:rPr>
  </w:style>
  <w:style w:type="table" w:styleId="TableGrid">
    <w:name w:val="Table Grid"/>
    <w:basedOn w:val="TableNormal"/>
    <w:uiPriority w:val="99"/>
    <w:rsid w:val="006879F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semiHidden/>
    <w:rsid w:val="002C2B38"/>
    <w:rPr>
      <w:sz w:val="20"/>
      <w:szCs w:val="20"/>
    </w:rPr>
  </w:style>
  <w:style w:type="character" w:styleId="FootnoteReference">
    <w:name w:val="footnote reference"/>
    <w:semiHidden/>
    <w:rsid w:val="002C2B38"/>
    <w:rPr>
      <w:vertAlign w:val="superscript"/>
    </w:rPr>
  </w:style>
  <w:style w:type="paragraph" w:styleId="BalloonText">
    <w:name w:val="Balloon Text"/>
    <w:basedOn w:val="Normal"/>
    <w:link w:val="BalloonTextChar"/>
    <w:rsid w:val="00955D1A"/>
    <w:rPr>
      <w:rFonts w:ascii="Tahoma" w:hAnsi="Tahoma"/>
      <w:sz w:val="16"/>
      <w:szCs w:val="16"/>
      <w:lang w:val="x-none" w:eastAsia="x-none"/>
    </w:rPr>
  </w:style>
  <w:style w:type="character" w:styleId="BalloonTextChar" w:customStyle="1">
    <w:name w:val="Balloon Text Char"/>
    <w:link w:val="BalloonText"/>
    <w:rsid w:val="00955D1A"/>
    <w:rPr>
      <w:rFonts w:ascii="Tahoma" w:hAnsi="Tahoma" w:cs="Tahoma"/>
      <w:sz w:val="16"/>
      <w:szCs w:val="16"/>
    </w:rPr>
  </w:style>
  <w:style w:type="character" w:styleId="CommentReference">
    <w:name w:val="annotation reference"/>
    <w:rsid w:val="00955D1A"/>
    <w:rPr>
      <w:sz w:val="16"/>
      <w:szCs w:val="16"/>
    </w:rPr>
  </w:style>
  <w:style w:type="paragraph" w:styleId="CommentText">
    <w:name w:val="annotation text"/>
    <w:basedOn w:val="Normal"/>
    <w:link w:val="CommentTextChar"/>
    <w:rsid w:val="00955D1A"/>
    <w:rPr>
      <w:sz w:val="20"/>
      <w:szCs w:val="20"/>
    </w:rPr>
  </w:style>
  <w:style w:type="character" w:styleId="CommentTextChar" w:customStyle="1">
    <w:name w:val="Comment Text Char"/>
    <w:basedOn w:val="DefaultParagraphFont"/>
    <w:link w:val="CommentText"/>
    <w:rsid w:val="00955D1A"/>
  </w:style>
  <w:style w:type="paragraph" w:styleId="CommentSubject">
    <w:name w:val="annotation subject"/>
    <w:basedOn w:val="CommentText"/>
    <w:next w:val="CommentText"/>
    <w:link w:val="CommentSubjectChar"/>
    <w:rsid w:val="00955D1A"/>
    <w:rPr>
      <w:b/>
      <w:bCs/>
      <w:lang w:val="x-none" w:eastAsia="x-none"/>
    </w:rPr>
  </w:style>
  <w:style w:type="character" w:styleId="CommentSubjectChar" w:customStyle="1">
    <w:name w:val="Comment Subject Char"/>
    <w:link w:val="CommentSubject"/>
    <w:rsid w:val="00955D1A"/>
    <w:rPr>
      <w:b/>
      <w:bCs/>
    </w:rPr>
  </w:style>
  <w:style w:type="character" w:styleId="FooterChar" w:customStyle="1">
    <w:name w:val="Footer Char"/>
    <w:link w:val="Footer"/>
    <w:uiPriority w:val="99"/>
    <w:rsid w:val="004D1789"/>
    <w:rPr>
      <w:sz w:val="24"/>
      <w:szCs w:val="24"/>
    </w:rPr>
  </w:style>
  <w:style w:type="table" w:styleId="MediumList2-Accent1">
    <w:name w:val="Medium List 2 Accent 1"/>
    <w:basedOn w:val="TableNormal"/>
    <w:uiPriority w:val="61"/>
    <w:rsid w:val="00966A02"/>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TableElegant">
    <w:name w:val="Table Elegant"/>
    <w:basedOn w:val="TableNormal"/>
    <w:rsid w:val="00966A02"/>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paragraph" w:styleId="ColorfulShading-Accent11" w:customStyle="1">
    <w:name w:val="Colorful Shading - Accent 11"/>
    <w:hidden/>
    <w:uiPriority w:val="99"/>
    <w:semiHidden/>
    <w:rsid w:val="00100268"/>
    <w:rPr>
      <w:sz w:val="24"/>
      <w:szCs w:val="24"/>
    </w:rPr>
  </w:style>
  <w:style w:type="paragraph" w:styleId="MediumGrid21" w:customStyle="1">
    <w:name w:val="Medium Grid 21"/>
    <w:uiPriority w:val="1"/>
    <w:qFormat/>
    <w:rsid w:val="00F7724C"/>
    <w:rPr>
      <w:sz w:val="24"/>
      <w:szCs w:val="24"/>
    </w:rPr>
  </w:style>
  <w:style w:type="character" w:styleId="Heading1Char" w:customStyle="1">
    <w:name w:val="Heading 1 Char"/>
    <w:link w:val="Heading1"/>
    <w:rsid w:val="00F7724C"/>
    <w:rPr>
      <w:rFonts w:ascii="Cambria" w:hAnsi="Cambria" w:eastAsia="Times New Roman" w:cs="Times New Roman"/>
      <w:b/>
      <w:bCs/>
      <w:kern w:val="32"/>
      <w:sz w:val="32"/>
      <w:szCs w:val="32"/>
    </w:rPr>
  </w:style>
  <w:style w:type="paragraph" w:styleId="Revision">
    <w:name w:val="Revision"/>
    <w:hidden/>
    <w:uiPriority w:val="71"/>
    <w:rsid w:val="005A294F"/>
    <w:rPr>
      <w:sz w:val="24"/>
      <w:szCs w:val="24"/>
    </w:rPr>
  </w:style>
  <w:style w:type="table" w:styleId="GridTable1Light-Accent11" w:customStyle="1">
    <w:name w:val="Grid Table 1 Light - Accent 11"/>
    <w:basedOn w:val="TableNormal"/>
    <w:uiPriority w:val="46"/>
    <w:rsid w:val="005137A6"/>
    <w:rPr>
      <w:rFonts w:asciiTheme="minorHAnsi" w:hAnsiTheme="minorHAnsi" w:eastAsiaTheme="minorHAnsi" w:cstheme="minorBidi"/>
      <w:sz w:val="24"/>
      <w:szCs w:val="24"/>
    </w:rPr>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125F7B"/>
    <w:rPr>
      <w:rFonts w:eastAsiaTheme="minorHAnsi"/>
    </w:rPr>
  </w:style>
  <w:style w:type="table" w:styleId="GridTable4-Accent1">
    <w:name w:val="Grid Table 4 Accent 1"/>
    <w:basedOn w:val="TableNormal"/>
    <w:uiPriority w:val="49"/>
    <w:rsid w:val="00666F97"/>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5">
    <w:name w:val="Grid Table 1 Light Accent 5"/>
    <w:basedOn w:val="TableNormal"/>
    <w:uiPriority w:val="46"/>
    <w:rsid w:val="0071004D"/>
    <w:tblPr>
      <w:tblStyleRowBandSize w:val="1"/>
      <w:tblStyleColBandSize w:val="1"/>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Pr>
    <w:tblStylePr w:type="firstRow">
      <w:rPr>
        <w:b/>
        <w:bCs/>
      </w:rPr>
      <w:tblPr/>
      <w:tcPr>
        <w:tcBorders>
          <w:bottom w:val="single" w:color="92CDDC" w:themeColor="accent5" w:themeTint="99" w:sz="12" w:space="0"/>
        </w:tcBorders>
      </w:tcPr>
    </w:tblStylePr>
    <w:tblStylePr w:type="lastRow">
      <w:rPr>
        <w:b/>
        <w:bCs/>
      </w:rPr>
      <w:tblPr/>
      <w:tcPr>
        <w:tcBorders>
          <w:top w:val="double" w:color="92CDDC" w:themeColor="accent5" w:themeTint="99" w:sz="2" w:space="0"/>
        </w:tcBorders>
      </w:tcPr>
    </w:tblStylePr>
    <w:tblStylePr w:type="firstCol">
      <w:rPr>
        <w:b/>
        <w:bCs/>
      </w:rPr>
    </w:tblStylePr>
    <w:tblStylePr w:type="lastCol">
      <w:rPr>
        <w:b/>
        <w:bCs/>
      </w:rPr>
    </w:tblStylePr>
  </w:style>
  <w:style w:type="paragraph" w:styleId="ListParagraph">
    <w:name w:val="List Paragraph"/>
    <w:aliases w:val="Bullet List"/>
    <w:basedOn w:val="Normal"/>
    <w:link w:val="ListParagraphChar"/>
    <w:uiPriority w:val="34"/>
    <w:qFormat/>
    <w:rsid w:val="003B515D"/>
    <w:pPr>
      <w:spacing w:after="200"/>
      <w:ind w:left="720"/>
      <w:contextualSpacing/>
    </w:pPr>
    <w:rPr>
      <w:rFonts w:ascii="Calibri" w:hAnsi="Calibri" w:eastAsia="Calibri"/>
      <w:sz w:val="22"/>
      <w:szCs w:val="22"/>
    </w:rPr>
  </w:style>
  <w:style w:type="table" w:styleId="GridTable4">
    <w:name w:val="Grid Table 4"/>
    <w:basedOn w:val="TableNormal"/>
    <w:uiPriority w:val="49"/>
    <w:rsid w:val="00DB646C"/>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1">
    <w:name w:val="Grid Table 1 Light Accent 1"/>
    <w:basedOn w:val="TableNormal"/>
    <w:uiPriority w:val="46"/>
    <w:rsid w:val="00771F76"/>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character" w:styleId="Heading2Char" w:customStyle="1">
    <w:name w:val="Heading 2 Char"/>
    <w:basedOn w:val="DefaultParagraphFont"/>
    <w:link w:val="Heading2"/>
    <w:rsid w:val="00971D95"/>
    <w:rPr>
      <w:rFonts w:asciiTheme="majorHAnsi" w:hAnsiTheme="majorHAnsi" w:eastAsiaTheme="majorEastAsia" w:cstheme="majorBidi"/>
      <w:color w:val="365F91" w:themeColor="accent1" w:themeShade="BF"/>
      <w:sz w:val="26"/>
      <w:szCs w:val="26"/>
    </w:rPr>
  </w:style>
  <w:style w:type="character" w:styleId="ListParagraphChar" w:customStyle="1">
    <w:name w:val="List Paragraph Char"/>
    <w:aliases w:val="Bullet List Char"/>
    <w:basedOn w:val="DefaultParagraphFont"/>
    <w:link w:val="ListParagraph"/>
    <w:uiPriority w:val="34"/>
    <w:locked/>
    <w:rsid w:val="00971D95"/>
    <w:rPr>
      <w:rFonts w:ascii="Calibri" w:hAnsi="Calibri" w:eastAsia="Calibri"/>
      <w:sz w:val="22"/>
      <w:szCs w:val="22"/>
    </w:rPr>
  </w:style>
  <w:style w:type="character" w:styleId="Mention">
    <w:name w:val="Mention"/>
    <w:basedOn w:val="DefaultParagraphFont"/>
    <w:uiPriority w:val="99"/>
    <w:unhideWhenUsed/>
    <w:rsid w:val="00971D95"/>
    <w:rPr>
      <w:color w:val="2B579A"/>
      <w:shd w:val="clear" w:color="auto" w:fill="E1DFDD"/>
    </w:rPr>
  </w:style>
  <w:style w:type="character" w:styleId="HeaderChar" w:customStyle="1">
    <w:name w:val="Header Char"/>
    <w:basedOn w:val="DefaultParagraphFont"/>
    <w:link w:val="Header"/>
    <w:uiPriority w:val="99"/>
    <w:rsid w:val="00971D95"/>
    <w:rPr>
      <w:sz w:val="24"/>
      <w:szCs w:val="24"/>
    </w:rPr>
  </w:style>
  <w:style w:type="character" w:styleId="BodyChar1" w:customStyle="1">
    <w:name w:val="Body Char1"/>
    <w:basedOn w:val="DefaultParagraphFont"/>
    <w:link w:val="Body"/>
    <w:locked/>
    <w:rsid w:val="00E40BDF"/>
    <w:rPr>
      <w:kern w:val="24"/>
      <w:sz w:val="21"/>
    </w:rPr>
  </w:style>
  <w:style w:type="paragraph" w:styleId="Body" w:customStyle="1">
    <w:name w:val="Body"/>
    <w:link w:val="BodyChar1"/>
    <w:qFormat/>
    <w:rsid w:val="00E40BDF"/>
    <w:pPr>
      <w:spacing w:before="180"/>
    </w:pPr>
    <w:rPr>
      <w:kern w:val="24"/>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703106">
      <w:bodyDiv w:val="1"/>
      <w:marLeft w:val="0"/>
      <w:marRight w:val="0"/>
      <w:marTop w:val="0"/>
      <w:marBottom w:val="0"/>
      <w:divBdr>
        <w:top w:val="none" w:sz="0" w:space="0" w:color="auto"/>
        <w:left w:val="none" w:sz="0" w:space="0" w:color="auto"/>
        <w:bottom w:val="none" w:sz="0" w:space="0" w:color="auto"/>
        <w:right w:val="none" w:sz="0" w:space="0" w:color="auto"/>
      </w:divBdr>
    </w:div>
    <w:div w:id="520902361">
      <w:bodyDiv w:val="1"/>
      <w:marLeft w:val="0"/>
      <w:marRight w:val="0"/>
      <w:marTop w:val="0"/>
      <w:marBottom w:val="0"/>
      <w:divBdr>
        <w:top w:val="none" w:sz="0" w:space="0" w:color="auto"/>
        <w:left w:val="none" w:sz="0" w:space="0" w:color="auto"/>
        <w:bottom w:val="none" w:sz="0" w:space="0" w:color="auto"/>
        <w:right w:val="none" w:sz="0" w:space="0" w:color="auto"/>
      </w:divBdr>
    </w:div>
    <w:div w:id="736441603">
      <w:bodyDiv w:val="1"/>
      <w:marLeft w:val="0"/>
      <w:marRight w:val="0"/>
      <w:marTop w:val="0"/>
      <w:marBottom w:val="0"/>
      <w:divBdr>
        <w:top w:val="none" w:sz="0" w:space="0" w:color="auto"/>
        <w:left w:val="none" w:sz="0" w:space="0" w:color="auto"/>
        <w:bottom w:val="none" w:sz="0" w:space="0" w:color="auto"/>
        <w:right w:val="none" w:sz="0" w:space="0" w:color="auto"/>
      </w:divBdr>
    </w:div>
    <w:div w:id="1165896433">
      <w:bodyDiv w:val="1"/>
      <w:marLeft w:val="0"/>
      <w:marRight w:val="0"/>
      <w:marTop w:val="0"/>
      <w:marBottom w:val="0"/>
      <w:divBdr>
        <w:top w:val="none" w:sz="0" w:space="0" w:color="auto"/>
        <w:left w:val="none" w:sz="0" w:space="0" w:color="auto"/>
        <w:bottom w:val="none" w:sz="0" w:space="0" w:color="auto"/>
        <w:right w:val="none" w:sz="0" w:space="0" w:color="auto"/>
      </w:divBdr>
    </w:div>
    <w:div w:id="1569999890">
      <w:bodyDiv w:val="1"/>
      <w:marLeft w:val="0"/>
      <w:marRight w:val="0"/>
      <w:marTop w:val="0"/>
      <w:marBottom w:val="0"/>
      <w:divBdr>
        <w:top w:val="none" w:sz="0" w:space="0" w:color="auto"/>
        <w:left w:val="none" w:sz="0" w:space="0" w:color="auto"/>
        <w:bottom w:val="none" w:sz="0" w:space="0" w:color="auto"/>
        <w:right w:val="none" w:sz="0" w:space="0" w:color="auto"/>
      </w:divBdr>
    </w:div>
    <w:div w:id="1604653602">
      <w:bodyDiv w:val="1"/>
      <w:marLeft w:val="0"/>
      <w:marRight w:val="0"/>
      <w:marTop w:val="0"/>
      <w:marBottom w:val="0"/>
      <w:divBdr>
        <w:top w:val="none" w:sz="0" w:space="0" w:color="auto"/>
        <w:left w:val="none" w:sz="0" w:space="0" w:color="auto"/>
        <w:bottom w:val="none" w:sz="0" w:space="0" w:color="auto"/>
        <w:right w:val="none" w:sz="0" w:space="0" w:color="auto"/>
      </w:divBdr>
    </w:div>
    <w:div w:id="1805852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footer" Target="footer6.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eader" Target="header3.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er" Target="footer7.xml" Id="rId23" /><Relationship Type="http://schemas.openxmlformats.org/officeDocument/2006/relationships/footnotes" Target="footnotes.xml" Id="rId10" /><Relationship Type="http://schemas.openxmlformats.org/officeDocument/2006/relationships/header" Target="header4.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eader" Target="header5.xml" Id="rId22" /><Relationship Type="http://schemas.openxmlformats.org/officeDocument/2006/relationships/glossaryDocument" Target="glossary/document.xml" Id="Ref0ee827f2bd4d00"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ef614d0-d0e4-4fc7-afe4-23aa2c091199}"/>
      </w:docPartPr>
      <w:docPartBody>
        <w:p w14:paraId="0CBE89DB">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SharedWithUsers xmlns="3efdb8b0-c47e-4c3c-846a-2bf99d413b35">
      <UserInfo>
        <DisplayName>Altman Moore, Corrinne (EHS)</DisplayName>
        <AccountId>15</AccountId>
        <AccountType/>
      </UserInfo>
      <UserInfo>
        <DisplayName>Gardner, Hannah M (EHS)</DisplayName>
        <AccountId>90</AccountId>
        <AccountType/>
      </UserInfo>
      <UserInfo>
        <DisplayName>Roper, Toby (EHS)</DisplayName>
        <AccountId>65</AccountId>
        <AccountType/>
      </UserInfo>
      <UserInfo>
        <DisplayName>Richard, Jillian (EHS)</DisplayName>
        <AccountId>23</AccountId>
        <AccountType/>
      </UserInfo>
      <UserInfo>
        <DisplayName>Brault, Nicole (EHS)</DisplayName>
        <AccountId>153</AccountId>
        <AccountType/>
      </UserInfo>
      <UserInfo>
        <DisplayName>Emerson, Elise (EHS)</DisplayName>
        <AccountId>18</AccountId>
        <AccountType/>
      </UserInfo>
      <UserInfo>
        <DisplayName>McGill, Henri M. (EHS)</DisplayName>
        <AccountId>16</AccountId>
        <AccountType/>
      </UserInfo>
      <UserInfo>
        <DisplayName>Chowdhury, Seher (EHS)</DisplayName>
        <AccountId>64</AccountId>
        <AccountType/>
      </UserInfo>
    </SharedWithUsers>
    <TopicofOutreach xmlns="6f41c3f9-0ddd-4792-9cc5-2aa494f8de60" xsi:nil="true"/>
    <Dateoutreachsent xmlns="6f41c3f9-0ddd-4792-9cc5-2aa494f8de60" xsi:nil="true"/>
    <Reviewed xmlns="6f41c3f9-0ddd-4792-9cc5-2aa494f8de60">false</Review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8" ma:contentTypeDescription="Create a new document." ma:contentTypeScope="" ma:versionID="99e8b7ea0a69eb6b6b484607e63d99cc">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a760d82c227f205e7afaedae0c55672f"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TopicofOutreach" minOccurs="0"/>
                <xsd:element ref="ns2:Dateoutreachsent" minOccurs="0"/>
                <xsd:element ref="ns2:Reviewe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TopicofOutreach" ma:index="22" nillable="true" ma:displayName="Topic of Outreach" ma:format="Dropdown" ma:internalName="TopicofOutreach">
      <xsd:simpleType>
        <xsd:restriction base="dms:Note">
          <xsd:maxLength value="255"/>
        </xsd:restriction>
      </xsd:simpleType>
    </xsd:element>
    <xsd:element name="Dateoutreachsent" ma:index="23" nillable="true" ma:displayName="Date outreach sent " ma:format="DateOnly" ma:internalName="Dateoutreachsent">
      <xsd:simpleType>
        <xsd:restriction base="dms:DateTime"/>
      </xsd:simpleType>
    </xsd:element>
    <xsd:element name="Reviewed" ma:index="24" nillable="true" ma:displayName="Reviewed" ma:default="0" ma:format="Dropdown" ma:internalName="Reviewed">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8b40b15-145b-42ce-8af4-d69715b8fbd9}"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F43278-CCEF-4D64-9DDA-4B6C04243E9E}">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customXml/itemProps2.xml><?xml version="1.0" encoding="utf-8"?>
<ds:datastoreItem xmlns:ds="http://schemas.openxmlformats.org/officeDocument/2006/customXml" ds:itemID="{14B70D07-C953-475F-9732-3180B3132708}">
  <ds:schemaRefs>
    <ds:schemaRef ds:uri="http://schemas.microsoft.com/sharepoint/v3/contenttype/forms"/>
  </ds:schemaRefs>
</ds:datastoreItem>
</file>

<file path=customXml/itemProps3.xml><?xml version="1.0" encoding="utf-8"?>
<ds:datastoreItem xmlns:ds="http://schemas.openxmlformats.org/officeDocument/2006/customXml" ds:itemID="{B5178530-2C4D-4424-A471-77E10FEA6280}">
  <ds:schemaRefs>
    <ds:schemaRef ds:uri="http://schemas.openxmlformats.org/officeDocument/2006/bibliography"/>
  </ds:schemaRefs>
</ds:datastoreItem>
</file>

<file path=customXml/itemProps4.xml><?xml version="1.0" encoding="utf-8"?>
<ds:datastoreItem xmlns:ds="http://schemas.openxmlformats.org/officeDocument/2006/customXml" ds:itemID="{62626B97-7A37-486F-A148-977ED7FB044A}">
  <ds:schemaRefs>
    <ds:schemaRef ds:uri="http://schemas.openxmlformats.org/officeDocument/2006/bibliography"/>
  </ds:schemaRefs>
</ds:datastoreItem>
</file>

<file path=customXml/itemProps5.xml><?xml version="1.0" encoding="utf-8"?>
<ds:datastoreItem xmlns:ds="http://schemas.openxmlformats.org/officeDocument/2006/customXml" ds:itemID="{112915FE-B612-4E24-B3A0-2F530D5C0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ehs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Alexandra Ferrer</dc:creator>
  <keywords>Common</keywords>
  <dc:description/>
  <lastModifiedBy>Gardner, Hannah M (EHS)</lastModifiedBy>
  <revision>112</revision>
  <lastPrinted>2017-12-28T00:40:00.0000000Z</lastPrinted>
  <dcterms:created xsi:type="dcterms:W3CDTF">2023-09-05T17:40:00.0000000Z</dcterms:created>
  <dcterms:modified xsi:type="dcterms:W3CDTF">2023-11-30T01:27:49.0136194Z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ediaServiceImageTags">
    <vt:lpwstr/>
  </property>
  <property fmtid="{D5CDD505-2E9C-101B-9397-08002B2CF9AE}" pid="4" name="MSIP_Label_ea60d57e-af5b-4752-ac57-3e4f28ca11dc_Enabled">
    <vt:lpwstr>true</vt:lpwstr>
  </property>
  <property fmtid="{D5CDD505-2E9C-101B-9397-08002B2CF9AE}" pid="5" name="MSIP_Label_ea60d57e-af5b-4752-ac57-3e4f28ca11dc_SetDate">
    <vt:lpwstr>2023-08-30T19:36:04Z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81417f1b-60d0-4103-a57c-76fe68a1d7fe</vt:lpwstr>
  </property>
  <property fmtid="{D5CDD505-2E9C-101B-9397-08002B2CF9AE}" pid="10" name="MSIP_Label_ea60d57e-af5b-4752-ac57-3e4f28ca11dc_ContentBits">
    <vt:lpwstr>0</vt:lpwstr>
  </property>
</Properties>
</file>