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5C18" w14:textId="7B6433EB" w:rsidR="00EF5C93" w:rsidRPr="0026567A" w:rsidRDefault="00EF5C93" w:rsidP="0026567A">
      <w:pPr>
        <w:pStyle w:val="Heading1"/>
      </w:pPr>
      <w:r w:rsidRPr="0026567A">
        <w:t xml:space="preserve">Appendix G:  </w:t>
      </w:r>
    </w:p>
    <w:p w14:paraId="6A9EF10E" w14:textId="32B33C09" w:rsidR="00564A45" w:rsidRPr="0026567A" w:rsidRDefault="00B27C5E" w:rsidP="0026567A">
      <w:pPr>
        <w:pStyle w:val="Heading1"/>
        <w:rPr>
          <w:rStyle w:val="eop"/>
        </w:rPr>
      </w:pPr>
      <w:r w:rsidRPr="0026567A">
        <w:rPr>
          <w:rStyle w:val="normaltextrun"/>
        </w:rPr>
        <w:t>Behavioral Health and Gender-affirming Care Services</w:t>
      </w:r>
      <w:r w:rsidRPr="0026567A">
        <w:rPr>
          <w:rStyle w:val="eop"/>
        </w:rPr>
        <w:t> </w:t>
      </w:r>
    </w:p>
    <w:p w14:paraId="30770D96" w14:textId="77777777" w:rsidR="00B27C5E" w:rsidRPr="00D43F09" w:rsidRDefault="00B27C5E" w:rsidP="00EF6A38">
      <w:pPr>
        <w:overflowPunct w:val="0"/>
        <w:autoSpaceDE w:val="0"/>
        <w:autoSpaceDN w:val="0"/>
        <w:adjustRightInd w:val="0"/>
        <w:jc w:val="center"/>
        <w:textAlignment w:val="baseline"/>
        <w:rPr>
          <w:rFonts w:ascii="Arial" w:hAnsi="Arial" w:cs="Arial"/>
          <w:b/>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990"/>
      </w:tblGrid>
      <w:tr w:rsidR="00564A45" w:rsidRPr="00D43F09" w14:paraId="0A7B1CA3" w14:textId="77777777" w:rsidTr="3C5663D2">
        <w:tc>
          <w:tcPr>
            <w:tcW w:w="9990" w:type="dxa"/>
            <w:shd w:val="clear" w:color="auto" w:fill="DEEAF6" w:themeFill="accent5" w:themeFillTint="33"/>
          </w:tcPr>
          <w:p w14:paraId="6E92A2C4" w14:textId="38D42ABF" w:rsidR="00564A45" w:rsidRPr="00D43F09" w:rsidRDefault="00564A45" w:rsidP="00A51742">
            <w:pPr>
              <w:jc w:val="center"/>
              <w:rPr>
                <w:rFonts w:ascii="Arial" w:hAnsi="Arial" w:cs="Arial"/>
              </w:rPr>
            </w:pPr>
            <w:r w:rsidRPr="00D43F09">
              <w:rPr>
                <w:rFonts w:ascii="Arial" w:hAnsi="Arial" w:cs="Arial"/>
                <w:b/>
                <w:bCs/>
                <w:color w:val="201F1E"/>
              </w:rPr>
              <w:t xml:space="preserve">EOHHS is providing this appendix </w:t>
            </w:r>
            <w:r w:rsidR="02826C0D" w:rsidRPr="00D43F09">
              <w:rPr>
                <w:rFonts w:ascii="Arial" w:hAnsi="Arial" w:cs="Arial"/>
                <w:b/>
                <w:bCs/>
                <w:color w:val="201F1E"/>
              </w:rPr>
              <w:t>based on current information for</w:t>
            </w:r>
            <w:r w:rsidRPr="00D43F09">
              <w:rPr>
                <w:rFonts w:ascii="Arial" w:hAnsi="Arial" w:cs="Arial"/>
                <w:b/>
                <w:bCs/>
                <w:color w:val="201F1E"/>
              </w:rPr>
              <w:t xml:space="preserve"> reference only to provide context for Bidders.  EOHHS will update this appendix as appropriate prior to EOHHS and selected Bidders executing any Contract resulting from this RFR.</w:t>
            </w:r>
          </w:p>
        </w:tc>
      </w:tr>
    </w:tbl>
    <w:p w14:paraId="30064E31" w14:textId="7433973B" w:rsidR="00EF5C93" w:rsidRPr="00D43F09" w:rsidRDefault="00EF5C93" w:rsidP="00564A45">
      <w:pPr>
        <w:overflowPunct w:val="0"/>
        <w:autoSpaceDE w:val="0"/>
        <w:autoSpaceDN w:val="0"/>
        <w:adjustRightInd w:val="0"/>
        <w:textAlignment w:val="baseline"/>
        <w:rPr>
          <w:rFonts w:ascii="Arial" w:hAnsi="Arial" w:cs="Arial"/>
          <w:b/>
        </w:rPr>
      </w:pPr>
    </w:p>
    <w:p w14:paraId="7BF4B6A8" w14:textId="3005DBA2" w:rsidR="00EF6A38" w:rsidRPr="00D43F09" w:rsidRDefault="00EF5C93" w:rsidP="008A0050">
      <w:pPr>
        <w:spacing w:after="120"/>
        <w:jc w:val="center"/>
        <w:rPr>
          <w:rFonts w:ascii="Arial" w:eastAsia="Calibri" w:hAnsi="Arial" w:cs="Arial"/>
          <w:b/>
        </w:rPr>
      </w:pPr>
      <w:r w:rsidRPr="00D43F09">
        <w:rPr>
          <w:rFonts w:ascii="Arial" w:eastAsia="Calibri" w:hAnsi="Arial" w:cs="Arial"/>
          <w:b/>
        </w:rPr>
        <w:t xml:space="preserve">Exhibit 1:  MassHealth </w:t>
      </w:r>
      <w:r w:rsidR="008A0050" w:rsidRPr="00D43F09">
        <w:rPr>
          <w:rFonts w:ascii="Arial" w:eastAsia="Calibri" w:hAnsi="Arial" w:cs="Arial"/>
          <w:b/>
        </w:rPr>
        <w:t>Community Behavioral Health Center (CBHC)</w:t>
      </w:r>
      <w:r w:rsidR="002C0315" w:rsidRPr="00D43F09">
        <w:rPr>
          <w:rFonts w:ascii="Arial" w:eastAsia="Calibri" w:hAnsi="Arial" w:cs="Arial"/>
          <w:b/>
        </w:rPr>
        <w:t xml:space="preserve"> List</w:t>
      </w:r>
    </w:p>
    <w:p w14:paraId="7610472F" w14:textId="08B6F951" w:rsidR="00A17ACD" w:rsidRPr="00D43F09" w:rsidRDefault="00A17ACD" w:rsidP="0065442C">
      <w:pPr>
        <w:overflowPunct w:val="0"/>
        <w:autoSpaceDE w:val="0"/>
        <w:autoSpaceDN w:val="0"/>
        <w:adjustRightInd w:val="0"/>
        <w:jc w:val="center"/>
        <w:textAlignment w:val="baseline"/>
        <w:rPr>
          <w:rFonts w:ascii="Arial" w:hAnsi="Arial" w:cs="Arial"/>
          <w:bCs/>
        </w:rPr>
      </w:pPr>
    </w:p>
    <w:p w14:paraId="29ADF787" w14:textId="77777777" w:rsidR="00A17ACD" w:rsidRPr="00D43F09" w:rsidRDefault="00A17ACD" w:rsidP="00A17ACD">
      <w:pPr>
        <w:pStyle w:val="BodyText"/>
        <w:spacing w:before="4"/>
        <w:rPr>
          <w:sz w:val="24"/>
          <w:szCs w:val="24"/>
        </w:rPr>
      </w:pPr>
    </w:p>
    <w:tbl>
      <w:tblPr>
        <w:tblStyle w:val="TableGrid"/>
        <w:tblW w:w="9540" w:type="dxa"/>
        <w:tblInd w:w="715" w:type="dxa"/>
        <w:tblLayout w:type="fixed"/>
        <w:tblLook w:val="0020" w:firstRow="1" w:lastRow="0" w:firstColumn="0" w:lastColumn="0" w:noHBand="0" w:noVBand="0"/>
      </w:tblPr>
      <w:tblGrid>
        <w:gridCol w:w="4770"/>
        <w:gridCol w:w="4770"/>
      </w:tblGrid>
      <w:tr w:rsidR="00EC2AEC" w:rsidRPr="00D43F09" w14:paraId="02AEC57D" w14:textId="77777777" w:rsidTr="00A210AF">
        <w:trPr>
          <w:trHeight w:val="432"/>
          <w:tblHeader/>
        </w:trPr>
        <w:tc>
          <w:tcPr>
            <w:tcW w:w="4770" w:type="dxa"/>
            <w:shd w:val="clear" w:color="auto" w:fill="D9D9D9" w:themeFill="background1" w:themeFillShade="D9"/>
          </w:tcPr>
          <w:p w14:paraId="7EE5757E" w14:textId="77777777" w:rsidR="00EC2AEC" w:rsidRPr="00D43F09" w:rsidRDefault="00EC2AEC" w:rsidP="00A210AF">
            <w:pPr>
              <w:jc w:val="center"/>
              <w:rPr>
                <w:rFonts w:ascii="Arial" w:hAnsi="Arial" w:cs="Arial"/>
                <w:b/>
              </w:rPr>
            </w:pPr>
            <w:r w:rsidRPr="00D43F09">
              <w:rPr>
                <w:rFonts w:ascii="Arial" w:hAnsi="Arial" w:cs="Arial"/>
                <w:b/>
              </w:rPr>
              <w:t>CBHC</w:t>
            </w:r>
          </w:p>
        </w:tc>
        <w:tc>
          <w:tcPr>
            <w:tcW w:w="4770" w:type="dxa"/>
            <w:shd w:val="clear" w:color="auto" w:fill="D9D9D9" w:themeFill="background1" w:themeFillShade="D9"/>
          </w:tcPr>
          <w:p w14:paraId="43D94EBF" w14:textId="77777777" w:rsidR="00EC2AEC" w:rsidRPr="00D43F09" w:rsidRDefault="00EC2AEC" w:rsidP="00A210AF">
            <w:pPr>
              <w:jc w:val="center"/>
              <w:rPr>
                <w:rFonts w:ascii="Arial" w:hAnsi="Arial" w:cs="Arial"/>
                <w:b/>
              </w:rPr>
            </w:pPr>
            <w:r w:rsidRPr="00D43F09">
              <w:rPr>
                <w:rFonts w:ascii="Arial" w:hAnsi="Arial" w:cs="Arial"/>
                <w:b/>
              </w:rPr>
              <w:t>CATCHMENT AREA</w:t>
            </w:r>
          </w:p>
        </w:tc>
      </w:tr>
      <w:tr w:rsidR="00EC2AEC" w:rsidRPr="00D43F09" w14:paraId="4070915E" w14:textId="77777777" w:rsidTr="00A210AF">
        <w:tc>
          <w:tcPr>
            <w:tcW w:w="4770" w:type="dxa"/>
          </w:tcPr>
          <w:p w14:paraId="05DB068F" w14:textId="77777777" w:rsidR="00EC2AEC" w:rsidRPr="00D43F09" w:rsidRDefault="00EC2AEC" w:rsidP="00A210AF">
            <w:pPr>
              <w:rPr>
                <w:rFonts w:ascii="Arial" w:hAnsi="Arial" w:cs="Arial"/>
                <w:b/>
              </w:rPr>
            </w:pPr>
            <w:r w:rsidRPr="00D43F09">
              <w:rPr>
                <w:rFonts w:ascii="Arial" w:hAnsi="Arial" w:cs="Arial"/>
                <w:b/>
              </w:rPr>
              <w:t>North Suffolk Mental Health Association</w:t>
            </w:r>
          </w:p>
          <w:p w14:paraId="3E974DA1" w14:textId="77777777" w:rsidR="00EC2AEC" w:rsidRPr="00D43F09" w:rsidRDefault="00EC2AEC" w:rsidP="00A210AF">
            <w:pPr>
              <w:rPr>
                <w:rFonts w:ascii="Arial" w:hAnsi="Arial" w:cs="Arial"/>
                <w:b/>
              </w:rPr>
            </w:pPr>
          </w:p>
        </w:tc>
        <w:tc>
          <w:tcPr>
            <w:tcW w:w="4770" w:type="dxa"/>
          </w:tcPr>
          <w:p w14:paraId="4D89F45E" w14:textId="77777777" w:rsidR="00EC2AEC" w:rsidRPr="00D43F09" w:rsidRDefault="00EC2AEC" w:rsidP="00A210AF">
            <w:pPr>
              <w:rPr>
                <w:rFonts w:ascii="Arial" w:hAnsi="Arial" w:cs="Arial"/>
              </w:rPr>
            </w:pPr>
            <w:r w:rsidRPr="00D43F09">
              <w:rPr>
                <w:rFonts w:ascii="Arial" w:hAnsi="Arial" w:cs="Arial"/>
              </w:rPr>
              <w:t>Greater Boston</w:t>
            </w:r>
          </w:p>
        </w:tc>
      </w:tr>
      <w:tr w:rsidR="00EC2AEC" w:rsidRPr="00D43F09" w14:paraId="55EA7955" w14:textId="77777777" w:rsidTr="00A210AF">
        <w:tc>
          <w:tcPr>
            <w:tcW w:w="4770" w:type="dxa"/>
          </w:tcPr>
          <w:p w14:paraId="3985871C" w14:textId="77777777" w:rsidR="00EC2AEC" w:rsidRPr="00D43F09" w:rsidRDefault="00EC2AEC" w:rsidP="00A210AF">
            <w:pPr>
              <w:rPr>
                <w:rFonts w:ascii="Arial" w:hAnsi="Arial" w:cs="Arial"/>
                <w:b/>
              </w:rPr>
            </w:pPr>
            <w:r w:rsidRPr="00D43F09">
              <w:rPr>
                <w:rFonts w:ascii="Arial" w:hAnsi="Arial" w:cs="Arial"/>
                <w:b/>
              </w:rPr>
              <w:t>Cambridge Health Alliance</w:t>
            </w:r>
          </w:p>
          <w:p w14:paraId="529D0D58" w14:textId="77777777" w:rsidR="00EC2AEC" w:rsidRPr="00D43F09" w:rsidRDefault="00EC2AEC" w:rsidP="00A210AF">
            <w:pPr>
              <w:rPr>
                <w:rFonts w:ascii="Arial" w:hAnsi="Arial" w:cs="Arial"/>
                <w:b/>
              </w:rPr>
            </w:pPr>
          </w:p>
        </w:tc>
        <w:tc>
          <w:tcPr>
            <w:tcW w:w="4770" w:type="dxa"/>
          </w:tcPr>
          <w:p w14:paraId="6E15D071" w14:textId="77777777" w:rsidR="00EC2AEC" w:rsidRPr="00D43F09" w:rsidRDefault="00EC2AEC" w:rsidP="00A210AF">
            <w:pPr>
              <w:rPr>
                <w:rFonts w:ascii="Arial" w:hAnsi="Arial" w:cs="Arial"/>
              </w:rPr>
            </w:pPr>
            <w:r w:rsidRPr="00D43F09">
              <w:rPr>
                <w:rFonts w:ascii="Arial" w:hAnsi="Arial" w:cs="Arial"/>
              </w:rPr>
              <w:t>Boston/Cambridge</w:t>
            </w:r>
          </w:p>
        </w:tc>
      </w:tr>
      <w:tr w:rsidR="00EC2AEC" w:rsidRPr="00D43F09" w14:paraId="32F6E39D" w14:textId="77777777" w:rsidTr="00A210AF">
        <w:tc>
          <w:tcPr>
            <w:tcW w:w="4770" w:type="dxa"/>
          </w:tcPr>
          <w:p w14:paraId="1F3D9C81" w14:textId="77777777" w:rsidR="00EC2AEC" w:rsidRPr="00D43F09" w:rsidRDefault="00EC2AEC" w:rsidP="00A210AF">
            <w:pPr>
              <w:rPr>
                <w:rFonts w:ascii="Arial" w:hAnsi="Arial" w:cs="Arial"/>
                <w:b/>
              </w:rPr>
            </w:pPr>
            <w:r w:rsidRPr="00D43F09">
              <w:rPr>
                <w:rFonts w:ascii="Arial" w:hAnsi="Arial" w:cs="Arial"/>
                <w:b/>
              </w:rPr>
              <w:t>Boston Medical Center</w:t>
            </w:r>
          </w:p>
          <w:p w14:paraId="19A9C68D" w14:textId="77777777" w:rsidR="00EC2AEC" w:rsidRPr="00D43F09" w:rsidRDefault="00EC2AEC" w:rsidP="00A210AF">
            <w:pPr>
              <w:rPr>
                <w:rFonts w:ascii="Arial" w:hAnsi="Arial" w:cs="Arial"/>
                <w:b/>
              </w:rPr>
            </w:pPr>
          </w:p>
        </w:tc>
        <w:tc>
          <w:tcPr>
            <w:tcW w:w="4770" w:type="dxa"/>
          </w:tcPr>
          <w:p w14:paraId="2132BFDA" w14:textId="77777777" w:rsidR="00EC2AEC" w:rsidRPr="00D43F09" w:rsidRDefault="00EC2AEC" w:rsidP="00A210AF">
            <w:pPr>
              <w:rPr>
                <w:rFonts w:ascii="Arial" w:hAnsi="Arial" w:cs="Arial"/>
              </w:rPr>
            </w:pPr>
            <w:r w:rsidRPr="00D43F09">
              <w:rPr>
                <w:rFonts w:ascii="Arial" w:hAnsi="Arial" w:cs="Arial"/>
              </w:rPr>
              <w:t>Boston/Brookline</w:t>
            </w:r>
          </w:p>
        </w:tc>
      </w:tr>
      <w:tr w:rsidR="00EC2AEC" w:rsidRPr="00D43F09" w14:paraId="69D1BA46" w14:textId="77777777" w:rsidTr="00A210AF">
        <w:tc>
          <w:tcPr>
            <w:tcW w:w="4770" w:type="dxa"/>
          </w:tcPr>
          <w:p w14:paraId="4486DA92" w14:textId="77777777" w:rsidR="00EC2AEC" w:rsidRPr="00D43F09" w:rsidRDefault="00EC2AEC" w:rsidP="00A210AF">
            <w:pPr>
              <w:rPr>
                <w:rFonts w:ascii="Arial" w:hAnsi="Arial" w:cs="Arial"/>
                <w:b/>
              </w:rPr>
            </w:pPr>
            <w:r w:rsidRPr="00D43F09">
              <w:rPr>
                <w:rFonts w:ascii="Arial" w:hAnsi="Arial" w:cs="Arial"/>
                <w:b/>
              </w:rPr>
              <w:t>Riverside Community Care</w:t>
            </w:r>
          </w:p>
          <w:p w14:paraId="047BF965" w14:textId="77777777" w:rsidR="00EC2AEC" w:rsidRPr="00D43F09" w:rsidRDefault="00EC2AEC" w:rsidP="00A210AF">
            <w:pPr>
              <w:rPr>
                <w:rFonts w:ascii="Arial" w:hAnsi="Arial" w:cs="Arial"/>
                <w:b/>
              </w:rPr>
            </w:pPr>
          </w:p>
        </w:tc>
        <w:tc>
          <w:tcPr>
            <w:tcW w:w="4770" w:type="dxa"/>
          </w:tcPr>
          <w:p w14:paraId="231B4FD1" w14:textId="77777777" w:rsidR="00EC2AEC" w:rsidRPr="00D43F09" w:rsidRDefault="00EC2AEC" w:rsidP="00A210AF">
            <w:pPr>
              <w:rPr>
                <w:rFonts w:ascii="Arial" w:hAnsi="Arial" w:cs="Arial"/>
              </w:rPr>
            </w:pPr>
            <w:r w:rsidRPr="00D43F09">
              <w:rPr>
                <w:rFonts w:ascii="Arial" w:hAnsi="Arial" w:cs="Arial"/>
              </w:rPr>
              <w:t>Norwood</w:t>
            </w:r>
          </w:p>
        </w:tc>
      </w:tr>
      <w:tr w:rsidR="00EC2AEC" w:rsidRPr="00D43F09" w14:paraId="73D25402" w14:textId="77777777" w:rsidTr="00A210AF">
        <w:tc>
          <w:tcPr>
            <w:tcW w:w="4770" w:type="dxa"/>
          </w:tcPr>
          <w:p w14:paraId="2DE3F5DC" w14:textId="77777777" w:rsidR="00EC2AEC" w:rsidRPr="00D43F09" w:rsidRDefault="00EC2AEC" w:rsidP="00A210AF">
            <w:pPr>
              <w:rPr>
                <w:rFonts w:ascii="Arial" w:hAnsi="Arial" w:cs="Arial"/>
                <w:b/>
              </w:rPr>
            </w:pPr>
            <w:r w:rsidRPr="00D43F09">
              <w:rPr>
                <w:rFonts w:ascii="Arial" w:hAnsi="Arial" w:cs="Arial"/>
                <w:b/>
              </w:rPr>
              <w:t>Aspire Health Alliance</w:t>
            </w:r>
          </w:p>
          <w:p w14:paraId="1D5BB804" w14:textId="77777777" w:rsidR="00EC2AEC" w:rsidRPr="00D43F09" w:rsidRDefault="00EC2AEC" w:rsidP="00A210AF">
            <w:pPr>
              <w:rPr>
                <w:rFonts w:ascii="Arial" w:hAnsi="Arial" w:cs="Arial"/>
                <w:b/>
              </w:rPr>
            </w:pPr>
          </w:p>
        </w:tc>
        <w:tc>
          <w:tcPr>
            <w:tcW w:w="4770" w:type="dxa"/>
          </w:tcPr>
          <w:p w14:paraId="62AF22AE" w14:textId="77777777" w:rsidR="00EC2AEC" w:rsidRPr="00D43F09" w:rsidRDefault="00EC2AEC" w:rsidP="00A210AF">
            <w:pPr>
              <w:rPr>
                <w:rFonts w:ascii="Arial" w:hAnsi="Arial" w:cs="Arial"/>
              </w:rPr>
            </w:pPr>
            <w:r w:rsidRPr="00D43F09">
              <w:rPr>
                <w:rFonts w:ascii="Arial" w:hAnsi="Arial" w:cs="Arial"/>
              </w:rPr>
              <w:t>South Shore</w:t>
            </w:r>
          </w:p>
        </w:tc>
      </w:tr>
      <w:tr w:rsidR="00EC2AEC" w:rsidRPr="00D43F09" w14:paraId="52AE800A" w14:textId="77777777" w:rsidTr="00A210AF">
        <w:tc>
          <w:tcPr>
            <w:tcW w:w="4770" w:type="dxa"/>
          </w:tcPr>
          <w:p w14:paraId="66EDD905" w14:textId="77777777" w:rsidR="00EC2AEC" w:rsidRPr="00D43F09" w:rsidRDefault="00EC2AEC" w:rsidP="00A210AF">
            <w:pPr>
              <w:rPr>
                <w:rFonts w:ascii="Arial" w:hAnsi="Arial" w:cs="Arial"/>
                <w:b/>
              </w:rPr>
            </w:pPr>
            <w:r w:rsidRPr="00D43F09">
              <w:rPr>
                <w:rFonts w:ascii="Arial" w:hAnsi="Arial" w:cs="Arial"/>
                <w:b/>
              </w:rPr>
              <w:t>The Brien Center</w:t>
            </w:r>
          </w:p>
          <w:p w14:paraId="4DAB7E3D" w14:textId="77777777" w:rsidR="00EC2AEC" w:rsidRPr="00D43F09" w:rsidRDefault="00EC2AEC" w:rsidP="00A210AF">
            <w:pPr>
              <w:rPr>
                <w:rFonts w:ascii="Arial" w:hAnsi="Arial" w:cs="Arial"/>
                <w:b/>
              </w:rPr>
            </w:pPr>
          </w:p>
        </w:tc>
        <w:tc>
          <w:tcPr>
            <w:tcW w:w="4770" w:type="dxa"/>
          </w:tcPr>
          <w:p w14:paraId="4716D9CE" w14:textId="77777777" w:rsidR="00EC2AEC" w:rsidRPr="00D43F09" w:rsidRDefault="00EC2AEC" w:rsidP="00A210AF">
            <w:pPr>
              <w:autoSpaceDE w:val="0"/>
              <w:autoSpaceDN w:val="0"/>
              <w:adjustRightInd w:val="0"/>
              <w:rPr>
                <w:rFonts w:ascii="Arial" w:hAnsi="Arial" w:cs="Arial"/>
              </w:rPr>
            </w:pPr>
            <w:r w:rsidRPr="00D43F09">
              <w:rPr>
                <w:rFonts w:ascii="Arial" w:hAnsi="Arial" w:cs="Arial"/>
              </w:rPr>
              <w:t>Berkshires</w:t>
            </w:r>
          </w:p>
        </w:tc>
      </w:tr>
      <w:tr w:rsidR="00EC2AEC" w:rsidRPr="00D43F09" w14:paraId="699D76C7" w14:textId="77777777" w:rsidTr="00A210AF">
        <w:tc>
          <w:tcPr>
            <w:tcW w:w="4770" w:type="dxa"/>
          </w:tcPr>
          <w:p w14:paraId="0B72CF0F" w14:textId="77777777" w:rsidR="00EC2AEC" w:rsidRPr="00D43F09" w:rsidRDefault="00EC2AEC" w:rsidP="00A210AF">
            <w:pPr>
              <w:rPr>
                <w:rFonts w:ascii="Arial" w:hAnsi="Arial" w:cs="Arial"/>
                <w:b/>
              </w:rPr>
            </w:pPr>
            <w:r w:rsidRPr="00D43F09">
              <w:rPr>
                <w:rFonts w:ascii="Arial" w:hAnsi="Arial" w:cs="Arial"/>
                <w:b/>
              </w:rPr>
              <w:t>Clinical Support Options</w:t>
            </w:r>
          </w:p>
          <w:p w14:paraId="4E7E3A9B" w14:textId="77777777" w:rsidR="00EC2AEC" w:rsidRPr="00D43F09" w:rsidRDefault="00EC2AEC" w:rsidP="00A210AF">
            <w:pPr>
              <w:rPr>
                <w:rFonts w:ascii="Arial" w:hAnsi="Arial" w:cs="Arial"/>
                <w:b/>
              </w:rPr>
            </w:pPr>
          </w:p>
        </w:tc>
        <w:tc>
          <w:tcPr>
            <w:tcW w:w="4770" w:type="dxa"/>
          </w:tcPr>
          <w:p w14:paraId="5B9B2313" w14:textId="77777777" w:rsidR="00EC2AEC" w:rsidRPr="00D43F09" w:rsidRDefault="00EC2AEC" w:rsidP="00A210AF">
            <w:pPr>
              <w:rPr>
                <w:rFonts w:ascii="Arial" w:hAnsi="Arial" w:cs="Arial"/>
              </w:rPr>
            </w:pPr>
            <w:r w:rsidRPr="00D43F09">
              <w:rPr>
                <w:rFonts w:ascii="Arial" w:hAnsi="Arial" w:cs="Arial"/>
              </w:rPr>
              <w:t>Greenfield</w:t>
            </w:r>
          </w:p>
        </w:tc>
      </w:tr>
      <w:tr w:rsidR="00EC2AEC" w:rsidRPr="00D43F09" w14:paraId="17757706" w14:textId="77777777" w:rsidTr="00A210AF">
        <w:tc>
          <w:tcPr>
            <w:tcW w:w="4770" w:type="dxa"/>
          </w:tcPr>
          <w:p w14:paraId="58E29931" w14:textId="77777777" w:rsidR="00EC2AEC" w:rsidRPr="00D43F09" w:rsidRDefault="00EC2AEC" w:rsidP="00A210AF">
            <w:pPr>
              <w:rPr>
                <w:rFonts w:ascii="Arial" w:hAnsi="Arial" w:cs="Arial"/>
                <w:b/>
              </w:rPr>
            </w:pPr>
            <w:r w:rsidRPr="00D43F09">
              <w:rPr>
                <w:rFonts w:ascii="Arial" w:hAnsi="Arial" w:cs="Arial"/>
                <w:b/>
              </w:rPr>
              <w:t>Clinical Support Options</w:t>
            </w:r>
          </w:p>
          <w:p w14:paraId="081BD208" w14:textId="77777777" w:rsidR="00EC2AEC" w:rsidRPr="00D43F09" w:rsidRDefault="00EC2AEC" w:rsidP="00A210AF">
            <w:pPr>
              <w:rPr>
                <w:rFonts w:ascii="Arial" w:hAnsi="Arial" w:cs="Arial"/>
                <w:b/>
              </w:rPr>
            </w:pPr>
          </w:p>
        </w:tc>
        <w:tc>
          <w:tcPr>
            <w:tcW w:w="4770" w:type="dxa"/>
          </w:tcPr>
          <w:p w14:paraId="2E553F98" w14:textId="77777777" w:rsidR="00EC2AEC" w:rsidRPr="00D43F09" w:rsidRDefault="00EC2AEC" w:rsidP="00A210AF">
            <w:pPr>
              <w:rPr>
                <w:rFonts w:ascii="Arial" w:hAnsi="Arial" w:cs="Arial"/>
              </w:rPr>
            </w:pPr>
            <w:r w:rsidRPr="00D43F09">
              <w:rPr>
                <w:rFonts w:ascii="Arial" w:hAnsi="Arial" w:cs="Arial"/>
              </w:rPr>
              <w:t>Northampton</w:t>
            </w:r>
          </w:p>
        </w:tc>
      </w:tr>
      <w:tr w:rsidR="00EC2AEC" w:rsidRPr="00D43F09" w14:paraId="7F74C5BC" w14:textId="77777777" w:rsidTr="00A210AF">
        <w:tc>
          <w:tcPr>
            <w:tcW w:w="4770" w:type="dxa"/>
          </w:tcPr>
          <w:p w14:paraId="1063DBA1" w14:textId="77777777" w:rsidR="00EC2AEC" w:rsidRPr="00D43F09" w:rsidRDefault="00EC2AEC" w:rsidP="00A210AF">
            <w:pPr>
              <w:rPr>
                <w:rFonts w:ascii="Arial" w:hAnsi="Arial" w:cs="Arial"/>
                <w:b/>
              </w:rPr>
            </w:pPr>
            <w:r w:rsidRPr="00D43F09">
              <w:rPr>
                <w:rFonts w:ascii="Arial" w:hAnsi="Arial" w:cs="Arial"/>
                <w:b/>
              </w:rPr>
              <w:t>Behavioral Health Network (BHN)</w:t>
            </w:r>
          </w:p>
          <w:p w14:paraId="61ED56AD" w14:textId="77777777" w:rsidR="00EC2AEC" w:rsidRPr="00D43F09" w:rsidRDefault="00EC2AEC" w:rsidP="00A210AF">
            <w:pPr>
              <w:rPr>
                <w:rFonts w:ascii="Arial" w:hAnsi="Arial" w:cs="Arial"/>
                <w:b/>
              </w:rPr>
            </w:pPr>
          </w:p>
        </w:tc>
        <w:tc>
          <w:tcPr>
            <w:tcW w:w="4770" w:type="dxa"/>
          </w:tcPr>
          <w:p w14:paraId="6923049C" w14:textId="77777777" w:rsidR="00EC2AEC" w:rsidRPr="00D43F09" w:rsidRDefault="00EC2AEC" w:rsidP="00A210AF">
            <w:pPr>
              <w:rPr>
                <w:rFonts w:ascii="Arial" w:hAnsi="Arial" w:cs="Arial"/>
              </w:rPr>
            </w:pPr>
            <w:r w:rsidRPr="00D43F09">
              <w:rPr>
                <w:rFonts w:ascii="Arial" w:hAnsi="Arial" w:cs="Arial"/>
              </w:rPr>
              <w:t>Southern Pioneer</w:t>
            </w:r>
          </w:p>
        </w:tc>
      </w:tr>
      <w:tr w:rsidR="00EC2AEC" w:rsidRPr="00D43F09" w14:paraId="0172490A" w14:textId="77777777" w:rsidTr="00A210AF">
        <w:tc>
          <w:tcPr>
            <w:tcW w:w="4770" w:type="dxa"/>
          </w:tcPr>
          <w:p w14:paraId="3DD2C12C" w14:textId="77777777" w:rsidR="00EC2AEC" w:rsidRPr="00D43F09" w:rsidRDefault="00EC2AEC" w:rsidP="00A210AF">
            <w:pPr>
              <w:rPr>
                <w:rFonts w:ascii="Arial" w:hAnsi="Arial" w:cs="Arial"/>
                <w:b/>
              </w:rPr>
            </w:pPr>
            <w:r w:rsidRPr="00D43F09">
              <w:rPr>
                <w:rFonts w:ascii="Arial" w:hAnsi="Arial" w:cs="Arial"/>
                <w:b/>
              </w:rPr>
              <w:t>Center for Human Development</w:t>
            </w:r>
          </w:p>
          <w:p w14:paraId="594982D5" w14:textId="77777777" w:rsidR="00EC2AEC" w:rsidRPr="00D43F09" w:rsidRDefault="00EC2AEC" w:rsidP="00A210AF">
            <w:pPr>
              <w:rPr>
                <w:rFonts w:ascii="Arial" w:hAnsi="Arial" w:cs="Arial"/>
                <w:b/>
              </w:rPr>
            </w:pPr>
          </w:p>
        </w:tc>
        <w:tc>
          <w:tcPr>
            <w:tcW w:w="4770" w:type="dxa"/>
          </w:tcPr>
          <w:p w14:paraId="742D1B03" w14:textId="77777777" w:rsidR="00EC2AEC" w:rsidRPr="00D43F09" w:rsidRDefault="00EC2AEC" w:rsidP="00A210AF">
            <w:pPr>
              <w:autoSpaceDE w:val="0"/>
              <w:autoSpaceDN w:val="0"/>
              <w:adjustRightInd w:val="0"/>
              <w:rPr>
                <w:rFonts w:ascii="Arial" w:hAnsi="Arial" w:cs="Arial"/>
              </w:rPr>
            </w:pPr>
            <w:r w:rsidRPr="00D43F09">
              <w:rPr>
                <w:rFonts w:ascii="Arial" w:hAnsi="Arial" w:cs="Arial"/>
              </w:rPr>
              <w:t>Southern Pioneer</w:t>
            </w:r>
          </w:p>
        </w:tc>
      </w:tr>
      <w:tr w:rsidR="00EC2AEC" w:rsidRPr="00D43F09" w14:paraId="17B9DE7E" w14:textId="77777777" w:rsidTr="00A210AF">
        <w:tc>
          <w:tcPr>
            <w:tcW w:w="4770" w:type="dxa"/>
          </w:tcPr>
          <w:p w14:paraId="1868BD5B" w14:textId="77777777" w:rsidR="00EC2AEC" w:rsidRPr="00D43F09" w:rsidRDefault="00EC2AEC" w:rsidP="00A210AF">
            <w:pPr>
              <w:rPr>
                <w:rFonts w:ascii="Arial" w:hAnsi="Arial" w:cs="Arial"/>
                <w:b/>
                <w:bCs/>
              </w:rPr>
            </w:pPr>
            <w:r w:rsidRPr="00D43F09">
              <w:rPr>
                <w:rFonts w:ascii="Arial" w:hAnsi="Arial" w:cs="Arial"/>
                <w:b/>
                <w:bCs/>
              </w:rPr>
              <w:t>Advocates</w:t>
            </w:r>
          </w:p>
          <w:p w14:paraId="053512CC" w14:textId="77777777" w:rsidR="00EC2AEC" w:rsidRPr="00D43F09" w:rsidRDefault="00EC2AEC" w:rsidP="00A210AF">
            <w:pPr>
              <w:rPr>
                <w:rFonts w:ascii="Arial" w:hAnsi="Arial" w:cs="Arial"/>
                <w:b/>
                <w:bCs/>
              </w:rPr>
            </w:pPr>
          </w:p>
        </w:tc>
        <w:tc>
          <w:tcPr>
            <w:tcW w:w="4770" w:type="dxa"/>
          </w:tcPr>
          <w:p w14:paraId="601EC6B4" w14:textId="77777777" w:rsidR="00EC2AEC" w:rsidRPr="00D43F09" w:rsidRDefault="00EC2AEC" w:rsidP="00A210AF">
            <w:pPr>
              <w:rPr>
                <w:rFonts w:ascii="Arial" w:hAnsi="Arial" w:cs="Arial"/>
              </w:rPr>
            </w:pPr>
            <w:proofErr w:type="spellStart"/>
            <w:r w:rsidRPr="00D43F09">
              <w:rPr>
                <w:rFonts w:ascii="Arial" w:hAnsi="Arial" w:cs="Arial"/>
              </w:rPr>
              <w:t>Metrowest</w:t>
            </w:r>
            <w:proofErr w:type="spellEnd"/>
          </w:p>
        </w:tc>
      </w:tr>
      <w:tr w:rsidR="00EC2AEC" w:rsidRPr="00D43F09" w14:paraId="634C2A5B" w14:textId="77777777" w:rsidTr="00A210AF">
        <w:tc>
          <w:tcPr>
            <w:tcW w:w="4770" w:type="dxa"/>
          </w:tcPr>
          <w:p w14:paraId="50994391" w14:textId="77777777" w:rsidR="00EC2AEC" w:rsidRPr="00D43F09" w:rsidRDefault="00EC2AEC" w:rsidP="00A210AF">
            <w:pPr>
              <w:rPr>
                <w:rFonts w:ascii="Arial" w:hAnsi="Arial" w:cs="Arial"/>
                <w:b/>
              </w:rPr>
            </w:pPr>
            <w:r w:rsidRPr="00D43F09">
              <w:rPr>
                <w:rFonts w:ascii="Arial" w:hAnsi="Arial" w:cs="Arial"/>
                <w:b/>
              </w:rPr>
              <w:t>Clinical Support Options</w:t>
            </w:r>
          </w:p>
          <w:p w14:paraId="22C1E992" w14:textId="77777777" w:rsidR="00EC2AEC" w:rsidRPr="00D43F09" w:rsidRDefault="00EC2AEC" w:rsidP="00A210AF">
            <w:pPr>
              <w:rPr>
                <w:rFonts w:ascii="Arial" w:hAnsi="Arial" w:cs="Arial"/>
                <w:b/>
              </w:rPr>
            </w:pPr>
          </w:p>
        </w:tc>
        <w:tc>
          <w:tcPr>
            <w:tcW w:w="4770" w:type="dxa"/>
          </w:tcPr>
          <w:p w14:paraId="042A3BFE" w14:textId="77777777" w:rsidR="00EC2AEC" w:rsidRPr="00D43F09" w:rsidRDefault="00EC2AEC" w:rsidP="00A210AF">
            <w:pPr>
              <w:rPr>
                <w:rFonts w:ascii="Arial" w:hAnsi="Arial" w:cs="Arial"/>
              </w:rPr>
            </w:pPr>
            <w:r w:rsidRPr="00D43F09">
              <w:rPr>
                <w:rFonts w:ascii="Arial" w:hAnsi="Arial" w:cs="Arial"/>
              </w:rPr>
              <w:t xml:space="preserve">North County </w:t>
            </w:r>
          </w:p>
        </w:tc>
      </w:tr>
      <w:tr w:rsidR="00EC2AEC" w:rsidRPr="00D43F09" w14:paraId="2B99A411" w14:textId="77777777" w:rsidTr="00A210AF">
        <w:tc>
          <w:tcPr>
            <w:tcW w:w="4770" w:type="dxa"/>
          </w:tcPr>
          <w:p w14:paraId="7C01CFE7" w14:textId="77777777" w:rsidR="00EC2AEC" w:rsidRPr="00D43F09" w:rsidRDefault="00EC2AEC" w:rsidP="00A210AF">
            <w:pPr>
              <w:rPr>
                <w:rFonts w:ascii="Arial" w:hAnsi="Arial" w:cs="Arial"/>
                <w:b/>
              </w:rPr>
            </w:pPr>
            <w:r w:rsidRPr="00D43F09">
              <w:rPr>
                <w:rFonts w:ascii="Arial" w:hAnsi="Arial" w:cs="Arial"/>
                <w:b/>
              </w:rPr>
              <w:t xml:space="preserve">Community </w:t>
            </w:r>
            <w:proofErr w:type="spellStart"/>
            <w:r w:rsidRPr="00D43F09">
              <w:rPr>
                <w:rFonts w:ascii="Arial" w:hAnsi="Arial" w:cs="Arial"/>
                <w:b/>
              </w:rPr>
              <w:t>Healthlink</w:t>
            </w:r>
            <w:proofErr w:type="spellEnd"/>
          </w:p>
          <w:p w14:paraId="6C91D1DE" w14:textId="77777777" w:rsidR="00EC2AEC" w:rsidRPr="00D43F09" w:rsidRDefault="00EC2AEC" w:rsidP="00A210AF">
            <w:pPr>
              <w:rPr>
                <w:rFonts w:ascii="Arial" w:hAnsi="Arial" w:cs="Arial"/>
                <w:b/>
              </w:rPr>
            </w:pPr>
          </w:p>
        </w:tc>
        <w:tc>
          <w:tcPr>
            <w:tcW w:w="4770" w:type="dxa"/>
          </w:tcPr>
          <w:p w14:paraId="312D22B7" w14:textId="77777777" w:rsidR="00EC2AEC" w:rsidRPr="00D43F09" w:rsidRDefault="00EC2AEC" w:rsidP="00A210AF">
            <w:pPr>
              <w:rPr>
                <w:rFonts w:ascii="Arial" w:hAnsi="Arial" w:cs="Arial"/>
              </w:rPr>
            </w:pPr>
            <w:r w:rsidRPr="00D43F09">
              <w:rPr>
                <w:rFonts w:ascii="Arial" w:hAnsi="Arial" w:cs="Arial"/>
              </w:rPr>
              <w:t>North County</w:t>
            </w:r>
          </w:p>
        </w:tc>
      </w:tr>
      <w:tr w:rsidR="00EC2AEC" w:rsidRPr="00D43F09" w14:paraId="36EB4018" w14:textId="77777777" w:rsidTr="00A210AF">
        <w:tc>
          <w:tcPr>
            <w:tcW w:w="4770" w:type="dxa"/>
          </w:tcPr>
          <w:p w14:paraId="4037F4FF" w14:textId="77777777" w:rsidR="00EC2AEC" w:rsidRPr="00D43F09" w:rsidRDefault="00EC2AEC" w:rsidP="00A210AF">
            <w:pPr>
              <w:rPr>
                <w:rFonts w:ascii="Arial" w:hAnsi="Arial" w:cs="Arial"/>
                <w:b/>
              </w:rPr>
            </w:pPr>
            <w:r w:rsidRPr="00D43F09">
              <w:rPr>
                <w:rFonts w:ascii="Arial" w:hAnsi="Arial" w:cs="Arial"/>
                <w:b/>
              </w:rPr>
              <w:t>Riverside Community Care</w:t>
            </w:r>
          </w:p>
          <w:p w14:paraId="3DBEA5CA" w14:textId="77777777" w:rsidR="00EC2AEC" w:rsidRPr="00D43F09" w:rsidRDefault="00EC2AEC" w:rsidP="00A210AF">
            <w:pPr>
              <w:rPr>
                <w:rFonts w:ascii="Arial" w:hAnsi="Arial" w:cs="Arial"/>
                <w:b/>
              </w:rPr>
            </w:pPr>
          </w:p>
        </w:tc>
        <w:tc>
          <w:tcPr>
            <w:tcW w:w="4770" w:type="dxa"/>
          </w:tcPr>
          <w:p w14:paraId="55EB1757" w14:textId="77777777" w:rsidR="00EC2AEC" w:rsidRPr="00D43F09" w:rsidRDefault="00EC2AEC" w:rsidP="00A210AF">
            <w:pPr>
              <w:rPr>
                <w:rFonts w:ascii="Arial" w:hAnsi="Arial" w:cs="Arial"/>
              </w:rPr>
            </w:pPr>
            <w:r w:rsidRPr="00D43F09">
              <w:rPr>
                <w:rFonts w:ascii="Arial" w:hAnsi="Arial" w:cs="Arial"/>
              </w:rPr>
              <w:t>South County</w:t>
            </w:r>
          </w:p>
        </w:tc>
      </w:tr>
      <w:tr w:rsidR="00EC2AEC" w:rsidRPr="00D43F09" w14:paraId="659789D4" w14:textId="77777777" w:rsidTr="00A210AF">
        <w:tc>
          <w:tcPr>
            <w:tcW w:w="4770" w:type="dxa"/>
          </w:tcPr>
          <w:p w14:paraId="7A06AA3D" w14:textId="77777777" w:rsidR="00EC2AEC" w:rsidRPr="00D43F09" w:rsidRDefault="00EC2AEC" w:rsidP="00A210AF">
            <w:pPr>
              <w:rPr>
                <w:rFonts w:ascii="Arial" w:hAnsi="Arial" w:cs="Arial"/>
                <w:b/>
              </w:rPr>
            </w:pPr>
            <w:r w:rsidRPr="00D43F09">
              <w:rPr>
                <w:rFonts w:ascii="Arial" w:hAnsi="Arial" w:cs="Arial"/>
                <w:b/>
              </w:rPr>
              <w:t xml:space="preserve">Community </w:t>
            </w:r>
            <w:proofErr w:type="spellStart"/>
            <w:r w:rsidRPr="00D43F09">
              <w:rPr>
                <w:rFonts w:ascii="Arial" w:hAnsi="Arial" w:cs="Arial"/>
                <w:b/>
              </w:rPr>
              <w:t>Healthlink</w:t>
            </w:r>
            <w:proofErr w:type="spellEnd"/>
          </w:p>
          <w:p w14:paraId="6CBDD7F9" w14:textId="77777777" w:rsidR="00EC2AEC" w:rsidRPr="00D43F09" w:rsidRDefault="00EC2AEC" w:rsidP="00A210AF">
            <w:pPr>
              <w:rPr>
                <w:rFonts w:ascii="Arial" w:hAnsi="Arial" w:cs="Arial"/>
                <w:b/>
              </w:rPr>
            </w:pPr>
          </w:p>
        </w:tc>
        <w:tc>
          <w:tcPr>
            <w:tcW w:w="4770" w:type="dxa"/>
          </w:tcPr>
          <w:p w14:paraId="4A13685D" w14:textId="77777777" w:rsidR="00EC2AEC" w:rsidRPr="00D43F09" w:rsidRDefault="00EC2AEC" w:rsidP="00A210AF">
            <w:pPr>
              <w:rPr>
                <w:rFonts w:ascii="Arial" w:hAnsi="Arial" w:cs="Arial"/>
              </w:rPr>
            </w:pPr>
            <w:r w:rsidRPr="00D43F09">
              <w:rPr>
                <w:rFonts w:ascii="Arial" w:hAnsi="Arial" w:cs="Arial"/>
              </w:rPr>
              <w:t>Worcester</w:t>
            </w:r>
          </w:p>
        </w:tc>
      </w:tr>
      <w:tr w:rsidR="00EC2AEC" w:rsidRPr="00D43F09" w14:paraId="5F521F7C" w14:textId="77777777" w:rsidTr="00A210AF">
        <w:tc>
          <w:tcPr>
            <w:tcW w:w="4770" w:type="dxa"/>
          </w:tcPr>
          <w:p w14:paraId="018F8640" w14:textId="77777777" w:rsidR="00EC2AEC" w:rsidRPr="00D43F09" w:rsidRDefault="00EC2AEC" w:rsidP="00A210AF">
            <w:pPr>
              <w:rPr>
                <w:rFonts w:ascii="Arial" w:hAnsi="Arial" w:cs="Arial"/>
                <w:b/>
              </w:rPr>
            </w:pPr>
            <w:r w:rsidRPr="00D43F09">
              <w:rPr>
                <w:rFonts w:ascii="Arial" w:hAnsi="Arial" w:cs="Arial"/>
                <w:b/>
              </w:rPr>
              <w:t>Eliot Community Health Services</w:t>
            </w:r>
          </w:p>
          <w:p w14:paraId="7A1DFEDE" w14:textId="77777777" w:rsidR="00EC2AEC" w:rsidRPr="00D43F09" w:rsidRDefault="00EC2AEC" w:rsidP="00A210AF">
            <w:pPr>
              <w:rPr>
                <w:rFonts w:ascii="Arial" w:hAnsi="Arial" w:cs="Arial"/>
                <w:b/>
              </w:rPr>
            </w:pPr>
          </w:p>
        </w:tc>
        <w:tc>
          <w:tcPr>
            <w:tcW w:w="4770" w:type="dxa"/>
          </w:tcPr>
          <w:p w14:paraId="6BC77EA3" w14:textId="77777777" w:rsidR="00EC2AEC" w:rsidRPr="00D43F09" w:rsidRDefault="00EC2AEC" w:rsidP="00A210AF">
            <w:pPr>
              <w:rPr>
                <w:rFonts w:ascii="Arial" w:hAnsi="Arial" w:cs="Arial"/>
              </w:rPr>
            </w:pPr>
            <w:r w:rsidRPr="00D43F09">
              <w:rPr>
                <w:rFonts w:ascii="Arial" w:hAnsi="Arial" w:cs="Arial"/>
              </w:rPr>
              <w:t>North Essex</w:t>
            </w:r>
          </w:p>
        </w:tc>
      </w:tr>
      <w:tr w:rsidR="00EC2AEC" w:rsidRPr="00D43F09" w14:paraId="502CDE1A" w14:textId="77777777" w:rsidTr="00A210AF">
        <w:tc>
          <w:tcPr>
            <w:tcW w:w="4770" w:type="dxa"/>
          </w:tcPr>
          <w:p w14:paraId="6C8EC404" w14:textId="77777777" w:rsidR="00EC2AEC" w:rsidRPr="00D43F09" w:rsidRDefault="00EC2AEC" w:rsidP="00A210AF">
            <w:pPr>
              <w:rPr>
                <w:rFonts w:ascii="Arial" w:hAnsi="Arial" w:cs="Arial"/>
                <w:b/>
              </w:rPr>
            </w:pPr>
            <w:r w:rsidRPr="00D43F09">
              <w:rPr>
                <w:rFonts w:ascii="Arial" w:hAnsi="Arial" w:cs="Arial"/>
                <w:b/>
              </w:rPr>
              <w:t>Beth Israel Lahey Behavioral Services</w:t>
            </w:r>
          </w:p>
          <w:p w14:paraId="3C02C3D7" w14:textId="77777777" w:rsidR="00EC2AEC" w:rsidRPr="00D43F09" w:rsidRDefault="00EC2AEC" w:rsidP="00A210AF">
            <w:pPr>
              <w:rPr>
                <w:rFonts w:ascii="Arial" w:hAnsi="Arial" w:cs="Arial"/>
                <w:b/>
              </w:rPr>
            </w:pPr>
          </w:p>
        </w:tc>
        <w:tc>
          <w:tcPr>
            <w:tcW w:w="4770" w:type="dxa"/>
          </w:tcPr>
          <w:p w14:paraId="511FE8A5" w14:textId="77777777" w:rsidR="00EC2AEC" w:rsidRPr="00D43F09" w:rsidRDefault="00EC2AEC" w:rsidP="00A210AF">
            <w:pPr>
              <w:rPr>
                <w:rFonts w:ascii="Arial" w:hAnsi="Arial" w:cs="Arial"/>
              </w:rPr>
            </w:pPr>
            <w:r w:rsidRPr="00D43F09">
              <w:rPr>
                <w:rFonts w:ascii="Arial" w:hAnsi="Arial" w:cs="Arial"/>
              </w:rPr>
              <w:t>Lawrence</w:t>
            </w:r>
          </w:p>
        </w:tc>
      </w:tr>
      <w:tr w:rsidR="00EC2AEC" w:rsidRPr="00D43F09" w14:paraId="0BDB496C" w14:textId="77777777" w:rsidTr="00A210AF">
        <w:tc>
          <w:tcPr>
            <w:tcW w:w="4770" w:type="dxa"/>
          </w:tcPr>
          <w:p w14:paraId="64517551" w14:textId="77777777" w:rsidR="00EC2AEC" w:rsidRPr="00D43F09" w:rsidRDefault="00EC2AEC" w:rsidP="00A210AF">
            <w:pPr>
              <w:rPr>
                <w:rFonts w:ascii="Arial" w:hAnsi="Arial" w:cs="Arial"/>
                <w:b/>
              </w:rPr>
            </w:pPr>
            <w:proofErr w:type="spellStart"/>
            <w:r w:rsidRPr="00D43F09">
              <w:rPr>
                <w:rFonts w:ascii="Arial" w:hAnsi="Arial" w:cs="Arial"/>
                <w:b/>
              </w:rPr>
              <w:t>Vinfen</w:t>
            </w:r>
            <w:proofErr w:type="spellEnd"/>
          </w:p>
          <w:p w14:paraId="240E9785" w14:textId="77777777" w:rsidR="00EC2AEC" w:rsidRPr="00D43F09" w:rsidRDefault="00EC2AEC" w:rsidP="00A210AF">
            <w:pPr>
              <w:rPr>
                <w:rFonts w:ascii="Arial" w:hAnsi="Arial" w:cs="Arial"/>
                <w:b/>
              </w:rPr>
            </w:pPr>
          </w:p>
        </w:tc>
        <w:tc>
          <w:tcPr>
            <w:tcW w:w="4770" w:type="dxa"/>
          </w:tcPr>
          <w:p w14:paraId="5ED77CCA" w14:textId="77777777" w:rsidR="00EC2AEC" w:rsidRPr="00D43F09" w:rsidRDefault="00EC2AEC" w:rsidP="00A210AF">
            <w:pPr>
              <w:rPr>
                <w:rFonts w:ascii="Arial" w:hAnsi="Arial" w:cs="Arial"/>
              </w:rPr>
            </w:pPr>
            <w:r w:rsidRPr="00D43F09">
              <w:rPr>
                <w:rFonts w:ascii="Arial" w:hAnsi="Arial" w:cs="Arial"/>
              </w:rPr>
              <w:t>Lowell</w:t>
            </w:r>
          </w:p>
        </w:tc>
      </w:tr>
      <w:tr w:rsidR="00EC2AEC" w:rsidRPr="00D43F09" w14:paraId="477990F0" w14:textId="77777777" w:rsidTr="00A210AF">
        <w:tc>
          <w:tcPr>
            <w:tcW w:w="4770" w:type="dxa"/>
          </w:tcPr>
          <w:p w14:paraId="769C6742" w14:textId="77777777" w:rsidR="00EC2AEC" w:rsidRPr="00D43F09" w:rsidRDefault="00EC2AEC" w:rsidP="00A210AF">
            <w:pPr>
              <w:rPr>
                <w:rFonts w:ascii="Arial" w:hAnsi="Arial" w:cs="Arial"/>
                <w:b/>
              </w:rPr>
            </w:pPr>
            <w:r w:rsidRPr="00D43F09">
              <w:rPr>
                <w:rFonts w:ascii="Arial" w:hAnsi="Arial" w:cs="Arial"/>
                <w:b/>
              </w:rPr>
              <w:t>Eliot Community Health Services</w:t>
            </w:r>
          </w:p>
          <w:p w14:paraId="69324390" w14:textId="77777777" w:rsidR="00EC2AEC" w:rsidRPr="00D43F09" w:rsidRDefault="00EC2AEC" w:rsidP="00A210AF">
            <w:pPr>
              <w:rPr>
                <w:rFonts w:ascii="Arial" w:hAnsi="Arial" w:cs="Arial"/>
                <w:b/>
              </w:rPr>
            </w:pPr>
          </w:p>
        </w:tc>
        <w:tc>
          <w:tcPr>
            <w:tcW w:w="4770" w:type="dxa"/>
          </w:tcPr>
          <w:p w14:paraId="4856DD6E" w14:textId="77777777" w:rsidR="00EC2AEC" w:rsidRPr="00D43F09" w:rsidRDefault="00EC2AEC" w:rsidP="00A210AF">
            <w:pPr>
              <w:rPr>
                <w:rFonts w:ascii="Arial" w:hAnsi="Arial" w:cs="Arial"/>
              </w:rPr>
            </w:pPr>
            <w:r w:rsidRPr="00D43F09">
              <w:rPr>
                <w:rFonts w:ascii="Arial" w:hAnsi="Arial" w:cs="Arial"/>
              </w:rPr>
              <w:lastRenderedPageBreak/>
              <w:t>Tri-city</w:t>
            </w:r>
          </w:p>
        </w:tc>
      </w:tr>
      <w:tr w:rsidR="00EC2AEC" w:rsidRPr="00D43F09" w14:paraId="1767CBCD" w14:textId="77777777" w:rsidTr="00A210AF">
        <w:tc>
          <w:tcPr>
            <w:tcW w:w="4770" w:type="dxa"/>
          </w:tcPr>
          <w:p w14:paraId="1DBA2812" w14:textId="77777777" w:rsidR="00EC2AEC" w:rsidRPr="00D43F09" w:rsidRDefault="00EC2AEC" w:rsidP="00A210AF">
            <w:pPr>
              <w:rPr>
                <w:rFonts w:ascii="Arial" w:hAnsi="Arial" w:cs="Arial"/>
                <w:b/>
              </w:rPr>
            </w:pPr>
            <w:r w:rsidRPr="00D43F09">
              <w:rPr>
                <w:rFonts w:ascii="Arial" w:hAnsi="Arial" w:cs="Arial"/>
                <w:b/>
              </w:rPr>
              <w:t>Child and Family Services</w:t>
            </w:r>
          </w:p>
          <w:p w14:paraId="09A00F10" w14:textId="77777777" w:rsidR="00EC2AEC" w:rsidRPr="00D43F09" w:rsidRDefault="00EC2AEC" w:rsidP="00A210AF">
            <w:pPr>
              <w:rPr>
                <w:rFonts w:ascii="Arial" w:hAnsi="Arial" w:cs="Arial"/>
                <w:b/>
              </w:rPr>
            </w:pPr>
          </w:p>
        </w:tc>
        <w:tc>
          <w:tcPr>
            <w:tcW w:w="4770" w:type="dxa"/>
          </w:tcPr>
          <w:p w14:paraId="5C6E8817" w14:textId="77777777" w:rsidR="00EC2AEC" w:rsidRPr="00D43F09" w:rsidRDefault="00EC2AEC" w:rsidP="00A210AF">
            <w:pPr>
              <w:rPr>
                <w:rFonts w:ascii="Arial" w:hAnsi="Arial" w:cs="Arial"/>
              </w:rPr>
            </w:pPr>
            <w:r w:rsidRPr="00D43F09">
              <w:rPr>
                <w:rFonts w:ascii="Arial" w:hAnsi="Arial" w:cs="Arial"/>
              </w:rPr>
              <w:t>Southern Coast</w:t>
            </w:r>
          </w:p>
        </w:tc>
      </w:tr>
      <w:tr w:rsidR="00EC2AEC" w:rsidRPr="00D43F09" w14:paraId="6CA78AC0" w14:textId="77777777" w:rsidTr="00A210AF">
        <w:tc>
          <w:tcPr>
            <w:tcW w:w="4770" w:type="dxa"/>
          </w:tcPr>
          <w:p w14:paraId="04022B1A" w14:textId="77777777" w:rsidR="00EC2AEC" w:rsidRPr="00D43F09" w:rsidRDefault="00EC2AEC" w:rsidP="00A210AF">
            <w:pPr>
              <w:rPr>
                <w:rFonts w:ascii="Arial" w:hAnsi="Arial" w:cs="Arial"/>
                <w:b/>
              </w:rPr>
            </w:pPr>
            <w:r w:rsidRPr="00D43F09">
              <w:rPr>
                <w:rFonts w:ascii="Arial" w:hAnsi="Arial" w:cs="Arial"/>
                <w:b/>
              </w:rPr>
              <w:t>High Point Treatment Center</w:t>
            </w:r>
          </w:p>
          <w:p w14:paraId="623C3DB0" w14:textId="77777777" w:rsidR="00EC2AEC" w:rsidRPr="00D43F09" w:rsidRDefault="00EC2AEC" w:rsidP="00A210AF">
            <w:pPr>
              <w:rPr>
                <w:rFonts w:ascii="Arial" w:hAnsi="Arial" w:cs="Arial"/>
                <w:b/>
              </w:rPr>
            </w:pPr>
          </w:p>
        </w:tc>
        <w:tc>
          <w:tcPr>
            <w:tcW w:w="4770" w:type="dxa"/>
          </w:tcPr>
          <w:p w14:paraId="3C178073" w14:textId="77777777" w:rsidR="00EC2AEC" w:rsidRPr="00D43F09" w:rsidRDefault="00EC2AEC" w:rsidP="00A210AF">
            <w:pPr>
              <w:rPr>
                <w:rFonts w:ascii="Arial" w:hAnsi="Arial" w:cs="Arial"/>
              </w:rPr>
            </w:pPr>
            <w:r w:rsidRPr="00D43F09">
              <w:rPr>
                <w:rFonts w:ascii="Arial" w:hAnsi="Arial" w:cs="Arial"/>
              </w:rPr>
              <w:t>Brockton</w:t>
            </w:r>
          </w:p>
        </w:tc>
      </w:tr>
      <w:tr w:rsidR="00EC2AEC" w:rsidRPr="00D43F09" w14:paraId="424753F2" w14:textId="77777777" w:rsidTr="00A210AF">
        <w:tc>
          <w:tcPr>
            <w:tcW w:w="4770" w:type="dxa"/>
          </w:tcPr>
          <w:p w14:paraId="7282D2D2" w14:textId="77777777" w:rsidR="00EC2AEC" w:rsidRPr="00D43F09" w:rsidRDefault="00EC2AEC" w:rsidP="00A210AF">
            <w:pPr>
              <w:rPr>
                <w:rFonts w:ascii="Arial" w:hAnsi="Arial" w:cs="Arial"/>
                <w:b/>
              </w:rPr>
            </w:pPr>
            <w:r w:rsidRPr="00D43F09">
              <w:rPr>
                <w:rFonts w:ascii="Arial" w:hAnsi="Arial" w:cs="Arial"/>
                <w:b/>
              </w:rPr>
              <w:t>Bay Cove Human Services</w:t>
            </w:r>
          </w:p>
          <w:p w14:paraId="1FDEB1DC" w14:textId="77777777" w:rsidR="00EC2AEC" w:rsidRPr="00D43F09" w:rsidRDefault="00EC2AEC" w:rsidP="00A210AF">
            <w:pPr>
              <w:rPr>
                <w:rFonts w:ascii="Arial" w:hAnsi="Arial" w:cs="Arial"/>
                <w:b/>
              </w:rPr>
            </w:pPr>
          </w:p>
        </w:tc>
        <w:tc>
          <w:tcPr>
            <w:tcW w:w="4770" w:type="dxa"/>
          </w:tcPr>
          <w:p w14:paraId="3D5A0A3B" w14:textId="77777777" w:rsidR="00EC2AEC" w:rsidRPr="00D43F09" w:rsidRDefault="00EC2AEC" w:rsidP="00A210AF">
            <w:pPr>
              <w:rPr>
                <w:rFonts w:ascii="Arial" w:hAnsi="Arial" w:cs="Arial"/>
              </w:rPr>
            </w:pPr>
            <w:r w:rsidRPr="00D43F09">
              <w:rPr>
                <w:rFonts w:ascii="Arial" w:hAnsi="Arial" w:cs="Arial"/>
              </w:rPr>
              <w:t>Cape Cod</w:t>
            </w:r>
          </w:p>
        </w:tc>
      </w:tr>
      <w:tr w:rsidR="00EC2AEC" w:rsidRPr="00D43F09" w14:paraId="4678072B" w14:textId="77777777" w:rsidTr="00A210AF">
        <w:tc>
          <w:tcPr>
            <w:tcW w:w="4770" w:type="dxa"/>
          </w:tcPr>
          <w:p w14:paraId="456C54F0" w14:textId="77777777" w:rsidR="00EC2AEC" w:rsidRPr="00D43F09" w:rsidRDefault="00EC2AEC" w:rsidP="00A210AF">
            <w:pPr>
              <w:rPr>
                <w:rFonts w:ascii="Arial" w:hAnsi="Arial" w:cs="Arial"/>
                <w:b/>
              </w:rPr>
            </w:pPr>
            <w:r w:rsidRPr="00D43F09">
              <w:rPr>
                <w:rFonts w:ascii="Arial" w:hAnsi="Arial" w:cs="Arial"/>
                <w:b/>
              </w:rPr>
              <w:t>Fairwinds- Nantucket’s Counseling Center</w:t>
            </w:r>
          </w:p>
          <w:p w14:paraId="680355D9" w14:textId="77777777" w:rsidR="00EC2AEC" w:rsidRPr="00D43F09" w:rsidRDefault="00EC2AEC" w:rsidP="00A210AF">
            <w:pPr>
              <w:rPr>
                <w:rFonts w:ascii="Arial" w:hAnsi="Arial" w:cs="Arial"/>
                <w:b/>
              </w:rPr>
            </w:pPr>
          </w:p>
        </w:tc>
        <w:tc>
          <w:tcPr>
            <w:tcW w:w="4770" w:type="dxa"/>
          </w:tcPr>
          <w:p w14:paraId="63015DCA" w14:textId="77777777" w:rsidR="00EC2AEC" w:rsidRPr="00D43F09" w:rsidRDefault="00EC2AEC" w:rsidP="00A210AF">
            <w:pPr>
              <w:rPr>
                <w:rFonts w:ascii="Arial" w:hAnsi="Arial" w:cs="Arial"/>
              </w:rPr>
            </w:pPr>
            <w:r w:rsidRPr="00D43F09">
              <w:rPr>
                <w:rFonts w:ascii="Arial" w:hAnsi="Arial" w:cs="Arial"/>
              </w:rPr>
              <w:t>Nantucket</w:t>
            </w:r>
          </w:p>
        </w:tc>
      </w:tr>
      <w:tr w:rsidR="00EC2AEC" w:rsidRPr="00D43F09" w14:paraId="13C347B5" w14:textId="77777777" w:rsidTr="00A210AF">
        <w:tc>
          <w:tcPr>
            <w:tcW w:w="4770" w:type="dxa"/>
          </w:tcPr>
          <w:p w14:paraId="05B7CEF9" w14:textId="77777777" w:rsidR="00EC2AEC" w:rsidRPr="00D43F09" w:rsidRDefault="00EC2AEC" w:rsidP="00A210AF">
            <w:pPr>
              <w:rPr>
                <w:rFonts w:ascii="Arial" w:hAnsi="Arial" w:cs="Arial"/>
                <w:b/>
              </w:rPr>
            </w:pPr>
            <w:r w:rsidRPr="00D43F09">
              <w:rPr>
                <w:rFonts w:ascii="Arial" w:hAnsi="Arial" w:cs="Arial"/>
                <w:b/>
              </w:rPr>
              <w:t>Child and Family Services</w:t>
            </w:r>
          </w:p>
          <w:p w14:paraId="778BCB78" w14:textId="77777777" w:rsidR="00EC2AEC" w:rsidRPr="00D43F09" w:rsidRDefault="00EC2AEC" w:rsidP="00A210AF">
            <w:pPr>
              <w:rPr>
                <w:rFonts w:ascii="Arial" w:hAnsi="Arial" w:cs="Arial"/>
                <w:b/>
              </w:rPr>
            </w:pPr>
          </w:p>
        </w:tc>
        <w:tc>
          <w:tcPr>
            <w:tcW w:w="4770" w:type="dxa"/>
          </w:tcPr>
          <w:p w14:paraId="4909B075" w14:textId="77777777" w:rsidR="00EC2AEC" w:rsidRPr="00D43F09" w:rsidRDefault="00EC2AEC" w:rsidP="00A210AF">
            <w:pPr>
              <w:rPr>
                <w:rFonts w:ascii="Arial" w:hAnsi="Arial" w:cs="Arial"/>
              </w:rPr>
            </w:pPr>
            <w:r w:rsidRPr="00D43F09">
              <w:rPr>
                <w:rFonts w:ascii="Arial" w:hAnsi="Arial" w:cs="Arial"/>
              </w:rPr>
              <w:t>Fall River</w:t>
            </w:r>
          </w:p>
        </w:tc>
      </w:tr>
      <w:tr w:rsidR="00EC2AEC" w:rsidRPr="00D43F09" w14:paraId="62B47A24" w14:textId="77777777" w:rsidTr="00A210AF">
        <w:tc>
          <w:tcPr>
            <w:tcW w:w="4770" w:type="dxa"/>
          </w:tcPr>
          <w:p w14:paraId="45A29E01" w14:textId="77777777" w:rsidR="00EC2AEC" w:rsidRPr="00D43F09" w:rsidRDefault="00EC2AEC" w:rsidP="00A210AF">
            <w:pPr>
              <w:rPr>
                <w:rFonts w:ascii="Arial" w:hAnsi="Arial" w:cs="Arial"/>
                <w:b/>
              </w:rPr>
            </w:pPr>
            <w:r w:rsidRPr="00D43F09">
              <w:rPr>
                <w:rFonts w:ascii="Arial" w:hAnsi="Arial" w:cs="Arial"/>
                <w:b/>
              </w:rPr>
              <w:t>Community Counseling of Bristol County</w:t>
            </w:r>
          </w:p>
          <w:p w14:paraId="0A946F7F" w14:textId="77777777" w:rsidR="00EC2AEC" w:rsidRPr="00D43F09" w:rsidRDefault="00EC2AEC" w:rsidP="00A210AF">
            <w:pPr>
              <w:rPr>
                <w:rFonts w:ascii="Arial" w:hAnsi="Arial" w:cs="Arial"/>
                <w:b/>
              </w:rPr>
            </w:pPr>
          </w:p>
        </w:tc>
        <w:tc>
          <w:tcPr>
            <w:tcW w:w="4770" w:type="dxa"/>
          </w:tcPr>
          <w:p w14:paraId="7B861A86" w14:textId="77777777" w:rsidR="00EC2AEC" w:rsidRPr="00D43F09" w:rsidRDefault="00EC2AEC" w:rsidP="00A210AF">
            <w:pPr>
              <w:rPr>
                <w:rFonts w:ascii="Arial" w:hAnsi="Arial" w:cs="Arial"/>
              </w:rPr>
            </w:pPr>
            <w:r w:rsidRPr="00D43F09">
              <w:rPr>
                <w:rFonts w:ascii="Arial" w:hAnsi="Arial" w:cs="Arial"/>
              </w:rPr>
              <w:t>Taunton Attleboro</w:t>
            </w:r>
          </w:p>
        </w:tc>
      </w:tr>
    </w:tbl>
    <w:p w14:paraId="44FB5D50" w14:textId="77777777" w:rsidR="00EC2AEC" w:rsidRPr="00D43F09" w:rsidRDefault="00EC2AEC" w:rsidP="00A17ACD">
      <w:pPr>
        <w:pStyle w:val="BodyText"/>
        <w:spacing w:before="4"/>
        <w:rPr>
          <w:sz w:val="24"/>
          <w:szCs w:val="24"/>
        </w:rPr>
      </w:pPr>
    </w:p>
    <w:p w14:paraId="60172311" w14:textId="77777777" w:rsidR="00A17ACD" w:rsidRPr="00D43F09" w:rsidRDefault="00A17ACD" w:rsidP="0065442C">
      <w:pPr>
        <w:overflowPunct w:val="0"/>
        <w:autoSpaceDE w:val="0"/>
        <w:autoSpaceDN w:val="0"/>
        <w:adjustRightInd w:val="0"/>
        <w:jc w:val="center"/>
        <w:textAlignment w:val="baseline"/>
        <w:rPr>
          <w:rFonts w:ascii="Arial" w:hAnsi="Arial" w:cs="Arial"/>
          <w:b/>
        </w:rPr>
      </w:pPr>
    </w:p>
    <w:p w14:paraId="79E7B464" w14:textId="3AC99FE7" w:rsidR="002C0315" w:rsidRPr="00D43F09" w:rsidRDefault="002C0315" w:rsidP="00824F04">
      <w:pPr>
        <w:pStyle w:val="paragraph"/>
        <w:spacing w:before="0" w:beforeAutospacing="0" w:after="0" w:afterAutospacing="0"/>
        <w:textAlignment w:val="baseline"/>
        <w:rPr>
          <w:rStyle w:val="eop"/>
          <w:rFonts w:ascii="Arial" w:hAnsi="Arial" w:cs="Arial"/>
        </w:rPr>
      </w:pPr>
    </w:p>
    <w:p w14:paraId="2BEDE8B3" w14:textId="3FF29E3D" w:rsidR="004517D3" w:rsidRPr="00D43F09" w:rsidRDefault="004517D3">
      <w:pPr>
        <w:rPr>
          <w:rStyle w:val="eop"/>
          <w:rFonts w:ascii="Arial" w:hAnsi="Arial" w:cs="Arial"/>
        </w:rPr>
      </w:pPr>
      <w:r w:rsidRPr="00D43F09">
        <w:rPr>
          <w:rStyle w:val="eop"/>
          <w:rFonts w:ascii="Arial" w:hAnsi="Arial" w:cs="Arial"/>
        </w:rPr>
        <w:br w:type="page"/>
      </w:r>
    </w:p>
    <w:p w14:paraId="59AD6725" w14:textId="77777777" w:rsidR="00824F04" w:rsidRPr="00D43F09" w:rsidRDefault="00824F04" w:rsidP="00824F04">
      <w:pPr>
        <w:pStyle w:val="paragraph"/>
        <w:spacing w:before="0" w:beforeAutospacing="0" w:after="0" w:afterAutospacing="0"/>
        <w:textAlignment w:val="baseline"/>
        <w:rPr>
          <w:rFonts w:ascii="Arial" w:hAnsi="Arial" w:cs="Arial"/>
        </w:rPr>
      </w:pPr>
    </w:p>
    <w:p w14:paraId="584C867E" w14:textId="5EFD24F2" w:rsidR="002C0315" w:rsidRPr="00D43F09" w:rsidRDefault="002C0315" w:rsidP="007D312A">
      <w:pPr>
        <w:jc w:val="center"/>
        <w:rPr>
          <w:rFonts w:ascii="Arial" w:hAnsi="Arial" w:cs="Arial"/>
          <w:bCs/>
          <w:i/>
          <w:iCs/>
        </w:rPr>
      </w:pPr>
      <w:r w:rsidRPr="00D43F09">
        <w:rPr>
          <w:rFonts w:ascii="Arial" w:hAnsi="Arial" w:cs="Arial"/>
          <w:bCs/>
          <w:i/>
          <w:iCs/>
        </w:rPr>
        <w:t>[REMAINDER OF PAGE INTENTIONALLY BLANK]</w:t>
      </w:r>
    </w:p>
    <w:p w14:paraId="72A93883" w14:textId="66EE2AFC" w:rsidR="0065442C" w:rsidRPr="00D43F09" w:rsidRDefault="0065442C" w:rsidP="0065442C">
      <w:pPr>
        <w:overflowPunct w:val="0"/>
        <w:autoSpaceDE w:val="0"/>
        <w:autoSpaceDN w:val="0"/>
        <w:adjustRightInd w:val="0"/>
        <w:jc w:val="center"/>
        <w:textAlignment w:val="baseline"/>
        <w:rPr>
          <w:rFonts w:ascii="Arial" w:hAnsi="Arial" w:cs="Arial"/>
        </w:rPr>
      </w:pPr>
      <w:r w:rsidRPr="00D43F09">
        <w:rPr>
          <w:rFonts w:ascii="Arial" w:hAnsi="Arial" w:cs="Arial"/>
          <w:b/>
        </w:rPr>
        <w:t xml:space="preserve">Exhibit </w:t>
      </w:r>
      <w:r w:rsidR="00777CC5" w:rsidRPr="00D43F09">
        <w:rPr>
          <w:rFonts w:ascii="Arial" w:hAnsi="Arial" w:cs="Arial"/>
          <w:b/>
        </w:rPr>
        <w:t>2</w:t>
      </w:r>
      <w:r w:rsidRPr="00D43F09">
        <w:rPr>
          <w:rFonts w:ascii="Arial" w:hAnsi="Arial" w:cs="Arial"/>
        </w:rPr>
        <w:t xml:space="preserve">:  </w:t>
      </w:r>
      <w:r w:rsidRPr="00D43F09">
        <w:rPr>
          <w:rFonts w:ascii="Arial" w:hAnsi="Arial" w:cs="Arial"/>
          <w:b/>
        </w:rPr>
        <w:t>State-Operated Community Mental health Centers</w:t>
      </w:r>
      <w:r w:rsidRPr="00D43F09">
        <w:rPr>
          <w:rFonts w:ascii="Arial" w:hAnsi="Arial" w:cs="Arial"/>
        </w:rPr>
        <w:t xml:space="preserve"> </w:t>
      </w:r>
    </w:p>
    <w:p w14:paraId="60E9F286" w14:textId="77777777" w:rsidR="0065442C" w:rsidRPr="00D43F09" w:rsidRDefault="0065442C" w:rsidP="0065442C">
      <w:pPr>
        <w:overflowPunct w:val="0"/>
        <w:autoSpaceDE w:val="0"/>
        <w:autoSpaceDN w:val="0"/>
        <w:adjustRightInd w:val="0"/>
        <w:jc w:val="center"/>
        <w:textAlignment w:val="baseline"/>
        <w:rPr>
          <w:rFonts w:ascii="Arial" w:hAnsi="Arial" w:cs="Arial"/>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tblGrid>
      <w:tr w:rsidR="004A4A55" w:rsidRPr="00D43F09" w14:paraId="6EF04AD3" w14:textId="77777777" w:rsidTr="000B421B">
        <w:tc>
          <w:tcPr>
            <w:tcW w:w="6030" w:type="dxa"/>
            <w:shd w:val="clear" w:color="auto" w:fill="auto"/>
          </w:tcPr>
          <w:p w14:paraId="0D60F00B" w14:textId="77777777"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Brockton Multi-Service Center</w:t>
            </w:r>
          </w:p>
          <w:p w14:paraId="5AE59EC0" w14:textId="77777777"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165 Quincy Street</w:t>
            </w:r>
          </w:p>
          <w:p w14:paraId="360813E7" w14:textId="77777777" w:rsidR="004A4A55" w:rsidRPr="00D43F09" w:rsidRDefault="004A4A55" w:rsidP="000B421B">
            <w:pPr>
              <w:overflowPunct w:val="0"/>
              <w:autoSpaceDE w:val="0"/>
              <w:autoSpaceDN w:val="0"/>
              <w:adjustRightInd w:val="0"/>
              <w:jc w:val="center"/>
              <w:textAlignment w:val="baseline"/>
              <w:rPr>
                <w:rFonts w:ascii="Arial" w:hAnsi="Arial" w:cs="Arial"/>
                <w:b/>
              </w:rPr>
            </w:pPr>
            <w:r w:rsidRPr="00D43F09">
              <w:rPr>
                <w:rFonts w:ascii="Arial" w:hAnsi="Arial" w:cs="Arial"/>
              </w:rPr>
              <w:t>Brockton, MA 02402</w:t>
            </w:r>
          </w:p>
        </w:tc>
      </w:tr>
      <w:tr w:rsidR="004A4A55" w:rsidRPr="00D43F09" w14:paraId="22154636" w14:textId="77777777" w:rsidTr="000B421B">
        <w:tc>
          <w:tcPr>
            <w:tcW w:w="6030" w:type="dxa"/>
            <w:shd w:val="clear" w:color="auto" w:fill="auto"/>
          </w:tcPr>
          <w:p w14:paraId="0714A17F" w14:textId="77777777"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John C. Corrigan Mental Health Center</w:t>
            </w:r>
          </w:p>
          <w:p w14:paraId="3D84401B" w14:textId="77777777"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49 Hillside Street</w:t>
            </w:r>
          </w:p>
          <w:p w14:paraId="159C23C7" w14:textId="77777777" w:rsidR="004A4A55" w:rsidRPr="00D43F09" w:rsidRDefault="004A4A55" w:rsidP="000B421B">
            <w:pPr>
              <w:overflowPunct w:val="0"/>
              <w:autoSpaceDE w:val="0"/>
              <w:autoSpaceDN w:val="0"/>
              <w:adjustRightInd w:val="0"/>
              <w:jc w:val="center"/>
              <w:textAlignment w:val="baseline"/>
              <w:rPr>
                <w:rFonts w:ascii="Arial" w:hAnsi="Arial" w:cs="Arial"/>
                <w:b/>
              </w:rPr>
            </w:pPr>
            <w:r w:rsidRPr="00D43F09">
              <w:rPr>
                <w:rFonts w:ascii="Arial" w:hAnsi="Arial" w:cs="Arial"/>
              </w:rPr>
              <w:t>Fall River, MA 02729</w:t>
            </w:r>
          </w:p>
        </w:tc>
      </w:tr>
      <w:tr w:rsidR="004A4A55" w:rsidRPr="00D43F09" w14:paraId="35682F06" w14:textId="77777777" w:rsidTr="000B421B">
        <w:tc>
          <w:tcPr>
            <w:tcW w:w="6030" w:type="dxa"/>
            <w:shd w:val="clear" w:color="auto" w:fill="auto"/>
          </w:tcPr>
          <w:p w14:paraId="253352F2" w14:textId="77777777" w:rsidR="002D11F2" w:rsidRPr="00D43F09" w:rsidRDefault="002D11F2" w:rsidP="002D11F2">
            <w:pPr>
              <w:overflowPunct w:val="0"/>
              <w:autoSpaceDE w:val="0"/>
              <w:autoSpaceDN w:val="0"/>
              <w:jc w:val="center"/>
              <w:textAlignment w:val="baseline"/>
              <w:rPr>
                <w:rFonts w:ascii="Arial" w:hAnsi="Arial" w:cs="Arial"/>
              </w:rPr>
            </w:pPr>
            <w:r w:rsidRPr="00D43F09">
              <w:rPr>
                <w:rFonts w:ascii="Arial" w:hAnsi="Arial" w:cs="Arial"/>
              </w:rPr>
              <w:t>Mass. Mental Health Center</w:t>
            </w:r>
          </w:p>
          <w:p w14:paraId="3D01D2C6" w14:textId="7B0097A9" w:rsidR="002D11F2" w:rsidRPr="00D43F09" w:rsidRDefault="002D11F2" w:rsidP="002D11F2">
            <w:pPr>
              <w:overflowPunct w:val="0"/>
              <w:autoSpaceDE w:val="0"/>
              <w:autoSpaceDN w:val="0"/>
              <w:jc w:val="center"/>
              <w:textAlignment w:val="baseline"/>
              <w:rPr>
                <w:rFonts w:ascii="Arial" w:hAnsi="Arial" w:cs="Arial"/>
              </w:rPr>
            </w:pPr>
            <w:r w:rsidRPr="00D43F09">
              <w:rPr>
                <w:rFonts w:ascii="Arial" w:hAnsi="Arial" w:cs="Arial"/>
              </w:rPr>
              <w:t xml:space="preserve">75 </w:t>
            </w:r>
            <w:proofErr w:type="spellStart"/>
            <w:r w:rsidRPr="00D43F09">
              <w:rPr>
                <w:rFonts w:ascii="Arial" w:hAnsi="Arial" w:cs="Arial"/>
              </w:rPr>
              <w:t>Fenwood</w:t>
            </w:r>
            <w:proofErr w:type="spellEnd"/>
            <w:r w:rsidRPr="00D43F09">
              <w:rPr>
                <w:rFonts w:ascii="Arial" w:hAnsi="Arial" w:cs="Arial"/>
              </w:rPr>
              <w:t xml:space="preserve"> R</w:t>
            </w:r>
            <w:r w:rsidR="00F844EF" w:rsidRPr="00D43F09">
              <w:rPr>
                <w:rFonts w:ascii="Arial" w:hAnsi="Arial" w:cs="Arial"/>
              </w:rPr>
              <w:t>oad</w:t>
            </w:r>
            <w:r w:rsidRPr="00D43F09">
              <w:rPr>
                <w:rFonts w:ascii="Arial" w:hAnsi="Arial" w:cs="Arial"/>
              </w:rPr>
              <w:t xml:space="preserve"> </w:t>
            </w:r>
          </w:p>
          <w:p w14:paraId="09FFCD00" w14:textId="77777777" w:rsidR="004A4A55" w:rsidRPr="00D43F09" w:rsidRDefault="002D11F2" w:rsidP="002D11F2">
            <w:pPr>
              <w:overflowPunct w:val="0"/>
              <w:autoSpaceDE w:val="0"/>
              <w:autoSpaceDN w:val="0"/>
              <w:jc w:val="center"/>
              <w:textAlignment w:val="baseline"/>
              <w:rPr>
                <w:rFonts w:ascii="Arial" w:hAnsi="Arial" w:cs="Arial"/>
              </w:rPr>
            </w:pPr>
            <w:r w:rsidRPr="00D43F09">
              <w:rPr>
                <w:rFonts w:ascii="Arial" w:hAnsi="Arial" w:cs="Arial"/>
              </w:rPr>
              <w:t>Boston, MA 02115</w:t>
            </w:r>
          </w:p>
        </w:tc>
      </w:tr>
      <w:tr w:rsidR="004A4A55" w:rsidRPr="00D43F09" w14:paraId="103E06AA" w14:textId="77777777" w:rsidTr="000B421B">
        <w:tc>
          <w:tcPr>
            <w:tcW w:w="6030" w:type="dxa"/>
            <w:shd w:val="clear" w:color="auto" w:fill="auto"/>
          </w:tcPr>
          <w:p w14:paraId="78E0D198" w14:textId="77777777"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Pocasset Mental Health Center</w:t>
            </w:r>
          </w:p>
          <w:p w14:paraId="63D59AF2" w14:textId="77777777"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830 Country Road</w:t>
            </w:r>
          </w:p>
          <w:p w14:paraId="41E52EB7" w14:textId="7F190105" w:rsidR="004A4A55" w:rsidRPr="00D43F09" w:rsidRDefault="004A4A55" w:rsidP="000B421B">
            <w:pPr>
              <w:overflowPunct w:val="0"/>
              <w:autoSpaceDE w:val="0"/>
              <w:autoSpaceDN w:val="0"/>
              <w:adjustRightInd w:val="0"/>
              <w:jc w:val="center"/>
              <w:textAlignment w:val="baseline"/>
              <w:rPr>
                <w:rFonts w:ascii="Arial" w:hAnsi="Arial" w:cs="Arial"/>
              </w:rPr>
            </w:pPr>
            <w:r w:rsidRPr="00D43F09">
              <w:rPr>
                <w:rFonts w:ascii="Arial" w:hAnsi="Arial" w:cs="Arial"/>
              </w:rPr>
              <w:t>Pocasset, MA 02559</w:t>
            </w:r>
          </w:p>
        </w:tc>
      </w:tr>
    </w:tbl>
    <w:p w14:paraId="49686490" w14:textId="4544B6DE" w:rsidR="002C0315" w:rsidRPr="00D43F09" w:rsidRDefault="002C0315" w:rsidP="00F23236">
      <w:pPr>
        <w:rPr>
          <w:rFonts w:ascii="Arial" w:hAnsi="Arial" w:cs="Arial"/>
          <w:b/>
          <w:u w:val="single"/>
        </w:rPr>
      </w:pPr>
    </w:p>
    <w:p w14:paraId="78283C2F" w14:textId="3A99D99A" w:rsidR="007D312A" w:rsidRPr="00D43F09" w:rsidRDefault="007D312A" w:rsidP="00F23236">
      <w:pPr>
        <w:rPr>
          <w:rFonts w:ascii="Arial" w:hAnsi="Arial" w:cs="Arial"/>
          <w:b/>
          <w:u w:val="single"/>
        </w:rPr>
      </w:pPr>
    </w:p>
    <w:p w14:paraId="3B3DAC9B" w14:textId="77777777" w:rsidR="007D312A" w:rsidRPr="00D43F09" w:rsidRDefault="007D312A" w:rsidP="00F23236">
      <w:pPr>
        <w:rPr>
          <w:rFonts w:ascii="Arial" w:hAnsi="Arial" w:cs="Arial"/>
          <w:b/>
          <w:u w:val="single"/>
        </w:rPr>
      </w:pPr>
    </w:p>
    <w:p w14:paraId="37646CF5" w14:textId="77777777" w:rsidR="007D312A" w:rsidRPr="00D43F09" w:rsidRDefault="007D312A" w:rsidP="007D312A">
      <w:pPr>
        <w:jc w:val="center"/>
        <w:rPr>
          <w:rFonts w:ascii="Arial" w:hAnsi="Arial" w:cs="Arial"/>
          <w:bCs/>
          <w:i/>
          <w:iCs/>
        </w:rPr>
      </w:pPr>
      <w:r w:rsidRPr="00D43F09">
        <w:rPr>
          <w:rFonts w:ascii="Arial" w:hAnsi="Arial" w:cs="Arial"/>
          <w:bCs/>
          <w:i/>
          <w:iCs/>
        </w:rPr>
        <w:t>[REMAINDER OF PAGE INTENTIONALLY BLANK]</w:t>
      </w:r>
      <w:r w:rsidRPr="00D43F09">
        <w:rPr>
          <w:rFonts w:ascii="Arial" w:hAnsi="Arial" w:cs="Arial"/>
          <w:bCs/>
          <w:i/>
          <w:iCs/>
        </w:rPr>
        <w:br w:type="page"/>
      </w:r>
    </w:p>
    <w:p w14:paraId="44E6D602" w14:textId="6DB04E73" w:rsidR="004A4A55" w:rsidRPr="00D43F09" w:rsidRDefault="004A4A55" w:rsidP="004A4A55">
      <w:pPr>
        <w:overflowPunct w:val="0"/>
        <w:autoSpaceDE w:val="0"/>
        <w:autoSpaceDN w:val="0"/>
        <w:adjustRightInd w:val="0"/>
        <w:jc w:val="center"/>
        <w:textAlignment w:val="baseline"/>
        <w:rPr>
          <w:rFonts w:ascii="Arial" w:hAnsi="Arial" w:cs="Arial"/>
          <w:b/>
        </w:rPr>
      </w:pPr>
      <w:r w:rsidRPr="00D43F09">
        <w:rPr>
          <w:rFonts w:ascii="Arial" w:hAnsi="Arial" w:cs="Arial"/>
          <w:b/>
        </w:rPr>
        <w:lastRenderedPageBreak/>
        <w:t xml:space="preserve">Exhibit </w:t>
      </w:r>
      <w:r w:rsidR="00723CE0" w:rsidRPr="00D43F09">
        <w:rPr>
          <w:rFonts w:ascii="Arial" w:hAnsi="Arial" w:cs="Arial"/>
          <w:b/>
        </w:rPr>
        <w:t>3</w:t>
      </w:r>
      <w:r w:rsidRPr="00D43F09">
        <w:rPr>
          <w:rFonts w:ascii="Arial" w:hAnsi="Arial" w:cs="Arial"/>
          <w:b/>
        </w:rPr>
        <w:t>:  State Operated Facilities Providing Inpatient Mental Health Services, Outpatient Behavioral Health Services, and Diversionary Behavioral Health Services</w:t>
      </w:r>
    </w:p>
    <w:p w14:paraId="7CC4F3B0" w14:textId="77777777" w:rsidR="002C0315" w:rsidRPr="00D43F09" w:rsidRDefault="002C0315" w:rsidP="004A4A55">
      <w:pPr>
        <w:overflowPunct w:val="0"/>
        <w:autoSpaceDE w:val="0"/>
        <w:autoSpaceDN w:val="0"/>
        <w:adjustRightInd w:val="0"/>
        <w:jc w:val="center"/>
        <w:textAlignment w:val="baseline"/>
        <w:rPr>
          <w:rFonts w:ascii="Arial" w:hAnsi="Arial" w:cs="Arial"/>
          <w:b/>
        </w:rPr>
      </w:pPr>
    </w:p>
    <w:tbl>
      <w:tblPr>
        <w:tblW w:w="10111" w:type="dxa"/>
        <w:tblLayout w:type="fixed"/>
        <w:tblLook w:val="04A0" w:firstRow="1" w:lastRow="0" w:firstColumn="1" w:lastColumn="0" w:noHBand="0" w:noVBand="1"/>
      </w:tblPr>
      <w:tblGrid>
        <w:gridCol w:w="2361"/>
        <w:gridCol w:w="2433"/>
        <w:gridCol w:w="1262"/>
        <w:gridCol w:w="1442"/>
        <w:gridCol w:w="811"/>
        <w:gridCol w:w="1802"/>
      </w:tblGrid>
      <w:tr w:rsidR="00AD4D4D" w:rsidRPr="00D43F09" w14:paraId="3C822461" w14:textId="77777777" w:rsidTr="002C0315">
        <w:trPr>
          <w:trHeight w:val="570"/>
        </w:trPr>
        <w:tc>
          <w:tcPr>
            <w:tcW w:w="2361" w:type="dxa"/>
            <w:tcBorders>
              <w:top w:val="single" w:sz="4" w:space="0" w:color="auto"/>
              <w:left w:val="single" w:sz="4" w:space="0" w:color="auto"/>
              <w:bottom w:val="single" w:sz="4" w:space="0" w:color="auto"/>
              <w:right w:val="single" w:sz="4" w:space="0" w:color="auto"/>
            </w:tcBorders>
            <w:shd w:val="clear" w:color="000000" w:fill="538DD5"/>
            <w:hideMark/>
          </w:tcPr>
          <w:p w14:paraId="66ACE191" w14:textId="77777777" w:rsidR="00AD4D4D" w:rsidRPr="00D43F09" w:rsidRDefault="00AD4D4D" w:rsidP="002C0315">
            <w:pPr>
              <w:jc w:val="center"/>
              <w:rPr>
                <w:rFonts w:ascii="Arial" w:hAnsi="Arial" w:cs="Arial"/>
                <w:b/>
                <w:bCs/>
                <w:color w:val="000000"/>
              </w:rPr>
            </w:pPr>
            <w:r w:rsidRPr="00D43F09">
              <w:rPr>
                <w:rFonts w:ascii="Arial" w:hAnsi="Arial" w:cs="Arial"/>
                <w:b/>
                <w:bCs/>
                <w:color w:val="000000"/>
              </w:rPr>
              <w:t>Type of Service/Appendix C Category</w:t>
            </w:r>
          </w:p>
        </w:tc>
        <w:tc>
          <w:tcPr>
            <w:tcW w:w="2433" w:type="dxa"/>
            <w:tcBorders>
              <w:top w:val="single" w:sz="4" w:space="0" w:color="auto"/>
              <w:left w:val="nil"/>
              <w:bottom w:val="single" w:sz="4" w:space="0" w:color="auto"/>
              <w:right w:val="single" w:sz="4" w:space="0" w:color="auto"/>
            </w:tcBorders>
            <w:shd w:val="clear" w:color="000000" w:fill="538DD5"/>
            <w:hideMark/>
          </w:tcPr>
          <w:p w14:paraId="11566586" w14:textId="77777777" w:rsidR="00AD4D4D" w:rsidRPr="00D43F09" w:rsidRDefault="00AD4D4D" w:rsidP="002C0315">
            <w:pPr>
              <w:jc w:val="center"/>
              <w:rPr>
                <w:rFonts w:ascii="Arial" w:hAnsi="Arial" w:cs="Arial"/>
                <w:b/>
                <w:bCs/>
                <w:color w:val="000000"/>
              </w:rPr>
            </w:pPr>
            <w:r w:rsidRPr="00D43F09">
              <w:rPr>
                <w:rFonts w:ascii="Arial" w:hAnsi="Arial" w:cs="Arial"/>
                <w:b/>
                <w:bCs/>
                <w:color w:val="000000"/>
              </w:rPr>
              <w:t>Provider Name</w:t>
            </w:r>
          </w:p>
        </w:tc>
        <w:tc>
          <w:tcPr>
            <w:tcW w:w="1262" w:type="dxa"/>
            <w:tcBorders>
              <w:top w:val="single" w:sz="4" w:space="0" w:color="auto"/>
              <w:left w:val="nil"/>
              <w:bottom w:val="single" w:sz="4" w:space="0" w:color="auto"/>
              <w:right w:val="single" w:sz="4" w:space="0" w:color="auto"/>
            </w:tcBorders>
            <w:shd w:val="clear" w:color="000000" w:fill="538DD5"/>
            <w:noWrap/>
            <w:hideMark/>
          </w:tcPr>
          <w:p w14:paraId="3A818418" w14:textId="77777777" w:rsidR="00AD4D4D" w:rsidRPr="00D43F09" w:rsidRDefault="00AD4D4D" w:rsidP="002C0315">
            <w:pPr>
              <w:jc w:val="center"/>
              <w:rPr>
                <w:rFonts w:ascii="Arial" w:hAnsi="Arial" w:cs="Arial"/>
                <w:b/>
                <w:bCs/>
                <w:color w:val="000000"/>
              </w:rPr>
            </w:pPr>
            <w:r w:rsidRPr="00D43F09">
              <w:rPr>
                <w:rFonts w:ascii="Arial" w:hAnsi="Arial" w:cs="Arial"/>
                <w:b/>
                <w:bCs/>
                <w:color w:val="000000"/>
              </w:rPr>
              <w:t>Location</w:t>
            </w:r>
          </w:p>
        </w:tc>
        <w:tc>
          <w:tcPr>
            <w:tcW w:w="1442" w:type="dxa"/>
            <w:tcBorders>
              <w:top w:val="single" w:sz="4" w:space="0" w:color="auto"/>
              <w:left w:val="nil"/>
              <w:bottom w:val="single" w:sz="4" w:space="0" w:color="auto"/>
              <w:right w:val="single" w:sz="4" w:space="0" w:color="auto"/>
            </w:tcBorders>
            <w:shd w:val="clear" w:color="000000" w:fill="538DD5"/>
            <w:noWrap/>
            <w:hideMark/>
          </w:tcPr>
          <w:p w14:paraId="15B57253" w14:textId="77777777" w:rsidR="00AD4D4D" w:rsidRPr="00D43F09" w:rsidRDefault="00AD4D4D" w:rsidP="002C0315">
            <w:pPr>
              <w:jc w:val="center"/>
              <w:rPr>
                <w:rFonts w:ascii="Arial" w:hAnsi="Arial" w:cs="Arial"/>
                <w:b/>
                <w:bCs/>
                <w:color w:val="000000"/>
              </w:rPr>
            </w:pPr>
            <w:r w:rsidRPr="00D43F09">
              <w:rPr>
                <w:rFonts w:ascii="Arial" w:hAnsi="Arial" w:cs="Arial"/>
                <w:b/>
                <w:bCs/>
                <w:color w:val="000000"/>
              </w:rPr>
              <w:t>NPI</w:t>
            </w:r>
          </w:p>
        </w:tc>
        <w:tc>
          <w:tcPr>
            <w:tcW w:w="811" w:type="dxa"/>
            <w:tcBorders>
              <w:top w:val="single" w:sz="4" w:space="0" w:color="auto"/>
              <w:left w:val="nil"/>
              <w:bottom w:val="single" w:sz="4" w:space="0" w:color="auto"/>
              <w:right w:val="single" w:sz="4" w:space="0" w:color="auto"/>
            </w:tcBorders>
            <w:shd w:val="clear" w:color="000000" w:fill="538DD5"/>
            <w:noWrap/>
            <w:hideMark/>
          </w:tcPr>
          <w:p w14:paraId="6CEF9951" w14:textId="77777777" w:rsidR="00AD4D4D" w:rsidRPr="00D43F09" w:rsidRDefault="00AD4D4D" w:rsidP="002C0315">
            <w:pPr>
              <w:jc w:val="center"/>
              <w:rPr>
                <w:rFonts w:ascii="Arial" w:hAnsi="Arial" w:cs="Arial"/>
                <w:b/>
                <w:bCs/>
                <w:color w:val="000000"/>
              </w:rPr>
            </w:pPr>
            <w:r w:rsidRPr="00D43F09">
              <w:rPr>
                <w:rFonts w:ascii="Arial" w:hAnsi="Arial" w:cs="Arial"/>
                <w:b/>
                <w:bCs/>
                <w:color w:val="000000"/>
              </w:rPr>
              <w:t>Claim Form</w:t>
            </w:r>
            <w:r w:rsidRPr="00D43F09">
              <w:rPr>
                <w:rStyle w:val="FootnoteReference"/>
                <w:rFonts w:ascii="Arial" w:hAnsi="Arial" w:cs="Arial"/>
                <w:b/>
                <w:bCs/>
                <w:color w:val="000000"/>
              </w:rPr>
              <w:footnoteReference w:id="1"/>
            </w:r>
          </w:p>
        </w:tc>
        <w:tc>
          <w:tcPr>
            <w:tcW w:w="1802" w:type="dxa"/>
            <w:tcBorders>
              <w:top w:val="single" w:sz="4" w:space="0" w:color="auto"/>
              <w:left w:val="nil"/>
              <w:bottom w:val="single" w:sz="4" w:space="0" w:color="auto"/>
              <w:right w:val="single" w:sz="4" w:space="0" w:color="auto"/>
            </w:tcBorders>
            <w:shd w:val="clear" w:color="000000" w:fill="538DD5"/>
            <w:hideMark/>
          </w:tcPr>
          <w:p w14:paraId="3ED996FC" w14:textId="77777777" w:rsidR="00AD4D4D" w:rsidRPr="00D43F09" w:rsidRDefault="00AD4D4D" w:rsidP="002C0315">
            <w:pPr>
              <w:jc w:val="center"/>
              <w:rPr>
                <w:rFonts w:ascii="Arial" w:hAnsi="Arial" w:cs="Arial"/>
                <w:b/>
                <w:bCs/>
                <w:color w:val="000000"/>
              </w:rPr>
            </w:pPr>
            <w:r w:rsidRPr="00D43F09">
              <w:rPr>
                <w:rFonts w:ascii="Arial" w:hAnsi="Arial" w:cs="Arial"/>
                <w:b/>
                <w:bCs/>
                <w:color w:val="000000"/>
              </w:rPr>
              <w:t>Service</w:t>
            </w:r>
          </w:p>
        </w:tc>
      </w:tr>
      <w:tr w:rsidR="00AD4D4D" w:rsidRPr="00D43F09" w14:paraId="212F7231"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67BA671E" w14:textId="77777777" w:rsidR="00AD4D4D" w:rsidRPr="00D43F09" w:rsidRDefault="00AD4D4D" w:rsidP="002C0315">
            <w:pPr>
              <w:rPr>
                <w:rFonts w:ascii="Arial" w:hAnsi="Arial" w:cs="Arial"/>
                <w:color w:val="000000"/>
              </w:rPr>
            </w:pPr>
            <w:r w:rsidRPr="00D43F09">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7512C77B" w14:textId="77777777" w:rsidR="00AD4D4D" w:rsidRPr="00D43F09" w:rsidRDefault="00AD4D4D" w:rsidP="002C0315">
            <w:pPr>
              <w:rPr>
                <w:rFonts w:ascii="Arial" w:hAnsi="Arial" w:cs="Arial"/>
                <w:color w:val="000000"/>
              </w:rPr>
            </w:pPr>
            <w:r w:rsidRPr="00D43F09">
              <w:rPr>
                <w:rFonts w:ascii="Arial" w:hAnsi="Arial" w:cs="Arial"/>
                <w:color w:val="000000"/>
              </w:rPr>
              <w:t>Cape Cod and Islands Mental Health Center</w:t>
            </w:r>
          </w:p>
        </w:tc>
        <w:tc>
          <w:tcPr>
            <w:tcW w:w="1262" w:type="dxa"/>
            <w:tcBorders>
              <w:top w:val="nil"/>
              <w:left w:val="nil"/>
              <w:bottom w:val="single" w:sz="4" w:space="0" w:color="auto"/>
              <w:right w:val="single" w:sz="4" w:space="0" w:color="auto"/>
            </w:tcBorders>
            <w:shd w:val="clear" w:color="auto" w:fill="auto"/>
            <w:noWrap/>
            <w:hideMark/>
          </w:tcPr>
          <w:p w14:paraId="6C7BB4DD" w14:textId="77777777" w:rsidR="00AD4D4D" w:rsidRPr="00D43F09" w:rsidRDefault="00AD4D4D" w:rsidP="002C0315">
            <w:pPr>
              <w:rPr>
                <w:rFonts w:ascii="Arial" w:hAnsi="Arial" w:cs="Arial"/>
                <w:color w:val="000000"/>
              </w:rPr>
            </w:pPr>
            <w:r w:rsidRPr="00D43F09">
              <w:rPr>
                <w:rFonts w:ascii="Arial" w:hAnsi="Arial" w:cs="Arial"/>
                <w:color w:val="000000"/>
              </w:rPr>
              <w:t>Pocasset</w:t>
            </w:r>
          </w:p>
        </w:tc>
        <w:tc>
          <w:tcPr>
            <w:tcW w:w="1442" w:type="dxa"/>
            <w:tcBorders>
              <w:top w:val="nil"/>
              <w:left w:val="nil"/>
              <w:bottom w:val="single" w:sz="4" w:space="0" w:color="auto"/>
              <w:right w:val="single" w:sz="4" w:space="0" w:color="auto"/>
            </w:tcBorders>
            <w:shd w:val="clear" w:color="auto" w:fill="auto"/>
            <w:hideMark/>
          </w:tcPr>
          <w:p w14:paraId="60D673CD" w14:textId="77777777" w:rsidR="00AD4D4D" w:rsidRPr="00D43F09" w:rsidRDefault="00AD4D4D" w:rsidP="002C0315">
            <w:pPr>
              <w:jc w:val="center"/>
              <w:rPr>
                <w:rFonts w:ascii="Arial" w:hAnsi="Arial" w:cs="Arial"/>
                <w:bCs/>
                <w:color w:val="000000"/>
              </w:rPr>
            </w:pPr>
            <w:r w:rsidRPr="00D43F09">
              <w:rPr>
                <w:rFonts w:ascii="Arial" w:hAnsi="Arial" w:cs="Arial"/>
                <w:bCs/>
                <w:color w:val="000000"/>
              </w:rPr>
              <w:t>1851477491</w:t>
            </w:r>
          </w:p>
        </w:tc>
        <w:tc>
          <w:tcPr>
            <w:tcW w:w="811" w:type="dxa"/>
            <w:tcBorders>
              <w:top w:val="nil"/>
              <w:left w:val="nil"/>
              <w:bottom w:val="single" w:sz="4" w:space="0" w:color="auto"/>
              <w:right w:val="single" w:sz="4" w:space="0" w:color="auto"/>
            </w:tcBorders>
            <w:shd w:val="clear" w:color="auto" w:fill="auto"/>
            <w:noWrap/>
            <w:hideMark/>
          </w:tcPr>
          <w:p w14:paraId="1E256082" w14:textId="77777777" w:rsidR="00AD4D4D" w:rsidRPr="00D43F09" w:rsidRDefault="00AD4D4D" w:rsidP="002C0315">
            <w:pPr>
              <w:rPr>
                <w:rFonts w:ascii="Arial" w:hAnsi="Arial" w:cs="Arial"/>
                <w:color w:val="000000"/>
              </w:rPr>
            </w:pPr>
            <w:r w:rsidRPr="00D43F09">
              <w:rPr>
                <w:rFonts w:ascii="Arial" w:hAnsi="Arial" w:cs="Arial"/>
                <w:color w:val="000000"/>
              </w:rPr>
              <w:t>UB04</w:t>
            </w:r>
          </w:p>
        </w:tc>
        <w:tc>
          <w:tcPr>
            <w:tcW w:w="1802" w:type="dxa"/>
            <w:tcBorders>
              <w:top w:val="nil"/>
              <w:left w:val="nil"/>
              <w:bottom w:val="single" w:sz="4" w:space="0" w:color="auto"/>
              <w:right w:val="single" w:sz="4" w:space="0" w:color="auto"/>
            </w:tcBorders>
            <w:shd w:val="clear" w:color="auto" w:fill="auto"/>
            <w:hideMark/>
          </w:tcPr>
          <w:p w14:paraId="1AF41752" w14:textId="77777777" w:rsidR="00AD4D4D" w:rsidRPr="00D43F09" w:rsidRDefault="00AD4D4D" w:rsidP="002C0315">
            <w:pPr>
              <w:rPr>
                <w:rFonts w:ascii="Arial" w:hAnsi="Arial" w:cs="Arial"/>
                <w:color w:val="000000"/>
              </w:rPr>
            </w:pPr>
            <w:r w:rsidRPr="00D43F09">
              <w:rPr>
                <w:rFonts w:ascii="Arial" w:hAnsi="Arial" w:cs="Arial"/>
                <w:color w:val="000000"/>
              </w:rPr>
              <w:t>Inpatient Services</w:t>
            </w:r>
          </w:p>
        </w:tc>
      </w:tr>
      <w:tr w:rsidR="00AD4D4D" w:rsidRPr="00D43F09" w14:paraId="283F1E74"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343C8DA1" w14:textId="77777777" w:rsidR="00AD4D4D" w:rsidRPr="00D43F09" w:rsidRDefault="00AD4D4D" w:rsidP="002C0315">
            <w:pPr>
              <w:rPr>
                <w:rFonts w:ascii="Arial" w:hAnsi="Arial" w:cs="Arial"/>
                <w:color w:val="000000"/>
              </w:rPr>
            </w:pPr>
            <w:r w:rsidRPr="00D43F09">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12122C70" w14:textId="77777777" w:rsidR="00AD4D4D" w:rsidRPr="00D43F09" w:rsidRDefault="00AD4D4D" w:rsidP="002C0315">
            <w:pPr>
              <w:rPr>
                <w:rFonts w:ascii="Arial" w:hAnsi="Arial" w:cs="Arial"/>
                <w:color w:val="000000"/>
              </w:rPr>
            </w:pPr>
            <w:r w:rsidRPr="00D43F09">
              <w:rPr>
                <w:rFonts w:ascii="Arial" w:hAnsi="Arial" w:cs="Arial"/>
                <w:color w:val="000000"/>
              </w:rPr>
              <w:t>Corrigan Mental Health Center</w:t>
            </w:r>
          </w:p>
        </w:tc>
        <w:tc>
          <w:tcPr>
            <w:tcW w:w="1262" w:type="dxa"/>
            <w:tcBorders>
              <w:top w:val="nil"/>
              <w:left w:val="nil"/>
              <w:bottom w:val="single" w:sz="4" w:space="0" w:color="auto"/>
              <w:right w:val="single" w:sz="4" w:space="0" w:color="auto"/>
            </w:tcBorders>
            <w:shd w:val="clear" w:color="auto" w:fill="auto"/>
            <w:noWrap/>
            <w:hideMark/>
          </w:tcPr>
          <w:p w14:paraId="5E3F7B15" w14:textId="77777777" w:rsidR="00AD4D4D" w:rsidRPr="00D43F09" w:rsidRDefault="00AD4D4D" w:rsidP="002C0315">
            <w:pPr>
              <w:rPr>
                <w:rFonts w:ascii="Arial" w:hAnsi="Arial" w:cs="Arial"/>
                <w:color w:val="000000"/>
              </w:rPr>
            </w:pPr>
            <w:r w:rsidRPr="00D43F09">
              <w:rPr>
                <w:rFonts w:ascii="Arial" w:hAnsi="Arial" w:cs="Arial"/>
                <w:color w:val="000000"/>
              </w:rPr>
              <w:t>Fall River</w:t>
            </w:r>
          </w:p>
        </w:tc>
        <w:tc>
          <w:tcPr>
            <w:tcW w:w="1442" w:type="dxa"/>
            <w:tcBorders>
              <w:top w:val="nil"/>
              <w:left w:val="nil"/>
              <w:bottom w:val="single" w:sz="4" w:space="0" w:color="auto"/>
              <w:right w:val="single" w:sz="4" w:space="0" w:color="auto"/>
            </w:tcBorders>
            <w:shd w:val="clear" w:color="auto" w:fill="auto"/>
            <w:noWrap/>
            <w:hideMark/>
          </w:tcPr>
          <w:p w14:paraId="4461CFE3" w14:textId="77777777" w:rsidR="00AD4D4D" w:rsidRPr="00D43F09" w:rsidRDefault="00AD4D4D" w:rsidP="002C0315">
            <w:pPr>
              <w:jc w:val="center"/>
              <w:rPr>
                <w:rFonts w:ascii="Arial" w:hAnsi="Arial" w:cs="Arial"/>
                <w:bCs/>
                <w:color w:val="000000"/>
              </w:rPr>
            </w:pPr>
            <w:r w:rsidRPr="00D43F09">
              <w:rPr>
                <w:rFonts w:ascii="Arial" w:hAnsi="Arial" w:cs="Arial"/>
                <w:bCs/>
                <w:color w:val="000000"/>
              </w:rPr>
              <w:t>1700964947</w:t>
            </w:r>
          </w:p>
        </w:tc>
        <w:tc>
          <w:tcPr>
            <w:tcW w:w="811" w:type="dxa"/>
            <w:tcBorders>
              <w:top w:val="nil"/>
              <w:left w:val="nil"/>
              <w:bottom w:val="single" w:sz="4" w:space="0" w:color="auto"/>
              <w:right w:val="single" w:sz="4" w:space="0" w:color="auto"/>
            </w:tcBorders>
            <w:shd w:val="clear" w:color="auto" w:fill="auto"/>
            <w:noWrap/>
            <w:hideMark/>
          </w:tcPr>
          <w:p w14:paraId="77710995" w14:textId="77777777" w:rsidR="00AD4D4D" w:rsidRPr="00D43F09" w:rsidRDefault="00AD4D4D" w:rsidP="002C0315">
            <w:pPr>
              <w:rPr>
                <w:rFonts w:ascii="Arial" w:hAnsi="Arial" w:cs="Arial"/>
                <w:color w:val="000000"/>
              </w:rPr>
            </w:pPr>
            <w:r w:rsidRPr="00D43F09">
              <w:rPr>
                <w:rFonts w:ascii="Arial" w:hAnsi="Arial" w:cs="Arial"/>
                <w:color w:val="000000"/>
              </w:rPr>
              <w:t>UB04</w:t>
            </w:r>
          </w:p>
        </w:tc>
        <w:tc>
          <w:tcPr>
            <w:tcW w:w="1802" w:type="dxa"/>
            <w:tcBorders>
              <w:top w:val="nil"/>
              <w:left w:val="nil"/>
              <w:bottom w:val="single" w:sz="4" w:space="0" w:color="auto"/>
              <w:right w:val="single" w:sz="4" w:space="0" w:color="auto"/>
            </w:tcBorders>
            <w:shd w:val="clear" w:color="auto" w:fill="auto"/>
            <w:hideMark/>
          </w:tcPr>
          <w:p w14:paraId="46899C54" w14:textId="77777777" w:rsidR="00AD4D4D" w:rsidRPr="00D43F09" w:rsidRDefault="00AD4D4D" w:rsidP="002C0315">
            <w:pPr>
              <w:rPr>
                <w:rFonts w:ascii="Arial" w:hAnsi="Arial" w:cs="Arial"/>
                <w:color w:val="000000"/>
              </w:rPr>
            </w:pPr>
            <w:r w:rsidRPr="00D43F09">
              <w:rPr>
                <w:rFonts w:ascii="Arial" w:hAnsi="Arial" w:cs="Arial"/>
                <w:color w:val="000000"/>
              </w:rPr>
              <w:t>Inpatient Services</w:t>
            </w:r>
          </w:p>
        </w:tc>
      </w:tr>
      <w:tr w:rsidR="00AD4D4D" w:rsidRPr="00D43F09" w14:paraId="055AE99D"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18801D1D" w14:textId="77777777" w:rsidR="00AD4D4D" w:rsidRPr="00D43F09" w:rsidRDefault="00AD4D4D" w:rsidP="002C0315">
            <w:pPr>
              <w:rPr>
                <w:rFonts w:ascii="Arial" w:hAnsi="Arial" w:cs="Arial"/>
                <w:color w:val="000000"/>
              </w:rPr>
            </w:pPr>
            <w:r w:rsidRPr="00D43F09">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05E99444" w14:textId="77777777" w:rsidR="00AD4D4D" w:rsidRPr="00D43F09" w:rsidRDefault="00AD4D4D" w:rsidP="002C0315">
            <w:pPr>
              <w:rPr>
                <w:rFonts w:ascii="Arial" w:hAnsi="Arial" w:cs="Arial"/>
                <w:color w:val="000000"/>
              </w:rPr>
            </w:pPr>
            <w:r w:rsidRPr="00D43F09">
              <w:rPr>
                <w:rFonts w:ascii="Arial" w:hAnsi="Arial" w:cs="Arial"/>
                <w:color w:val="000000"/>
              </w:rPr>
              <w:t>Corrigan Mental Health Center</w:t>
            </w:r>
          </w:p>
        </w:tc>
        <w:tc>
          <w:tcPr>
            <w:tcW w:w="1262" w:type="dxa"/>
            <w:tcBorders>
              <w:top w:val="nil"/>
              <w:left w:val="nil"/>
              <w:bottom w:val="single" w:sz="4" w:space="0" w:color="auto"/>
              <w:right w:val="single" w:sz="4" w:space="0" w:color="auto"/>
            </w:tcBorders>
            <w:shd w:val="clear" w:color="auto" w:fill="auto"/>
            <w:noWrap/>
            <w:hideMark/>
          </w:tcPr>
          <w:p w14:paraId="6CE9A70D" w14:textId="77777777" w:rsidR="00AD4D4D" w:rsidRPr="00D43F09" w:rsidRDefault="00AD4D4D" w:rsidP="002C0315">
            <w:pPr>
              <w:rPr>
                <w:rFonts w:ascii="Arial" w:hAnsi="Arial" w:cs="Arial"/>
                <w:color w:val="000000"/>
              </w:rPr>
            </w:pPr>
            <w:r w:rsidRPr="00D43F09">
              <w:rPr>
                <w:rFonts w:ascii="Arial" w:hAnsi="Arial" w:cs="Arial"/>
                <w:color w:val="000000"/>
              </w:rPr>
              <w:t>Fall River</w:t>
            </w:r>
          </w:p>
        </w:tc>
        <w:tc>
          <w:tcPr>
            <w:tcW w:w="1442" w:type="dxa"/>
            <w:tcBorders>
              <w:top w:val="nil"/>
              <w:left w:val="nil"/>
              <w:bottom w:val="single" w:sz="4" w:space="0" w:color="auto"/>
              <w:right w:val="single" w:sz="4" w:space="0" w:color="auto"/>
            </w:tcBorders>
            <w:shd w:val="clear" w:color="auto" w:fill="auto"/>
            <w:noWrap/>
            <w:hideMark/>
          </w:tcPr>
          <w:p w14:paraId="5ABAA052" w14:textId="77777777" w:rsidR="00AD4D4D" w:rsidRPr="00D43F09" w:rsidRDefault="00AD4D4D" w:rsidP="002C0315">
            <w:pPr>
              <w:jc w:val="center"/>
              <w:rPr>
                <w:rFonts w:ascii="Arial" w:hAnsi="Arial" w:cs="Arial"/>
                <w:bCs/>
                <w:color w:val="000000"/>
              </w:rPr>
            </w:pPr>
            <w:r w:rsidRPr="00D43F09">
              <w:rPr>
                <w:rFonts w:ascii="Arial" w:hAnsi="Arial" w:cs="Arial"/>
                <w:bCs/>
                <w:color w:val="000000"/>
              </w:rPr>
              <w:t>1194803288</w:t>
            </w:r>
          </w:p>
        </w:tc>
        <w:tc>
          <w:tcPr>
            <w:tcW w:w="811" w:type="dxa"/>
            <w:tcBorders>
              <w:top w:val="nil"/>
              <w:left w:val="nil"/>
              <w:bottom w:val="single" w:sz="4" w:space="0" w:color="auto"/>
              <w:right w:val="single" w:sz="4" w:space="0" w:color="auto"/>
            </w:tcBorders>
            <w:shd w:val="clear" w:color="auto" w:fill="auto"/>
            <w:noWrap/>
            <w:hideMark/>
          </w:tcPr>
          <w:p w14:paraId="44A55AB5" w14:textId="77777777" w:rsidR="00AD4D4D" w:rsidRPr="00D43F09" w:rsidRDefault="00AD4D4D" w:rsidP="002C0315">
            <w:pPr>
              <w:rPr>
                <w:rFonts w:ascii="Arial" w:hAnsi="Arial" w:cs="Arial"/>
              </w:rPr>
            </w:pPr>
            <w:r w:rsidRPr="00D43F09">
              <w:rPr>
                <w:rFonts w:ascii="Arial" w:hAnsi="Arial" w:cs="Arial"/>
              </w:rPr>
              <w:t>UB04</w:t>
            </w:r>
          </w:p>
        </w:tc>
        <w:tc>
          <w:tcPr>
            <w:tcW w:w="1802" w:type="dxa"/>
            <w:tcBorders>
              <w:top w:val="nil"/>
              <w:left w:val="nil"/>
              <w:bottom w:val="single" w:sz="4" w:space="0" w:color="auto"/>
              <w:right w:val="single" w:sz="4" w:space="0" w:color="auto"/>
            </w:tcBorders>
            <w:shd w:val="clear" w:color="auto" w:fill="auto"/>
            <w:hideMark/>
          </w:tcPr>
          <w:p w14:paraId="1695A155" w14:textId="77777777" w:rsidR="00AD4D4D" w:rsidRPr="00D43F09" w:rsidRDefault="00AD4D4D" w:rsidP="002C0315">
            <w:pPr>
              <w:rPr>
                <w:rFonts w:ascii="Arial" w:hAnsi="Arial" w:cs="Arial"/>
                <w:color w:val="000000"/>
              </w:rPr>
            </w:pPr>
            <w:r w:rsidRPr="00D43F09">
              <w:rPr>
                <w:rFonts w:ascii="Arial" w:hAnsi="Arial" w:cs="Arial"/>
                <w:color w:val="000000"/>
              </w:rPr>
              <w:t>Outpatient Services*</w:t>
            </w:r>
          </w:p>
        </w:tc>
      </w:tr>
      <w:tr w:rsidR="00AD4D4D" w:rsidRPr="00D43F09" w14:paraId="77AD951E"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0BC0D433" w14:textId="77777777" w:rsidR="00AD4D4D" w:rsidRPr="00D43F09" w:rsidRDefault="00AD4D4D" w:rsidP="002C0315">
            <w:pPr>
              <w:rPr>
                <w:rFonts w:ascii="Arial" w:hAnsi="Arial" w:cs="Arial"/>
                <w:color w:val="000000"/>
              </w:rPr>
            </w:pPr>
            <w:r w:rsidRPr="00D43F09">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7F9969C9" w14:textId="77777777" w:rsidR="00AD4D4D" w:rsidRPr="00D43F09" w:rsidRDefault="00AD4D4D" w:rsidP="002C0315">
            <w:pPr>
              <w:rPr>
                <w:rFonts w:ascii="Arial" w:hAnsi="Arial" w:cs="Arial"/>
                <w:color w:val="000000"/>
              </w:rPr>
            </w:pPr>
            <w:r w:rsidRPr="00D43F09">
              <w:rPr>
                <w:rFonts w:ascii="Arial" w:hAnsi="Arial" w:cs="Arial"/>
                <w:color w:val="000000"/>
              </w:rPr>
              <w:t>Cape Cod and Islands Mental Health Center</w:t>
            </w:r>
          </w:p>
        </w:tc>
        <w:tc>
          <w:tcPr>
            <w:tcW w:w="1262" w:type="dxa"/>
            <w:tcBorders>
              <w:top w:val="nil"/>
              <w:left w:val="nil"/>
              <w:bottom w:val="single" w:sz="4" w:space="0" w:color="auto"/>
              <w:right w:val="single" w:sz="4" w:space="0" w:color="auto"/>
            </w:tcBorders>
            <w:shd w:val="clear" w:color="auto" w:fill="auto"/>
            <w:noWrap/>
            <w:hideMark/>
          </w:tcPr>
          <w:p w14:paraId="3B7C4C3D" w14:textId="77777777" w:rsidR="00AD4D4D" w:rsidRPr="00D43F09" w:rsidRDefault="00AD4D4D" w:rsidP="002C0315">
            <w:pPr>
              <w:rPr>
                <w:rFonts w:ascii="Arial" w:hAnsi="Arial" w:cs="Arial"/>
                <w:color w:val="000000"/>
              </w:rPr>
            </w:pPr>
            <w:r w:rsidRPr="00D43F09">
              <w:rPr>
                <w:rFonts w:ascii="Arial" w:hAnsi="Arial" w:cs="Arial"/>
                <w:color w:val="000000"/>
              </w:rPr>
              <w:t>Pocasset</w:t>
            </w:r>
          </w:p>
        </w:tc>
        <w:tc>
          <w:tcPr>
            <w:tcW w:w="1442" w:type="dxa"/>
            <w:tcBorders>
              <w:top w:val="nil"/>
              <w:left w:val="nil"/>
              <w:bottom w:val="single" w:sz="4" w:space="0" w:color="auto"/>
              <w:right w:val="single" w:sz="4" w:space="0" w:color="auto"/>
            </w:tcBorders>
            <w:shd w:val="clear" w:color="auto" w:fill="auto"/>
            <w:hideMark/>
          </w:tcPr>
          <w:p w14:paraId="2A85A2B1" w14:textId="77777777" w:rsidR="00AD4D4D" w:rsidRPr="00D43F09" w:rsidRDefault="00AD4D4D" w:rsidP="002C0315">
            <w:pPr>
              <w:jc w:val="center"/>
              <w:rPr>
                <w:rFonts w:ascii="Arial" w:hAnsi="Arial" w:cs="Arial"/>
                <w:bCs/>
                <w:color w:val="000000"/>
              </w:rPr>
            </w:pPr>
            <w:r w:rsidRPr="00D43F09">
              <w:rPr>
                <w:rFonts w:ascii="Arial" w:hAnsi="Arial" w:cs="Arial"/>
                <w:bCs/>
                <w:color w:val="000000"/>
              </w:rPr>
              <w:t>1851477491</w:t>
            </w:r>
          </w:p>
        </w:tc>
        <w:tc>
          <w:tcPr>
            <w:tcW w:w="811" w:type="dxa"/>
            <w:tcBorders>
              <w:top w:val="nil"/>
              <w:left w:val="nil"/>
              <w:bottom w:val="single" w:sz="4" w:space="0" w:color="auto"/>
              <w:right w:val="single" w:sz="4" w:space="0" w:color="auto"/>
            </w:tcBorders>
            <w:shd w:val="clear" w:color="auto" w:fill="auto"/>
            <w:noWrap/>
            <w:hideMark/>
          </w:tcPr>
          <w:p w14:paraId="63BF34AB" w14:textId="77777777" w:rsidR="00AD4D4D" w:rsidRPr="00D43F09" w:rsidRDefault="00AD4D4D" w:rsidP="002C0315">
            <w:pPr>
              <w:rPr>
                <w:rFonts w:ascii="Arial" w:hAnsi="Arial" w:cs="Arial"/>
              </w:rPr>
            </w:pPr>
            <w:r w:rsidRPr="00D43F09">
              <w:rPr>
                <w:rFonts w:ascii="Arial" w:hAnsi="Arial" w:cs="Arial"/>
              </w:rPr>
              <w:t>1500</w:t>
            </w:r>
          </w:p>
        </w:tc>
        <w:tc>
          <w:tcPr>
            <w:tcW w:w="1802" w:type="dxa"/>
            <w:tcBorders>
              <w:top w:val="nil"/>
              <w:left w:val="nil"/>
              <w:bottom w:val="single" w:sz="4" w:space="0" w:color="auto"/>
              <w:right w:val="single" w:sz="4" w:space="0" w:color="auto"/>
            </w:tcBorders>
            <w:shd w:val="clear" w:color="auto" w:fill="auto"/>
            <w:hideMark/>
          </w:tcPr>
          <w:p w14:paraId="39547231" w14:textId="77777777" w:rsidR="00AD4D4D" w:rsidRPr="00D43F09" w:rsidRDefault="00AD4D4D" w:rsidP="002C0315">
            <w:pPr>
              <w:rPr>
                <w:rFonts w:ascii="Arial" w:hAnsi="Arial" w:cs="Arial"/>
              </w:rPr>
            </w:pPr>
            <w:r w:rsidRPr="00D43F09">
              <w:rPr>
                <w:rFonts w:ascii="Arial" w:hAnsi="Arial" w:cs="Arial"/>
              </w:rPr>
              <w:t>Professional Services</w:t>
            </w:r>
          </w:p>
        </w:tc>
      </w:tr>
      <w:tr w:rsidR="00AD4D4D" w:rsidRPr="00D43F09" w14:paraId="1A482376"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593E9F80" w14:textId="77777777" w:rsidR="00AD4D4D" w:rsidRPr="00D43F09" w:rsidRDefault="00AD4D4D" w:rsidP="002C0315">
            <w:pPr>
              <w:rPr>
                <w:rFonts w:ascii="Arial" w:hAnsi="Arial" w:cs="Arial"/>
                <w:color w:val="000000"/>
              </w:rPr>
            </w:pPr>
            <w:r w:rsidRPr="00D43F09">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5279D83A" w14:textId="77777777" w:rsidR="00AD4D4D" w:rsidRPr="00D43F09" w:rsidRDefault="00AD4D4D" w:rsidP="002C0315">
            <w:pPr>
              <w:rPr>
                <w:rFonts w:ascii="Arial" w:hAnsi="Arial" w:cs="Arial"/>
                <w:color w:val="000000"/>
              </w:rPr>
            </w:pPr>
            <w:r w:rsidRPr="00D43F09">
              <w:rPr>
                <w:rFonts w:ascii="Arial" w:hAnsi="Arial" w:cs="Arial"/>
                <w:color w:val="000000"/>
              </w:rPr>
              <w:t>Corrigan Mental Health Center</w:t>
            </w:r>
          </w:p>
        </w:tc>
        <w:tc>
          <w:tcPr>
            <w:tcW w:w="1262" w:type="dxa"/>
            <w:tcBorders>
              <w:top w:val="nil"/>
              <w:left w:val="nil"/>
              <w:bottom w:val="single" w:sz="4" w:space="0" w:color="auto"/>
              <w:right w:val="single" w:sz="4" w:space="0" w:color="auto"/>
            </w:tcBorders>
            <w:shd w:val="clear" w:color="auto" w:fill="auto"/>
            <w:noWrap/>
            <w:hideMark/>
          </w:tcPr>
          <w:p w14:paraId="27690409" w14:textId="77777777" w:rsidR="00AD4D4D" w:rsidRPr="00D43F09" w:rsidRDefault="00AD4D4D" w:rsidP="002C0315">
            <w:pPr>
              <w:rPr>
                <w:rFonts w:ascii="Arial" w:hAnsi="Arial" w:cs="Arial"/>
                <w:color w:val="000000"/>
              </w:rPr>
            </w:pPr>
            <w:r w:rsidRPr="00D43F09">
              <w:rPr>
                <w:rFonts w:ascii="Arial" w:hAnsi="Arial" w:cs="Arial"/>
                <w:color w:val="000000"/>
              </w:rPr>
              <w:t>Fall River</w:t>
            </w:r>
          </w:p>
        </w:tc>
        <w:tc>
          <w:tcPr>
            <w:tcW w:w="1442" w:type="dxa"/>
            <w:tcBorders>
              <w:top w:val="nil"/>
              <w:left w:val="nil"/>
              <w:bottom w:val="single" w:sz="4" w:space="0" w:color="auto"/>
              <w:right w:val="single" w:sz="4" w:space="0" w:color="auto"/>
            </w:tcBorders>
            <w:shd w:val="clear" w:color="auto" w:fill="auto"/>
            <w:noWrap/>
            <w:hideMark/>
          </w:tcPr>
          <w:p w14:paraId="02CC9461" w14:textId="77777777" w:rsidR="00AD4D4D" w:rsidRPr="00D43F09" w:rsidRDefault="00AD4D4D" w:rsidP="002C0315">
            <w:pPr>
              <w:jc w:val="center"/>
              <w:rPr>
                <w:rFonts w:ascii="Arial" w:hAnsi="Arial" w:cs="Arial"/>
                <w:bCs/>
                <w:color w:val="000000"/>
              </w:rPr>
            </w:pPr>
            <w:r w:rsidRPr="00D43F09">
              <w:rPr>
                <w:rFonts w:ascii="Arial" w:hAnsi="Arial" w:cs="Arial"/>
                <w:bCs/>
                <w:color w:val="000000"/>
              </w:rPr>
              <w:t>1700964947</w:t>
            </w:r>
          </w:p>
        </w:tc>
        <w:tc>
          <w:tcPr>
            <w:tcW w:w="811" w:type="dxa"/>
            <w:tcBorders>
              <w:top w:val="nil"/>
              <w:left w:val="nil"/>
              <w:bottom w:val="single" w:sz="4" w:space="0" w:color="auto"/>
              <w:right w:val="single" w:sz="4" w:space="0" w:color="auto"/>
            </w:tcBorders>
            <w:shd w:val="clear" w:color="auto" w:fill="auto"/>
            <w:noWrap/>
            <w:hideMark/>
          </w:tcPr>
          <w:p w14:paraId="7D650F2C" w14:textId="77777777" w:rsidR="00AD4D4D" w:rsidRPr="00D43F09" w:rsidRDefault="00AD4D4D" w:rsidP="002C0315">
            <w:pPr>
              <w:rPr>
                <w:rFonts w:ascii="Arial" w:hAnsi="Arial" w:cs="Arial"/>
              </w:rPr>
            </w:pPr>
            <w:r w:rsidRPr="00D43F09">
              <w:rPr>
                <w:rFonts w:ascii="Arial" w:hAnsi="Arial" w:cs="Arial"/>
              </w:rPr>
              <w:t>1500</w:t>
            </w:r>
          </w:p>
        </w:tc>
        <w:tc>
          <w:tcPr>
            <w:tcW w:w="1802" w:type="dxa"/>
            <w:tcBorders>
              <w:top w:val="nil"/>
              <w:left w:val="nil"/>
              <w:bottom w:val="single" w:sz="4" w:space="0" w:color="auto"/>
              <w:right w:val="single" w:sz="4" w:space="0" w:color="auto"/>
            </w:tcBorders>
            <w:shd w:val="clear" w:color="auto" w:fill="auto"/>
            <w:hideMark/>
          </w:tcPr>
          <w:p w14:paraId="29040532" w14:textId="77777777" w:rsidR="00AD4D4D" w:rsidRPr="00D43F09" w:rsidRDefault="00AD4D4D" w:rsidP="002C0315">
            <w:pPr>
              <w:rPr>
                <w:rFonts w:ascii="Arial" w:hAnsi="Arial" w:cs="Arial"/>
              </w:rPr>
            </w:pPr>
            <w:r w:rsidRPr="00D43F09">
              <w:rPr>
                <w:rFonts w:ascii="Arial" w:hAnsi="Arial" w:cs="Arial"/>
              </w:rPr>
              <w:t>Professional Services</w:t>
            </w:r>
          </w:p>
        </w:tc>
      </w:tr>
      <w:tr w:rsidR="00AD4D4D" w:rsidRPr="00D43F09" w14:paraId="44193D53"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5C85269B" w14:textId="77777777" w:rsidR="00AD4D4D" w:rsidRPr="00D43F09" w:rsidRDefault="00AD4D4D" w:rsidP="002C0315">
            <w:pPr>
              <w:rPr>
                <w:rFonts w:ascii="Arial" w:hAnsi="Arial" w:cs="Arial"/>
                <w:color w:val="000000"/>
              </w:rPr>
            </w:pPr>
            <w:r w:rsidRPr="00D43F09">
              <w:rPr>
                <w:rFonts w:ascii="Arial" w:hAnsi="Arial" w:cs="Arial"/>
                <w:color w:val="000000"/>
              </w:rPr>
              <w:t>Diversionary Services</w:t>
            </w:r>
          </w:p>
        </w:tc>
        <w:tc>
          <w:tcPr>
            <w:tcW w:w="2433" w:type="dxa"/>
            <w:tcBorders>
              <w:top w:val="nil"/>
              <w:left w:val="nil"/>
              <w:bottom w:val="single" w:sz="4" w:space="0" w:color="auto"/>
              <w:right w:val="single" w:sz="4" w:space="0" w:color="auto"/>
            </w:tcBorders>
            <w:shd w:val="clear" w:color="auto" w:fill="auto"/>
            <w:hideMark/>
          </w:tcPr>
          <w:p w14:paraId="7B26DFBF" w14:textId="77777777" w:rsidR="00AD4D4D" w:rsidRPr="00D43F09" w:rsidRDefault="00AD4D4D" w:rsidP="002C0315">
            <w:pPr>
              <w:rPr>
                <w:rFonts w:ascii="Arial" w:hAnsi="Arial" w:cs="Arial"/>
                <w:color w:val="000000"/>
              </w:rPr>
            </w:pPr>
            <w:r w:rsidRPr="00D43F09">
              <w:rPr>
                <w:rFonts w:ascii="Arial" w:hAnsi="Arial" w:cs="Arial"/>
                <w:color w:val="000000"/>
              </w:rPr>
              <w:t>Substance Abuse Program "WRAP"</w:t>
            </w:r>
          </w:p>
        </w:tc>
        <w:tc>
          <w:tcPr>
            <w:tcW w:w="1262" w:type="dxa"/>
            <w:tcBorders>
              <w:top w:val="nil"/>
              <w:left w:val="nil"/>
              <w:bottom w:val="single" w:sz="4" w:space="0" w:color="auto"/>
              <w:right w:val="single" w:sz="4" w:space="0" w:color="auto"/>
            </w:tcBorders>
            <w:shd w:val="clear" w:color="auto" w:fill="auto"/>
            <w:noWrap/>
            <w:hideMark/>
          </w:tcPr>
          <w:p w14:paraId="1D62A19E" w14:textId="77777777" w:rsidR="00AD4D4D" w:rsidRPr="00D43F09" w:rsidRDefault="00AD4D4D" w:rsidP="002C0315">
            <w:pPr>
              <w:rPr>
                <w:rFonts w:ascii="Arial" w:hAnsi="Arial" w:cs="Arial"/>
                <w:color w:val="000000"/>
              </w:rPr>
            </w:pPr>
            <w:r w:rsidRPr="00D43F09">
              <w:rPr>
                <w:rFonts w:ascii="Arial" w:hAnsi="Arial" w:cs="Arial"/>
                <w:color w:val="000000"/>
              </w:rPr>
              <w:t>Taunton</w:t>
            </w:r>
          </w:p>
        </w:tc>
        <w:tc>
          <w:tcPr>
            <w:tcW w:w="1442" w:type="dxa"/>
            <w:tcBorders>
              <w:top w:val="nil"/>
              <w:left w:val="nil"/>
              <w:bottom w:val="single" w:sz="4" w:space="0" w:color="auto"/>
              <w:right w:val="single" w:sz="4" w:space="0" w:color="auto"/>
            </w:tcBorders>
            <w:shd w:val="clear" w:color="auto" w:fill="auto"/>
            <w:noWrap/>
            <w:hideMark/>
          </w:tcPr>
          <w:p w14:paraId="6BDEEE5B" w14:textId="77777777" w:rsidR="00AD4D4D" w:rsidRPr="00D43F09" w:rsidRDefault="00AD4D4D" w:rsidP="002C0315">
            <w:pPr>
              <w:jc w:val="center"/>
              <w:rPr>
                <w:rFonts w:ascii="Arial" w:hAnsi="Arial" w:cs="Arial"/>
                <w:bCs/>
              </w:rPr>
            </w:pPr>
            <w:r w:rsidRPr="00D43F09">
              <w:rPr>
                <w:rFonts w:ascii="Arial" w:hAnsi="Arial" w:cs="Arial"/>
                <w:bCs/>
              </w:rPr>
              <w:t>1508212416</w:t>
            </w:r>
          </w:p>
        </w:tc>
        <w:tc>
          <w:tcPr>
            <w:tcW w:w="811" w:type="dxa"/>
            <w:tcBorders>
              <w:top w:val="nil"/>
              <w:left w:val="nil"/>
              <w:bottom w:val="single" w:sz="4" w:space="0" w:color="auto"/>
              <w:right w:val="single" w:sz="4" w:space="0" w:color="auto"/>
            </w:tcBorders>
            <w:shd w:val="clear" w:color="auto" w:fill="auto"/>
            <w:noWrap/>
            <w:hideMark/>
          </w:tcPr>
          <w:p w14:paraId="626B0F98" w14:textId="77777777" w:rsidR="00AD4D4D" w:rsidRPr="00D43F09" w:rsidRDefault="00AD4D4D" w:rsidP="002C0315">
            <w:pPr>
              <w:rPr>
                <w:rFonts w:ascii="Arial" w:hAnsi="Arial" w:cs="Arial"/>
                <w:color w:val="000000"/>
              </w:rPr>
            </w:pPr>
            <w:r w:rsidRPr="00D43F09">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404221D8" w14:textId="77777777" w:rsidR="00AD4D4D" w:rsidRPr="00D43F09" w:rsidRDefault="00AD4D4D" w:rsidP="002C0315">
            <w:pPr>
              <w:rPr>
                <w:rFonts w:ascii="Arial" w:hAnsi="Arial" w:cs="Arial"/>
                <w:color w:val="000000"/>
              </w:rPr>
            </w:pPr>
            <w:r w:rsidRPr="00D43F09">
              <w:rPr>
                <w:rFonts w:ascii="Arial" w:hAnsi="Arial" w:cs="Arial"/>
                <w:color w:val="000000"/>
              </w:rPr>
              <w:t>Acute Treatment Services</w:t>
            </w:r>
          </w:p>
        </w:tc>
      </w:tr>
      <w:tr w:rsidR="00AD4D4D" w:rsidRPr="00D43F09" w14:paraId="658234A8"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17527B89" w14:textId="77777777" w:rsidR="00AD4D4D" w:rsidRPr="00D43F09" w:rsidRDefault="00AD4D4D" w:rsidP="002C0315">
            <w:pPr>
              <w:rPr>
                <w:rFonts w:ascii="Arial" w:hAnsi="Arial" w:cs="Arial"/>
                <w:color w:val="000000"/>
              </w:rPr>
            </w:pPr>
            <w:r w:rsidRPr="00D43F09">
              <w:rPr>
                <w:rFonts w:ascii="Arial" w:hAnsi="Arial" w:cs="Arial"/>
                <w:color w:val="000000"/>
              </w:rPr>
              <w:t>Diversionary Services</w:t>
            </w:r>
          </w:p>
        </w:tc>
        <w:tc>
          <w:tcPr>
            <w:tcW w:w="2433" w:type="dxa"/>
            <w:tcBorders>
              <w:top w:val="nil"/>
              <w:left w:val="nil"/>
              <w:bottom w:val="single" w:sz="4" w:space="0" w:color="auto"/>
              <w:right w:val="single" w:sz="4" w:space="0" w:color="auto"/>
            </w:tcBorders>
            <w:shd w:val="clear" w:color="auto" w:fill="auto"/>
            <w:hideMark/>
          </w:tcPr>
          <w:p w14:paraId="5259FD34" w14:textId="77777777" w:rsidR="00AD4D4D" w:rsidRPr="00D43F09" w:rsidRDefault="00AD4D4D" w:rsidP="002C0315">
            <w:pPr>
              <w:rPr>
                <w:rFonts w:ascii="Arial" w:hAnsi="Arial" w:cs="Arial"/>
                <w:color w:val="000000"/>
              </w:rPr>
            </w:pPr>
            <w:r w:rsidRPr="00D43F09">
              <w:rPr>
                <w:rFonts w:ascii="Arial" w:hAnsi="Arial" w:cs="Arial"/>
                <w:color w:val="000000"/>
              </w:rPr>
              <w:t>Substance Abuse Program "WRAP"</w:t>
            </w:r>
          </w:p>
        </w:tc>
        <w:tc>
          <w:tcPr>
            <w:tcW w:w="1262" w:type="dxa"/>
            <w:tcBorders>
              <w:top w:val="nil"/>
              <w:left w:val="nil"/>
              <w:bottom w:val="single" w:sz="4" w:space="0" w:color="auto"/>
              <w:right w:val="single" w:sz="4" w:space="0" w:color="auto"/>
            </w:tcBorders>
            <w:shd w:val="clear" w:color="auto" w:fill="auto"/>
            <w:noWrap/>
            <w:hideMark/>
          </w:tcPr>
          <w:p w14:paraId="615383D6" w14:textId="77777777" w:rsidR="00AD4D4D" w:rsidRPr="00D43F09" w:rsidRDefault="00AD4D4D" w:rsidP="002C0315">
            <w:pPr>
              <w:rPr>
                <w:rFonts w:ascii="Arial" w:hAnsi="Arial" w:cs="Arial"/>
                <w:color w:val="000000"/>
              </w:rPr>
            </w:pPr>
            <w:r w:rsidRPr="00D43F09">
              <w:rPr>
                <w:rFonts w:ascii="Arial" w:hAnsi="Arial" w:cs="Arial"/>
                <w:color w:val="000000"/>
              </w:rPr>
              <w:t>Taunton</w:t>
            </w:r>
          </w:p>
        </w:tc>
        <w:tc>
          <w:tcPr>
            <w:tcW w:w="1442" w:type="dxa"/>
            <w:tcBorders>
              <w:top w:val="nil"/>
              <w:left w:val="nil"/>
              <w:bottom w:val="single" w:sz="4" w:space="0" w:color="auto"/>
              <w:right w:val="single" w:sz="4" w:space="0" w:color="auto"/>
            </w:tcBorders>
            <w:shd w:val="clear" w:color="auto" w:fill="auto"/>
            <w:noWrap/>
            <w:hideMark/>
          </w:tcPr>
          <w:p w14:paraId="5BF5A1AD" w14:textId="77777777" w:rsidR="00AD4D4D" w:rsidRPr="00D43F09" w:rsidRDefault="00AD4D4D" w:rsidP="002C0315">
            <w:pPr>
              <w:jc w:val="center"/>
              <w:rPr>
                <w:rFonts w:ascii="Arial" w:hAnsi="Arial" w:cs="Arial"/>
                <w:bCs/>
              </w:rPr>
            </w:pPr>
            <w:r w:rsidRPr="00D43F09">
              <w:rPr>
                <w:rFonts w:ascii="Arial" w:hAnsi="Arial" w:cs="Arial"/>
                <w:bCs/>
              </w:rPr>
              <w:t>1508212416</w:t>
            </w:r>
          </w:p>
        </w:tc>
        <w:tc>
          <w:tcPr>
            <w:tcW w:w="811" w:type="dxa"/>
            <w:tcBorders>
              <w:top w:val="nil"/>
              <w:left w:val="nil"/>
              <w:bottom w:val="single" w:sz="4" w:space="0" w:color="auto"/>
              <w:right w:val="single" w:sz="4" w:space="0" w:color="auto"/>
            </w:tcBorders>
            <w:shd w:val="clear" w:color="auto" w:fill="auto"/>
            <w:noWrap/>
            <w:hideMark/>
          </w:tcPr>
          <w:p w14:paraId="79484A21" w14:textId="77777777" w:rsidR="00AD4D4D" w:rsidRPr="00D43F09" w:rsidRDefault="00AD4D4D" w:rsidP="002C0315">
            <w:pPr>
              <w:rPr>
                <w:rFonts w:ascii="Arial" w:hAnsi="Arial" w:cs="Arial"/>
                <w:color w:val="000000"/>
              </w:rPr>
            </w:pPr>
            <w:r w:rsidRPr="00D43F09">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6550BD7C" w14:textId="77777777" w:rsidR="00AD4D4D" w:rsidRPr="00D43F09" w:rsidRDefault="00AD4D4D" w:rsidP="002C0315">
            <w:pPr>
              <w:rPr>
                <w:rFonts w:ascii="Arial" w:hAnsi="Arial" w:cs="Arial"/>
                <w:color w:val="000000"/>
              </w:rPr>
            </w:pPr>
            <w:r w:rsidRPr="00D43F09">
              <w:rPr>
                <w:rFonts w:ascii="Arial" w:hAnsi="Arial" w:cs="Arial"/>
                <w:color w:val="000000"/>
              </w:rPr>
              <w:t>Clinical Support Services</w:t>
            </w:r>
          </w:p>
        </w:tc>
      </w:tr>
      <w:tr w:rsidR="00AD4D4D" w:rsidRPr="00D43F09" w14:paraId="3704523E"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4F2AFF7A" w14:textId="77777777" w:rsidR="00AD4D4D" w:rsidRPr="00D43F09" w:rsidRDefault="00AD4D4D" w:rsidP="002C0315">
            <w:pPr>
              <w:rPr>
                <w:rFonts w:ascii="Arial" w:hAnsi="Arial" w:cs="Arial"/>
                <w:color w:val="000000"/>
              </w:rPr>
            </w:pPr>
            <w:r w:rsidRPr="00D43F09">
              <w:rPr>
                <w:rFonts w:ascii="Arial" w:hAnsi="Arial" w:cs="Arial"/>
                <w:color w:val="000000"/>
              </w:rPr>
              <w:t>Clinic services</w:t>
            </w:r>
          </w:p>
        </w:tc>
        <w:tc>
          <w:tcPr>
            <w:tcW w:w="2433" w:type="dxa"/>
            <w:tcBorders>
              <w:top w:val="nil"/>
              <w:left w:val="nil"/>
              <w:bottom w:val="single" w:sz="4" w:space="0" w:color="auto"/>
              <w:right w:val="single" w:sz="4" w:space="0" w:color="auto"/>
            </w:tcBorders>
            <w:shd w:val="clear" w:color="auto" w:fill="auto"/>
            <w:hideMark/>
          </w:tcPr>
          <w:p w14:paraId="3F97BB1F" w14:textId="53FA5943" w:rsidR="00AD4D4D" w:rsidRPr="00D43F09" w:rsidRDefault="00AD4D4D" w:rsidP="002C0315">
            <w:pPr>
              <w:rPr>
                <w:rFonts w:ascii="Arial" w:hAnsi="Arial" w:cs="Arial"/>
                <w:color w:val="000000"/>
              </w:rPr>
            </w:pPr>
            <w:r w:rsidRPr="00D43F09">
              <w:rPr>
                <w:rFonts w:ascii="Arial" w:hAnsi="Arial" w:cs="Arial"/>
                <w:color w:val="000000"/>
              </w:rPr>
              <w:t>Brockton Multi</w:t>
            </w:r>
            <w:r w:rsidR="00F844EF" w:rsidRPr="00D43F09">
              <w:rPr>
                <w:rFonts w:ascii="Arial" w:hAnsi="Arial" w:cs="Arial"/>
                <w:color w:val="000000"/>
              </w:rPr>
              <w:t>-</w:t>
            </w:r>
            <w:r w:rsidRPr="00D43F09">
              <w:rPr>
                <w:rFonts w:ascii="Arial" w:hAnsi="Arial" w:cs="Arial"/>
                <w:color w:val="000000"/>
              </w:rPr>
              <w:t>Service Center</w:t>
            </w:r>
          </w:p>
        </w:tc>
        <w:tc>
          <w:tcPr>
            <w:tcW w:w="1262" w:type="dxa"/>
            <w:tcBorders>
              <w:top w:val="nil"/>
              <w:left w:val="nil"/>
              <w:bottom w:val="single" w:sz="4" w:space="0" w:color="auto"/>
              <w:right w:val="single" w:sz="4" w:space="0" w:color="auto"/>
            </w:tcBorders>
            <w:shd w:val="clear" w:color="auto" w:fill="auto"/>
            <w:noWrap/>
            <w:hideMark/>
          </w:tcPr>
          <w:p w14:paraId="3AF258E6" w14:textId="77777777" w:rsidR="00AD4D4D" w:rsidRPr="00D43F09" w:rsidRDefault="00AD4D4D" w:rsidP="002C0315">
            <w:pPr>
              <w:rPr>
                <w:rFonts w:ascii="Arial" w:hAnsi="Arial" w:cs="Arial"/>
                <w:color w:val="000000"/>
              </w:rPr>
            </w:pPr>
            <w:r w:rsidRPr="00D43F09">
              <w:rPr>
                <w:rFonts w:ascii="Arial" w:hAnsi="Arial" w:cs="Arial"/>
                <w:color w:val="000000"/>
              </w:rPr>
              <w:t>Brockton</w:t>
            </w:r>
          </w:p>
        </w:tc>
        <w:tc>
          <w:tcPr>
            <w:tcW w:w="1442" w:type="dxa"/>
            <w:tcBorders>
              <w:top w:val="nil"/>
              <w:left w:val="nil"/>
              <w:bottom w:val="single" w:sz="4" w:space="0" w:color="auto"/>
              <w:right w:val="single" w:sz="4" w:space="0" w:color="auto"/>
            </w:tcBorders>
            <w:shd w:val="clear" w:color="auto" w:fill="auto"/>
            <w:noWrap/>
            <w:hideMark/>
          </w:tcPr>
          <w:p w14:paraId="7E4931B7" w14:textId="77777777" w:rsidR="00AD4D4D" w:rsidRPr="00D43F09" w:rsidRDefault="00AD4D4D" w:rsidP="002C0315">
            <w:pPr>
              <w:jc w:val="center"/>
              <w:rPr>
                <w:rFonts w:ascii="Arial" w:hAnsi="Arial" w:cs="Arial"/>
                <w:bCs/>
                <w:color w:val="000000"/>
              </w:rPr>
            </w:pPr>
            <w:r w:rsidRPr="00D43F09">
              <w:rPr>
                <w:rFonts w:ascii="Arial" w:hAnsi="Arial" w:cs="Arial"/>
                <w:bCs/>
                <w:color w:val="000000"/>
              </w:rPr>
              <w:t>1326155458</w:t>
            </w:r>
          </w:p>
        </w:tc>
        <w:tc>
          <w:tcPr>
            <w:tcW w:w="811" w:type="dxa"/>
            <w:tcBorders>
              <w:top w:val="nil"/>
              <w:left w:val="nil"/>
              <w:bottom w:val="single" w:sz="4" w:space="0" w:color="auto"/>
              <w:right w:val="single" w:sz="4" w:space="0" w:color="auto"/>
            </w:tcBorders>
            <w:shd w:val="clear" w:color="auto" w:fill="auto"/>
            <w:noWrap/>
            <w:hideMark/>
          </w:tcPr>
          <w:p w14:paraId="5905223B" w14:textId="77777777" w:rsidR="00AD4D4D" w:rsidRPr="00D43F09" w:rsidRDefault="00AD4D4D" w:rsidP="002C0315">
            <w:pPr>
              <w:rPr>
                <w:rFonts w:ascii="Arial" w:hAnsi="Arial" w:cs="Arial"/>
                <w:color w:val="000000"/>
              </w:rPr>
            </w:pPr>
            <w:r w:rsidRPr="00D43F09">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34FF08E0" w14:textId="77777777" w:rsidR="00AD4D4D" w:rsidRPr="00D43F09" w:rsidRDefault="00AD4D4D" w:rsidP="002C0315">
            <w:pPr>
              <w:rPr>
                <w:rFonts w:ascii="Arial" w:hAnsi="Arial" w:cs="Arial"/>
                <w:color w:val="000000"/>
              </w:rPr>
            </w:pPr>
            <w:r w:rsidRPr="00D43F09">
              <w:rPr>
                <w:rFonts w:ascii="Arial" w:hAnsi="Arial" w:cs="Arial"/>
                <w:color w:val="000000"/>
              </w:rPr>
              <w:t>Clinic</w:t>
            </w:r>
          </w:p>
        </w:tc>
      </w:tr>
      <w:tr w:rsidR="00AD4D4D" w:rsidRPr="00D43F09" w14:paraId="4DAD31EB"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3BD3D856" w14:textId="77777777" w:rsidR="00AD4D4D" w:rsidRPr="00D43F09" w:rsidRDefault="00AD4D4D" w:rsidP="002C0315">
            <w:pPr>
              <w:rPr>
                <w:rFonts w:ascii="Arial" w:hAnsi="Arial" w:cs="Arial"/>
                <w:color w:val="000000"/>
              </w:rPr>
            </w:pPr>
            <w:r w:rsidRPr="00D43F09">
              <w:rPr>
                <w:rFonts w:ascii="Arial" w:hAnsi="Arial" w:cs="Arial"/>
                <w:color w:val="000000"/>
              </w:rPr>
              <w:t>Clinic services</w:t>
            </w:r>
          </w:p>
        </w:tc>
        <w:tc>
          <w:tcPr>
            <w:tcW w:w="2433" w:type="dxa"/>
            <w:tcBorders>
              <w:top w:val="nil"/>
              <w:left w:val="nil"/>
              <w:bottom w:val="single" w:sz="4" w:space="0" w:color="auto"/>
              <w:right w:val="single" w:sz="4" w:space="0" w:color="auto"/>
            </w:tcBorders>
            <w:shd w:val="clear" w:color="auto" w:fill="auto"/>
            <w:hideMark/>
          </w:tcPr>
          <w:p w14:paraId="491F1D7B" w14:textId="60C72C46" w:rsidR="00AD4D4D" w:rsidRPr="00D43F09" w:rsidRDefault="00AD4D4D" w:rsidP="002C0315">
            <w:pPr>
              <w:rPr>
                <w:rFonts w:ascii="Arial" w:hAnsi="Arial" w:cs="Arial"/>
                <w:color w:val="000000"/>
              </w:rPr>
            </w:pPr>
            <w:r w:rsidRPr="00D43F09">
              <w:rPr>
                <w:rFonts w:ascii="Arial" w:hAnsi="Arial" w:cs="Arial"/>
                <w:color w:val="000000"/>
              </w:rPr>
              <w:t>Mass</w:t>
            </w:r>
            <w:r w:rsidR="00F844EF" w:rsidRPr="00D43F09">
              <w:rPr>
                <w:rFonts w:ascii="Arial" w:hAnsi="Arial" w:cs="Arial"/>
                <w:color w:val="000000"/>
              </w:rPr>
              <w:t xml:space="preserve"> </w:t>
            </w:r>
            <w:r w:rsidRPr="00D43F09">
              <w:rPr>
                <w:rFonts w:ascii="Arial" w:hAnsi="Arial" w:cs="Arial"/>
                <w:color w:val="000000"/>
              </w:rPr>
              <w:t>Mental Health Center</w:t>
            </w:r>
          </w:p>
        </w:tc>
        <w:tc>
          <w:tcPr>
            <w:tcW w:w="1262" w:type="dxa"/>
            <w:tcBorders>
              <w:top w:val="nil"/>
              <w:left w:val="nil"/>
              <w:bottom w:val="single" w:sz="4" w:space="0" w:color="auto"/>
              <w:right w:val="single" w:sz="4" w:space="0" w:color="auto"/>
            </w:tcBorders>
            <w:shd w:val="clear" w:color="auto" w:fill="auto"/>
            <w:noWrap/>
            <w:hideMark/>
          </w:tcPr>
          <w:p w14:paraId="49BAC10A" w14:textId="77777777" w:rsidR="00AD4D4D" w:rsidRPr="00D43F09" w:rsidRDefault="00AD4D4D" w:rsidP="002C0315">
            <w:pPr>
              <w:rPr>
                <w:rFonts w:ascii="Arial" w:hAnsi="Arial" w:cs="Arial"/>
                <w:color w:val="000000"/>
              </w:rPr>
            </w:pPr>
            <w:r w:rsidRPr="00D43F09">
              <w:rPr>
                <w:rFonts w:ascii="Arial" w:hAnsi="Arial" w:cs="Arial"/>
                <w:color w:val="000000"/>
              </w:rPr>
              <w:t>Boston</w:t>
            </w:r>
          </w:p>
        </w:tc>
        <w:tc>
          <w:tcPr>
            <w:tcW w:w="1442" w:type="dxa"/>
            <w:tcBorders>
              <w:top w:val="nil"/>
              <w:left w:val="nil"/>
              <w:bottom w:val="single" w:sz="4" w:space="0" w:color="auto"/>
              <w:right w:val="single" w:sz="4" w:space="0" w:color="auto"/>
            </w:tcBorders>
            <w:shd w:val="clear" w:color="auto" w:fill="auto"/>
            <w:noWrap/>
            <w:hideMark/>
          </w:tcPr>
          <w:p w14:paraId="1C8C6FCE" w14:textId="77777777" w:rsidR="00AD4D4D" w:rsidRPr="00D43F09" w:rsidRDefault="00AD4D4D" w:rsidP="002C0315">
            <w:pPr>
              <w:jc w:val="center"/>
              <w:rPr>
                <w:rFonts w:ascii="Arial" w:hAnsi="Arial" w:cs="Arial"/>
                <w:bCs/>
              </w:rPr>
            </w:pPr>
            <w:r w:rsidRPr="00D43F09">
              <w:rPr>
                <w:rFonts w:ascii="Arial" w:hAnsi="Arial" w:cs="Arial"/>
                <w:bCs/>
              </w:rPr>
              <w:t>1073638805</w:t>
            </w:r>
          </w:p>
        </w:tc>
        <w:tc>
          <w:tcPr>
            <w:tcW w:w="811" w:type="dxa"/>
            <w:tcBorders>
              <w:top w:val="nil"/>
              <w:left w:val="nil"/>
              <w:bottom w:val="single" w:sz="4" w:space="0" w:color="auto"/>
              <w:right w:val="single" w:sz="4" w:space="0" w:color="auto"/>
            </w:tcBorders>
            <w:shd w:val="clear" w:color="auto" w:fill="auto"/>
            <w:noWrap/>
            <w:hideMark/>
          </w:tcPr>
          <w:p w14:paraId="52A9FD23" w14:textId="77777777" w:rsidR="00AD4D4D" w:rsidRPr="00D43F09" w:rsidRDefault="00AD4D4D" w:rsidP="002C0315">
            <w:pPr>
              <w:rPr>
                <w:rFonts w:ascii="Arial" w:hAnsi="Arial" w:cs="Arial"/>
                <w:color w:val="000000"/>
              </w:rPr>
            </w:pPr>
            <w:r w:rsidRPr="00D43F09">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5E61169B" w14:textId="77777777" w:rsidR="00AD4D4D" w:rsidRPr="00D43F09" w:rsidRDefault="00AD4D4D" w:rsidP="002C0315">
            <w:pPr>
              <w:rPr>
                <w:rFonts w:ascii="Arial" w:hAnsi="Arial" w:cs="Arial"/>
                <w:color w:val="000000"/>
              </w:rPr>
            </w:pPr>
            <w:r w:rsidRPr="00D43F09">
              <w:rPr>
                <w:rFonts w:ascii="Arial" w:hAnsi="Arial" w:cs="Arial"/>
                <w:color w:val="000000"/>
              </w:rPr>
              <w:t>Clinic</w:t>
            </w:r>
          </w:p>
        </w:tc>
      </w:tr>
    </w:tbl>
    <w:p w14:paraId="1CB2CBEC" w14:textId="481390F9" w:rsidR="004A4A55" w:rsidRPr="00D43F09" w:rsidRDefault="004A4A55" w:rsidP="004A4A55">
      <w:pPr>
        <w:rPr>
          <w:rFonts w:ascii="Arial" w:hAnsi="Arial" w:cs="Arial"/>
          <w:b/>
          <w:u w:val="single"/>
        </w:rPr>
      </w:pPr>
    </w:p>
    <w:p w14:paraId="31AD720E" w14:textId="65FD5581" w:rsidR="007D312A" w:rsidRPr="00D43F09" w:rsidRDefault="007D312A" w:rsidP="004A4A55">
      <w:pPr>
        <w:rPr>
          <w:rFonts w:ascii="Arial" w:hAnsi="Arial" w:cs="Arial"/>
          <w:b/>
          <w:u w:val="single"/>
        </w:rPr>
      </w:pPr>
    </w:p>
    <w:p w14:paraId="42C62E93" w14:textId="77777777" w:rsidR="007D312A" w:rsidRPr="00D43F09" w:rsidRDefault="007D312A" w:rsidP="004A4A55">
      <w:pPr>
        <w:rPr>
          <w:rFonts w:ascii="Arial" w:hAnsi="Arial" w:cs="Arial"/>
          <w:b/>
          <w:u w:val="single"/>
        </w:rPr>
      </w:pPr>
    </w:p>
    <w:p w14:paraId="541A1C0B" w14:textId="77777777" w:rsidR="007D312A" w:rsidRPr="00D43F09" w:rsidRDefault="007D312A" w:rsidP="007D312A">
      <w:pPr>
        <w:jc w:val="center"/>
        <w:rPr>
          <w:rFonts w:ascii="Arial" w:hAnsi="Arial" w:cs="Arial"/>
          <w:bCs/>
          <w:i/>
          <w:iCs/>
        </w:rPr>
      </w:pPr>
      <w:r w:rsidRPr="00D43F09">
        <w:rPr>
          <w:rFonts w:ascii="Arial" w:hAnsi="Arial" w:cs="Arial"/>
          <w:bCs/>
          <w:i/>
          <w:iCs/>
        </w:rPr>
        <w:t>[REMAINDER OF PAGE INTENTIONALLY BLANK]</w:t>
      </w:r>
      <w:r w:rsidRPr="00D43F09">
        <w:rPr>
          <w:rFonts w:ascii="Arial" w:hAnsi="Arial" w:cs="Arial"/>
          <w:bCs/>
          <w:i/>
          <w:iCs/>
        </w:rPr>
        <w:br w:type="page"/>
      </w:r>
    </w:p>
    <w:p w14:paraId="6435FA36" w14:textId="1D69E046" w:rsidR="00B1306B" w:rsidRPr="00D43F09" w:rsidRDefault="004A4A55" w:rsidP="00B1306B">
      <w:pPr>
        <w:overflowPunct w:val="0"/>
        <w:autoSpaceDE w:val="0"/>
        <w:autoSpaceDN w:val="0"/>
        <w:adjustRightInd w:val="0"/>
        <w:jc w:val="center"/>
        <w:textAlignment w:val="baseline"/>
        <w:rPr>
          <w:rFonts w:ascii="Arial" w:eastAsia="Calibri" w:hAnsi="Arial" w:cs="Arial"/>
          <w:b/>
          <w:color w:val="212121"/>
        </w:rPr>
      </w:pPr>
      <w:r w:rsidRPr="00D43F09">
        <w:rPr>
          <w:rFonts w:ascii="Arial" w:eastAsia="Calibri" w:hAnsi="Arial" w:cs="Arial"/>
          <w:b/>
        </w:rPr>
        <w:lastRenderedPageBreak/>
        <w:t xml:space="preserve">Exhibit </w:t>
      </w:r>
      <w:r w:rsidR="00723CE0" w:rsidRPr="00D43F09">
        <w:rPr>
          <w:rFonts w:ascii="Arial" w:eastAsia="Calibri" w:hAnsi="Arial" w:cs="Arial"/>
          <w:b/>
        </w:rPr>
        <w:t>4</w:t>
      </w:r>
      <w:r w:rsidRPr="00D43F09">
        <w:rPr>
          <w:rFonts w:ascii="Arial" w:eastAsia="Calibri" w:hAnsi="Arial" w:cs="Arial"/>
          <w:b/>
        </w:rPr>
        <w:t xml:space="preserve">:  </w:t>
      </w:r>
      <w:r w:rsidR="00B1306B" w:rsidRPr="00D43F09">
        <w:rPr>
          <w:rFonts w:ascii="Arial" w:eastAsia="Calibri" w:hAnsi="Arial" w:cs="Arial"/>
          <w:b/>
        </w:rPr>
        <w:t>State-Owned DMH and DPH Hospitals</w:t>
      </w:r>
    </w:p>
    <w:p w14:paraId="381F48B2" w14:textId="77777777" w:rsidR="00B1306B" w:rsidRPr="00D43F09" w:rsidRDefault="00B1306B" w:rsidP="00B1306B">
      <w:pPr>
        <w:overflowPunct w:val="0"/>
        <w:autoSpaceDE w:val="0"/>
        <w:autoSpaceDN w:val="0"/>
        <w:adjustRightInd w:val="0"/>
        <w:textAlignment w:val="baseline"/>
        <w:rPr>
          <w:rFonts w:ascii="Arial" w:hAnsi="Arial" w:cs="Arial"/>
        </w:rPr>
      </w:pPr>
    </w:p>
    <w:tbl>
      <w:tblPr>
        <w:tblW w:w="10460" w:type="dxa"/>
        <w:tblLook w:val="04A0" w:firstRow="1" w:lastRow="0" w:firstColumn="1" w:lastColumn="0" w:noHBand="0" w:noVBand="1"/>
      </w:tblPr>
      <w:tblGrid>
        <w:gridCol w:w="1083"/>
        <w:gridCol w:w="4880"/>
        <w:gridCol w:w="2020"/>
        <w:gridCol w:w="2520"/>
      </w:tblGrid>
      <w:tr w:rsidR="00B1306B" w:rsidRPr="00D43F09" w14:paraId="0CB2D867" w14:textId="77777777" w:rsidTr="00115DBF">
        <w:trPr>
          <w:trHeight w:val="930"/>
        </w:trPr>
        <w:tc>
          <w:tcPr>
            <w:tcW w:w="10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23349567" w14:textId="77777777" w:rsidR="00B1306B" w:rsidRPr="00D43F09" w:rsidRDefault="00B1306B" w:rsidP="00115DBF">
            <w:pPr>
              <w:rPr>
                <w:rFonts w:ascii="Arial" w:hAnsi="Arial" w:cs="Arial"/>
                <w:b/>
                <w:bCs/>
                <w:color w:val="000000"/>
              </w:rPr>
            </w:pPr>
            <w:r w:rsidRPr="00D43F09">
              <w:rPr>
                <w:rFonts w:ascii="Arial" w:hAnsi="Arial" w:cs="Arial"/>
                <w:b/>
                <w:bCs/>
                <w:color w:val="000000"/>
              </w:rPr>
              <w:t>State Agency</w:t>
            </w:r>
          </w:p>
        </w:tc>
        <w:tc>
          <w:tcPr>
            <w:tcW w:w="4880" w:type="dxa"/>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335467DC" w14:textId="77777777" w:rsidR="00B1306B" w:rsidRPr="00D43F09" w:rsidRDefault="00B1306B" w:rsidP="00115DBF">
            <w:pPr>
              <w:rPr>
                <w:rFonts w:ascii="Arial" w:hAnsi="Arial" w:cs="Arial"/>
                <w:b/>
                <w:bCs/>
                <w:color w:val="000000"/>
              </w:rPr>
            </w:pPr>
            <w:r w:rsidRPr="00D43F09">
              <w:rPr>
                <w:rFonts w:ascii="Arial" w:hAnsi="Arial" w:cs="Arial"/>
                <w:b/>
                <w:bCs/>
                <w:color w:val="000000"/>
              </w:rPr>
              <w:t>Hospital Name</w:t>
            </w:r>
          </w:p>
        </w:tc>
        <w:tc>
          <w:tcPr>
            <w:tcW w:w="2020" w:type="dxa"/>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48213BC9" w14:textId="77777777" w:rsidR="00B1306B" w:rsidRPr="00D43F09" w:rsidRDefault="00B1306B" w:rsidP="00115DBF">
            <w:pPr>
              <w:rPr>
                <w:rFonts w:ascii="Arial" w:hAnsi="Arial" w:cs="Arial"/>
                <w:b/>
                <w:bCs/>
                <w:color w:val="000000"/>
              </w:rPr>
            </w:pPr>
            <w:r w:rsidRPr="00D43F09">
              <w:rPr>
                <w:rFonts w:ascii="Arial" w:hAnsi="Arial" w:cs="Arial"/>
                <w:b/>
                <w:bCs/>
                <w:color w:val="000000"/>
              </w:rPr>
              <w:t>MassHealth Provider ID</w:t>
            </w:r>
          </w:p>
        </w:tc>
        <w:tc>
          <w:tcPr>
            <w:tcW w:w="2520" w:type="dxa"/>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3DFF7832" w14:textId="77777777" w:rsidR="00B1306B" w:rsidRPr="00D43F09" w:rsidRDefault="00B1306B" w:rsidP="00115DBF">
            <w:pPr>
              <w:jc w:val="center"/>
              <w:rPr>
                <w:rFonts w:ascii="Arial" w:hAnsi="Arial" w:cs="Arial"/>
                <w:b/>
                <w:bCs/>
                <w:color w:val="000000"/>
              </w:rPr>
            </w:pPr>
            <w:r w:rsidRPr="00D43F09">
              <w:rPr>
                <w:rFonts w:ascii="Arial" w:hAnsi="Arial" w:cs="Arial"/>
                <w:b/>
                <w:bCs/>
                <w:color w:val="000000"/>
              </w:rPr>
              <w:t>Provides Continuing Inpatient Psychiatric Care</w:t>
            </w:r>
          </w:p>
        </w:tc>
      </w:tr>
      <w:tr w:rsidR="00B1306B" w:rsidRPr="00D43F09" w14:paraId="531E8E67"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424B0C6" w14:textId="77777777" w:rsidR="00B1306B" w:rsidRPr="00D43F09" w:rsidRDefault="00B1306B" w:rsidP="00115DBF">
            <w:pPr>
              <w:rPr>
                <w:rFonts w:ascii="Arial" w:hAnsi="Arial" w:cs="Arial"/>
                <w:color w:val="000000"/>
              </w:rPr>
            </w:pPr>
            <w:r w:rsidRPr="00D43F09">
              <w:rPr>
                <w:rFonts w:ascii="Arial" w:hAnsi="Arial" w:cs="Arial"/>
                <w:color w:val="000000"/>
              </w:rPr>
              <w:t>DMH</w:t>
            </w:r>
          </w:p>
        </w:tc>
        <w:tc>
          <w:tcPr>
            <w:tcW w:w="4880" w:type="dxa"/>
            <w:tcBorders>
              <w:top w:val="nil"/>
              <w:left w:val="nil"/>
              <w:bottom w:val="single" w:sz="4" w:space="0" w:color="auto"/>
              <w:right w:val="single" w:sz="4" w:space="0" w:color="auto"/>
            </w:tcBorders>
            <w:shd w:val="clear" w:color="auto" w:fill="auto"/>
            <w:noWrap/>
            <w:vAlign w:val="bottom"/>
            <w:hideMark/>
          </w:tcPr>
          <w:p w14:paraId="4E9E6F19" w14:textId="77777777" w:rsidR="00B1306B" w:rsidRPr="00D43F09" w:rsidRDefault="00B1306B" w:rsidP="00115DBF">
            <w:pPr>
              <w:rPr>
                <w:rFonts w:ascii="Arial" w:hAnsi="Arial" w:cs="Arial"/>
                <w:color w:val="000000"/>
              </w:rPr>
            </w:pPr>
            <w:r w:rsidRPr="00D43F09">
              <w:rPr>
                <w:rFonts w:ascii="Arial" w:hAnsi="Arial" w:cs="Arial"/>
                <w:color w:val="000000"/>
              </w:rPr>
              <w:t>SC Fuller Mental Health Center</w:t>
            </w:r>
          </w:p>
        </w:tc>
        <w:tc>
          <w:tcPr>
            <w:tcW w:w="2020" w:type="dxa"/>
            <w:tcBorders>
              <w:top w:val="nil"/>
              <w:left w:val="nil"/>
              <w:bottom w:val="single" w:sz="4" w:space="0" w:color="auto"/>
              <w:right w:val="single" w:sz="4" w:space="0" w:color="auto"/>
            </w:tcBorders>
            <w:shd w:val="clear" w:color="auto" w:fill="auto"/>
            <w:noWrap/>
            <w:vAlign w:val="bottom"/>
            <w:hideMark/>
          </w:tcPr>
          <w:p w14:paraId="2F1903C0" w14:textId="77777777" w:rsidR="00B1306B" w:rsidRPr="00D43F09" w:rsidRDefault="00B1306B" w:rsidP="00115DBF">
            <w:pPr>
              <w:rPr>
                <w:rFonts w:ascii="Arial" w:hAnsi="Arial" w:cs="Arial"/>
                <w:color w:val="000000"/>
              </w:rPr>
            </w:pPr>
            <w:r w:rsidRPr="00D43F09">
              <w:rPr>
                <w:rFonts w:ascii="Arial" w:hAnsi="Arial" w:cs="Arial"/>
                <w:color w:val="000000"/>
              </w:rPr>
              <w:t>110000091G </w:t>
            </w:r>
          </w:p>
        </w:tc>
        <w:tc>
          <w:tcPr>
            <w:tcW w:w="2520" w:type="dxa"/>
            <w:tcBorders>
              <w:top w:val="nil"/>
              <w:left w:val="nil"/>
              <w:bottom w:val="single" w:sz="4" w:space="0" w:color="auto"/>
              <w:right w:val="single" w:sz="4" w:space="0" w:color="auto"/>
            </w:tcBorders>
            <w:shd w:val="clear" w:color="auto" w:fill="auto"/>
            <w:noWrap/>
            <w:vAlign w:val="bottom"/>
            <w:hideMark/>
          </w:tcPr>
          <w:p w14:paraId="6DB1A547" w14:textId="77777777" w:rsidR="00B1306B" w:rsidRPr="00D43F09" w:rsidRDefault="00B1306B" w:rsidP="00115DBF">
            <w:pPr>
              <w:jc w:val="center"/>
              <w:rPr>
                <w:rFonts w:ascii="Arial" w:hAnsi="Arial" w:cs="Arial"/>
                <w:color w:val="000000"/>
              </w:rPr>
            </w:pPr>
            <w:r w:rsidRPr="00D43F09">
              <w:rPr>
                <w:rFonts w:ascii="Arial" w:hAnsi="Arial" w:cs="Arial"/>
                <w:color w:val="000000"/>
              </w:rPr>
              <w:t>No</w:t>
            </w:r>
          </w:p>
        </w:tc>
      </w:tr>
      <w:tr w:rsidR="00B1306B" w:rsidRPr="00D43F09" w14:paraId="6DE300AE"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649D7C3" w14:textId="77777777" w:rsidR="00B1306B" w:rsidRPr="00D43F09" w:rsidRDefault="00B1306B" w:rsidP="00115DBF">
            <w:pPr>
              <w:rPr>
                <w:rFonts w:ascii="Arial" w:hAnsi="Arial" w:cs="Arial"/>
                <w:color w:val="000000"/>
              </w:rPr>
            </w:pPr>
            <w:r w:rsidRPr="00D43F09">
              <w:rPr>
                <w:rFonts w:ascii="Arial" w:hAnsi="Arial" w:cs="Arial"/>
                <w:color w:val="000000"/>
              </w:rPr>
              <w:t>DMH</w:t>
            </w:r>
          </w:p>
        </w:tc>
        <w:tc>
          <w:tcPr>
            <w:tcW w:w="4880" w:type="dxa"/>
            <w:tcBorders>
              <w:top w:val="nil"/>
              <w:left w:val="nil"/>
              <w:bottom w:val="single" w:sz="4" w:space="0" w:color="auto"/>
              <w:right w:val="single" w:sz="4" w:space="0" w:color="auto"/>
            </w:tcBorders>
            <w:shd w:val="clear" w:color="auto" w:fill="auto"/>
            <w:noWrap/>
            <w:vAlign w:val="bottom"/>
            <w:hideMark/>
          </w:tcPr>
          <w:p w14:paraId="69E74594" w14:textId="77777777" w:rsidR="00B1306B" w:rsidRPr="00D43F09" w:rsidRDefault="00B1306B" w:rsidP="00115DBF">
            <w:pPr>
              <w:rPr>
                <w:rFonts w:ascii="Arial" w:hAnsi="Arial" w:cs="Arial"/>
                <w:color w:val="000000"/>
              </w:rPr>
            </w:pPr>
            <w:r w:rsidRPr="00D43F09">
              <w:rPr>
                <w:rFonts w:ascii="Arial" w:hAnsi="Arial" w:cs="Arial"/>
                <w:color w:val="000000"/>
              </w:rPr>
              <w:t>Taunton State Hospital</w:t>
            </w:r>
          </w:p>
        </w:tc>
        <w:tc>
          <w:tcPr>
            <w:tcW w:w="2020" w:type="dxa"/>
            <w:tcBorders>
              <w:top w:val="nil"/>
              <w:left w:val="nil"/>
              <w:bottom w:val="single" w:sz="4" w:space="0" w:color="auto"/>
              <w:right w:val="single" w:sz="4" w:space="0" w:color="auto"/>
            </w:tcBorders>
            <w:shd w:val="clear" w:color="auto" w:fill="auto"/>
            <w:noWrap/>
            <w:vAlign w:val="bottom"/>
            <w:hideMark/>
          </w:tcPr>
          <w:p w14:paraId="686534A0" w14:textId="77777777" w:rsidR="00B1306B" w:rsidRPr="00D43F09" w:rsidRDefault="00B1306B" w:rsidP="00115DBF">
            <w:pPr>
              <w:rPr>
                <w:rFonts w:ascii="Arial" w:hAnsi="Arial" w:cs="Arial"/>
                <w:color w:val="000000"/>
              </w:rPr>
            </w:pPr>
            <w:r w:rsidRPr="00D43F09">
              <w:rPr>
                <w:rFonts w:ascii="Arial" w:hAnsi="Arial" w:cs="Arial"/>
                <w:color w:val="000000"/>
              </w:rPr>
              <w:t>110000084H </w:t>
            </w:r>
          </w:p>
        </w:tc>
        <w:tc>
          <w:tcPr>
            <w:tcW w:w="2520" w:type="dxa"/>
            <w:tcBorders>
              <w:top w:val="nil"/>
              <w:left w:val="nil"/>
              <w:bottom w:val="single" w:sz="4" w:space="0" w:color="auto"/>
              <w:right w:val="single" w:sz="4" w:space="0" w:color="auto"/>
            </w:tcBorders>
            <w:shd w:val="clear" w:color="auto" w:fill="auto"/>
            <w:noWrap/>
            <w:vAlign w:val="bottom"/>
            <w:hideMark/>
          </w:tcPr>
          <w:p w14:paraId="0DA0D39E" w14:textId="77777777" w:rsidR="00B1306B" w:rsidRPr="00D43F09" w:rsidRDefault="00B1306B" w:rsidP="00115DBF">
            <w:pPr>
              <w:jc w:val="center"/>
              <w:rPr>
                <w:rFonts w:ascii="Arial" w:hAnsi="Arial" w:cs="Arial"/>
                <w:color w:val="000000"/>
              </w:rPr>
            </w:pPr>
            <w:r w:rsidRPr="00D43F09">
              <w:rPr>
                <w:rFonts w:ascii="Arial" w:hAnsi="Arial" w:cs="Arial"/>
                <w:color w:val="000000"/>
              </w:rPr>
              <w:t>Yes</w:t>
            </w:r>
          </w:p>
        </w:tc>
      </w:tr>
      <w:tr w:rsidR="00B1306B" w:rsidRPr="00D43F09" w14:paraId="6CD248C4"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89DFA77" w14:textId="77777777" w:rsidR="00B1306B" w:rsidRPr="00D43F09" w:rsidRDefault="00B1306B" w:rsidP="00115DBF">
            <w:pPr>
              <w:rPr>
                <w:rFonts w:ascii="Arial" w:hAnsi="Arial" w:cs="Arial"/>
                <w:color w:val="000000"/>
              </w:rPr>
            </w:pPr>
            <w:r w:rsidRPr="00D43F09">
              <w:rPr>
                <w:rFonts w:ascii="Arial" w:hAnsi="Arial" w:cs="Arial"/>
                <w:color w:val="000000"/>
              </w:rPr>
              <w:t>DMH</w:t>
            </w:r>
          </w:p>
        </w:tc>
        <w:tc>
          <w:tcPr>
            <w:tcW w:w="4880" w:type="dxa"/>
            <w:tcBorders>
              <w:top w:val="nil"/>
              <w:left w:val="nil"/>
              <w:bottom w:val="single" w:sz="4" w:space="0" w:color="auto"/>
              <w:right w:val="single" w:sz="4" w:space="0" w:color="auto"/>
            </w:tcBorders>
            <w:shd w:val="clear" w:color="auto" w:fill="auto"/>
            <w:noWrap/>
            <w:vAlign w:val="bottom"/>
            <w:hideMark/>
          </w:tcPr>
          <w:p w14:paraId="1F9E6666" w14:textId="77777777" w:rsidR="00B1306B" w:rsidRPr="00D43F09" w:rsidRDefault="00B1306B" w:rsidP="00115DBF">
            <w:pPr>
              <w:rPr>
                <w:rFonts w:ascii="Arial" w:hAnsi="Arial" w:cs="Arial"/>
                <w:color w:val="000000"/>
              </w:rPr>
            </w:pPr>
            <w:r w:rsidRPr="00D43F09">
              <w:rPr>
                <w:rFonts w:ascii="Arial" w:hAnsi="Arial" w:cs="Arial"/>
                <w:color w:val="000000"/>
              </w:rPr>
              <w:t>Worcester Recovery Center</w:t>
            </w:r>
          </w:p>
        </w:tc>
        <w:tc>
          <w:tcPr>
            <w:tcW w:w="2020" w:type="dxa"/>
            <w:tcBorders>
              <w:top w:val="nil"/>
              <w:left w:val="nil"/>
              <w:bottom w:val="single" w:sz="4" w:space="0" w:color="auto"/>
              <w:right w:val="single" w:sz="4" w:space="0" w:color="auto"/>
            </w:tcBorders>
            <w:shd w:val="clear" w:color="auto" w:fill="auto"/>
            <w:noWrap/>
            <w:vAlign w:val="bottom"/>
            <w:hideMark/>
          </w:tcPr>
          <w:p w14:paraId="1ACB0F41" w14:textId="77777777" w:rsidR="00B1306B" w:rsidRPr="00D43F09" w:rsidRDefault="00B1306B" w:rsidP="00115DBF">
            <w:pPr>
              <w:rPr>
                <w:rFonts w:ascii="Arial" w:hAnsi="Arial" w:cs="Arial"/>
                <w:color w:val="000000"/>
              </w:rPr>
            </w:pPr>
            <w:r w:rsidRPr="00D43F09">
              <w:rPr>
                <w:rFonts w:ascii="Arial" w:hAnsi="Arial" w:cs="Arial"/>
                <w:color w:val="000000"/>
              </w:rPr>
              <w:t>110000091D </w:t>
            </w:r>
          </w:p>
        </w:tc>
        <w:tc>
          <w:tcPr>
            <w:tcW w:w="2520" w:type="dxa"/>
            <w:tcBorders>
              <w:top w:val="nil"/>
              <w:left w:val="nil"/>
              <w:bottom w:val="single" w:sz="4" w:space="0" w:color="auto"/>
              <w:right w:val="single" w:sz="4" w:space="0" w:color="auto"/>
            </w:tcBorders>
            <w:shd w:val="clear" w:color="auto" w:fill="auto"/>
            <w:noWrap/>
            <w:vAlign w:val="bottom"/>
            <w:hideMark/>
          </w:tcPr>
          <w:p w14:paraId="7B14ECED" w14:textId="77777777" w:rsidR="00B1306B" w:rsidRPr="00D43F09" w:rsidRDefault="00B1306B" w:rsidP="00115DBF">
            <w:pPr>
              <w:jc w:val="center"/>
              <w:rPr>
                <w:rFonts w:ascii="Arial" w:hAnsi="Arial" w:cs="Arial"/>
                <w:color w:val="000000"/>
              </w:rPr>
            </w:pPr>
            <w:r w:rsidRPr="00D43F09">
              <w:rPr>
                <w:rFonts w:ascii="Arial" w:hAnsi="Arial" w:cs="Arial"/>
                <w:color w:val="000000"/>
              </w:rPr>
              <w:t>Yes</w:t>
            </w:r>
          </w:p>
        </w:tc>
      </w:tr>
      <w:tr w:rsidR="00B1306B" w:rsidRPr="00D43F09" w14:paraId="3CFFE0EC"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A3E6D08" w14:textId="77777777" w:rsidR="00B1306B" w:rsidRPr="00D43F09" w:rsidRDefault="00B1306B" w:rsidP="00115DBF">
            <w:pPr>
              <w:rPr>
                <w:rFonts w:ascii="Arial" w:hAnsi="Arial" w:cs="Arial"/>
                <w:color w:val="000000"/>
              </w:rPr>
            </w:pPr>
            <w:r w:rsidRPr="00D43F09">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27E9A00D" w14:textId="77777777" w:rsidR="00B1306B" w:rsidRPr="00D43F09" w:rsidRDefault="00B1306B" w:rsidP="00115DBF">
            <w:pPr>
              <w:rPr>
                <w:rFonts w:ascii="Arial" w:hAnsi="Arial" w:cs="Arial"/>
                <w:color w:val="000000"/>
              </w:rPr>
            </w:pPr>
            <w:r w:rsidRPr="00D43F09">
              <w:rPr>
                <w:rFonts w:ascii="Arial" w:hAnsi="Arial" w:cs="Arial"/>
                <w:color w:val="000000"/>
              </w:rPr>
              <w:t>Lemuel Shattuck Hospital</w:t>
            </w:r>
          </w:p>
        </w:tc>
        <w:tc>
          <w:tcPr>
            <w:tcW w:w="2020" w:type="dxa"/>
            <w:tcBorders>
              <w:top w:val="nil"/>
              <w:left w:val="nil"/>
              <w:bottom w:val="single" w:sz="4" w:space="0" w:color="auto"/>
              <w:right w:val="single" w:sz="4" w:space="0" w:color="auto"/>
            </w:tcBorders>
            <w:shd w:val="clear" w:color="auto" w:fill="auto"/>
            <w:noWrap/>
            <w:vAlign w:val="bottom"/>
            <w:hideMark/>
          </w:tcPr>
          <w:p w14:paraId="48ADEBE3" w14:textId="77777777" w:rsidR="00B1306B" w:rsidRPr="00D43F09" w:rsidRDefault="00B1306B" w:rsidP="00115DBF">
            <w:pPr>
              <w:rPr>
                <w:rFonts w:ascii="Arial" w:hAnsi="Arial" w:cs="Arial"/>
                <w:color w:val="000000"/>
              </w:rPr>
            </w:pPr>
            <w:r w:rsidRPr="00D43F09">
              <w:rPr>
                <w:rFonts w:ascii="Arial" w:hAnsi="Arial" w:cs="Arial"/>
                <w:color w:val="000000"/>
              </w:rPr>
              <w:t>110078189A/D</w:t>
            </w:r>
          </w:p>
        </w:tc>
        <w:tc>
          <w:tcPr>
            <w:tcW w:w="2520" w:type="dxa"/>
            <w:tcBorders>
              <w:top w:val="nil"/>
              <w:left w:val="nil"/>
              <w:bottom w:val="single" w:sz="4" w:space="0" w:color="auto"/>
              <w:right w:val="single" w:sz="4" w:space="0" w:color="auto"/>
            </w:tcBorders>
            <w:shd w:val="clear" w:color="auto" w:fill="auto"/>
            <w:noWrap/>
            <w:vAlign w:val="bottom"/>
            <w:hideMark/>
          </w:tcPr>
          <w:p w14:paraId="533F4326" w14:textId="77777777" w:rsidR="00B1306B" w:rsidRPr="00D43F09" w:rsidRDefault="00B1306B" w:rsidP="00115DBF">
            <w:pPr>
              <w:jc w:val="center"/>
              <w:rPr>
                <w:rFonts w:ascii="Arial" w:hAnsi="Arial" w:cs="Arial"/>
                <w:color w:val="000000"/>
              </w:rPr>
            </w:pPr>
            <w:r w:rsidRPr="00D43F09">
              <w:rPr>
                <w:rFonts w:ascii="Arial" w:hAnsi="Arial" w:cs="Arial"/>
                <w:color w:val="000000"/>
              </w:rPr>
              <w:t>Yes</w:t>
            </w:r>
          </w:p>
        </w:tc>
      </w:tr>
      <w:tr w:rsidR="00B1306B" w:rsidRPr="00D43F09" w14:paraId="30A7F0E9"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F648897" w14:textId="77777777" w:rsidR="00B1306B" w:rsidRPr="00D43F09" w:rsidRDefault="00B1306B" w:rsidP="00115DBF">
            <w:pPr>
              <w:rPr>
                <w:rFonts w:ascii="Arial" w:hAnsi="Arial" w:cs="Arial"/>
                <w:color w:val="000000"/>
              </w:rPr>
            </w:pPr>
            <w:r w:rsidRPr="00D43F09">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0ED8CDF1" w14:textId="77777777" w:rsidR="00B1306B" w:rsidRPr="00D43F09" w:rsidRDefault="00B1306B" w:rsidP="00115DBF">
            <w:pPr>
              <w:rPr>
                <w:rFonts w:ascii="Arial" w:hAnsi="Arial" w:cs="Arial"/>
                <w:color w:val="000000"/>
              </w:rPr>
            </w:pPr>
            <w:r w:rsidRPr="00D43F09">
              <w:rPr>
                <w:rFonts w:ascii="Arial" w:hAnsi="Arial" w:cs="Arial"/>
                <w:color w:val="000000"/>
              </w:rPr>
              <w:t>Tewksbury Hospital</w:t>
            </w:r>
          </w:p>
        </w:tc>
        <w:tc>
          <w:tcPr>
            <w:tcW w:w="2020" w:type="dxa"/>
            <w:tcBorders>
              <w:top w:val="nil"/>
              <w:left w:val="nil"/>
              <w:bottom w:val="single" w:sz="4" w:space="0" w:color="auto"/>
              <w:right w:val="single" w:sz="4" w:space="0" w:color="auto"/>
            </w:tcBorders>
            <w:shd w:val="clear" w:color="auto" w:fill="auto"/>
            <w:noWrap/>
            <w:vAlign w:val="bottom"/>
            <w:hideMark/>
          </w:tcPr>
          <w:p w14:paraId="2E615C29" w14:textId="77777777" w:rsidR="00B1306B" w:rsidRPr="00D43F09" w:rsidRDefault="00B1306B" w:rsidP="00115DBF">
            <w:pPr>
              <w:rPr>
                <w:rFonts w:ascii="Arial" w:hAnsi="Arial" w:cs="Arial"/>
                <w:color w:val="000000"/>
              </w:rPr>
            </w:pPr>
            <w:r w:rsidRPr="00D43F09">
              <w:rPr>
                <w:rFonts w:ascii="Arial" w:hAnsi="Arial" w:cs="Arial"/>
                <w:color w:val="000000"/>
              </w:rPr>
              <w:t>110078185A</w:t>
            </w:r>
          </w:p>
        </w:tc>
        <w:tc>
          <w:tcPr>
            <w:tcW w:w="2520" w:type="dxa"/>
            <w:tcBorders>
              <w:top w:val="nil"/>
              <w:left w:val="nil"/>
              <w:bottom w:val="single" w:sz="4" w:space="0" w:color="auto"/>
              <w:right w:val="single" w:sz="4" w:space="0" w:color="auto"/>
            </w:tcBorders>
            <w:shd w:val="clear" w:color="auto" w:fill="auto"/>
            <w:noWrap/>
            <w:vAlign w:val="bottom"/>
            <w:hideMark/>
          </w:tcPr>
          <w:p w14:paraId="681960EA" w14:textId="77777777" w:rsidR="00B1306B" w:rsidRPr="00D43F09" w:rsidRDefault="00B1306B" w:rsidP="00115DBF">
            <w:pPr>
              <w:jc w:val="center"/>
              <w:rPr>
                <w:rFonts w:ascii="Arial" w:hAnsi="Arial" w:cs="Arial"/>
                <w:color w:val="000000"/>
              </w:rPr>
            </w:pPr>
            <w:r w:rsidRPr="00D43F09">
              <w:rPr>
                <w:rFonts w:ascii="Arial" w:hAnsi="Arial" w:cs="Arial"/>
                <w:color w:val="000000"/>
              </w:rPr>
              <w:t>Yes</w:t>
            </w:r>
          </w:p>
        </w:tc>
      </w:tr>
      <w:tr w:rsidR="00B1306B" w:rsidRPr="00D43F09" w14:paraId="4514E05F"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5D1F6CF" w14:textId="77777777" w:rsidR="00B1306B" w:rsidRPr="00D43F09" w:rsidRDefault="00B1306B" w:rsidP="00115DBF">
            <w:pPr>
              <w:rPr>
                <w:rFonts w:ascii="Arial" w:hAnsi="Arial" w:cs="Arial"/>
                <w:color w:val="000000"/>
              </w:rPr>
            </w:pPr>
            <w:r w:rsidRPr="00D43F09">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52F626B5" w14:textId="77777777" w:rsidR="00B1306B" w:rsidRPr="00D43F09" w:rsidRDefault="00B1306B" w:rsidP="00115DBF">
            <w:pPr>
              <w:rPr>
                <w:rFonts w:ascii="Arial" w:hAnsi="Arial" w:cs="Arial"/>
                <w:color w:val="000000"/>
              </w:rPr>
            </w:pPr>
            <w:r w:rsidRPr="00D43F09">
              <w:rPr>
                <w:rFonts w:ascii="Arial" w:hAnsi="Arial" w:cs="Arial"/>
                <w:color w:val="000000"/>
              </w:rPr>
              <w:t>Western Massachusetts Hospital</w:t>
            </w:r>
          </w:p>
        </w:tc>
        <w:tc>
          <w:tcPr>
            <w:tcW w:w="2020" w:type="dxa"/>
            <w:tcBorders>
              <w:top w:val="nil"/>
              <w:left w:val="nil"/>
              <w:bottom w:val="single" w:sz="4" w:space="0" w:color="auto"/>
              <w:right w:val="single" w:sz="4" w:space="0" w:color="auto"/>
            </w:tcBorders>
            <w:shd w:val="clear" w:color="auto" w:fill="auto"/>
            <w:noWrap/>
            <w:vAlign w:val="bottom"/>
            <w:hideMark/>
          </w:tcPr>
          <w:p w14:paraId="4837E0D8" w14:textId="77777777" w:rsidR="00B1306B" w:rsidRPr="00D43F09" w:rsidRDefault="00B1306B" w:rsidP="00115DBF">
            <w:pPr>
              <w:rPr>
                <w:rFonts w:ascii="Arial" w:hAnsi="Arial" w:cs="Arial"/>
                <w:color w:val="000000"/>
              </w:rPr>
            </w:pPr>
            <w:r w:rsidRPr="00D43F09">
              <w:rPr>
                <w:rFonts w:ascii="Arial" w:hAnsi="Arial" w:cs="Arial"/>
                <w:color w:val="000000"/>
              </w:rPr>
              <w:t>110027398B/E</w:t>
            </w:r>
          </w:p>
        </w:tc>
        <w:tc>
          <w:tcPr>
            <w:tcW w:w="2520" w:type="dxa"/>
            <w:tcBorders>
              <w:top w:val="nil"/>
              <w:left w:val="nil"/>
              <w:bottom w:val="single" w:sz="4" w:space="0" w:color="auto"/>
              <w:right w:val="single" w:sz="4" w:space="0" w:color="auto"/>
            </w:tcBorders>
            <w:shd w:val="clear" w:color="auto" w:fill="auto"/>
            <w:noWrap/>
            <w:vAlign w:val="bottom"/>
            <w:hideMark/>
          </w:tcPr>
          <w:p w14:paraId="22B9984F" w14:textId="77777777" w:rsidR="00B1306B" w:rsidRPr="00D43F09" w:rsidRDefault="00B1306B" w:rsidP="00115DBF">
            <w:pPr>
              <w:jc w:val="center"/>
              <w:rPr>
                <w:rFonts w:ascii="Arial" w:hAnsi="Arial" w:cs="Arial"/>
                <w:color w:val="000000"/>
              </w:rPr>
            </w:pPr>
            <w:r w:rsidRPr="00D43F09">
              <w:rPr>
                <w:rFonts w:ascii="Arial" w:hAnsi="Arial" w:cs="Arial"/>
                <w:color w:val="000000"/>
              </w:rPr>
              <w:t>No</w:t>
            </w:r>
          </w:p>
        </w:tc>
      </w:tr>
      <w:tr w:rsidR="00B1306B" w:rsidRPr="00D43F09" w14:paraId="70BE17F5" w14:textId="77777777" w:rsidTr="00115DBF">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CF075E7" w14:textId="77777777" w:rsidR="00B1306B" w:rsidRPr="00D43F09" w:rsidRDefault="00B1306B" w:rsidP="00115DBF">
            <w:pPr>
              <w:rPr>
                <w:rFonts w:ascii="Arial" w:hAnsi="Arial" w:cs="Arial"/>
                <w:color w:val="000000"/>
              </w:rPr>
            </w:pPr>
            <w:r w:rsidRPr="00D43F09">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3FE7ED25" w14:textId="77777777" w:rsidR="00B1306B" w:rsidRPr="00D43F09" w:rsidRDefault="00B1306B" w:rsidP="00115DBF">
            <w:pPr>
              <w:rPr>
                <w:rFonts w:ascii="Arial" w:hAnsi="Arial" w:cs="Arial"/>
                <w:color w:val="000000"/>
              </w:rPr>
            </w:pPr>
            <w:r w:rsidRPr="00D43F09">
              <w:rPr>
                <w:rFonts w:ascii="Arial" w:hAnsi="Arial" w:cs="Arial"/>
                <w:color w:val="000000"/>
              </w:rPr>
              <w:t>Pappas Rehabilitation Hospital for Children*</w:t>
            </w:r>
          </w:p>
        </w:tc>
        <w:tc>
          <w:tcPr>
            <w:tcW w:w="2020" w:type="dxa"/>
            <w:tcBorders>
              <w:top w:val="nil"/>
              <w:left w:val="nil"/>
              <w:bottom w:val="single" w:sz="4" w:space="0" w:color="auto"/>
              <w:right w:val="single" w:sz="4" w:space="0" w:color="auto"/>
            </w:tcBorders>
            <w:shd w:val="clear" w:color="auto" w:fill="auto"/>
            <w:noWrap/>
            <w:vAlign w:val="bottom"/>
            <w:hideMark/>
          </w:tcPr>
          <w:p w14:paraId="3F817032" w14:textId="77777777" w:rsidR="00B1306B" w:rsidRPr="00D43F09" w:rsidRDefault="00B1306B" w:rsidP="00115DBF">
            <w:pPr>
              <w:rPr>
                <w:rFonts w:ascii="Arial" w:hAnsi="Arial" w:cs="Arial"/>
                <w:color w:val="000000"/>
              </w:rPr>
            </w:pPr>
            <w:r w:rsidRPr="00D43F09">
              <w:rPr>
                <w:rFonts w:ascii="Arial" w:hAnsi="Arial" w:cs="Arial"/>
                <w:color w:val="000000"/>
              </w:rPr>
              <w:t>110078194D</w:t>
            </w:r>
          </w:p>
        </w:tc>
        <w:tc>
          <w:tcPr>
            <w:tcW w:w="2520" w:type="dxa"/>
            <w:tcBorders>
              <w:top w:val="nil"/>
              <w:left w:val="nil"/>
              <w:bottom w:val="single" w:sz="4" w:space="0" w:color="auto"/>
              <w:right w:val="single" w:sz="4" w:space="0" w:color="auto"/>
            </w:tcBorders>
            <w:shd w:val="clear" w:color="auto" w:fill="auto"/>
            <w:noWrap/>
            <w:vAlign w:val="bottom"/>
            <w:hideMark/>
          </w:tcPr>
          <w:p w14:paraId="63B9FA24" w14:textId="77777777" w:rsidR="00B1306B" w:rsidRPr="00D43F09" w:rsidRDefault="00B1306B" w:rsidP="00115DBF">
            <w:pPr>
              <w:jc w:val="center"/>
              <w:rPr>
                <w:rFonts w:ascii="Arial" w:hAnsi="Arial" w:cs="Arial"/>
                <w:color w:val="000000"/>
              </w:rPr>
            </w:pPr>
            <w:r w:rsidRPr="00D43F09">
              <w:rPr>
                <w:rFonts w:ascii="Arial" w:hAnsi="Arial" w:cs="Arial"/>
                <w:color w:val="000000"/>
              </w:rPr>
              <w:t>No</w:t>
            </w:r>
          </w:p>
        </w:tc>
      </w:tr>
    </w:tbl>
    <w:p w14:paraId="3A373E1D" w14:textId="77777777" w:rsidR="00ED70C1" w:rsidRPr="00D43F09" w:rsidRDefault="00ED70C1" w:rsidP="00ED70C1">
      <w:pPr>
        <w:overflowPunct w:val="0"/>
        <w:autoSpaceDE w:val="0"/>
        <w:autoSpaceDN w:val="0"/>
        <w:adjustRightInd w:val="0"/>
        <w:textAlignment w:val="baseline"/>
        <w:rPr>
          <w:rFonts w:ascii="Arial" w:eastAsia="Calibri" w:hAnsi="Arial" w:cs="Arial"/>
          <w:i/>
          <w:color w:val="212121"/>
        </w:rPr>
      </w:pPr>
    </w:p>
    <w:p w14:paraId="498EF721" w14:textId="47F588C8" w:rsidR="004A4A55" w:rsidRPr="00D43F09" w:rsidRDefault="004A4A55" w:rsidP="004A4A55">
      <w:pPr>
        <w:overflowPunct w:val="0"/>
        <w:autoSpaceDE w:val="0"/>
        <w:autoSpaceDN w:val="0"/>
        <w:adjustRightInd w:val="0"/>
        <w:jc w:val="center"/>
        <w:textAlignment w:val="baseline"/>
        <w:rPr>
          <w:rFonts w:ascii="Arial" w:hAnsi="Arial" w:cs="Arial"/>
        </w:rPr>
      </w:pPr>
    </w:p>
    <w:p w14:paraId="318D3028" w14:textId="107D3DA9" w:rsidR="007D312A" w:rsidRPr="00D43F09" w:rsidRDefault="007D312A" w:rsidP="004A4A55">
      <w:pPr>
        <w:overflowPunct w:val="0"/>
        <w:autoSpaceDE w:val="0"/>
        <w:autoSpaceDN w:val="0"/>
        <w:adjustRightInd w:val="0"/>
        <w:jc w:val="center"/>
        <w:textAlignment w:val="baseline"/>
        <w:rPr>
          <w:rFonts w:ascii="Arial" w:hAnsi="Arial" w:cs="Arial"/>
        </w:rPr>
      </w:pPr>
    </w:p>
    <w:p w14:paraId="2FB328AE" w14:textId="77777777" w:rsidR="007D312A" w:rsidRPr="00D43F09" w:rsidRDefault="007D312A" w:rsidP="004A4A55">
      <w:pPr>
        <w:overflowPunct w:val="0"/>
        <w:autoSpaceDE w:val="0"/>
        <w:autoSpaceDN w:val="0"/>
        <w:adjustRightInd w:val="0"/>
        <w:jc w:val="center"/>
        <w:textAlignment w:val="baseline"/>
        <w:rPr>
          <w:rFonts w:ascii="Arial" w:hAnsi="Arial" w:cs="Arial"/>
        </w:rPr>
      </w:pPr>
    </w:p>
    <w:p w14:paraId="3C169E12" w14:textId="77777777" w:rsidR="007D312A" w:rsidRPr="00D43F09" w:rsidRDefault="007D312A" w:rsidP="007D312A">
      <w:pPr>
        <w:jc w:val="center"/>
        <w:rPr>
          <w:rFonts w:ascii="Arial" w:hAnsi="Arial" w:cs="Arial"/>
          <w:bCs/>
          <w:i/>
          <w:iCs/>
        </w:rPr>
      </w:pPr>
      <w:r w:rsidRPr="00D43F09">
        <w:rPr>
          <w:rFonts w:ascii="Arial" w:hAnsi="Arial" w:cs="Arial"/>
          <w:bCs/>
          <w:i/>
          <w:iCs/>
        </w:rPr>
        <w:t>[REMAINDER OF PAGE INTENTIONALLY BLANK]</w:t>
      </w:r>
      <w:r w:rsidRPr="00D43F09">
        <w:rPr>
          <w:rFonts w:ascii="Arial" w:hAnsi="Arial" w:cs="Arial"/>
          <w:bCs/>
          <w:i/>
          <w:iCs/>
        </w:rPr>
        <w:br w:type="page"/>
      </w:r>
    </w:p>
    <w:p w14:paraId="0CAB906C" w14:textId="06F4BDFD" w:rsidR="00FD708E" w:rsidRPr="00D43F09" w:rsidRDefault="00FD708E" w:rsidP="00FD708E">
      <w:pPr>
        <w:spacing w:after="200"/>
        <w:contextualSpacing/>
        <w:jc w:val="center"/>
        <w:rPr>
          <w:rFonts w:ascii="Arial" w:eastAsia="Calibri" w:hAnsi="Arial" w:cs="Arial"/>
          <w:b/>
        </w:rPr>
      </w:pPr>
      <w:r w:rsidRPr="00D43F09">
        <w:rPr>
          <w:rFonts w:ascii="Arial" w:eastAsia="Calibri" w:hAnsi="Arial" w:cs="Arial"/>
          <w:b/>
        </w:rPr>
        <w:lastRenderedPageBreak/>
        <w:t xml:space="preserve">Exhibit </w:t>
      </w:r>
      <w:r w:rsidR="00723CE0" w:rsidRPr="00D43F09">
        <w:rPr>
          <w:rFonts w:ascii="Arial" w:eastAsia="Calibri" w:hAnsi="Arial" w:cs="Arial"/>
          <w:b/>
        </w:rPr>
        <w:t>5</w:t>
      </w:r>
    </w:p>
    <w:p w14:paraId="2CD03423" w14:textId="77777777" w:rsidR="00FD708E" w:rsidRPr="00D43F09" w:rsidRDefault="00FD708E" w:rsidP="00FD708E">
      <w:pPr>
        <w:spacing w:after="200"/>
        <w:contextualSpacing/>
        <w:jc w:val="center"/>
        <w:rPr>
          <w:rFonts w:ascii="Arial" w:eastAsia="Calibri" w:hAnsi="Arial" w:cs="Arial"/>
          <w:b/>
        </w:rPr>
      </w:pPr>
    </w:p>
    <w:p w14:paraId="4A6CDF55" w14:textId="77777777" w:rsidR="00FD708E" w:rsidRPr="00D43F09" w:rsidRDefault="00FD708E" w:rsidP="00FD708E">
      <w:pPr>
        <w:spacing w:after="200"/>
        <w:contextualSpacing/>
        <w:jc w:val="center"/>
        <w:rPr>
          <w:rFonts w:ascii="Arial" w:eastAsia="Calibri" w:hAnsi="Arial" w:cs="Arial"/>
          <w:b/>
        </w:rPr>
      </w:pPr>
    </w:p>
    <w:p w14:paraId="4DC097B2" w14:textId="77777777" w:rsidR="00FD708E" w:rsidRPr="00D43F09" w:rsidRDefault="00FD708E" w:rsidP="00FD708E">
      <w:pPr>
        <w:spacing w:after="200"/>
        <w:contextualSpacing/>
        <w:jc w:val="center"/>
        <w:rPr>
          <w:rFonts w:ascii="Arial" w:eastAsia="Calibri" w:hAnsi="Arial" w:cs="Arial"/>
          <w:b/>
        </w:rPr>
      </w:pPr>
      <w:r w:rsidRPr="00D43F09">
        <w:rPr>
          <w:rFonts w:ascii="Arial" w:eastAsia="Calibri" w:hAnsi="Arial" w:cs="Arial"/>
          <w:b/>
        </w:rPr>
        <w:t>DEPARTMENT OF MENTAL HEALTH</w:t>
      </w:r>
    </w:p>
    <w:p w14:paraId="70885D01" w14:textId="77777777" w:rsidR="00FD708E" w:rsidRPr="00D43F09" w:rsidRDefault="00FD708E" w:rsidP="00FD708E">
      <w:pPr>
        <w:spacing w:after="200"/>
        <w:contextualSpacing/>
        <w:jc w:val="center"/>
        <w:rPr>
          <w:rFonts w:ascii="Arial" w:eastAsia="Calibri" w:hAnsi="Arial" w:cs="Arial"/>
          <w:b/>
        </w:rPr>
      </w:pPr>
      <w:r w:rsidRPr="00D43F09">
        <w:rPr>
          <w:rFonts w:ascii="Arial" w:eastAsia="Calibri" w:hAnsi="Arial" w:cs="Arial"/>
          <w:b/>
        </w:rPr>
        <w:t>DIVISION OF CLINICAL AND PROFESSIONAL SERVICES</w:t>
      </w:r>
    </w:p>
    <w:p w14:paraId="3A64EB4C" w14:textId="77777777" w:rsidR="00FD708E" w:rsidRPr="00D43F09" w:rsidRDefault="00FD708E" w:rsidP="00FD708E">
      <w:pPr>
        <w:spacing w:after="200"/>
        <w:contextualSpacing/>
        <w:jc w:val="center"/>
        <w:rPr>
          <w:rFonts w:ascii="Arial" w:eastAsia="Calibri" w:hAnsi="Arial" w:cs="Arial"/>
          <w:b/>
        </w:rPr>
      </w:pPr>
      <w:r w:rsidRPr="00D43F09">
        <w:rPr>
          <w:rFonts w:ascii="Arial" w:eastAsia="Calibri" w:hAnsi="Arial" w:cs="Arial"/>
          <w:b/>
        </w:rPr>
        <w:t>LICENSING DIVISION – BULLETIN #19-01</w:t>
      </w:r>
    </w:p>
    <w:p w14:paraId="4CA386DE" w14:textId="77777777" w:rsidR="00FD708E" w:rsidRPr="00D43F09" w:rsidRDefault="00FD708E" w:rsidP="00FD708E">
      <w:pPr>
        <w:spacing w:after="200"/>
        <w:contextualSpacing/>
        <w:jc w:val="center"/>
        <w:rPr>
          <w:rFonts w:ascii="Arial" w:eastAsia="Calibri" w:hAnsi="Arial" w:cs="Arial"/>
          <w:b/>
        </w:rPr>
      </w:pPr>
      <w:r w:rsidRPr="00D43F09">
        <w:rPr>
          <w:rFonts w:ascii="Arial" w:eastAsia="Calibri" w:hAnsi="Arial" w:cs="Arial"/>
          <w:b/>
        </w:rPr>
        <w:t>March 1, 2019</w:t>
      </w:r>
    </w:p>
    <w:p w14:paraId="3879DEB2" w14:textId="77777777" w:rsidR="00FD708E" w:rsidRPr="00D43F09" w:rsidRDefault="00FD708E" w:rsidP="00FD708E">
      <w:pPr>
        <w:spacing w:after="200"/>
        <w:contextualSpacing/>
        <w:jc w:val="center"/>
        <w:rPr>
          <w:rFonts w:ascii="Arial" w:eastAsia="Calibri" w:hAnsi="Arial" w:cs="Arial"/>
          <w:b/>
        </w:rPr>
      </w:pPr>
    </w:p>
    <w:p w14:paraId="366129A8" w14:textId="77777777" w:rsidR="00FD708E" w:rsidRPr="00D43F09" w:rsidRDefault="00FD708E" w:rsidP="00FD708E">
      <w:pPr>
        <w:spacing w:after="200"/>
        <w:contextualSpacing/>
        <w:rPr>
          <w:rFonts w:ascii="Arial" w:eastAsia="Calibri" w:hAnsi="Arial" w:cs="Arial"/>
          <w:b/>
        </w:rPr>
      </w:pPr>
      <w:r w:rsidRPr="00D43F09">
        <w:rPr>
          <w:rFonts w:ascii="Arial" w:eastAsia="Calibri" w:hAnsi="Arial" w:cs="Arial"/>
          <w:b/>
        </w:rPr>
        <w:t>Clinical Competencies/Operational Standards for DMH Licensed Inpatient Facilities</w:t>
      </w:r>
    </w:p>
    <w:p w14:paraId="4887E773" w14:textId="77777777" w:rsidR="00FD708E" w:rsidRPr="00D43F09" w:rsidRDefault="00FD708E" w:rsidP="00FD708E">
      <w:pPr>
        <w:spacing w:after="200"/>
        <w:contextualSpacing/>
        <w:rPr>
          <w:rFonts w:ascii="Arial" w:eastAsia="Calibri" w:hAnsi="Arial" w:cs="Arial"/>
          <w:b/>
        </w:rPr>
      </w:pPr>
    </w:p>
    <w:p w14:paraId="20C70351"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This bulletin, and the attachments hereto are issued pursuant to Department of Mental Health (DMH) regulations 104 CMR 27.03(</w:t>
      </w:r>
      <w:proofErr w:type="gramStart"/>
      <w:r w:rsidRPr="00D43F09">
        <w:rPr>
          <w:rFonts w:ascii="Arial" w:hAnsi="Arial" w:cs="Arial"/>
        </w:rPr>
        <w:t>5)&amp;</w:t>
      </w:r>
      <w:proofErr w:type="gramEnd"/>
      <w:r w:rsidRPr="00D43F09">
        <w:rPr>
          <w:rFonts w:ascii="Arial" w:hAnsi="Arial" w:cs="Arial"/>
        </w:rPr>
        <w:t>(8), which provide that DMH “may establish clinical competencies and additional operational standards for care and treatment of patients admitted to facilities</w:t>
      </w:r>
      <w:r w:rsidRPr="00D43F09">
        <w:rPr>
          <w:rFonts w:ascii="Arial" w:hAnsi="Arial" w:cs="Arial"/>
          <w:vertAlign w:val="superscript"/>
        </w:rPr>
        <w:footnoteReference w:id="2"/>
      </w:r>
      <w:r w:rsidRPr="00D43F09">
        <w:rPr>
          <w:rFonts w:ascii="Arial" w:hAnsi="Arial" w:cs="Arial"/>
        </w:rPr>
        <w:t xml:space="preserve"> licensed pursuant to 104 CMR 27.00, including for specialty populations.”  The purpose of this regulatory provision is to assist the Department in assuring that DMH licensed facilities have the capability to provide the level of care needed by individuals who meet criteria for inpatient hospitalization, thereby increasing access to services required by citizens of the Commonwealth.</w:t>
      </w:r>
    </w:p>
    <w:p w14:paraId="0DD6FA6B" w14:textId="77777777" w:rsidR="00FD708E" w:rsidRPr="00D43F09" w:rsidRDefault="00FD708E" w:rsidP="00FD708E">
      <w:pPr>
        <w:widowControl w:val="0"/>
        <w:autoSpaceDE w:val="0"/>
        <w:autoSpaceDN w:val="0"/>
        <w:rPr>
          <w:rFonts w:ascii="Arial" w:hAnsi="Arial" w:cs="Arial"/>
        </w:rPr>
      </w:pPr>
    </w:p>
    <w:p w14:paraId="0B5192FF"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The attached clinical competencies/standards were developed by a broad stakeholder group that included DMH clinical and licensing staff, representatives of DMH licensed facilities, public and commercial payers, and professional trade associations.  They are intended as guidelines to inform practice and to provide a baseline for DMH licensing reviews of individual facility’s compliance with licensing regulations.  The competencies/standards cover the following areas:</w:t>
      </w:r>
    </w:p>
    <w:p w14:paraId="5380F5FC" w14:textId="77777777" w:rsidR="00FD708E" w:rsidRPr="00D43F09" w:rsidRDefault="00FD708E" w:rsidP="00FD708E">
      <w:pPr>
        <w:widowControl w:val="0"/>
        <w:autoSpaceDE w:val="0"/>
        <w:autoSpaceDN w:val="0"/>
        <w:rPr>
          <w:rFonts w:ascii="Arial" w:hAnsi="Arial" w:cs="Arial"/>
        </w:rPr>
      </w:pPr>
    </w:p>
    <w:p w14:paraId="1569AAFA" w14:textId="77777777" w:rsidR="00FD708E" w:rsidRPr="00D43F09" w:rsidRDefault="00FD708E">
      <w:pPr>
        <w:widowControl w:val="0"/>
        <w:numPr>
          <w:ilvl w:val="0"/>
          <w:numId w:val="2"/>
        </w:numPr>
        <w:autoSpaceDE w:val="0"/>
        <w:autoSpaceDN w:val="0"/>
        <w:spacing w:after="200"/>
        <w:rPr>
          <w:rFonts w:ascii="Arial" w:hAnsi="Arial" w:cs="Arial"/>
        </w:rPr>
      </w:pPr>
      <w:r w:rsidRPr="00D43F09">
        <w:rPr>
          <w:rFonts w:ascii="Arial" w:hAnsi="Arial" w:cs="Arial"/>
        </w:rPr>
        <w:t>Clinical Competencies/ Operational Standards Related to Co-occurring Medical Conditions: Psychiatric units within General Hospitals</w:t>
      </w:r>
    </w:p>
    <w:p w14:paraId="11D0F7EA" w14:textId="77777777" w:rsidR="00FD708E" w:rsidRPr="00D43F09" w:rsidRDefault="00FD708E">
      <w:pPr>
        <w:widowControl w:val="0"/>
        <w:numPr>
          <w:ilvl w:val="0"/>
          <w:numId w:val="2"/>
        </w:numPr>
        <w:autoSpaceDE w:val="0"/>
        <w:autoSpaceDN w:val="0"/>
        <w:spacing w:after="200"/>
        <w:rPr>
          <w:rFonts w:ascii="Arial" w:hAnsi="Arial" w:cs="Arial"/>
        </w:rPr>
      </w:pPr>
      <w:r w:rsidRPr="00D43F09">
        <w:rPr>
          <w:rFonts w:ascii="Arial" w:hAnsi="Arial" w:cs="Arial"/>
        </w:rPr>
        <w:t>OMITTED</w:t>
      </w:r>
    </w:p>
    <w:p w14:paraId="18C37D3D" w14:textId="77777777" w:rsidR="00FD708E" w:rsidRPr="00D43F09" w:rsidRDefault="00FD708E">
      <w:pPr>
        <w:widowControl w:val="0"/>
        <w:numPr>
          <w:ilvl w:val="0"/>
          <w:numId w:val="2"/>
        </w:numPr>
        <w:autoSpaceDE w:val="0"/>
        <w:autoSpaceDN w:val="0"/>
        <w:spacing w:after="200"/>
        <w:rPr>
          <w:rFonts w:ascii="Arial" w:hAnsi="Arial" w:cs="Arial"/>
        </w:rPr>
      </w:pPr>
      <w:r w:rsidRPr="00D43F09">
        <w:rPr>
          <w:rFonts w:ascii="Arial" w:hAnsi="Arial" w:cs="Arial"/>
        </w:rPr>
        <w:t>Clinical Competencies/ Operational Standards Related to Severe Behavior/ Assault Risk</w:t>
      </w:r>
    </w:p>
    <w:p w14:paraId="1EA84D9A" w14:textId="77777777" w:rsidR="00FD708E" w:rsidRPr="00D43F09" w:rsidRDefault="00FD708E">
      <w:pPr>
        <w:widowControl w:val="0"/>
        <w:numPr>
          <w:ilvl w:val="0"/>
          <w:numId w:val="2"/>
        </w:numPr>
        <w:autoSpaceDE w:val="0"/>
        <w:autoSpaceDN w:val="0"/>
        <w:spacing w:after="200"/>
        <w:rPr>
          <w:rFonts w:ascii="Arial" w:hAnsi="Arial" w:cs="Arial"/>
        </w:rPr>
      </w:pPr>
      <w:r w:rsidRPr="00D43F09">
        <w:rPr>
          <w:rFonts w:ascii="Arial" w:hAnsi="Arial" w:cs="Arial"/>
        </w:rPr>
        <w:t>Clinical Competencies/ Operational Standards Related to Co-occurring Autism Spectrum Disorders or Other Intellectual and Developmental Disabilities (ASD/ID/DD)</w:t>
      </w:r>
    </w:p>
    <w:p w14:paraId="39B5C884" w14:textId="77777777" w:rsidR="00FD708E" w:rsidRPr="00D43F09" w:rsidRDefault="00FD708E">
      <w:pPr>
        <w:widowControl w:val="0"/>
        <w:numPr>
          <w:ilvl w:val="0"/>
          <w:numId w:val="2"/>
        </w:numPr>
        <w:autoSpaceDE w:val="0"/>
        <w:autoSpaceDN w:val="0"/>
        <w:spacing w:after="200"/>
        <w:rPr>
          <w:rFonts w:ascii="Arial" w:hAnsi="Arial" w:cs="Arial"/>
        </w:rPr>
      </w:pPr>
      <w:r w:rsidRPr="00D43F09">
        <w:rPr>
          <w:rFonts w:ascii="Arial" w:hAnsi="Arial" w:cs="Arial"/>
        </w:rPr>
        <w:t>Clinical Competencies/ Operational Standards Related to Co-occurring Substance Use Disorders (SUD)</w:t>
      </w:r>
    </w:p>
    <w:p w14:paraId="0DDA32F1" w14:textId="77777777" w:rsidR="00FD708E" w:rsidRPr="00D43F09" w:rsidRDefault="00FD708E" w:rsidP="00FD708E">
      <w:pPr>
        <w:widowControl w:val="0"/>
        <w:autoSpaceDE w:val="0"/>
        <w:autoSpaceDN w:val="0"/>
        <w:rPr>
          <w:rFonts w:ascii="Arial" w:hAnsi="Arial" w:cs="Arial"/>
        </w:rPr>
      </w:pPr>
    </w:p>
    <w:p w14:paraId="06E109DE"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 xml:space="preserve">While it is expected that all facilities will generally be able to meet the clinical competencies/standards (including provision of services and equipment), it is not necessarily expected that each facility will </w:t>
      </w:r>
      <w:proofErr w:type="gramStart"/>
      <w:r w:rsidRPr="00D43F09">
        <w:rPr>
          <w:rFonts w:ascii="Arial" w:hAnsi="Arial" w:cs="Arial"/>
        </w:rPr>
        <w:t>have the resources or staff available at all times</w:t>
      </w:r>
      <w:proofErr w:type="gramEnd"/>
      <w:r w:rsidRPr="00D43F09">
        <w:rPr>
          <w:rFonts w:ascii="Arial" w:hAnsi="Arial" w:cs="Arial"/>
        </w:rPr>
        <w:t xml:space="preserve"> to meet all competencies and standards at all times, as circumstances within facility at any given time may limit its ability to be in compliance. Facilities must, however, have a plan in place to provide additional staff coverage or equipment as may be needed to facilitate admission of patients who require such coverage or equipment, and should be prepared to engage with public and commercial payers proactively as indicated.</w:t>
      </w:r>
    </w:p>
    <w:p w14:paraId="0244339D" w14:textId="77777777" w:rsidR="00FD708E" w:rsidRPr="00D43F09" w:rsidRDefault="00FD708E" w:rsidP="00FD708E">
      <w:pPr>
        <w:widowControl w:val="0"/>
        <w:autoSpaceDE w:val="0"/>
        <w:autoSpaceDN w:val="0"/>
        <w:rPr>
          <w:rFonts w:ascii="Arial" w:hAnsi="Arial" w:cs="Arial"/>
        </w:rPr>
      </w:pPr>
    </w:p>
    <w:p w14:paraId="0D7CB6BA"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The DMH Licensing Division will begin referring to the attached competencies/standards in its licensing reviews beginning May 1, 2019.</w:t>
      </w:r>
    </w:p>
    <w:p w14:paraId="047AA2E4" w14:textId="77777777" w:rsidR="00FD708E" w:rsidRPr="00D43F09" w:rsidRDefault="00FD708E" w:rsidP="00FD708E">
      <w:pPr>
        <w:widowControl w:val="0"/>
        <w:autoSpaceDE w:val="0"/>
        <w:autoSpaceDN w:val="0"/>
        <w:rPr>
          <w:rFonts w:ascii="Arial" w:hAnsi="Arial" w:cs="Arial"/>
        </w:rPr>
      </w:pPr>
    </w:p>
    <w:p w14:paraId="6FC7BA79" w14:textId="77777777" w:rsidR="00FD708E" w:rsidRPr="00D43F09" w:rsidRDefault="00FD708E" w:rsidP="00FD708E">
      <w:pPr>
        <w:widowControl w:val="0"/>
        <w:autoSpaceDE w:val="0"/>
        <w:autoSpaceDN w:val="0"/>
        <w:rPr>
          <w:rFonts w:ascii="Arial" w:hAnsi="Arial" w:cs="Arial"/>
        </w:rPr>
      </w:pPr>
      <w:r w:rsidRPr="00D43F09">
        <w:rPr>
          <w:rFonts w:ascii="Arial" w:hAnsi="Arial" w:cs="Arial"/>
        </w:rPr>
        <w:lastRenderedPageBreak/>
        <w:t xml:space="preserve">Questions regarding this bulletin should be directed to the DMH Licensing Division at 617-626-8117 or </w:t>
      </w:r>
      <w:hyperlink r:id="rId11" w:history="1">
        <w:r w:rsidRPr="00D43F09">
          <w:rPr>
            <w:rFonts w:ascii="Arial" w:hAnsi="Arial" w:cs="Arial"/>
            <w:color w:val="0000FF"/>
            <w:u w:val="single"/>
          </w:rPr>
          <w:t>DMH.Licensing@massmail.state.ma.us</w:t>
        </w:r>
      </w:hyperlink>
      <w:r w:rsidRPr="00D43F09">
        <w:rPr>
          <w:rFonts w:ascii="Arial" w:hAnsi="Arial" w:cs="Arial"/>
        </w:rPr>
        <w:t>.</w:t>
      </w:r>
    </w:p>
    <w:p w14:paraId="5C49B642" w14:textId="77777777" w:rsidR="00FD708E" w:rsidRPr="00D43F09" w:rsidRDefault="00FD708E" w:rsidP="00FD708E">
      <w:pPr>
        <w:widowControl w:val="0"/>
        <w:autoSpaceDE w:val="0"/>
        <w:autoSpaceDN w:val="0"/>
        <w:rPr>
          <w:rFonts w:ascii="Arial" w:hAnsi="Arial" w:cs="Arial"/>
        </w:rPr>
      </w:pPr>
    </w:p>
    <w:p w14:paraId="12E1D706"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Attachments:</w:t>
      </w:r>
    </w:p>
    <w:p w14:paraId="7D02BADF" w14:textId="77777777" w:rsidR="00FD708E" w:rsidRPr="00D43F09" w:rsidRDefault="00FD708E" w:rsidP="00FD708E">
      <w:pPr>
        <w:widowControl w:val="0"/>
        <w:autoSpaceDE w:val="0"/>
        <w:autoSpaceDN w:val="0"/>
        <w:rPr>
          <w:rFonts w:ascii="Arial" w:hAnsi="Arial" w:cs="Arial"/>
        </w:rPr>
      </w:pPr>
    </w:p>
    <w:p w14:paraId="6CC7F7F7"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Clinical Competencies/ Operational Standards Related to Co-occurring Medical Conditions: Psychiatric units within General Hospitals</w:t>
      </w:r>
    </w:p>
    <w:p w14:paraId="4E80C1C8" w14:textId="77777777" w:rsidR="00FD708E" w:rsidRPr="00D43F09" w:rsidRDefault="00FD708E" w:rsidP="00FD708E">
      <w:pPr>
        <w:widowControl w:val="0"/>
        <w:autoSpaceDE w:val="0"/>
        <w:autoSpaceDN w:val="0"/>
        <w:rPr>
          <w:rFonts w:ascii="Arial" w:hAnsi="Arial" w:cs="Arial"/>
        </w:rPr>
      </w:pPr>
    </w:p>
    <w:p w14:paraId="3C96E3A8"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OMITTED</w:t>
      </w:r>
    </w:p>
    <w:p w14:paraId="03A8813F" w14:textId="77777777" w:rsidR="00FD708E" w:rsidRPr="00D43F09" w:rsidRDefault="00FD708E" w:rsidP="00FD708E">
      <w:pPr>
        <w:widowControl w:val="0"/>
        <w:autoSpaceDE w:val="0"/>
        <w:autoSpaceDN w:val="0"/>
        <w:rPr>
          <w:rFonts w:ascii="Arial" w:hAnsi="Arial" w:cs="Arial"/>
        </w:rPr>
      </w:pPr>
    </w:p>
    <w:p w14:paraId="7272FFDC"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Clinical Competencies/ Operational Standards Related to Severe Behavior/ Assault Risk</w:t>
      </w:r>
    </w:p>
    <w:p w14:paraId="40CEA10B" w14:textId="77777777" w:rsidR="00FD708E" w:rsidRPr="00D43F09" w:rsidRDefault="00FD708E" w:rsidP="00FD708E">
      <w:pPr>
        <w:widowControl w:val="0"/>
        <w:autoSpaceDE w:val="0"/>
        <w:autoSpaceDN w:val="0"/>
        <w:rPr>
          <w:rFonts w:ascii="Arial" w:hAnsi="Arial" w:cs="Arial"/>
        </w:rPr>
      </w:pPr>
    </w:p>
    <w:p w14:paraId="5205023B"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Clinical Competencies/ Operational Standards Related to Co-occurring Autism Spectrum Disorders or Other Intellectual and Developmental Disabilities (ASD/ ID/ DD)</w:t>
      </w:r>
    </w:p>
    <w:p w14:paraId="2533661B" w14:textId="77777777" w:rsidR="00FD708E" w:rsidRPr="00D43F09" w:rsidRDefault="00FD708E" w:rsidP="00FD708E">
      <w:pPr>
        <w:widowControl w:val="0"/>
        <w:autoSpaceDE w:val="0"/>
        <w:autoSpaceDN w:val="0"/>
        <w:rPr>
          <w:rFonts w:ascii="Arial" w:hAnsi="Arial" w:cs="Arial"/>
        </w:rPr>
      </w:pPr>
    </w:p>
    <w:p w14:paraId="3FE0D706"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Clinical Competencies/ Operational Standards Related to Co-occurring Substance Use Disorders (SUD)</w:t>
      </w:r>
    </w:p>
    <w:p w14:paraId="027BC0FA" w14:textId="77777777" w:rsidR="007D312A" w:rsidRPr="00D43F09" w:rsidRDefault="007D312A" w:rsidP="00FD708E">
      <w:pPr>
        <w:widowControl w:val="0"/>
        <w:autoSpaceDE w:val="0"/>
        <w:autoSpaceDN w:val="0"/>
        <w:rPr>
          <w:rFonts w:ascii="Arial" w:hAnsi="Arial" w:cs="Arial"/>
        </w:rPr>
      </w:pPr>
    </w:p>
    <w:p w14:paraId="7F828B41" w14:textId="77777777" w:rsidR="007D312A" w:rsidRPr="00D43F09" w:rsidRDefault="007D312A" w:rsidP="00FD708E">
      <w:pPr>
        <w:widowControl w:val="0"/>
        <w:autoSpaceDE w:val="0"/>
        <w:autoSpaceDN w:val="0"/>
        <w:rPr>
          <w:rFonts w:ascii="Arial" w:hAnsi="Arial" w:cs="Arial"/>
        </w:rPr>
      </w:pPr>
    </w:p>
    <w:p w14:paraId="4E252D61" w14:textId="77777777" w:rsidR="007D312A" w:rsidRPr="00D43F09" w:rsidRDefault="007D312A" w:rsidP="007D312A">
      <w:pPr>
        <w:jc w:val="center"/>
        <w:rPr>
          <w:rFonts w:ascii="Arial" w:hAnsi="Arial" w:cs="Arial"/>
          <w:bCs/>
          <w:i/>
          <w:iCs/>
        </w:rPr>
      </w:pPr>
      <w:r w:rsidRPr="00D43F09">
        <w:rPr>
          <w:rFonts w:ascii="Arial" w:hAnsi="Arial" w:cs="Arial"/>
          <w:bCs/>
          <w:i/>
          <w:iCs/>
        </w:rPr>
        <w:t>[REMAINDER OF PAGE INTENTIONALLY BLANK]</w:t>
      </w:r>
      <w:r w:rsidRPr="00D43F09">
        <w:rPr>
          <w:rFonts w:ascii="Arial" w:hAnsi="Arial" w:cs="Arial"/>
          <w:bCs/>
          <w:i/>
          <w:iCs/>
        </w:rPr>
        <w:br w:type="page"/>
      </w:r>
    </w:p>
    <w:p w14:paraId="0B1D65FB" w14:textId="77777777" w:rsidR="00FD708E" w:rsidRPr="00D43F09" w:rsidRDefault="00FD708E" w:rsidP="00FD708E">
      <w:pPr>
        <w:widowControl w:val="0"/>
        <w:autoSpaceDE w:val="0"/>
        <w:autoSpaceDN w:val="0"/>
        <w:spacing w:line="360" w:lineRule="auto"/>
        <w:jc w:val="center"/>
        <w:rPr>
          <w:rFonts w:ascii="Arial" w:hAnsi="Arial" w:cs="Arial"/>
          <w:i/>
          <w:spacing w:val="10"/>
        </w:rPr>
      </w:pPr>
      <w:r w:rsidRPr="00D43F09">
        <w:rPr>
          <w:rFonts w:ascii="Arial" w:hAnsi="Arial" w:cs="Arial"/>
          <w:b/>
          <w:i/>
          <w:spacing w:val="10"/>
        </w:rPr>
        <w:lastRenderedPageBreak/>
        <w:t>Department of Mental Health</w:t>
      </w:r>
    </w:p>
    <w:p w14:paraId="01DE0064" w14:textId="77777777" w:rsidR="00FD708E" w:rsidRPr="00D43F09" w:rsidRDefault="00FD708E" w:rsidP="00FD708E">
      <w:pPr>
        <w:widowControl w:val="0"/>
        <w:autoSpaceDE w:val="0"/>
        <w:autoSpaceDN w:val="0"/>
        <w:spacing w:line="360" w:lineRule="auto"/>
        <w:jc w:val="center"/>
        <w:rPr>
          <w:rFonts w:ascii="Arial" w:hAnsi="Arial" w:cs="Arial"/>
          <w:i/>
          <w:spacing w:val="10"/>
        </w:rPr>
      </w:pPr>
      <w:r w:rsidRPr="00D43F09">
        <w:rPr>
          <w:rFonts w:ascii="Arial" w:hAnsi="Arial" w:cs="Arial"/>
          <w:b/>
          <w:i/>
          <w:spacing w:val="10"/>
        </w:rPr>
        <w:t>Inpatient Licensing Division</w:t>
      </w:r>
    </w:p>
    <w:p w14:paraId="3CC1A444" w14:textId="77777777" w:rsidR="00FD708E" w:rsidRPr="00D43F09" w:rsidRDefault="00FD708E" w:rsidP="00FD708E">
      <w:pPr>
        <w:widowControl w:val="0"/>
        <w:autoSpaceDE w:val="0"/>
        <w:autoSpaceDN w:val="0"/>
        <w:rPr>
          <w:rFonts w:ascii="Arial" w:hAnsi="Arial" w:cs="Arial"/>
        </w:rPr>
      </w:pPr>
    </w:p>
    <w:p w14:paraId="6BC7976D" w14:textId="77777777" w:rsidR="00FD708E" w:rsidRPr="00D43F09" w:rsidRDefault="00FD708E" w:rsidP="00FD708E">
      <w:pPr>
        <w:widowControl w:val="0"/>
        <w:autoSpaceDE w:val="0"/>
        <w:autoSpaceDN w:val="0"/>
        <w:jc w:val="center"/>
        <w:rPr>
          <w:rFonts w:ascii="Arial" w:hAnsi="Arial" w:cs="Arial"/>
          <w:b/>
          <w:i/>
          <w:spacing w:val="10"/>
        </w:rPr>
      </w:pPr>
      <w:r w:rsidRPr="00D43F09">
        <w:rPr>
          <w:rFonts w:ascii="Arial" w:hAnsi="Arial" w:cs="Arial"/>
          <w:b/>
          <w:i/>
          <w:spacing w:val="10"/>
        </w:rPr>
        <w:t>Clinical Competencies/ Operational Standards Related to Co-Occurring Medical Conditions</w:t>
      </w:r>
    </w:p>
    <w:p w14:paraId="63090F74" w14:textId="77777777" w:rsidR="00FD708E" w:rsidRPr="00D43F09" w:rsidRDefault="00FD708E" w:rsidP="00FD708E">
      <w:pPr>
        <w:widowControl w:val="0"/>
        <w:autoSpaceDE w:val="0"/>
        <w:autoSpaceDN w:val="0"/>
        <w:jc w:val="center"/>
        <w:rPr>
          <w:rFonts w:ascii="Arial" w:hAnsi="Arial" w:cs="Arial"/>
          <w:b/>
          <w:i/>
          <w:spacing w:val="10"/>
        </w:rPr>
      </w:pPr>
    </w:p>
    <w:p w14:paraId="6DA2D3D8" w14:textId="77777777" w:rsidR="00FD708E" w:rsidRPr="00D43F09" w:rsidRDefault="00FD708E" w:rsidP="00FD708E">
      <w:pPr>
        <w:widowControl w:val="0"/>
        <w:autoSpaceDE w:val="0"/>
        <w:autoSpaceDN w:val="0"/>
        <w:jc w:val="center"/>
        <w:rPr>
          <w:rFonts w:ascii="Arial" w:hAnsi="Arial" w:cs="Arial"/>
          <w:b/>
          <w:i/>
          <w:spacing w:val="10"/>
        </w:rPr>
      </w:pPr>
      <w:r w:rsidRPr="00D43F09">
        <w:rPr>
          <w:rFonts w:ascii="Arial" w:hAnsi="Arial" w:cs="Arial"/>
          <w:b/>
          <w:i/>
          <w:spacing w:val="10"/>
        </w:rPr>
        <w:t>Psychiatric Units within General Hospitals</w:t>
      </w:r>
    </w:p>
    <w:p w14:paraId="1AA5E53B" w14:textId="77777777" w:rsidR="00FD708E" w:rsidRPr="00D43F09" w:rsidRDefault="00FD708E" w:rsidP="00FD708E">
      <w:pPr>
        <w:widowControl w:val="0"/>
        <w:autoSpaceDE w:val="0"/>
        <w:autoSpaceDN w:val="0"/>
        <w:rPr>
          <w:rFonts w:ascii="Arial" w:hAnsi="Arial" w:cs="Arial"/>
        </w:rPr>
      </w:pPr>
    </w:p>
    <w:p w14:paraId="6957C14D" w14:textId="77777777" w:rsidR="00FD708E" w:rsidRPr="00D43F09" w:rsidRDefault="00FD708E" w:rsidP="00FD708E">
      <w:pPr>
        <w:widowControl w:val="0"/>
        <w:autoSpaceDE w:val="0"/>
        <w:autoSpaceDN w:val="0"/>
        <w:rPr>
          <w:rFonts w:ascii="Arial" w:hAnsi="Arial" w:cs="Arial"/>
        </w:rPr>
      </w:pPr>
      <w:r w:rsidRPr="00D43F09">
        <w:rPr>
          <w:rFonts w:ascii="Arial" w:hAnsi="Arial" w:cs="Arial"/>
        </w:rPr>
        <w:t xml:space="preserve">Psychiatric units in general hospitals are expected to have the capability, or the ability to secure the capability within a reasonable </w:t>
      </w:r>
      <w:proofErr w:type="gramStart"/>
      <w:r w:rsidRPr="00D43F09">
        <w:rPr>
          <w:rFonts w:ascii="Arial" w:hAnsi="Arial" w:cs="Arial"/>
        </w:rPr>
        <w:t>period of time</w:t>
      </w:r>
      <w:proofErr w:type="gramEnd"/>
      <w:r w:rsidRPr="00D43F09">
        <w:rPr>
          <w:rFonts w:ascii="Arial" w:hAnsi="Arial" w:cs="Arial"/>
        </w:rPr>
        <w:t xml:space="preserve"> (in hours or, for very complex medical care needs, days), to provide necessary medical care to patients requiring inpatient psychiatric hospitalization who also have medical conditions requiring the following services.</w:t>
      </w:r>
    </w:p>
    <w:p w14:paraId="669FA201" w14:textId="77777777" w:rsidR="00FD708E" w:rsidRPr="00D43F09" w:rsidRDefault="00FD708E" w:rsidP="00FD708E">
      <w:pPr>
        <w:widowControl w:val="0"/>
        <w:autoSpaceDE w:val="0"/>
        <w:autoSpaceDN w:val="0"/>
        <w:rPr>
          <w:rFonts w:ascii="Arial" w:hAnsi="Arial" w:cs="Arial"/>
        </w:rPr>
      </w:pPr>
    </w:p>
    <w:p w14:paraId="1516E3F2" w14:textId="77777777" w:rsidR="00FD708E" w:rsidRPr="00D43F09" w:rsidRDefault="00FD708E" w:rsidP="00FD708E">
      <w:pPr>
        <w:widowControl w:val="0"/>
        <w:autoSpaceDE w:val="0"/>
        <w:autoSpaceDN w:val="0"/>
        <w:rPr>
          <w:rFonts w:ascii="Arial" w:hAnsi="Arial" w:cs="Arial"/>
          <w:b/>
        </w:rPr>
      </w:pPr>
      <w:r w:rsidRPr="00D43F09">
        <w:rPr>
          <w:rFonts w:ascii="Arial" w:hAnsi="Arial" w:cs="Arial"/>
          <w:b/>
        </w:rPr>
        <w:t xml:space="preserve">Each inpatient psychiatric unit in a general hospital shall have policies to assure that it has the capacity to provide care for persons with the following medical needs or conditions.  If resources are not immediately available for patients with certain medical conditions, the facility must have a plan to secure the resources necessary to provide the care (e.g., securing “just in time” training for nurses from a specialty nurse educator, availability of a specialist to consult with the attending psychiatrist, etc.) through training, supplemental staff, etc. within a reasonable </w:t>
      </w:r>
      <w:proofErr w:type="gramStart"/>
      <w:r w:rsidRPr="00D43F09">
        <w:rPr>
          <w:rFonts w:ascii="Arial" w:hAnsi="Arial" w:cs="Arial"/>
          <w:b/>
        </w:rPr>
        <w:t>period of time</w:t>
      </w:r>
      <w:proofErr w:type="gramEnd"/>
      <w:r w:rsidRPr="00D43F09">
        <w:rPr>
          <w:rFonts w:ascii="Arial" w:hAnsi="Arial" w:cs="Arial"/>
          <w:b/>
        </w:rPr>
        <w:t>:</w:t>
      </w:r>
    </w:p>
    <w:p w14:paraId="2A337DC0" w14:textId="77777777" w:rsidR="00FD708E" w:rsidRPr="00D43F09" w:rsidRDefault="00FD708E" w:rsidP="00FD708E">
      <w:pPr>
        <w:widowControl w:val="0"/>
        <w:autoSpaceDE w:val="0"/>
        <w:autoSpaceDN w:val="0"/>
        <w:rPr>
          <w:rFonts w:ascii="Arial" w:hAnsi="Arial" w:cs="Arial"/>
        </w:rPr>
      </w:pPr>
    </w:p>
    <w:p w14:paraId="146C097E"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Intravenous (IV) hydration</w:t>
      </w:r>
    </w:p>
    <w:p w14:paraId="0FB4D8FB"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Continuous Positive Airway Pressure (CPAP)</w:t>
      </w:r>
    </w:p>
    <w:p w14:paraId="27F4BD1F"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Diabetes Care</w:t>
      </w:r>
    </w:p>
    <w:p w14:paraId="730820FB"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Oxygen Therapy</w:t>
      </w:r>
    </w:p>
    <w:p w14:paraId="19E62B68"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Alcohol Detoxification (See specific competencies required for treatment of co-occurring Substance Use Disorders)</w:t>
      </w:r>
    </w:p>
    <w:p w14:paraId="2E1BEFC0"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Opiate Detoxification (See specific competencies required for treatment of co-occurring Substance Use Disorders)</w:t>
      </w:r>
    </w:p>
    <w:p w14:paraId="00C970B8"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 xml:space="preserve">Methicillin-resistant Staphylococcus </w:t>
      </w:r>
      <w:proofErr w:type="gramStart"/>
      <w:r w:rsidRPr="00D43F09">
        <w:rPr>
          <w:rFonts w:ascii="Arial" w:eastAsia="Calibri" w:hAnsi="Arial" w:cs="Arial"/>
        </w:rPr>
        <w:t>aureus  (</w:t>
      </w:r>
      <w:proofErr w:type="gramEnd"/>
      <w:r w:rsidRPr="00D43F09">
        <w:rPr>
          <w:rFonts w:ascii="Arial" w:eastAsia="Calibri" w:hAnsi="Arial" w:cs="Arial"/>
        </w:rPr>
        <w:t>MRSA) or other antibiotic-resistant infections or communicable infections</w:t>
      </w:r>
    </w:p>
    <w:p w14:paraId="4AF5FFC3"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Assistive devices/specialty equipment (e.g., walkers, canes, wheelchairs, hospital beds, specialty mattresses)</w:t>
      </w:r>
    </w:p>
    <w:p w14:paraId="5A61A92A"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Occupational Therapy (OT)/ Physical Therapy (PT)</w:t>
      </w:r>
    </w:p>
    <w:p w14:paraId="6FA3A6F1"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Anticoagulation therapies</w:t>
      </w:r>
    </w:p>
    <w:p w14:paraId="744860F6"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 xml:space="preserve">Eating disorders </w:t>
      </w:r>
    </w:p>
    <w:p w14:paraId="17BCAF7C"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Incontinence</w:t>
      </w:r>
    </w:p>
    <w:p w14:paraId="3CA4F41A"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Foley catheter</w:t>
      </w:r>
    </w:p>
    <w:p w14:paraId="1F354AEF"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Ostomy care</w:t>
      </w:r>
    </w:p>
    <w:p w14:paraId="5A888339"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Seizures – History and/ or risk of</w:t>
      </w:r>
    </w:p>
    <w:p w14:paraId="421EF7BA"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Respiratory conditions</w:t>
      </w:r>
    </w:p>
    <w:p w14:paraId="39126221"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Wound care (any stage)</w:t>
      </w:r>
    </w:p>
    <w:p w14:paraId="114B5160"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Patient in need of in-house Lab services</w:t>
      </w:r>
    </w:p>
    <w:p w14:paraId="117D8AFF" w14:textId="77777777" w:rsidR="00FD708E" w:rsidRPr="00D43F09" w:rsidRDefault="00FD708E">
      <w:pPr>
        <w:numPr>
          <w:ilvl w:val="0"/>
          <w:numId w:val="3"/>
        </w:numPr>
        <w:spacing w:after="200"/>
        <w:contextualSpacing/>
        <w:rPr>
          <w:rFonts w:ascii="Arial" w:eastAsia="Calibri" w:hAnsi="Arial" w:cs="Arial"/>
        </w:rPr>
      </w:pPr>
      <w:r w:rsidRPr="00D43F09">
        <w:rPr>
          <w:rFonts w:ascii="Arial" w:eastAsia="Calibri" w:hAnsi="Arial" w:cs="Arial"/>
        </w:rPr>
        <w:t>Patient in need of internal medicine resources on site</w:t>
      </w:r>
    </w:p>
    <w:p w14:paraId="184A182E"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Each facility shall ensure that all staff designated to provide the listed services receive education and demonstrate competencies (i.e., upon hire, as needed, and/ or annually) that are consistent with their role in patient care regarding the above competencies.  Each facility shall further ensure that medical and nursing care staff are trained in and can demonstrate knowledge of the facility’s policy or plan for </w:t>
      </w:r>
      <w:r w:rsidRPr="00D43F09">
        <w:rPr>
          <w:rFonts w:ascii="Arial" w:eastAsia="Calibri" w:hAnsi="Arial" w:cs="Arial"/>
        </w:rPr>
        <w:lastRenderedPageBreak/>
        <w:t>securing the resources necessary to provide the listed services and to provide just-in-time training to all staff who will provide care to the patient being admitted.</w:t>
      </w:r>
    </w:p>
    <w:p w14:paraId="6D8E5162"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DMH recognizes that some capabilities may be beyond the capacity of certain general inpatient units within general hospitals.  It is </w:t>
      </w:r>
      <w:proofErr w:type="gramStart"/>
      <w:r w:rsidRPr="00D43F09">
        <w:rPr>
          <w:rFonts w:ascii="Arial" w:eastAsia="Calibri" w:hAnsi="Arial" w:cs="Arial"/>
        </w:rPr>
        <w:t>necessary;</w:t>
      </w:r>
      <w:proofErr w:type="gramEnd"/>
      <w:r w:rsidRPr="00D43F09">
        <w:rPr>
          <w:rFonts w:ascii="Arial" w:eastAsia="Calibri" w:hAnsi="Arial" w:cs="Arial"/>
        </w:rPr>
        <w:t xml:space="preserve"> however, that these capabilities be present within the Commonwealth’s hospital system, even if they may require extra resources, </w:t>
      </w:r>
      <w:proofErr w:type="gramStart"/>
      <w:r w:rsidRPr="00D43F09">
        <w:rPr>
          <w:rFonts w:ascii="Arial" w:eastAsia="Calibri" w:hAnsi="Arial" w:cs="Arial"/>
        </w:rPr>
        <w:t>transportation</w:t>
      </w:r>
      <w:proofErr w:type="gramEnd"/>
      <w:r w:rsidRPr="00D43F09">
        <w:rPr>
          <w:rFonts w:ascii="Arial" w:eastAsia="Calibri" w:hAnsi="Arial" w:cs="Arial"/>
        </w:rPr>
        <w:t xml:space="preserve"> or preparation.  Facilities are encouraged to develop these capabilities, either through direct service arrangements, affiliations with outside providers or otherwise.  These capabilities include, but are not limited to:</w:t>
      </w:r>
    </w:p>
    <w:p w14:paraId="07D5110B"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IV medications</w:t>
      </w:r>
    </w:p>
    <w:p w14:paraId="13FB90F7"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Bilevel Positive Airway Pressure (BiPAP)</w:t>
      </w:r>
    </w:p>
    <w:p w14:paraId="34F50F86"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Dialysis</w:t>
      </w:r>
    </w:p>
    <w:p w14:paraId="38615F92"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Suction</w:t>
      </w:r>
    </w:p>
    <w:p w14:paraId="0A9C405B"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Nasogastric (NG) Tube</w:t>
      </w:r>
    </w:p>
    <w:p w14:paraId="275D8E25"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 xml:space="preserve">Eating disorders – severe restrictive or purging </w:t>
      </w:r>
    </w:p>
    <w:p w14:paraId="4B22E5ED" w14:textId="77777777" w:rsidR="00FD708E" w:rsidRPr="00D43F09" w:rsidRDefault="00FD708E">
      <w:pPr>
        <w:numPr>
          <w:ilvl w:val="0"/>
          <w:numId w:val="4"/>
        </w:numPr>
        <w:spacing w:after="200"/>
        <w:contextualSpacing/>
        <w:rPr>
          <w:rFonts w:ascii="Arial" w:eastAsia="Calibri" w:hAnsi="Arial" w:cs="Arial"/>
        </w:rPr>
      </w:pPr>
      <w:r w:rsidRPr="00D43F09">
        <w:rPr>
          <w:rFonts w:ascii="Arial" w:eastAsia="Calibri" w:hAnsi="Arial" w:cs="Arial"/>
        </w:rPr>
        <w:t>Pregnancy</w:t>
      </w:r>
    </w:p>
    <w:p w14:paraId="14DB8FB0"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the facility’s capability at the time admission is sought.  The medical director’s determination must be </w:t>
      </w:r>
      <w:proofErr w:type="gramStart"/>
      <w:r w:rsidRPr="00D43F09">
        <w:rPr>
          <w:rFonts w:ascii="Arial" w:eastAsia="Calibri" w:hAnsi="Arial" w:cs="Arial"/>
        </w:rPr>
        <w:t>written, and</w:t>
      </w:r>
      <w:proofErr w:type="gramEnd"/>
      <w:r w:rsidRPr="00D43F09">
        <w:rPr>
          <w:rFonts w:ascii="Arial" w:eastAsia="Calibri" w:hAnsi="Arial" w:cs="Arial"/>
        </w:rPr>
        <w:t xml:space="preserve"> include the factors justifying the denial and why mitigating efforts, such as utilization of additional staff, would have been inadequate. [See DMH Licensing Bulletin #18-01 - </w:t>
      </w:r>
      <w:r w:rsidRPr="00D43F09">
        <w:rPr>
          <w:rFonts w:ascii="Arial" w:eastAsia="Calibri" w:hAnsi="Arial" w:cs="Arial"/>
          <w:b/>
          <w:i/>
          <w:spacing w:val="10"/>
        </w:rPr>
        <w:t>Documentation of Unit Conditions and Facility Denial of Inpatient Care</w:t>
      </w:r>
      <w:r w:rsidRPr="00D43F09">
        <w:rPr>
          <w:rFonts w:ascii="Arial" w:eastAsia="Calibri" w:hAnsi="Arial" w:cs="Arial"/>
        </w:rPr>
        <w:t xml:space="preserve"> and 104 CMR 27.05 (3) (d).]</w:t>
      </w:r>
    </w:p>
    <w:p w14:paraId="46241D91" w14:textId="77777777" w:rsidR="00FD708E" w:rsidRPr="00D43F09" w:rsidRDefault="00FD708E" w:rsidP="00FD708E">
      <w:pPr>
        <w:spacing w:before="1320"/>
        <w:rPr>
          <w:rFonts w:ascii="Arial" w:eastAsia="Calibri" w:hAnsi="Arial" w:cs="Arial"/>
        </w:rPr>
      </w:pPr>
      <w:r w:rsidRPr="00D43F09">
        <w:rPr>
          <w:rFonts w:ascii="Arial" w:eastAsia="Calibri" w:hAnsi="Arial" w:cs="Arial"/>
        </w:rPr>
        <w:t>* The medical director’s physician designee must be a physician who is vested with the full range of the medical director’s authority and responsibility in the medical director’s absence.</w:t>
      </w:r>
      <w:r w:rsidRPr="00D43F09">
        <w:rPr>
          <w:rFonts w:ascii="Arial" w:eastAsia="Calibri" w:hAnsi="Arial" w:cs="Arial"/>
        </w:rPr>
        <w:br w:type="page"/>
      </w:r>
    </w:p>
    <w:p w14:paraId="728F1A37" w14:textId="77777777" w:rsidR="00FD708E" w:rsidRPr="00D43F09" w:rsidRDefault="00FD708E" w:rsidP="00FD708E">
      <w:pPr>
        <w:spacing w:after="200"/>
        <w:jc w:val="center"/>
        <w:rPr>
          <w:rFonts w:ascii="Arial" w:eastAsia="Calibri" w:hAnsi="Arial" w:cs="Arial"/>
          <w:i/>
          <w:spacing w:val="10"/>
        </w:rPr>
      </w:pPr>
      <w:r w:rsidRPr="00D43F09">
        <w:rPr>
          <w:rFonts w:ascii="Arial" w:eastAsia="Calibri" w:hAnsi="Arial" w:cs="Arial"/>
          <w:b/>
          <w:i/>
          <w:spacing w:val="10"/>
        </w:rPr>
        <w:lastRenderedPageBreak/>
        <w:t>Department of Mental Health</w:t>
      </w:r>
    </w:p>
    <w:p w14:paraId="76EDA850" w14:textId="77777777" w:rsidR="00FD708E" w:rsidRPr="00D43F09" w:rsidRDefault="00FD708E" w:rsidP="00FD708E">
      <w:pPr>
        <w:spacing w:after="200"/>
        <w:jc w:val="center"/>
        <w:rPr>
          <w:rFonts w:ascii="Arial" w:eastAsia="Calibri" w:hAnsi="Arial" w:cs="Arial"/>
          <w:i/>
          <w:spacing w:val="10"/>
        </w:rPr>
      </w:pPr>
      <w:r w:rsidRPr="00D43F09">
        <w:rPr>
          <w:rFonts w:ascii="Arial" w:eastAsia="Calibri" w:hAnsi="Arial" w:cs="Arial"/>
          <w:b/>
          <w:i/>
          <w:spacing w:val="10"/>
        </w:rPr>
        <w:t>Inpatient Licensing Division</w:t>
      </w:r>
    </w:p>
    <w:p w14:paraId="165EFA7A" w14:textId="77777777" w:rsidR="00FD708E" w:rsidRPr="00D43F09" w:rsidRDefault="00FD708E" w:rsidP="00FD708E">
      <w:pPr>
        <w:spacing w:after="200"/>
        <w:jc w:val="center"/>
        <w:rPr>
          <w:rFonts w:ascii="Arial" w:eastAsia="Calibri" w:hAnsi="Arial" w:cs="Arial"/>
          <w:b/>
          <w:i/>
          <w:spacing w:val="10"/>
        </w:rPr>
      </w:pPr>
      <w:r w:rsidRPr="00D43F09">
        <w:rPr>
          <w:rFonts w:ascii="Arial" w:eastAsia="Calibri" w:hAnsi="Arial" w:cs="Arial"/>
          <w:b/>
          <w:i/>
          <w:spacing w:val="10"/>
        </w:rPr>
        <w:t>Clinical Competencies/ Operational Standards Related to Severe Behavior/ Assault Risk</w:t>
      </w:r>
    </w:p>
    <w:p w14:paraId="54BBE612" w14:textId="77777777" w:rsidR="00FD708E" w:rsidRPr="00D43F09" w:rsidRDefault="00FD708E" w:rsidP="00FD708E">
      <w:pPr>
        <w:spacing w:after="200"/>
        <w:rPr>
          <w:rFonts w:ascii="Arial" w:eastAsia="Calibri" w:hAnsi="Arial" w:cs="Arial"/>
        </w:rPr>
      </w:pPr>
      <w:r w:rsidRPr="00D43F09">
        <w:rPr>
          <w:rFonts w:ascii="Arial" w:eastAsia="Calibri" w:hAnsi="Arial" w:cs="Arial"/>
        </w:rPr>
        <w:t>Inpatient psychiatric facilities licensed by the Department of Mental Health are expected to have the capability to provide care to patients who require inpatient psychiatric hospitalization and who present with high level of acuity, including severe behavior and assault risk.</w:t>
      </w:r>
    </w:p>
    <w:p w14:paraId="477632E1" w14:textId="77777777" w:rsidR="00FD708E" w:rsidRPr="00D43F09" w:rsidRDefault="00FD708E" w:rsidP="00FD708E">
      <w:pPr>
        <w:spacing w:after="200"/>
        <w:rPr>
          <w:rFonts w:ascii="Arial" w:eastAsia="Calibri" w:hAnsi="Arial" w:cs="Arial"/>
          <w:b/>
        </w:rPr>
      </w:pPr>
      <w:r w:rsidRPr="00D43F09">
        <w:rPr>
          <w:rFonts w:ascii="Arial" w:eastAsia="Calibri" w:hAnsi="Arial" w:cs="Arial"/>
          <w:b/>
        </w:rPr>
        <w:t>Each general inpatient psychiatric facility shall assure that it has the capacity to:</w:t>
      </w:r>
    </w:p>
    <w:p w14:paraId="1C8AC2A0"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Provide treatment to patients with severe behavior/assault risk, including evaluating patients during the intake and admissions process to determine if additional staffing supplementation is required.</w:t>
      </w:r>
    </w:p>
    <w:p w14:paraId="12592249"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Adjust staffing levels to meet varying levels of unit acuity.</w:t>
      </w:r>
    </w:p>
    <w:p w14:paraId="0084F9CE"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Evaluate and document care needs during the referral and acceptance process which serves as preparation for direct care staff and others to incorporate risk and individualized crisis prevention planning (ICPP) upon admission. (While safety tools are generally completed within 48 hours of admission, a person admitted with this risk level should have their safety tool or ICPP completed as soon as possible after arrival.)</w:t>
      </w:r>
    </w:p>
    <w:p w14:paraId="086FF88E"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Provide a range of intervention approaches to address the needs of patients with higher levels of acuity.  Aggressive, assaultive patients may benefit from behavior management plans, anger management, relaxation techniques, occupational therapy, and social skills development.  Consideration for consultation with behavior specialists should be given.</w:t>
      </w:r>
    </w:p>
    <w:p w14:paraId="4A9F1336"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Provide ongoing training and demonstration of competencies in verbal de-escalation, including hands on experience, to reduce likelihood of harm.</w:t>
      </w:r>
    </w:p>
    <w:p w14:paraId="53B0E9BA" w14:textId="77777777" w:rsidR="00FD708E" w:rsidRPr="00D43F09" w:rsidRDefault="00FD708E" w:rsidP="00FD708E">
      <w:pPr>
        <w:spacing w:before="120" w:after="200"/>
        <w:ind w:left="1368"/>
        <w:rPr>
          <w:rFonts w:ascii="Arial" w:eastAsia="Calibri" w:hAnsi="Arial" w:cs="Arial"/>
        </w:rPr>
      </w:pPr>
      <w:r w:rsidRPr="00D43F09">
        <w:rPr>
          <w:rFonts w:ascii="Arial" w:eastAsia="Calibri" w:hAnsi="Arial" w:cs="Arial"/>
        </w:rPr>
        <w:t>De-escalation and Preventative Skills that can assist direct care staff to safely respond to patient agitation or aggression include but are not limited to:</w:t>
      </w:r>
    </w:p>
    <w:p w14:paraId="45036454"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Motivational Interviewing</w:t>
      </w:r>
    </w:p>
    <w:p w14:paraId="2E2CC99A"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Trauma Informed Care</w:t>
      </w:r>
    </w:p>
    <w:p w14:paraId="073EDFAE"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Person-Centered Approaches</w:t>
      </w:r>
    </w:p>
    <w:p w14:paraId="1217DBAC"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Stigma/ Countertransference</w:t>
      </w:r>
    </w:p>
    <w:p w14:paraId="38531792"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Mindfulness</w:t>
      </w:r>
    </w:p>
    <w:p w14:paraId="66BC1DD2"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Flexible Rules</w:t>
      </w:r>
    </w:p>
    <w:p w14:paraId="59D0DCB3"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Strength-based interventions</w:t>
      </w:r>
    </w:p>
    <w:p w14:paraId="3CAFAFF2"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 xml:space="preserve">Approachability of staff for providing help </w:t>
      </w:r>
    </w:p>
    <w:p w14:paraId="3AFDA67D"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Anger Management</w:t>
      </w:r>
    </w:p>
    <w:p w14:paraId="2FE8DF81" w14:textId="77777777" w:rsidR="00FD708E" w:rsidRPr="00D43F09" w:rsidRDefault="00FD708E">
      <w:pPr>
        <w:numPr>
          <w:ilvl w:val="1"/>
          <w:numId w:val="1"/>
        </w:numPr>
        <w:spacing w:after="200" w:line="276" w:lineRule="auto"/>
        <w:contextualSpacing/>
        <w:rPr>
          <w:rFonts w:ascii="Arial" w:eastAsia="Calibri" w:hAnsi="Arial" w:cs="Arial"/>
        </w:rPr>
      </w:pPr>
      <w:r w:rsidRPr="00D43F09">
        <w:rPr>
          <w:rFonts w:ascii="Arial" w:eastAsia="Calibri" w:hAnsi="Arial" w:cs="Arial"/>
        </w:rPr>
        <w:t>Leadership Rounds regularly on units</w:t>
      </w:r>
    </w:p>
    <w:p w14:paraId="13D32664" w14:textId="2F1CA07A"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Security specialists/ guards who may participate in direct interactions with patients experiencing episodes of severe behavior or assault risk should have training (</w:t>
      </w:r>
      <w:r w:rsidR="00F844EF" w:rsidRPr="00D43F09">
        <w:rPr>
          <w:rFonts w:ascii="Arial" w:eastAsia="Calibri" w:hAnsi="Arial" w:cs="Arial"/>
        </w:rPr>
        <w:t>e.g.,</w:t>
      </w:r>
      <w:r w:rsidRPr="00D43F09">
        <w:rPr>
          <w:rFonts w:ascii="Arial" w:eastAsia="Calibri" w:hAnsi="Arial" w:cs="Arial"/>
        </w:rPr>
        <w:t xml:space="preserve"> CPI, Handle With Care, MOAB) that is consistent with training received by the direct care psychiatric inpatient staff, as should any additional staff who may participate in such episodes.</w:t>
      </w:r>
    </w:p>
    <w:p w14:paraId="26748B98"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Ensure robust debriefing processes, including incidents that qualify as “near misses.”</w:t>
      </w:r>
    </w:p>
    <w:p w14:paraId="601C01B6"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Provide Medication Management with proactive use of PRNs and use of withdrawal protocols as indicated.</w:t>
      </w:r>
    </w:p>
    <w:p w14:paraId="2D7A8580"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lastRenderedPageBreak/>
        <w:t>Ensure that staff on all shifts have access to Sensory Tools, and the training required to select and work with patients to use these tools as coping skills and methods for decreasing frustration and aggression.</w:t>
      </w:r>
    </w:p>
    <w:p w14:paraId="506045EF"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 xml:space="preserve">Involve community treaters, state agency representatives, and the legal system (if involved) in treatment and discharge planning as soon as possible after admission </w:t>
      </w:r>
      <w:proofErr w:type="gramStart"/>
      <w:r w:rsidRPr="00D43F09">
        <w:rPr>
          <w:rFonts w:ascii="Arial" w:eastAsia="Calibri" w:hAnsi="Arial" w:cs="Arial"/>
        </w:rPr>
        <w:t>in order to</w:t>
      </w:r>
      <w:proofErr w:type="gramEnd"/>
      <w:r w:rsidRPr="00D43F09">
        <w:rPr>
          <w:rFonts w:ascii="Arial" w:eastAsia="Calibri" w:hAnsi="Arial" w:cs="Arial"/>
        </w:rPr>
        <w:t xml:space="preserve"> assess the patient’s current continuum of care and foster successful outcomes.</w:t>
      </w:r>
    </w:p>
    <w:p w14:paraId="1867B1C7"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Ensure that wraparound community services are in place (e.g., get/fill medications, an outpatient medication/injection clinic (if needed), access transportation to appointments, stable housing, and case management).</w:t>
      </w:r>
    </w:p>
    <w:p w14:paraId="5D1BCB80"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 xml:space="preserve">Engage patients who are identified as having “personality disorders or traits,” utilizing Trauma Informed Care (TIC), Motivational Interviewing (MI), Sensory Tools, attention to diet (e.g., polydipsia, excessive </w:t>
      </w:r>
      <w:proofErr w:type="gramStart"/>
      <w:r w:rsidRPr="00D43F09">
        <w:rPr>
          <w:rFonts w:ascii="Arial" w:eastAsia="Calibri" w:hAnsi="Arial" w:cs="Arial"/>
        </w:rPr>
        <w:t>caffeine</w:t>
      </w:r>
      <w:proofErr w:type="gramEnd"/>
      <w:r w:rsidRPr="00D43F09">
        <w:rPr>
          <w:rFonts w:ascii="Arial" w:eastAsia="Calibri" w:hAnsi="Arial" w:cs="Arial"/>
        </w:rPr>
        <w:t xml:space="preserve"> or sugar intake), and Mindfulness Training.</w:t>
      </w:r>
    </w:p>
    <w:p w14:paraId="0E5ACDC9"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 xml:space="preserve">Work with court system, families and/ or guardians to </w:t>
      </w:r>
      <w:proofErr w:type="gramStart"/>
      <w:r w:rsidRPr="00D43F09">
        <w:rPr>
          <w:rFonts w:ascii="Arial" w:eastAsia="Calibri" w:hAnsi="Arial" w:cs="Arial"/>
        </w:rPr>
        <w:t>expedite the process of</w:t>
      </w:r>
      <w:proofErr w:type="gramEnd"/>
      <w:r w:rsidRPr="00D43F09">
        <w:rPr>
          <w:rFonts w:ascii="Arial" w:eastAsia="Calibri" w:hAnsi="Arial" w:cs="Arial"/>
        </w:rPr>
        <w:t xml:space="preserve"> commitment if necessary.</w:t>
      </w:r>
    </w:p>
    <w:p w14:paraId="4C955B28"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Provide increased security presence, specialized psychopharmacology interventions, and active treatment with the patient to identify and practice greater behavioral control skills.</w:t>
      </w:r>
    </w:p>
    <w:p w14:paraId="18D6DDC8" w14:textId="77777777" w:rsidR="00FD708E" w:rsidRPr="00D43F09" w:rsidRDefault="00FD708E">
      <w:pPr>
        <w:numPr>
          <w:ilvl w:val="0"/>
          <w:numId w:val="5"/>
        </w:numPr>
        <w:spacing w:after="200"/>
        <w:contextualSpacing/>
        <w:rPr>
          <w:rFonts w:ascii="Arial" w:eastAsia="Calibri" w:hAnsi="Arial" w:cs="Arial"/>
        </w:rPr>
      </w:pPr>
      <w:r w:rsidRPr="00D43F09">
        <w:rPr>
          <w:rFonts w:ascii="Arial" w:eastAsia="Calibri" w:hAnsi="Arial" w:cs="Arial"/>
        </w:rPr>
        <w:t>Ensure all staff receive consistent education and maintain current trainings and certifications (i.e., upon hire, as needed, and annually) to work with and care for these patients.</w:t>
      </w:r>
    </w:p>
    <w:p w14:paraId="060709BE" w14:textId="77777777" w:rsidR="00FD708E" w:rsidRPr="00D43F09" w:rsidRDefault="00FD708E" w:rsidP="00FD708E">
      <w:pPr>
        <w:spacing w:after="200"/>
        <w:rPr>
          <w:rFonts w:ascii="Arial" w:eastAsia="Calibri" w:hAnsi="Arial" w:cs="Arial"/>
          <w:b/>
        </w:rPr>
      </w:pPr>
    </w:p>
    <w:p w14:paraId="570D6775" w14:textId="77777777" w:rsidR="00FD708E" w:rsidRPr="00D43F09" w:rsidRDefault="00FD708E" w:rsidP="00FD708E">
      <w:pPr>
        <w:spacing w:after="200"/>
        <w:rPr>
          <w:rFonts w:ascii="Arial" w:eastAsia="Calibri" w:hAnsi="Arial" w:cs="Arial"/>
          <w:b/>
        </w:rPr>
      </w:pPr>
      <w:r w:rsidRPr="00D43F09">
        <w:rPr>
          <w:rFonts w:ascii="Arial" w:eastAsia="Calibri" w:hAnsi="Arial" w:cs="Arial"/>
          <w:b/>
        </w:rPr>
        <w:t>Each general inpatient psychiatric facility is recommended to consider:</w:t>
      </w:r>
    </w:p>
    <w:p w14:paraId="3846DE81" w14:textId="77777777" w:rsidR="00FD708E" w:rsidRPr="00D43F09" w:rsidRDefault="00FD708E">
      <w:pPr>
        <w:numPr>
          <w:ilvl w:val="0"/>
          <w:numId w:val="6"/>
        </w:numPr>
        <w:spacing w:after="200"/>
        <w:contextualSpacing/>
        <w:rPr>
          <w:rFonts w:ascii="Arial" w:eastAsia="Calibri" w:hAnsi="Arial" w:cs="Arial"/>
        </w:rPr>
      </w:pPr>
      <w:r w:rsidRPr="00D43F09">
        <w:rPr>
          <w:rFonts w:ascii="Arial" w:eastAsia="Calibri" w:hAnsi="Arial" w:cs="Arial"/>
        </w:rPr>
        <w:t>When possible, create flexibility in the physical plant for non-restraint and seclusion management of behavior. This can involve providing special observation/single rooms and higher staffing ratios for patients requiring assault precautions to mitigate the risk to roommates and other patients on the unit. It is ideal that a unit be able to provide a distinct, spacious area for the most acute patients with specialized group programming, activity space, and comfort space (if possible).  Patients could move to the regular section of the milieu when able to tolerate more stimulation.</w:t>
      </w:r>
    </w:p>
    <w:p w14:paraId="11D2BD07" w14:textId="77777777" w:rsidR="00FD708E" w:rsidRPr="00D43F09" w:rsidRDefault="00FD708E">
      <w:pPr>
        <w:numPr>
          <w:ilvl w:val="0"/>
          <w:numId w:val="6"/>
        </w:numPr>
        <w:spacing w:after="200"/>
        <w:contextualSpacing/>
        <w:rPr>
          <w:rFonts w:ascii="Arial" w:eastAsia="Calibri" w:hAnsi="Arial" w:cs="Arial"/>
        </w:rPr>
      </w:pPr>
      <w:r w:rsidRPr="00D43F09">
        <w:rPr>
          <w:rFonts w:ascii="Arial" w:eastAsia="Calibri" w:hAnsi="Arial" w:cs="Arial"/>
        </w:rPr>
        <w:t>Consideration should be given to the inclusion of Peer Support Specialists in milieu treatment.</w:t>
      </w:r>
    </w:p>
    <w:p w14:paraId="5CAA77EE"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the facility’s capability at the time admission is sought.  The medical director’s determination must be </w:t>
      </w:r>
      <w:proofErr w:type="gramStart"/>
      <w:r w:rsidRPr="00D43F09">
        <w:rPr>
          <w:rFonts w:ascii="Arial" w:eastAsia="Calibri" w:hAnsi="Arial" w:cs="Arial"/>
        </w:rPr>
        <w:t>written, and</w:t>
      </w:r>
      <w:proofErr w:type="gramEnd"/>
      <w:r w:rsidRPr="00D43F09">
        <w:rPr>
          <w:rFonts w:ascii="Arial" w:eastAsia="Calibri" w:hAnsi="Arial" w:cs="Arial"/>
        </w:rPr>
        <w:t xml:space="preserve"> include the factors justifying the denial and why mitigating efforts, such as utilization of additional staff, would have been inadequate. [See </w:t>
      </w:r>
      <w:r w:rsidRPr="00D43F09">
        <w:rPr>
          <w:rFonts w:ascii="Arial" w:eastAsia="Calibri" w:hAnsi="Arial" w:cs="Arial"/>
          <w:b/>
          <w:i/>
          <w:spacing w:val="10"/>
        </w:rPr>
        <w:t>DMH Licensing Bulletin #18-01 - Documentation of Unit Conditions and Facility Denial of Inpatient Care</w:t>
      </w:r>
      <w:r w:rsidRPr="00D43F09">
        <w:rPr>
          <w:rFonts w:ascii="Arial" w:eastAsia="Calibri" w:hAnsi="Arial" w:cs="Arial"/>
        </w:rPr>
        <w:t xml:space="preserve"> and 104 CMR 27.05 (3) (d).]</w:t>
      </w:r>
    </w:p>
    <w:p w14:paraId="12C7BCC1" w14:textId="77777777" w:rsidR="00FD708E" w:rsidRPr="00D43F09" w:rsidRDefault="00FD708E" w:rsidP="00FD708E">
      <w:pPr>
        <w:spacing w:before="360"/>
        <w:rPr>
          <w:rFonts w:ascii="Arial" w:eastAsia="Calibri" w:hAnsi="Arial" w:cs="Arial"/>
        </w:rPr>
      </w:pPr>
      <w:r w:rsidRPr="00D43F09">
        <w:rPr>
          <w:rFonts w:ascii="Arial" w:eastAsia="Calibri" w:hAnsi="Arial" w:cs="Arial"/>
        </w:rPr>
        <w:t>* The medical director’s physician designee must be a physician who is vested with the full range of the medical director’s authority and responsibility in the medical director’s absence.</w:t>
      </w:r>
    </w:p>
    <w:p w14:paraId="13A1030B" w14:textId="77777777" w:rsidR="00FD708E" w:rsidRPr="00D43F09" w:rsidRDefault="00FD708E" w:rsidP="00FD708E">
      <w:pPr>
        <w:spacing w:after="200"/>
        <w:rPr>
          <w:rFonts w:ascii="Arial" w:eastAsia="Calibri" w:hAnsi="Arial" w:cs="Arial"/>
        </w:rPr>
      </w:pPr>
      <w:r w:rsidRPr="00D43F09">
        <w:rPr>
          <w:rFonts w:ascii="Arial" w:eastAsia="Calibri" w:hAnsi="Arial" w:cs="Arial"/>
        </w:rPr>
        <w:br w:type="page"/>
      </w:r>
    </w:p>
    <w:p w14:paraId="22FE890D" w14:textId="77777777" w:rsidR="00FD708E" w:rsidRPr="00D43F09" w:rsidRDefault="00FD708E" w:rsidP="00FD708E">
      <w:pPr>
        <w:spacing w:after="200"/>
        <w:jc w:val="center"/>
        <w:rPr>
          <w:rFonts w:ascii="Arial" w:eastAsia="Calibri" w:hAnsi="Arial" w:cs="Arial"/>
          <w:i/>
          <w:spacing w:val="10"/>
        </w:rPr>
      </w:pPr>
      <w:r w:rsidRPr="00D43F09">
        <w:rPr>
          <w:rFonts w:ascii="Arial" w:eastAsia="Calibri" w:hAnsi="Arial" w:cs="Arial"/>
          <w:b/>
          <w:i/>
          <w:spacing w:val="10"/>
        </w:rPr>
        <w:lastRenderedPageBreak/>
        <w:t>Department of Mental Health</w:t>
      </w:r>
    </w:p>
    <w:p w14:paraId="19DC7936" w14:textId="77777777" w:rsidR="00FD708E" w:rsidRPr="00D43F09" w:rsidRDefault="00FD708E" w:rsidP="00FD708E">
      <w:pPr>
        <w:spacing w:after="200"/>
        <w:jc w:val="center"/>
        <w:rPr>
          <w:rFonts w:ascii="Arial" w:eastAsia="Calibri" w:hAnsi="Arial" w:cs="Arial"/>
          <w:i/>
          <w:spacing w:val="10"/>
        </w:rPr>
      </w:pPr>
      <w:r w:rsidRPr="00D43F09">
        <w:rPr>
          <w:rFonts w:ascii="Arial" w:eastAsia="Calibri" w:hAnsi="Arial" w:cs="Arial"/>
          <w:b/>
          <w:i/>
          <w:spacing w:val="10"/>
        </w:rPr>
        <w:t>Inpatient Licensing Division</w:t>
      </w:r>
    </w:p>
    <w:p w14:paraId="3A22DD04" w14:textId="77777777" w:rsidR="00FD708E" w:rsidRPr="00D43F09" w:rsidRDefault="00FD708E" w:rsidP="00FD708E">
      <w:pPr>
        <w:spacing w:after="200"/>
        <w:rPr>
          <w:rFonts w:ascii="Arial" w:eastAsia="Calibri" w:hAnsi="Arial" w:cs="Arial"/>
        </w:rPr>
      </w:pPr>
    </w:p>
    <w:p w14:paraId="6685B878" w14:textId="77777777" w:rsidR="00FD708E" w:rsidRPr="00D43F09" w:rsidRDefault="00FD708E" w:rsidP="00FD708E">
      <w:pPr>
        <w:spacing w:after="200"/>
        <w:jc w:val="center"/>
        <w:rPr>
          <w:rFonts w:ascii="Arial" w:eastAsia="Calibri" w:hAnsi="Arial" w:cs="Arial"/>
          <w:b/>
        </w:rPr>
      </w:pPr>
      <w:r w:rsidRPr="00D43F09">
        <w:rPr>
          <w:rFonts w:ascii="Arial" w:eastAsia="Calibri" w:hAnsi="Arial" w:cs="Arial"/>
          <w:b/>
        </w:rPr>
        <w:t>Clinical Competencies/Operational Standards Related to Co-occurring Autism Spectrum Disorder or Other Intellectual and Developmental Disabilities (ASD/ID/DD)</w:t>
      </w:r>
    </w:p>
    <w:p w14:paraId="3302C184" w14:textId="77777777" w:rsidR="00FD708E" w:rsidRPr="00D43F09" w:rsidRDefault="00FD708E" w:rsidP="00FD708E">
      <w:pPr>
        <w:spacing w:after="200"/>
        <w:rPr>
          <w:rFonts w:ascii="Arial" w:eastAsia="Calibri" w:hAnsi="Arial" w:cs="Arial"/>
        </w:rPr>
      </w:pPr>
      <w:r w:rsidRPr="00D43F09">
        <w:rPr>
          <w:rFonts w:ascii="Arial" w:eastAsia="Calibri" w:hAnsi="Arial" w:cs="Arial"/>
        </w:rPr>
        <w:t>Inpatient psychiatric facilities licensed by the Department of Mental Health are expected to have the capability to provide care to patients who require inpatient psychiatric hospitalization, who present with Autism Spectrum Disorders or Other Intellectual and Developmental Disabilities (ASD/ID/DD), but who do not require specialized treatment due to their ASD/ID/DD beyond the competencies listed below.</w:t>
      </w:r>
    </w:p>
    <w:p w14:paraId="0BC6AA57" w14:textId="77777777" w:rsidR="00FD708E" w:rsidRPr="00D43F09" w:rsidRDefault="00FD708E" w:rsidP="00FD708E">
      <w:pPr>
        <w:spacing w:after="200"/>
        <w:rPr>
          <w:rFonts w:ascii="Arial" w:eastAsia="Calibri" w:hAnsi="Arial" w:cs="Arial"/>
          <w:b/>
        </w:rPr>
      </w:pPr>
      <w:r w:rsidRPr="00D43F09">
        <w:rPr>
          <w:rFonts w:ascii="Arial" w:eastAsia="Calibri" w:hAnsi="Arial" w:cs="Arial"/>
          <w:b/>
        </w:rPr>
        <w:t>Each general inpatient psychiatric facility shall assure that it has the capacity to:</w:t>
      </w:r>
    </w:p>
    <w:p w14:paraId="5F8186B9"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 xml:space="preserve">Provide care to patients with mild to moderate presentations of Autism Spectrum Disorder or other intellectual and/or developmental disabilities whose baseline level of functional impairment is mild to moderate as well.  Patients with significant maladaptive behavior, inability to maintain ADLs, as well as those with significant self-injurious or violent behavior, due to their ASD/ID/DD may have needs that exceed the expected capability of a general inpatient psychiatric unit. </w:t>
      </w:r>
    </w:p>
    <w:p w14:paraId="071A4D1D"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Recognize the clinical needs of common co-occurring physical conditions that are associated with many patients with ASD/ID/DD (e.g., severe constipation, diarrhea, urinary tract infections, food allergies, etc.).</w:t>
      </w:r>
    </w:p>
    <w:p w14:paraId="170D0636"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 xml:space="preserve">Provide sensory supports for varying levels of functioning. </w:t>
      </w:r>
    </w:p>
    <w:p w14:paraId="69B413B1"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 xml:space="preserve">Ensure all staff receive consistent education and maintain current trainings (i.e., upon hire, as needed, and annually) to work with and care for this population. </w:t>
      </w:r>
    </w:p>
    <w:p w14:paraId="3C64517B"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 xml:space="preserve">Provide ongoing trainings and demonstration of competencies in de-escalating behaviors of patients with ASD/ID/DD, as part of the general de-escalation program. </w:t>
      </w:r>
    </w:p>
    <w:p w14:paraId="6F96AFE7"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 xml:space="preserve">Evaluate and document care needs during the referral and acceptance </w:t>
      </w:r>
      <w:proofErr w:type="gramStart"/>
      <w:r w:rsidRPr="00D43F09">
        <w:rPr>
          <w:rFonts w:ascii="Arial" w:eastAsia="Calibri" w:hAnsi="Arial" w:cs="Arial"/>
        </w:rPr>
        <w:t>process, and</w:t>
      </w:r>
      <w:proofErr w:type="gramEnd"/>
      <w:r w:rsidRPr="00D43F09">
        <w:rPr>
          <w:rFonts w:ascii="Arial" w:eastAsia="Calibri" w:hAnsi="Arial" w:cs="Arial"/>
        </w:rPr>
        <w:t xml:space="preserve"> use this information to incorporate the inclusion of behavioral triggers/warning signs, as well as strengths, motivators and any sensory tools that have been successfully employed for direct care staff and the multidisciplinary team.</w:t>
      </w:r>
    </w:p>
    <w:p w14:paraId="02E7110E"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Notify and collaborate with the Department of Developmental Services, as appropriate and with the Department of Education (DOE), town or city special education departments to ensure the continuity of special education services for eligible students.</w:t>
      </w:r>
    </w:p>
    <w:p w14:paraId="7585FB5B"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Engage the Children’s Behavioral Health Initiative (CBHI) teams, Department of Education (DOE) teams, DMH, and/or DDS for consultation and discharge planning as needed.</w:t>
      </w:r>
    </w:p>
    <w:p w14:paraId="3008D7E2"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Minimize the difficulty with transitions, especially by providing discharge information to care managers and outpatient services. Ideally, the same team members (both inpatient and outpatient) would work with these patients as they move across the care continuum.</w:t>
      </w:r>
    </w:p>
    <w:p w14:paraId="5E4ED363" w14:textId="77777777" w:rsidR="00FD708E" w:rsidRPr="00D43F09" w:rsidRDefault="00FD708E">
      <w:pPr>
        <w:numPr>
          <w:ilvl w:val="0"/>
          <w:numId w:val="7"/>
        </w:numPr>
        <w:spacing w:after="200"/>
        <w:contextualSpacing/>
        <w:rPr>
          <w:rFonts w:ascii="Arial" w:eastAsia="Calibri" w:hAnsi="Arial" w:cs="Arial"/>
        </w:rPr>
      </w:pPr>
      <w:r w:rsidRPr="00D43F09">
        <w:rPr>
          <w:rFonts w:ascii="Arial" w:eastAsia="Calibri" w:hAnsi="Arial" w:cs="Arial"/>
        </w:rPr>
        <w:t>Work with families and other caregivers before discharge to enhance successful transition of level of care and reduce recidivism.</w:t>
      </w:r>
    </w:p>
    <w:p w14:paraId="11107873" w14:textId="77777777" w:rsidR="00FD708E" w:rsidRPr="00D43F09" w:rsidRDefault="00FD708E" w:rsidP="00FD708E">
      <w:pPr>
        <w:keepNext/>
        <w:spacing w:after="200"/>
        <w:rPr>
          <w:rFonts w:ascii="Arial" w:eastAsia="Calibri" w:hAnsi="Arial" w:cs="Arial"/>
          <w:b/>
        </w:rPr>
      </w:pPr>
    </w:p>
    <w:p w14:paraId="3FE99471" w14:textId="77777777" w:rsidR="00FD708E" w:rsidRPr="00D43F09" w:rsidRDefault="00FD708E" w:rsidP="00FD708E">
      <w:pPr>
        <w:keepNext/>
        <w:spacing w:after="200"/>
        <w:rPr>
          <w:rFonts w:ascii="Arial" w:eastAsia="Calibri" w:hAnsi="Arial" w:cs="Arial"/>
          <w:b/>
        </w:rPr>
      </w:pPr>
      <w:r w:rsidRPr="00D43F09">
        <w:rPr>
          <w:rFonts w:ascii="Arial" w:eastAsia="Calibri" w:hAnsi="Arial" w:cs="Arial"/>
          <w:b/>
        </w:rPr>
        <w:t>Each general inpatient psychiatric facility is recommended to consider:</w:t>
      </w:r>
    </w:p>
    <w:p w14:paraId="7EF08385" w14:textId="77777777" w:rsidR="00FD708E" w:rsidRPr="00D43F09" w:rsidRDefault="00FD708E">
      <w:pPr>
        <w:numPr>
          <w:ilvl w:val="0"/>
          <w:numId w:val="8"/>
        </w:numPr>
        <w:spacing w:after="200"/>
        <w:contextualSpacing/>
        <w:rPr>
          <w:rFonts w:ascii="Arial" w:eastAsia="Calibri" w:hAnsi="Arial" w:cs="Arial"/>
        </w:rPr>
      </w:pPr>
      <w:r w:rsidRPr="00D43F09">
        <w:rPr>
          <w:rFonts w:ascii="Arial" w:eastAsia="Calibri" w:hAnsi="Arial" w:cs="Arial"/>
        </w:rPr>
        <w:t>Flexible availability of a separate, designated, less stimulating space is best.</w:t>
      </w:r>
    </w:p>
    <w:p w14:paraId="6BF288AA"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w:t>
      </w:r>
      <w:r w:rsidRPr="00D43F09">
        <w:rPr>
          <w:rFonts w:ascii="Arial" w:eastAsia="Calibri" w:hAnsi="Arial" w:cs="Arial"/>
        </w:rPr>
        <w:lastRenderedPageBreak/>
        <w:t xml:space="preserve">the facility’s capability at the time admission is sought.  The medical director’s determination must be </w:t>
      </w:r>
      <w:proofErr w:type="gramStart"/>
      <w:r w:rsidRPr="00D43F09">
        <w:rPr>
          <w:rFonts w:ascii="Arial" w:eastAsia="Calibri" w:hAnsi="Arial" w:cs="Arial"/>
        </w:rPr>
        <w:t>written, and</w:t>
      </w:r>
      <w:proofErr w:type="gramEnd"/>
      <w:r w:rsidRPr="00D43F09">
        <w:rPr>
          <w:rFonts w:ascii="Arial" w:eastAsia="Calibri" w:hAnsi="Arial" w:cs="Arial"/>
        </w:rPr>
        <w:t xml:space="preserve"> include the factors justifying the denial and why mitigating efforts, such as utilization of additional staff, would have been inadequate. [See DMH Licensing Bulletin #18-01</w:t>
      </w:r>
      <w:r w:rsidRPr="00D43F09">
        <w:rPr>
          <w:rFonts w:ascii="Arial" w:eastAsia="Calibri" w:hAnsi="Arial" w:cs="Arial"/>
          <w:b/>
          <w:i/>
          <w:spacing w:val="10"/>
        </w:rPr>
        <w:t xml:space="preserve"> - Documentation of Unit Conditions and Facility Denial of Inpatient Care</w:t>
      </w:r>
      <w:r w:rsidRPr="00D43F09">
        <w:rPr>
          <w:rFonts w:ascii="Arial" w:eastAsia="Calibri" w:hAnsi="Arial" w:cs="Arial"/>
        </w:rPr>
        <w:t xml:space="preserve"> and 104 CMR 27.05 (3) (d).]</w:t>
      </w:r>
    </w:p>
    <w:p w14:paraId="5271CBA1" w14:textId="77777777" w:rsidR="00FD708E" w:rsidRPr="00D43F09" w:rsidRDefault="00FD708E" w:rsidP="00FD708E">
      <w:pPr>
        <w:spacing w:before="960" w:after="200"/>
        <w:rPr>
          <w:rFonts w:ascii="Arial" w:eastAsia="Calibri" w:hAnsi="Arial" w:cs="Arial"/>
        </w:rPr>
      </w:pPr>
      <w:r w:rsidRPr="00D43F09">
        <w:rPr>
          <w:rFonts w:ascii="Arial" w:eastAsia="Calibri" w:hAnsi="Arial" w:cs="Arial"/>
        </w:rPr>
        <w:t>* The medical director’s physician designee must be a physician who is vested with the full range of the medical director’s authority and responsibility in the medical director’s absence.</w:t>
      </w:r>
    </w:p>
    <w:p w14:paraId="729DD2A6" w14:textId="77777777" w:rsidR="00FD708E" w:rsidRPr="00D43F09" w:rsidRDefault="00FD708E" w:rsidP="00FD708E">
      <w:pPr>
        <w:spacing w:after="200"/>
        <w:rPr>
          <w:rFonts w:ascii="Arial" w:eastAsia="Calibri" w:hAnsi="Arial" w:cs="Arial"/>
        </w:rPr>
      </w:pPr>
      <w:r w:rsidRPr="00D43F09">
        <w:rPr>
          <w:rFonts w:ascii="Arial" w:eastAsia="Calibri" w:hAnsi="Arial" w:cs="Arial"/>
        </w:rPr>
        <w:br w:type="page"/>
      </w:r>
    </w:p>
    <w:p w14:paraId="2BA7317A" w14:textId="77777777" w:rsidR="00FD708E" w:rsidRPr="00D43F09" w:rsidRDefault="00FD708E" w:rsidP="00FD708E">
      <w:pPr>
        <w:spacing w:after="200"/>
        <w:jc w:val="center"/>
        <w:rPr>
          <w:rFonts w:ascii="Arial" w:eastAsia="Calibri" w:hAnsi="Arial" w:cs="Arial"/>
          <w:i/>
          <w:spacing w:val="10"/>
        </w:rPr>
      </w:pPr>
      <w:r w:rsidRPr="00D43F09">
        <w:rPr>
          <w:rFonts w:ascii="Arial" w:eastAsia="Calibri" w:hAnsi="Arial" w:cs="Arial"/>
          <w:b/>
          <w:i/>
          <w:spacing w:val="10"/>
        </w:rPr>
        <w:lastRenderedPageBreak/>
        <w:t>Department of Mental Health</w:t>
      </w:r>
    </w:p>
    <w:p w14:paraId="4821E2DF" w14:textId="77777777" w:rsidR="00FD708E" w:rsidRPr="00D43F09" w:rsidRDefault="00FD708E" w:rsidP="00FD708E">
      <w:pPr>
        <w:spacing w:after="200"/>
        <w:jc w:val="center"/>
        <w:rPr>
          <w:rFonts w:ascii="Arial" w:eastAsia="Calibri" w:hAnsi="Arial" w:cs="Arial"/>
          <w:i/>
          <w:spacing w:val="10"/>
        </w:rPr>
      </w:pPr>
      <w:r w:rsidRPr="00D43F09">
        <w:rPr>
          <w:rFonts w:ascii="Arial" w:eastAsia="Calibri" w:hAnsi="Arial" w:cs="Arial"/>
          <w:b/>
          <w:i/>
          <w:spacing w:val="10"/>
        </w:rPr>
        <w:t>Inpatient Licensing Division</w:t>
      </w:r>
    </w:p>
    <w:p w14:paraId="57095EC6" w14:textId="77777777" w:rsidR="00FD708E" w:rsidRPr="00D43F09" w:rsidRDefault="00FD708E" w:rsidP="00FD708E">
      <w:pPr>
        <w:spacing w:after="200"/>
        <w:rPr>
          <w:rFonts w:ascii="Arial" w:eastAsia="Calibri" w:hAnsi="Arial" w:cs="Arial"/>
        </w:rPr>
      </w:pPr>
    </w:p>
    <w:p w14:paraId="1D85C300" w14:textId="77777777" w:rsidR="00FD708E" w:rsidRPr="00D43F09" w:rsidRDefault="00FD708E" w:rsidP="00FD708E">
      <w:pPr>
        <w:spacing w:after="200"/>
        <w:jc w:val="center"/>
        <w:rPr>
          <w:rFonts w:ascii="Arial" w:eastAsia="Calibri" w:hAnsi="Arial" w:cs="Arial"/>
          <w:b/>
        </w:rPr>
      </w:pPr>
      <w:r w:rsidRPr="00D43F09">
        <w:rPr>
          <w:rFonts w:ascii="Arial" w:eastAsia="Calibri" w:hAnsi="Arial" w:cs="Arial"/>
          <w:b/>
        </w:rPr>
        <w:t>Clinical Competencies/ Operational Standards Related to Co-Occurring Substance Use Disorders (SUD)</w:t>
      </w:r>
    </w:p>
    <w:p w14:paraId="2F968E26" w14:textId="77777777" w:rsidR="00FD708E" w:rsidRPr="00D43F09" w:rsidRDefault="00FD708E" w:rsidP="00FD708E">
      <w:pPr>
        <w:spacing w:after="200"/>
        <w:rPr>
          <w:rFonts w:ascii="Arial" w:eastAsia="Calibri" w:hAnsi="Arial" w:cs="Arial"/>
        </w:rPr>
      </w:pPr>
    </w:p>
    <w:p w14:paraId="3DD815A8"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The Department of Public Health Bureau of Substance Addiction Services (BSAS) licenses inpatient psychiatric facilities that also provide a separate, identifiable inpatient SUD treatment program.  Such units/ facilities are required to be dually licensed by DMH and BSAS. </w:t>
      </w:r>
    </w:p>
    <w:p w14:paraId="25C39D4F" w14:textId="77777777" w:rsidR="00FD708E" w:rsidRPr="00D43F09" w:rsidRDefault="00FD708E" w:rsidP="00FD708E">
      <w:pPr>
        <w:spacing w:after="200"/>
        <w:rPr>
          <w:rFonts w:ascii="Arial" w:eastAsia="Calibri" w:hAnsi="Arial" w:cs="Arial"/>
        </w:rPr>
      </w:pPr>
      <w:r w:rsidRPr="00D43F09">
        <w:rPr>
          <w:rFonts w:ascii="Arial" w:eastAsia="Calibri" w:hAnsi="Arial" w:cs="Arial"/>
        </w:rPr>
        <w:t>A DMH licensed facility that provides SUD treatment or services, such as medication assisted treatment (MAT), incidental to the evaluation, diagnostic and treatment services for which it is licensed under 104 CMR 27.00, and that does not offer a separate, identifiable inpatient substance use disorder treatment unit or program, or represent themselves to the public as providing substance use disorder treatment or services as a primary or specialty service, must comply with DMH licensing requirements at 104 CMR 27.03(11) but is not subject to BSAS licensure requirements.</w:t>
      </w:r>
    </w:p>
    <w:p w14:paraId="5C7699EB" w14:textId="77777777" w:rsidR="00FD708E" w:rsidRPr="00D43F09" w:rsidRDefault="00FD708E" w:rsidP="00FD708E">
      <w:pPr>
        <w:spacing w:after="200"/>
        <w:rPr>
          <w:rFonts w:ascii="Arial" w:eastAsia="Calibri" w:hAnsi="Arial" w:cs="Arial"/>
          <w:b/>
        </w:rPr>
      </w:pPr>
      <w:r w:rsidRPr="00D43F09">
        <w:rPr>
          <w:rFonts w:ascii="Arial" w:eastAsia="Calibri" w:hAnsi="Arial" w:cs="Arial"/>
          <w:b/>
        </w:rPr>
        <w:t>As part of its licensure obligations under 104 CMR 27.00, each inpatient psychiatric facility that is not subject to BSAS licensure shall assure that it has the capacity to:</w:t>
      </w:r>
    </w:p>
    <w:p w14:paraId="4CFBAB61" w14:textId="77777777" w:rsidR="00FD708E" w:rsidRPr="00D43F09" w:rsidRDefault="00FD708E">
      <w:pPr>
        <w:numPr>
          <w:ilvl w:val="0"/>
          <w:numId w:val="8"/>
        </w:numPr>
        <w:spacing w:after="200"/>
        <w:contextualSpacing/>
        <w:rPr>
          <w:rFonts w:ascii="Arial" w:eastAsia="Calibri" w:hAnsi="Arial" w:cs="Arial"/>
        </w:rPr>
      </w:pPr>
      <w:r w:rsidRPr="00D43F09">
        <w:rPr>
          <w:rFonts w:ascii="Arial" w:eastAsia="Calibri" w:hAnsi="Arial" w:cs="Arial"/>
        </w:rPr>
        <w:t>Identify potential for addictive disorders through evidence-based screening and assessment tools during the admission assessment process.</w:t>
      </w:r>
    </w:p>
    <w:p w14:paraId="6DEA8E5D" w14:textId="77777777" w:rsidR="00FD708E" w:rsidRPr="00D43F09" w:rsidRDefault="00FD708E">
      <w:pPr>
        <w:numPr>
          <w:ilvl w:val="0"/>
          <w:numId w:val="8"/>
        </w:numPr>
        <w:spacing w:after="200"/>
        <w:contextualSpacing/>
        <w:rPr>
          <w:rFonts w:ascii="Arial" w:eastAsia="Calibri" w:hAnsi="Arial" w:cs="Arial"/>
        </w:rPr>
      </w:pPr>
      <w:r w:rsidRPr="00D43F09">
        <w:rPr>
          <w:rFonts w:ascii="Arial" w:eastAsia="Calibri" w:hAnsi="Arial" w:cs="Arial"/>
        </w:rPr>
        <w:t>Evaluate for, order, assess, and provide medication assisted treatments for alcohol, benzodiazepine, and opioid withdrawal and for addictions to these substances within limitations of licensure.  Medication assisted treatment, education, orientation, and initiation is required when clinically indicated. (See SAMHSA Treatment Improvement Protocol 63 –Medications for Opioid Use Disorder)</w:t>
      </w:r>
    </w:p>
    <w:p w14:paraId="5A6475BA" w14:textId="77777777" w:rsidR="00FD708E" w:rsidRPr="00D43F09" w:rsidRDefault="00FD708E">
      <w:pPr>
        <w:numPr>
          <w:ilvl w:val="1"/>
          <w:numId w:val="9"/>
        </w:numPr>
        <w:spacing w:after="200"/>
        <w:contextualSpacing/>
        <w:rPr>
          <w:rFonts w:ascii="Arial" w:eastAsia="Calibri" w:hAnsi="Arial" w:cs="Arial"/>
        </w:rPr>
      </w:pPr>
      <w:r w:rsidRPr="00D43F09">
        <w:rPr>
          <w:rFonts w:ascii="Arial" w:eastAsia="Calibri" w:hAnsi="Arial" w:cs="Arial"/>
        </w:rPr>
        <w:t>This includes:</w:t>
      </w:r>
    </w:p>
    <w:p w14:paraId="5B0548CB" w14:textId="77777777" w:rsidR="00FD708E" w:rsidRPr="00D43F09" w:rsidRDefault="00FD708E">
      <w:pPr>
        <w:numPr>
          <w:ilvl w:val="2"/>
          <w:numId w:val="10"/>
        </w:numPr>
        <w:spacing w:after="200"/>
        <w:contextualSpacing/>
        <w:rPr>
          <w:rFonts w:ascii="Arial" w:eastAsia="Calibri" w:hAnsi="Arial" w:cs="Arial"/>
        </w:rPr>
      </w:pPr>
      <w:r w:rsidRPr="00D43F09">
        <w:rPr>
          <w:rFonts w:ascii="Arial" w:eastAsia="Calibri" w:hAnsi="Arial" w:cs="Arial"/>
        </w:rPr>
        <w:t xml:space="preserve">Assessing the patient for the appropriateness of induction on MAT using one of the three FDA-approved medications for the treatment of Opioid use disorder:  buprenorphine, methadone, or naltrexone; and </w:t>
      </w:r>
    </w:p>
    <w:p w14:paraId="74C686FC" w14:textId="77777777" w:rsidR="00FD708E" w:rsidRPr="00D43F09" w:rsidRDefault="00FD708E">
      <w:pPr>
        <w:numPr>
          <w:ilvl w:val="2"/>
          <w:numId w:val="10"/>
        </w:numPr>
        <w:spacing w:after="200"/>
        <w:contextualSpacing/>
        <w:rPr>
          <w:rFonts w:ascii="Arial" w:eastAsia="Calibri" w:hAnsi="Arial" w:cs="Arial"/>
        </w:rPr>
      </w:pPr>
      <w:r w:rsidRPr="00D43F09">
        <w:rPr>
          <w:rFonts w:ascii="Arial" w:eastAsia="Calibri" w:hAnsi="Arial" w:cs="Arial"/>
        </w:rPr>
        <w:t>Ensuring that once an induction begins, referrals for an outpatient provider (ex. OTP, OBOT) are secured.</w:t>
      </w:r>
    </w:p>
    <w:p w14:paraId="7F355952" w14:textId="77777777" w:rsidR="00FD708E" w:rsidRPr="00D43F09" w:rsidRDefault="00FD708E">
      <w:pPr>
        <w:numPr>
          <w:ilvl w:val="1"/>
          <w:numId w:val="10"/>
        </w:numPr>
        <w:spacing w:after="200"/>
        <w:contextualSpacing/>
        <w:rPr>
          <w:rFonts w:ascii="Arial" w:eastAsia="Calibri" w:hAnsi="Arial" w:cs="Arial"/>
        </w:rPr>
      </w:pPr>
      <w:r w:rsidRPr="00D43F09">
        <w:rPr>
          <w:rFonts w:ascii="Arial" w:eastAsia="Calibri" w:hAnsi="Arial" w:cs="Arial"/>
        </w:rPr>
        <w:t xml:space="preserve">Any physician or other authorized hospital staff in DMH-licensed inpatient facilities can administer or dispense methadone and buprenorphine without additional state or federal oversight or approval, provide the methadone or buprenorphine is administered or dispensed incident to the patient’s medical treatment for a condition other than substance use disorder.  This includes MAT induction for a patient with a secondary diagnosis of substance use disorder on either methadone or buprenorphine. </w:t>
      </w:r>
    </w:p>
    <w:p w14:paraId="3CB08EA8" w14:textId="77777777" w:rsidR="00FD708E" w:rsidRPr="00D43F09" w:rsidRDefault="00FD708E">
      <w:pPr>
        <w:numPr>
          <w:ilvl w:val="2"/>
          <w:numId w:val="10"/>
        </w:numPr>
        <w:spacing w:after="200"/>
        <w:contextualSpacing/>
        <w:rPr>
          <w:rFonts w:ascii="Arial" w:eastAsia="Calibri" w:hAnsi="Arial" w:cs="Arial"/>
        </w:rPr>
      </w:pPr>
      <w:r w:rsidRPr="00D43F09">
        <w:rPr>
          <w:rFonts w:ascii="Arial" w:eastAsia="Calibri" w:hAnsi="Arial" w:cs="Arial"/>
        </w:rPr>
        <w:t>DEA regulations</w:t>
      </w:r>
      <w:r w:rsidRPr="00D43F09">
        <w:rPr>
          <w:rFonts w:ascii="Arial" w:eastAsia="Calibri" w:hAnsi="Arial" w:cs="Arial"/>
          <w:vertAlign w:val="superscript"/>
        </w:rPr>
        <w:footnoteReference w:id="3"/>
      </w:r>
      <w:r w:rsidRPr="00D43F09">
        <w:rPr>
          <w:rFonts w:ascii="Arial" w:eastAsia="Calibri" w:hAnsi="Arial" w:cs="Arial"/>
        </w:rPr>
        <w:t xml:space="preserve"> authorize physicians or other authorized hospital staff to administer or dispense buprenorphine or methadone in the hospital, which includes psychiatric hospitals, </w:t>
      </w:r>
      <w:proofErr w:type="gramStart"/>
      <w:r w:rsidRPr="00D43F09">
        <w:rPr>
          <w:rFonts w:ascii="Arial" w:eastAsia="Calibri" w:hAnsi="Arial" w:cs="Arial"/>
        </w:rPr>
        <w:t>in order to</w:t>
      </w:r>
      <w:proofErr w:type="gramEnd"/>
      <w:r w:rsidRPr="00D43F09">
        <w:rPr>
          <w:rFonts w:ascii="Arial" w:eastAsia="Calibri" w:hAnsi="Arial" w:cs="Arial"/>
        </w:rPr>
        <w:t xml:space="preserve"> maintain or detox a patient “as an incidental adjunct to medical or surgical treatment of conditions other than </w:t>
      </w:r>
      <w:r w:rsidRPr="00D43F09">
        <w:rPr>
          <w:rFonts w:ascii="Arial" w:eastAsia="Calibri" w:hAnsi="Arial" w:cs="Arial"/>
        </w:rPr>
        <w:lastRenderedPageBreak/>
        <w:t>addiction”.  In effect, this allows a physician or other authorized hospital provider to administer or dispense MAT to patients at the hospital, without time limitation, where SUD is a secondary diagnosis.</w:t>
      </w:r>
    </w:p>
    <w:p w14:paraId="5C5DA436" w14:textId="77777777" w:rsidR="00FD708E" w:rsidRPr="00D43F09" w:rsidRDefault="00FD708E">
      <w:pPr>
        <w:numPr>
          <w:ilvl w:val="1"/>
          <w:numId w:val="10"/>
        </w:numPr>
        <w:spacing w:after="200"/>
        <w:contextualSpacing/>
        <w:rPr>
          <w:rFonts w:ascii="Arial" w:eastAsia="Calibri" w:hAnsi="Arial" w:cs="Arial"/>
        </w:rPr>
      </w:pPr>
      <w:r w:rsidRPr="00D43F09">
        <w:rPr>
          <w:rFonts w:ascii="Arial" w:eastAsia="Calibri" w:hAnsi="Arial" w:cs="Arial"/>
        </w:rPr>
        <w:t>Practitioners who are DATA- waived</w:t>
      </w:r>
      <w:r w:rsidRPr="00D43F09">
        <w:rPr>
          <w:rFonts w:ascii="Arial" w:eastAsia="Calibri" w:hAnsi="Arial" w:cs="Arial"/>
          <w:vertAlign w:val="superscript"/>
        </w:rPr>
        <w:footnoteReference w:id="4"/>
      </w:r>
      <w:r w:rsidRPr="00D43F09">
        <w:rPr>
          <w:rFonts w:ascii="Arial" w:eastAsia="Calibri" w:hAnsi="Arial" w:cs="Arial"/>
        </w:rPr>
        <w:t xml:space="preserve"> can prescribe, administer, or dispense buprenorphine to patients in DMH-licensed inpatient facilities.</w:t>
      </w:r>
    </w:p>
    <w:p w14:paraId="0F719C03" w14:textId="77777777" w:rsidR="00FD708E" w:rsidRPr="00D43F09" w:rsidRDefault="00FD708E">
      <w:pPr>
        <w:numPr>
          <w:ilvl w:val="0"/>
          <w:numId w:val="11"/>
        </w:numPr>
        <w:spacing w:after="200"/>
        <w:contextualSpacing/>
        <w:rPr>
          <w:rFonts w:ascii="Arial" w:eastAsia="Calibri" w:hAnsi="Arial" w:cs="Arial"/>
        </w:rPr>
      </w:pPr>
      <w:r w:rsidRPr="00D43F09">
        <w:rPr>
          <w:rFonts w:ascii="Arial" w:eastAsia="Calibri" w:hAnsi="Arial" w:cs="Arial"/>
        </w:rPr>
        <w:t xml:space="preserve">Administer opioid antagonist, if needed. All units must have naloxone available on unit and staff trained to order/administer. </w:t>
      </w:r>
    </w:p>
    <w:p w14:paraId="147AE440" w14:textId="77777777" w:rsidR="00FD708E" w:rsidRPr="00D43F09" w:rsidRDefault="00FD708E">
      <w:pPr>
        <w:numPr>
          <w:ilvl w:val="0"/>
          <w:numId w:val="11"/>
        </w:numPr>
        <w:spacing w:after="200"/>
        <w:contextualSpacing/>
        <w:rPr>
          <w:rFonts w:ascii="Arial" w:eastAsia="Calibri" w:hAnsi="Arial" w:cs="Arial"/>
        </w:rPr>
      </w:pPr>
      <w:r w:rsidRPr="00D43F09">
        <w:rPr>
          <w:rFonts w:ascii="Arial" w:eastAsia="Calibri" w:hAnsi="Arial" w:cs="Arial"/>
        </w:rPr>
        <w:t>Provide group and/ or individual therapeutic programming and patient education, provided by appropriately trained staff, which addresses recovery and relapse prevention planning related to SUD. Engage, inform, and support parents and guardians of minors with SUD (on adolescent units).  Suggested training for staff may include effects of substance use disorders on the family and related topics such as the role of the family in treatment and recovery.</w:t>
      </w:r>
    </w:p>
    <w:p w14:paraId="499337D4" w14:textId="77777777" w:rsidR="00FD708E" w:rsidRPr="00D43F09" w:rsidRDefault="00FD708E">
      <w:pPr>
        <w:numPr>
          <w:ilvl w:val="0"/>
          <w:numId w:val="11"/>
        </w:numPr>
        <w:spacing w:after="200"/>
        <w:contextualSpacing/>
        <w:rPr>
          <w:rFonts w:ascii="Arial" w:eastAsia="Calibri" w:hAnsi="Arial" w:cs="Arial"/>
        </w:rPr>
      </w:pPr>
      <w:r w:rsidRPr="00D43F09">
        <w:rPr>
          <w:rFonts w:ascii="Arial" w:eastAsia="Calibri" w:hAnsi="Arial" w:cs="Arial"/>
        </w:rPr>
        <w:t xml:space="preserve">Provide active discharge planning to next step placements based on the patient’s care plan.  Placements should address ongoing needs related to mental health, addiction, and other biopsychosocial needs and may include step down to subacute levels of care, </w:t>
      </w:r>
      <w:proofErr w:type="gramStart"/>
      <w:r w:rsidRPr="00D43F09">
        <w:rPr>
          <w:rFonts w:ascii="Arial" w:eastAsia="Calibri" w:hAnsi="Arial" w:cs="Arial"/>
        </w:rPr>
        <w:t>24 hour</w:t>
      </w:r>
      <w:proofErr w:type="gramEnd"/>
      <w:r w:rsidRPr="00D43F09">
        <w:rPr>
          <w:rFonts w:ascii="Arial" w:eastAsia="Calibri" w:hAnsi="Arial" w:cs="Arial"/>
        </w:rPr>
        <w:t xml:space="preserve"> settings, partial hospitalization, intensive outpatient, ongoing outpatient treatment, access to peer services, and other community and housing supports as appropriate.   When appropriate, discharge planning must include access to ongoing medication management, both for psychiatric and addiction medications; for continuity of treatment with the goal of reducing readmissions and the likelihood of relapse.  This includes having knowledge of Clinical Stabilization/Stepdown Services (CSS) and Transitional Support Services (TSS), Outpatient Medication Management, Sober Houses, and step down to subacute level of care.</w:t>
      </w:r>
    </w:p>
    <w:p w14:paraId="2FD18BEB" w14:textId="77777777" w:rsidR="00FD708E" w:rsidRPr="00D43F09" w:rsidRDefault="00FD708E">
      <w:pPr>
        <w:numPr>
          <w:ilvl w:val="0"/>
          <w:numId w:val="11"/>
        </w:numPr>
        <w:spacing w:after="200"/>
        <w:contextualSpacing/>
        <w:rPr>
          <w:rFonts w:ascii="Arial" w:eastAsia="Calibri" w:hAnsi="Arial" w:cs="Arial"/>
        </w:rPr>
      </w:pPr>
      <w:r w:rsidRPr="00D43F09">
        <w:rPr>
          <w:rFonts w:ascii="Arial" w:eastAsia="Calibri" w:hAnsi="Arial" w:cs="Arial"/>
        </w:rPr>
        <w:t>Understand deterrents to successful discharges such as housing, financial assistance for medication copayments, transportation to non-24-hour programs, applying for a prescription for transportation PT-1 form for those with financial issues, etc.</w:t>
      </w:r>
    </w:p>
    <w:p w14:paraId="14F1904A" w14:textId="77777777" w:rsidR="00FD708E" w:rsidRPr="00D43F09" w:rsidRDefault="00FD708E">
      <w:pPr>
        <w:numPr>
          <w:ilvl w:val="0"/>
          <w:numId w:val="11"/>
        </w:numPr>
        <w:spacing w:after="200"/>
        <w:contextualSpacing/>
        <w:rPr>
          <w:rFonts w:ascii="Arial" w:eastAsia="Calibri" w:hAnsi="Arial" w:cs="Arial"/>
        </w:rPr>
      </w:pPr>
      <w:r w:rsidRPr="00D43F09">
        <w:rPr>
          <w:rFonts w:ascii="Arial" w:eastAsia="Calibri" w:hAnsi="Arial" w:cs="Arial"/>
        </w:rPr>
        <w:t xml:space="preserve">Ensure a physician dispenses buprenorphine or </w:t>
      </w:r>
      <w:proofErr w:type="gramStart"/>
      <w:r w:rsidRPr="00D43F09">
        <w:rPr>
          <w:rFonts w:ascii="Arial" w:eastAsia="Calibri" w:hAnsi="Arial" w:cs="Arial"/>
        </w:rPr>
        <w:t>morphine  at</w:t>
      </w:r>
      <w:proofErr w:type="gramEnd"/>
      <w:r w:rsidRPr="00D43F09">
        <w:rPr>
          <w:rFonts w:ascii="Arial" w:eastAsia="Calibri" w:hAnsi="Arial" w:cs="Arial"/>
        </w:rPr>
        <w:t xml:space="preserve"> discharge or a DATA-waived practitioner provides “bridge” prescriptions for buprenorphine (and other medications) until outpatient appointments can be secured and prescriptions provided for in the outpatient setting.</w:t>
      </w:r>
    </w:p>
    <w:p w14:paraId="1239192A" w14:textId="77777777" w:rsidR="00FD708E" w:rsidRPr="00D43F09" w:rsidRDefault="00FD708E">
      <w:pPr>
        <w:numPr>
          <w:ilvl w:val="0"/>
          <w:numId w:val="11"/>
        </w:numPr>
        <w:spacing w:after="200"/>
        <w:contextualSpacing/>
        <w:rPr>
          <w:rFonts w:ascii="Arial" w:eastAsia="Calibri" w:hAnsi="Arial" w:cs="Arial"/>
        </w:rPr>
      </w:pPr>
      <w:r w:rsidRPr="00D43F09">
        <w:rPr>
          <w:rFonts w:ascii="Arial" w:eastAsia="Calibri" w:hAnsi="Arial" w:cs="Arial"/>
        </w:rPr>
        <w:t>Provide direct care staff with a general overview of addictions medicine.</w:t>
      </w:r>
    </w:p>
    <w:p w14:paraId="33870F2A" w14:textId="77777777" w:rsidR="00FD708E" w:rsidRPr="00D43F09" w:rsidRDefault="00FD708E" w:rsidP="00FD708E">
      <w:pPr>
        <w:spacing w:after="200"/>
        <w:rPr>
          <w:rFonts w:ascii="Arial" w:eastAsia="Calibri" w:hAnsi="Arial" w:cs="Arial"/>
        </w:rPr>
      </w:pPr>
    </w:p>
    <w:p w14:paraId="5F5D8CDB" w14:textId="77777777" w:rsidR="00FD708E" w:rsidRPr="00D43F09" w:rsidRDefault="00FD708E" w:rsidP="00FD708E">
      <w:pPr>
        <w:spacing w:after="200"/>
        <w:rPr>
          <w:rFonts w:ascii="Arial" w:eastAsia="Calibri" w:hAnsi="Arial" w:cs="Arial"/>
          <w:b/>
        </w:rPr>
      </w:pPr>
      <w:r w:rsidRPr="00D43F09">
        <w:rPr>
          <w:rFonts w:ascii="Arial" w:eastAsia="Calibri" w:hAnsi="Arial" w:cs="Arial"/>
          <w:b/>
        </w:rPr>
        <w:t>Each inpatient psychiatric facility is recommended to:</w:t>
      </w:r>
    </w:p>
    <w:p w14:paraId="22F19C28" w14:textId="77777777" w:rsidR="00FD708E" w:rsidRPr="00D43F09" w:rsidRDefault="00FD708E">
      <w:pPr>
        <w:numPr>
          <w:ilvl w:val="0"/>
          <w:numId w:val="12"/>
        </w:numPr>
        <w:spacing w:after="200"/>
        <w:contextualSpacing/>
        <w:rPr>
          <w:rFonts w:ascii="Arial" w:eastAsia="Calibri" w:hAnsi="Arial" w:cs="Arial"/>
        </w:rPr>
      </w:pPr>
      <w:r w:rsidRPr="00D43F09">
        <w:rPr>
          <w:rFonts w:ascii="Arial" w:eastAsia="Calibri" w:hAnsi="Arial" w:cs="Arial"/>
        </w:rPr>
        <w:t xml:space="preserve">Facilities are strongly encouraged to provide access to all FDA-approved medications for the treatment of opioid use disorder. </w:t>
      </w:r>
    </w:p>
    <w:p w14:paraId="2A0061E8" w14:textId="77777777" w:rsidR="00FD708E" w:rsidRPr="00D43F09" w:rsidRDefault="00FD708E">
      <w:pPr>
        <w:numPr>
          <w:ilvl w:val="0"/>
          <w:numId w:val="12"/>
        </w:numPr>
        <w:spacing w:after="200"/>
        <w:contextualSpacing/>
        <w:rPr>
          <w:rFonts w:ascii="Arial" w:eastAsia="Calibri" w:hAnsi="Arial" w:cs="Arial"/>
        </w:rPr>
      </w:pPr>
      <w:r w:rsidRPr="00D43F09">
        <w:rPr>
          <w:rFonts w:ascii="Arial" w:eastAsia="Calibri" w:hAnsi="Arial" w:cs="Arial"/>
        </w:rPr>
        <w:t>Consider engaging Substance Use Recovery Coaches and/or Peer Specialists within staffing models.</w:t>
      </w:r>
    </w:p>
    <w:p w14:paraId="6BB8BDAC" w14:textId="77777777" w:rsidR="00FD708E" w:rsidRPr="00D43F09" w:rsidRDefault="00FD708E">
      <w:pPr>
        <w:numPr>
          <w:ilvl w:val="0"/>
          <w:numId w:val="12"/>
        </w:numPr>
        <w:spacing w:after="200"/>
        <w:contextualSpacing/>
        <w:rPr>
          <w:rFonts w:ascii="Arial" w:eastAsia="Calibri" w:hAnsi="Arial" w:cs="Arial"/>
        </w:rPr>
      </w:pPr>
      <w:r w:rsidRPr="00D43F09">
        <w:rPr>
          <w:rFonts w:ascii="Arial" w:eastAsia="Calibri" w:hAnsi="Arial" w:cs="Arial"/>
        </w:rPr>
        <w:t xml:space="preserve">Include credentialed staff with experience in SUD treatment and resources, ideally, but not necessarily as Licensed Alcohol and Drug Abuse Counselor (LADC) or Certified Alcohol and Drug Abuse Counselor (CDAC) levels. </w:t>
      </w:r>
    </w:p>
    <w:p w14:paraId="295158C3" w14:textId="77777777" w:rsidR="00FD708E" w:rsidRPr="00D43F09" w:rsidRDefault="00FD708E">
      <w:pPr>
        <w:numPr>
          <w:ilvl w:val="0"/>
          <w:numId w:val="12"/>
        </w:numPr>
        <w:spacing w:after="200"/>
        <w:contextualSpacing/>
        <w:rPr>
          <w:rFonts w:ascii="Arial" w:eastAsia="Calibri" w:hAnsi="Arial" w:cs="Arial"/>
        </w:rPr>
      </w:pPr>
      <w:r w:rsidRPr="00D43F09">
        <w:rPr>
          <w:rFonts w:ascii="Arial" w:eastAsia="Calibri" w:hAnsi="Arial" w:cs="Arial"/>
        </w:rPr>
        <w:t>Consider referrals to ensure a continuum of care for the client, including arrangements for further substance abuse treatment and post-discharge counseling and other supportive service.</w:t>
      </w:r>
    </w:p>
    <w:p w14:paraId="30C6EC42" w14:textId="77777777" w:rsidR="00FD708E" w:rsidRPr="00D43F09" w:rsidRDefault="00FD708E">
      <w:pPr>
        <w:numPr>
          <w:ilvl w:val="0"/>
          <w:numId w:val="12"/>
        </w:numPr>
        <w:spacing w:after="200"/>
        <w:contextualSpacing/>
        <w:rPr>
          <w:rFonts w:ascii="Arial" w:eastAsia="Calibri" w:hAnsi="Arial" w:cs="Arial"/>
        </w:rPr>
      </w:pPr>
      <w:r w:rsidRPr="00D43F09">
        <w:rPr>
          <w:rFonts w:ascii="Arial" w:eastAsia="Calibri" w:hAnsi="Arial" w:cs="Arial"/>
        </w:rPr>
        <w:lastRenderedPageBreak/>
        <w:t>Consider entering into formal agreements (Qualified Services Organization Agreement - QSOA’s) with community-based Substance Use Disorder treatment providers to support continuation of care.</w:t>
      </w:r>
    </w:p>
    <w:p w14:paraId="5A627B63" w14:textId="77777777" w:rsidR="00FD708E" w:rsidRPr="00D43F09" w:rsidRDefault="00FD708E" w:rsidP="00FD708E">
      <w:pPr>
        <w:spacing w:after="200"/>
        <w:rPr>
          <w:rFonts w:ascii="Arial" w:eastAsia="Calibri" w:hAnsi="Arial" w:cs="Arial"/>
        </w:rPr>
      </w:pPr>
      <w:r w:rsidRPr="00D43F09">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the facility’s capability at the time admission is sought.  The medical director’s determination must be </w:t>
      </w:r>
      <w:proofErr w:type="gramStart"/>
      <w:r w:rsidRPr="00D43F09">
        <w:rPr>
          <w:rFonts w:ascii="Arial" w:eastAsia="Calibri" w:hAnsi="Arial" w:cs="Arial"/>
        </w:rPr>
        <w:t>written, and</w:t>
      </w:r>
      <w:proofErr w:type="gramEnd"/>
      <w:r w:rsidRPr="00D43F09">
        <w:rPr>
          <w:rFonts w:ascii="Arial" w:eastAsia="Calibri" w:hAnsi="Arial" w:cs="Arial"/>
        </w:rPr>
        <w:t xml:space="preserve"> include the factors justifying the denial and why mitigating efforts, such as utilization of additional staff, would have been inadequate. [See DMH Licensing Bulletin #18-01 - </w:t>
      </w:r>
      <w:r w:rsidRPr="00D43F09">
        <w:rPr>
          <w:rFonts w:ascii="Arial" w:eastAsia="Calibri" w:hAnsi="Arial" w:cs="Arial"/>
          <w:b/>
          <w:i/>
          <w:spacing w:val="10"/>
        </w:rPr>
        <w:t>Documentation of Unit Conditions and Facility Denial of Inpatient Care</w:t>
      </w:r>
      <w:r w:rsidRPr="00D43F09">
        <w:rPr>
          <w:rFonts w:ascii="Arial" w:eastAsia="Calibri" w:hAnsi="Arial" w:cs="Arial"/>
        </w:rPr>
        <w:t xml:space="preserve"> and 104 CMR 27.05 (3) (d).]</w:t>
      </w:r>
    </w:p>
    <w:p w14:paraId="0F2475E3" w14:textId="77777777" w:rsidR="00FD708E" w:rsidRPr="00D43F09" w:rsidRDefault="00FD708E" w:rsidP="00FD708E">
      <w:pPr>
        <w:spacing w:after="200"/>
        <w:rPr>
          <w:rFonts w:ascii="Arial" w:eastAsia="Calibri" w:hAnsi="Arial" w:cs="Arial"/>
        </w:rPr>
      </w:pPr>
    </w:p>
    <w:p w14:paraId="04CB2EAE" w14:textId="77777777" w:rsidR="004A4A55" w:rsidRPr="00D43F09" w:rsidRDefault="00FD708E" w:rsidP="00FD708E">
      <w:pPr>
        <w:rPr>
          <w:rFonts w:ascii="Arial" w:eastAsia="Calibri" w:hAnsi="Arial" w:cs="Arial"/>
        </w:rPr>
      </w:pPr>
      <w:r w:rsidRPr="00D43F09">
        <w:rPr>
          <w:rFonts w:ascii="Arial" w:eastAsia="Calibri" w:hAnsi="Arial" w:cs="Arial"/>
        </w:rPr>
        <w:t>* The medical director’s physician designee must be a physician who is vested with the full range of the medical director’s authority and responsibility in the medical director’s absence.</w:t>
      </w:r>
    </w:p>
    <w:p w14:paraId="27C8FDC9" w14:textId="77777777" w:rsidR="00723CE0" w:rsidRPr="00D43F09" w:rsidRDefault="00723CE0" w:rsidP="00FD708E">
      <w:pPr>
        <w:rPr>
          <w:rFonts w:ascii="Arial" w:eastAsia="Calibri" w:hAnsi="Arial" w:cs="Arial"/>
        </w:rPr>
      </w:pPr>
    </w:p>
    <w:p w14:paraId="7AB6EA11" w14:textId="77777777" w:rsidR="00C16528" w:rsidRPr="00D43F09" w:rsidRDefault="00C16528" w:rsidP="00C16528">
      <w:pPr>
        <w:jc w:val="center"/>
        <w:rPr>
          <w:rFonts w:ascii="Arial" w:hAnsi="Arial" w:cs="Arial"/>
          <w:bCs/>
          <w:i/>
          <w:iCs/>
        </w:rPr>
      </w:pPr>
    </w:p>
    <w:p w14:paraId="355C99DA" w14:textId="77777777" w:rsidR="00C16528" w:rsidRPr="00D43F09" w:rsidRDefault="00C16528" w:rsidP="00C16528">
      <w:pPr>
        <w:jc w:val="center"/>
        <w:rPr>
          <w:rFonts w:ascii="Arial" w:hAnsi="Arial" w:cs="Arial"/>
          <w:bCs/>
          <w:i/>
          <w:iCs/>
        </w:rPr>
      </w:pPr>
    </w:p>
    <w:p w14:paraId="3BCD16A1" w14:textId="563E76B3" w:rsidR="00723CE0" w:rsidRPr="00D43F09" w:rsidRDefault="00C16528" w:rsidP="00C16528">
      <w:pPr>
        <w:jc w:val="center"/>
        <w:rPr>
          <w:rFonts w:ascii="Arial" w:hAnsi="Arial" w:cs="Arial"/>
          <w:bCs/>
          <w:i/>
          <w:iCs/>
        </w:rPr>
      </w:pPr>
      <w:r w:rsidRPr="00D43F09">
        <w:rPr>
          <w:rFonts w:ascii="Arial" w:hAnsi="Arial" w:cs="Arial"/>
          <w:bCs/>
          <w:i/>
          <w:iCs/>
        </w:rPr>
        <w:t>[REMAINDER OF PAGE INTENTIONALLY BLANK]</w:t>
      </w:r>
      <w:r w:rsidRPr="00D43F09">
        <w:rPr>
          <w:rFonts w:ascii="Arial" w:hAnsi="Arial" w:cs="Arial"/>
          <w:bCs/>
          <w:i/>
          <w:iCs/>
        </w:rPr>
        <w:br w:type="page"/>
      </w:r>
    </w:p>
    <w:p w14:paraId="7B3FC460" w14:textId="77777777" w:rsidR="00C16528" w:rsidRPr="00D43F09" w:rsidRDefault="00C16528" w:rsidP="00C16528">
      <w:pPr>
        <w:spacing w:after="120"/>
        <w:jc w:val="center"/>
        <w:rPr>
          <w:rFonts w:ascii="Arial" w:eastAsia="Calibri" w:hAnsi="Arial" w:cs="Arial"/>
          <w:b/>
        </w:rPr>
      </w:pPr>
      <w:r w:rsidRPr="00D43F09">
        <w:rPr>
          <w:rFonts w:ascii="Arial" w:eastAsia="Calibri" w:hAnsi="Arial" w:cs="Arial"/>
          <w:b/>
        </w:rPr>
        <w:lastRenderedPageBreak/>
        <w:t>Exhibit 6: MassHealth Gender-affirming Care Services List</w:t>
      </w:r>
    </w:p>
    <w:p w14:paraId="585D8026" w14:textId="77777777" w:rsidR="00C16528" w:rsidRPr="00D43F09" w:rsidRDefault="00C16528" w:rsidP="00C16528">
      <w:pPr>
        <w:overflowPunct w:val="0"/>
        <w:autoSpaceDE w:val="0"/>
        <w:autoSpaceDN w:val="0"/>
        <w:adjustRightInd w:val="0"/>
        <w:textAlignment w:val="baseline"/>
        <w:rPr>
          <w:rFonts w:ascii="Arial" w:hAnsi="Arial" w:cs="Arial"/>
          <w:b/>
        </w:rPr>
      </w:pPr>
    </w:p>
    <w:tbl>
      <w:tblPr>
        <w:tblStyle w:val="TableGrid"/>
        <w:tblW w:w="9540" w:type="dxa"/>
        <w:tblInd w:w="715" w:type="dxa"/>
        <w:tblLayout w:type="fixed"/>
        <w:tblLook w:val="0020" w:firstRow="1" w:lastRow="0" w:firstColumn="0" w:lastColumn="0" w:noHBand="0" w:noVBand="0"/>
      </w:tblPr>
      <w:tblGrid>
        <w:gridCol w:w="9540"/>
      </w:tblGrid>
      <w:tr w:rsidR="00C16528" w:rsidRPr="00D43F09" w14:paraId="1B9E3CE8" w14:textId="77777777" w:rsidTr="00B00399">
        <w:trPr>
          <w:trHeight w:val="432"/>
          <w:tblHeader/>
        </w:trPr>
        <w:tc>
          <w:tcPr>
            <w:tcW w:w="9540" w:type="dxa"/>
            <w:shd w:val="clear" w:color="auto" w:fill="D9D9D9" w:themeFill="background1" w:themeFillShade="D9"/>
          </w:tcPr>
          <w:p w14:paraId="160A1397" w14:textId="77777777" w:rsidR="00C16528" w:rsidRPr="00D43F09" w:rsidRDefault="00C16528" w:rsidP="00B00399">
            <w:pPr>
              <w:jc w:val="center"/>
              <w:rPr>
                <w:rFonts w:ascii="Arial" w:hAnsi="Arial" w:cs="Arial"/>
                <w:b/>
              </w:rPr>
            </w:pPr>
            <w:r w:rsidRPr="00D43F09">
              <w:rPr>
                <w:rFonts w:ascii="Arial" w:hAnsi="Arial" w:cs="Arial"/>
                <w:b/>
              </w:rPr>
              <w:t>Gender-affirming Care Programs</w:t>
            </w:r>
          </w:p>
        </w:tc>
      </w:tr>
      <w:tr w:rsidR="00C16528" w:rsidRPr="00D43F09" w14:paraId="50109351" w14:textId="77777777" w:rsidTr="00B00399">
        <w:tc>
          <w:tcPr>
            <w:tcW w:w="9540" w:type="dxa"/>
          </w:tcPr>
          <w:p w14:paraId="20935AD6" w14:textId="77777777" w:rsidR="00C16528" w:rsidRPr="00D43F09" w:rsidRDefault="00000000" w:rsidP="00C16528">
            <w:pPr>
              <w:pStyle w:val="menu-item"/>
              <w:numPr>
                <w:ilvl w:val="0"/>
                <w:numId w:val="31"/>
              </w:numPr>
              <w:pBdr>
                <w:top w:val="single" w:sz="6" w:space="6" w:color="DDDDDD"/>
                <w:bottom w:val="single" w:sz="6" w:space="6" w:color="DDDDDD"/>
              </w:pBdr>
              <w:shd w:val="clear" w:color="auto" w:fill="FFFFFF"/>
              <w:spacing w:after="0" w:afterAutospacing="0"/>
              <w:rPr>
                <w:rFonts w:ascii="Arial" w:hAnsi="Arial" w:cs="Arial"/>
                <w:color w:val="333333"/>
              </w:rPr>
            </w:pPr>
            <w:hyperlink r:id="rId12" w:history="1">
              <w:r w:rsidR="00C16528" w:rsidRPr="00D43F09">
                <w:rPr>
                  <w:rStyle w:val="Hyperlink"/>
                  <w:rFonts w:ascii="Arial" w:hAnsi="Arial" w:cs="Arial"/>
                  <w:color w:val="222222"/>
                </w:rPr>
                <w:t>Baystate Health – Transgender Services</w:t>
              </w:r>
            </w:hyperlink>
          </w:p>
        </w:tc>
      </w:tr>
      <w:tr w:rsidR="00C16528" w:rsidRPr="00D43F09" w14:paraId="1658A6DE" w14:textId="77777777" w:rsidTr="00B00399">
        <w:tc>
          <w:tcPr>
            <w:tcW w:w="9540" w:type="dxa"/>
          </w:tcPr>
          <w:p w14:paraId="26F06085" w14:textId="77777777" w:rsidR="00C16528" w:rsidRPr="00D43F09" w:rsidRDefault="00000000" w:rsidP="00C16528">
            <w:pPr>
              <w:pStyle w:val="menu-item"/>
              <w:numPr>
                <w:ilvl w:val="0"/>
                <w:numId w:val="32"/>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3" w:history="1">
              <w:r w:rsidR="00C16528" w:rsidRPr="00D43F09">
                <w:rPr>
                  <w:rStyle w:val="Hyperlink"/>
                  <w:rFonts w:ascii="Arial" w:hAnsi="Arial" w:cs="Arial"/>
                  <w:color w:val="222222"/>
                </w:rPr>
                <w:t xml:space="preserve">Beth </w:t>
              </w:r>
              <w:proofErr w:type="spellStart"/>
              <w:r w:rsidR="00C16528" w:rsidRPr="00D43F09">
                <w:rPr>
                  <w:rStyle w:val="Hyperlink"/>
                  <w:rFonts w:ascii="Arial" w:hAnsi="Arial" w:cs="Arial"/>
                  <w:color w:val="222222"/>
                </w:rPr>
                <w:t>Isreal</w:t>
              </w:r>
              <w:proofErr w:type="spellEnd"/>
              <w:r w:rsidR="00C16528" w:rsidRPr="00D43F09">
                <w:rPr>
                  <w:rStyle w:val="Hyperlink"/>
                  <w:rFonts w:ascii="Arial" w:hAnsi="Arial" w:cs="Arial"/>
                  <w:color w:val="222222"/>
                </w:rPr>
                <w:t xml:space="preserve"> Deaconess – Transgender Services</w:t>
              </w:r>
            </w:hyperlink>
          </w:p>
          <w:p w14:paraId="6EB39CD7" w14:textId="77777777" w:rsidR="00C16528" w:rsidRPr="00D43F09" w:rsidRDefault="00000000" w:rsidP="00C16528">
            <w:pPr>
              <w:pStyle w:val="menu-item"/>
              <w:numPr>
                <w:ilvl w:val="1"/>
                <w:numId w:val="32"/>
              </w:numPr>
              <w:shd w:val="clear" w:color="auto" w:fill="FFFFFF"/>
              <w:spacing w:after="0" w:afterAutospacing="0"/>
              <w:rPr>
                <w:rFonts w:ascii="Arial" w:hAnsi="Arial" w:cs="Arial"/>
                <w:color w:val="333333"/>
              </w:rPr>
            </w:pPr>
            <w:hyperlink r:id="rId14" w:history="1">
              <w:r w:rsidR="00C16528" w:rsidRPr="00D43F09">
                <w:rPr>
                  <w:rStyle w:val="Hyperlink"/>
                  <w:rFonts w:ascii="Arial" w:hAnsi="Arial" w:cs="Arial"/>
                  <w:color w:val="222222"/>
                </w:rPr>
                <w:t>BIDMC – Gynecology &amp; Surgery (Yvonne Gomez-Carrion)</w:t>
              </w:r>
            </w:hyperlink>
          </w:p>
          <w:p w14:paraId="7B94CBBA" w14:textId="77777777" w:rsidR="00C16528" w:rsidRPr="00D43F09" w:rsidRDefault="00000000" w:rsidP="00C16528">
            <w:pPr>
              <w:pStyle w:val="menu-item"/>
              <w:numPr>
                <w:ilvl w:val="1"/>
                <w:numId w:val="32"/>
              </w:numPr>
              <w:shd w:val="clear" w:color="auto" w:fill="FFFFFF"/>
              <w:spacing w:before="0" w:beforeAutospacing="0" w:after="0" w:afterAutospacing="0"/>
              <w:rPr>
                <w:rFonts w:ascii="Arial" w:hAnsi="Arial" w:cs="Arial"/>
                <w:color w:val="333333"/>
              </w:rPr>
            </w:pPr>
            <w:hyperlink r:id="rId15" w:history="1">
              <w:r w:rsidR="00C16528" w:rsidRPr="00D43F09">
                <w:rPr>
                  <w:rStyle w:val="Hyperlink"/>
                  <w:rFonts w:ascii="Arial" w:hAnsi="Arial" w:cs="Arial"/>
                  <w:color w:val="222222"/>
                </w:rPr>
                <w:t>BIDMC – Plastic and Reconstructive Surgery (Adam Tobias)</w:t>
              </w:r>
            </w:hyperlink>
          </w:p>
        </w:tc>
      </w:tr>
      <w:tr w:rsidR="00C16528" w:rsidRPr="00D43F09" w14:paraId="799D4541" w14:textId="77777777" w:rsidTr="00B00399">
        <w:tc>
          <w:tcPr>
            <w:tcW w:w="9540" w:type="dxa"/>
          </w:tcPr>
          <w:p w14:paraId="620655B5" w14:textId="77777777" w:rsidR="00C16528" w:rsidRPr="00D43F09" w:rsidRDefault="00000000" w:rsidP="00C16528">
            <w:pPr>
              <w:pStyle w:val="menu-item"/>
              <w:numPr>
                <w:ilvl w:val="0"/>
                <w:numId w:val="33"/>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6" w:history="1">
              <w:r w:rsidR="00C16528" w:rsidRPr="00D43F09">
                <w:rPr>
                  <w:rStyle w:val="Hyperlink"/>
                  <w:rFonts w:ascii="Arial" w:hAnsi="Arial" w:cs="Arial"/>
                  <w:color w:val="222222"/>
                </w:rPr>
                <w:t>Boston Children’s Hospital – Center for Gender Surgery</w:t>
              </w:r>
            </w:hyperlink>
          </w:p>
          <w:p w14:paraId="2812F066" w14:textId="77777777" w:rsidR="00C16528" w:rsidRPr="00D43F09" w:rsidRDefault="00000000" w:rsidP="00C16528">
            <w:pPr>
              <w:pStyle w:val="menu-item"/>
              <w:numPr>
                <w:ilvl w:val="0"/>
                <w:numId w:val="33"/>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7" w:history="1">
              <w:r w:rsidR="00C16528" w:rsidRPr="00D43F09">
                <w:rPr>
                  <w:rStyle w:val="Hyperlink"/>
                  <w:rFonts w:ascii="Arial" w:hAnsi="Arial" w:cs="Arial"/>
                  <w:color w:val="222222"/>
                </w:rPr>
                <w:t>Boston Children’s Hospital – Gender Management Service</w:t>
              </w:r>
            </w:hyperlink>
          </w:p>
        </w:tc>
      </w:tr>
      <w:tr w:rsidR="00C16528" w:rsidRPr="00D43F09" w14:paraId="5580BD2B" w14:textId="77777777" w:rsidTr="00B00399">
        <w:tc>
          <w:tcPr>
            <w:tcW w:w="9540" w:type="dxa"/>
          </w:tcPr>
          <w:p w14:paraId="2176C467" w14:textId="77777777" w:rsidR="00C16528" w:rsidRPr="00D43F09" w:rsidRDefault="00000000" w:rsidP="00C16528">
            <w:pPr>
              <w:pStyle w:val="menu-item"/>
              <w:numPr>
                <w:ilvl w:val="0"/>
                <w:numId w:val="34"/>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8" w:history="1">
              <w:r w:rsidR="00C16528" w:rsidRPr="00D43F09">
                <w:rPr>
                  <w:rStyle w:val="Hyperlink"/>
                  <w:rFonts w:ascii="Arial" w:hAnsi="Arial" w:cs="Arial"/>
                  <w:color w:val="222222"/>
                </w:rPr>
                <w:t>Boston Medical Center – CATCH Program</w:t>
              </w:r>
            </w:hyperlink>
          </w:p>
          <w:p w14:paraId="64596B92" w14:textId="77777777" w:rsidR="00C16528" w:rsidRPr="00D43F09" w:rsidRDefault="00000000" w:rsidP="00C16528">
            <w:pPr>
              <w:pStyle w:val="menu-item"/>
              <w:numPr>
                <w:ilvl w:val="0"/>
                <w:numId w:val="34"/>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9" w:history="1">
              <w:r w:rsidR="00C16528" w:rsidRPr="00D43F09">
                <w:rPr>
                  <w:rStyle w:val="Hyperlink"/>
                  <w:rFonts w:ascii="Arial" w:hAnsi="Arial" w:cs="Arial"/>
                  <w:color w:val="222222"/>
                </w:rPr>
                <w:t>Boston Medical Center – Center for Transgender Medicine and Surgery</w:t>
              </w:r>
            </w:hyperlink>
          </w:p>
        </w:tc>
      </w:tr>
      <w:tr w:rsidR="00C16528" w:rsidRPr="00D43F09" w14:paraId="00D44E0A" w14:textId="77777777" w:rsidTr="00B00399">
        <w:tc>
          <w:tcPr>
            <w:tcW w:w="9540" w:type="dxa"/>
          </w:tcPr>
          <w:p w14:paraId="46E6017F" w14:textId="77777777" w:rsidR="00C16528" w:rsidRPr="00D43F09" w:rsidRDefault="00000000" w:rsidP="00C16528">
            <w:pPr>
              <w:pStyle w:val="menu-item"/>
              <w:numPr>
                <w:ilvl w:val="0"/>
                <w:numId w:val="35"/>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0" w:history="1">
              <w:r w:rsidR="00C16528" w:rsidRPr="00D43F09">
                <w:rPr>
                  <w:rStyle w:val="Hyperlink"/>
                  <w:rFonts w:ascii="Arial" w:hAnsi="Arial" w:cs="Arial"/>
                  <w:color w:val="222222"/>
                </w:rPr>
                <w:t>Brigham and Women’s – Transgender Program</w:t>
              </w:r>
            </w:hyperlink>
          </w:p>
        </w:tc>
      </w:tr>
      <w:tr w:rsidR="00C16528" w:rsidRPr="00D43F09" w14:paraId="22C7B531" w14:textId="77777777" w:rsidTr="00B00399">
        <w:tc>
          <w:tcPr>
            <w:tcW w:w="9540" w:type="dxa"/>
          </w:tcPr>
          <w:p w14:paraId="6BC2947F" w14:textId="77777777" w:rsidR="00C16528" w:rsidRPr="00D43F09" w:rsidRDefault="00000000" w:rsidP="00C16528">
            <w:pPr>
              <w:pStyle w:val="menu-item"/>
              <w:numPr>
                <w:ilvl w:val="0"/>
                <w:numId w:val="36"/>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1" w:history="1">
              <w:r w:rsidR="00C16528" w:rsidRPr="00D43F09">
                <w:rPr>
                  <w:rStyle w:val="Hyperlink"/>
                  <w:rFonts w:ascii="Arial" w:hAnsi="Arial" w:cs="Arial"/>
                  <w:color w:val="222222"/>
                </w:rPr>
                <w:t>Cooley Dickinson – LGBTQ Services</w:t>
              </w:r>
            </w:hyperlink>
          </w:p>
        </w:tc>
      </w:tr>
      <w:tr w:rsidR="00C16528" w:rsidRPr="00D43F09" w14:paraId="3536140D" w14:textId="77777777" w:rsidTr="00B00399">
        <w:tc>
          <w:tcPr>
            <w:tcW w:w="9540" w:type="dxa"/>
          </w:tcPr>
          <w:p w14:paraId="627ECAC7" w14:textId="77777777" w:rsidR="00C16528" w:rsidRPr="00D43F09" w:rsidRDefault="00000000" w:rsidP="00C16528">
            <w:pPr>
              <w:pStyle w:val="menu-item"/>
              <w:numPr>
                <w:ilvl w:val="0"/>
                <w:numId w:val="37"/>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2" w:history="1">
              <w:r w:rsidR="00C16528" w:rsidRPr="00D43F09">
                <w:rPr>
                  <w:rStyle w:val="Hyperlink"/>
                  <w:rFonts w:ascii="Arial" w:hAnsi="Arial" w:cs="Arial"/>
                  <w:color w:val="222222"/>
                </w:rPr>
                <w:t>Fenway Health – Sidney Borum Jr.</w:t>
              </w:r>
            </w:hyperlink>
          </w:p>
        </w:tc>
      </w:tr>
      <w:tr w:rsidR="00C16528" w:rsidRPr="00D43F09" w14:paraId="42CD6CEF" w14:textId="77777777" w:rsidTr="00B00399">
        <w:tc>
          <w:tcPr>
            <w:tcW w:w="9540" w:type="dxa"/>
          </w:tcPr>
          <w:p w14:paraId="76AC15CE" w14:textId="77777777" w:rsidR="00C16528" w:rsidRPr="00D43F09" w:rsidRDefault="00000000" w:rsidP="00C16528">
            <w:pPr>
              <w:pStyle w:val="menu-item"/>
              <w:numPr>
                <w:ilvl w:val="0"/>
                <w:numId w:val="38"/>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3" w:history="1">
              <w:r w:rsidR="00C16528" w:rsidRPr="00D43F09">
                <w:rPr>
                  <w:rStyle w:val="Hyperlink"/>
                  <w:rFonts w:ascii="Arial" w:hAnsi="Arial" w:cs="Arial"/>
                  <w:color w:val="222222"/>
                </w:rPr>
                <w:t>Core Physicians (Exeter, NH) LGBT Health</w:t>
              </w:r>
            </w:hyperlink>
          </w:p>
        </w:tc>
      </w:tr>
      <w:tr w:rsidR="00C16528" w:rsidRPr="00D43F09" w14:paraId="6207FC9B" w14:textId="77777777" w:rsidTr="00B00399">
        <w:tc>
          <w:tcPr>
            <w:tcW w:w="9540" w:type="dxa"/>
          </w:tcPr>
          <w:p w14:paraId="5DD8D248" w14:textId="77777777" w:rsidR="00C16528" w:rsidRPr="00D43F09" w:rsidRDefault="00000000" w:rsidP="00C16528">
            <w:pPr>
              <w:pStyle w:val="menu-item"/>
              <w:numPr>
                <w:ilvl w:val="0"/>
                <w:numId w:val="39"/>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4" w:history="1">
              <w:r w:rsidR="00C16528" w:rsidRPr="00D43F09">
                <w:rPr>
                  <w:rStyle w:val="Hyperlink"/>
                  <w:rFonts w:ascii="Arial" w:hAnsi="Arial" w:cs="Arial"/>
                  <w:color w:val="222222"/>
                </w:rPr>
                <w:t>Fenway Health – Transgender Health</w:t>
              </w:r>
            </w:hyperlink>
          </w:p>
        </w:tc>
      </w:tr>
      <w:tr w:rsidR="00C16528" w:rsidRPr="00D43F09" w14:paraId="34A755C5" w14:textId="77777777" w:rsidTr="00B00399">
        <w:tc>
          <w:tcPr>
            <w:tcW w:w="9540" w:type="dxa"/>
          </w:tcPr>
          <w:p w14:paraId="6772A817" w14:textId="77777777" w:rsidR="00C16528" w:rsidRPr="00D43F09" w:rsidRDefault="00000000" w:rsidP="00C16528">
            <w:pPr>
              <w:pStyle w:val="menu-item"/>
              <w:numPr>
                <w:ilvl w:val="0"/>
                <w:numId w:val="40"/>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5" w:history="1">
              <w:r w:rsidR="00C16528" w:rsidRPr="00D43F09">
                <w:rPr>
                  <w:rStyle w:val="Hyperlink"/>
                  <w:rFonts w:ascii="Arial" w:hAnsi="Arial" w:cs="Arial"/>
                  <w:color w:val="222222"/>
                </w:rPr>
                <w:t>Greater Lawrence Family Health Center – Transgender Care</w:t>
              </w:r>
            </w:hyperlink>
          </w:p>
        </w:tc>
      </w:tr>
      <w:tr w:rsidR="00C16528" w:rsidRPr="00D43F09" w14:paraId="0D7341D7" w14:textId="77777777" w:rsidTr="00B00399">
        <w:tc>
          <w:tcPr>
            <w:tcW w:w="9540" w:type="dxa"/>
          </w:tcPr>
          <w:p w14:paraId="12923120" w14:textId="77777777" w:rsidR="00C16528" w:rsidRPr="00D43F09" w:rsidRDefault="00000000" w:rsidP="00C16528">
            <w:pPr>
              <w:pStyle w:val="menu-item"/>
              <w:numPr>
                <w:ilvl w:val="0"/>
                <w:numId w:val="41"/>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w:history="1">
              <w:r w:rsidR="00C16528" w:rsidRPr="00D43F09">
                <w:rPr>
                  <w:rStyle w:val="Hyperlink"/>
                  <w:rFonts w:ascii="Arial" w:hAnsi="Arial" w:cs="Arial"/>
                  <w:color w:val="222222"/>
                </w:rPr>
                <w:t>Health Quarters</w:t>
              </w:r>
            </w:hyperlink>
          </w:p>
        </w:tc>
      </w:tr>
      <w:tr w:rsidR="00C16528" w:rsidRPr="00D43F09" w14:paraId="4A41D444" w14:textId="77777777" w:rsidTr="00B00399">
        <w:tc>
          <w:tcPr>
            <w:tcW w:w="9540" w:type="dxa"/>
          </w:tcPr>
          <w:p w14:paraId="19B184D6" w14:textId="77777777" w:rsidR="00C16528" w:rsidRPr="00D43F09" w:rsidRDefault="00000000" w:rsidP="00C16528">
            <w:pPr>
              <w:pStyle w:val="menu-item"/>
              <w:numPr>
                <w:ilvl w:val="0"/>
                <w:numId w:val="42"/>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6" w:history="1">
              <w:r w:rsidR="00C16528" w:rsidRPr="00D43F09">
                <w:rPr>
                  <w:rStyle w:val="Hyperlink"/>
                  <w:rFonts w:ascii="Arial" w:hAnsi="Arial" w:cs="Arial"/>
                  <w:color w:val="222222"/>
                </w:rPr>
                <w:t>Lahey Transgender Program</w:t>
              </w:r>
            </w:hyperlink>
          </w:p>
        </w:tc>
      </w:tr>
      <w:tr w:rsidR="00C16528" w:rsidRPr="00D43F09" w14:paraId="11EEB2E5" w14:textId="77777777" w:rsidTr="00B00399">
        <w:tc>
          <w:tcPr>
            <w:tcW w:w="9540" w:type="dxa"/>
          </w:tcPr>
          <w:p w14:paraId="5A791C54" w14:textId="77777777" w:rsidR="00C16528" w:rsidRPr="00D43F09" w:rsidRDefault="00000000" w:rsidP="00C16528">
            <w:pPr>
              <w:pStyle w:val="menu-item"/>
              <w:numPr>
                <w:ilvl w:val="0"/>
                <w:numId w:val="43"/>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7" w:history="1">
              <w:r w:rsidR="00C16528" w:rsidRPr="00D43F09">
                <w:rPr>
                  <w:rStyle w:val="Hyperlink"/>
                  <w:rFonts w:ascii="Arial" w:hAnsi="Arial" w:cs="Arial"/>
                  <w:color w:val="222222"/>
                </w:rPr>
                <w:t>Lifespan (RI) – Adult Transgender and Sexuality Behavioral Health</w:t>
              </w:r>
            </w:hyperlink>
          </w:p>
          <w:p w14:paraId="7340A45F" w14:textId="77777777" w:rsidR="00C16528" w:rsidRPr="00D43F09" w:rsidRDefault="00000000" w:rsidP="00C16528">
            <w:pPr>
              <w:pStyle w:val="menu-item"/>
              <w:numPr>
                <w:ilvl w:val="0"/>
                <w:numId w:val="43"/>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8" w:history="1">
              <w:r w:rsidR="00C16528" w:rsidRPr="00D43F09">
                <w:rPr>
                  <w:rStyle w:val="Hyperlink"/>
                  <w:rFonts w:ascii="Arial" w:hAnsi="Arial" w:cs="Arial"/>
                  <w:color w:val="222222"/>
                </w:rPr>
                <w:t>Lifespan (RI) – Gender and Sexual Health</w:t>
              </w:r>
            </w:hyperlink>
          </w:p>
        </w:tc>
      </w:tr>
      <w:tr w:rsidR="00C16528" w:rsidRPr="00D43F09" w14:paraId="1480C6F2" w14:textId="77777777" w:rsidTr="00B00399">
        <w:tc>
          <w:tcPr>
            <w:tcW w:w="9540" w:type="dxa"/>
          </w:tcPr>
          <w:p w14:paraId="0D51C1B4" w14:textId="77777777" w:rsidR="00C16528" w:rsidRPr="00D43F09" w:rsidRDefault="00000000" w:rsidP="00C16528">
            <w:pPr>
              <w:pStyle w:val="menu-item"/>
              <w:numPr>
                <w:ilvl w:val="0"/>
                <w:numId w:val="44"/>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9" w:history="1">
              <w:r w:rsidR="00C16528" w:rsidRPr="00D43F09">
                <w:rPr>
                  <w:rStyle w:val="Hyperlink"/>
                  <w:rFonts w:ascii="Arial" w:hAnsi="Arial" w:cs="Arial"/>
                  <w:color w:val="222222"/>
                </w:rPr>
                <w:t>Massachusetts General – Transgender Health Program</w:t>
              </w:r>
            </w:hyperlink>
          </w:p>
        </w:tc>
      </w:tr>
      <w:tr w:rsidR="00C16528" w:rsidRPr="00D43F09" w14:paraId="29E3D072" w14:textId="77777777" w:rsidTr="00B00399">
        <w:tc>
          <w:tcPr>
            <w:tcW w:w="9540" w:type="dxa"/>
          </w:tcPr>
          <w:p w14:paraId="2B5D005E" w14:textId="77777777" w:rsidR="00C16528" w:rsidRPr="00D43F09" w:rsidRDefault="00C16528" w:rsidP="00C16528">
            <w:pPr>
              <w:pStyle w:val="menu-item"/>
              <w:numPr>
                <w:ilvl w:val="0"/>
                <w:numId w:val="45"/>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r w:rsidRPr="00D43F09">
              <w:rPr>
                <w:rFonts w:ascii="Arial" w:hAnsi="Arial" w:cs="Arial"/>
                <w:color w:val="333333"/>
              </w:rPr>
              <w:t>Maine Family Planning</w:t>
            </w:r>
          </w:p>
        </w:tc>
      </w:tr>
      <w:tr w:rsidR="00C16528" w:rsidRPr="00D43F09" w14:paraId="26F09F8D" w14:textId="77777777" w:rsidTr="00B00399">
        <w:tc>
          <w:tcPr>
            <w:tcW w:w="9540" w:type="dxa"/>
          </w:tcPr>
          <w:p w14:paraId="23C06508" w14:textId="77777777" w:rsidR="00C16528" w:rsidRPr="00D43F09" w:rsidRDefault="00000000" w:rsidP="00C16528">
            <w:pPr>
              <w:pStyle w:val="menu-item"/>
              <w:numPr>
                <w:ilvl w:val="0"/>
                <w:numId w:val="46"/>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30" w:history="1">
              <w:r w:rsidR="00C16528" w:rsidRPr="00D43F09">
                <w:rPr>
                  <w:rStyle w:val="Hyperlink"/>
                  <w:rFonts w:ascii="Arial" w:hAnsi="Arial" w:cs="Arial"/>
                  <w:color w:val="222222"/>
                </w:rPr>
                <w:t>Maine Medical Children’s Hospital – Gender Clinic</w:t>
              </w:r>
            </w:hyperlink>
          </w:p>
        </w:tc>
      </w:tr>
      <w:tr w:rsidR="00C16528" w:rsidRPr="00D43F09" w14:paraId="5897D8E6" w14:textId="77777777" w:rsidTr="00B00399">
        <w:tc>
          <w:tcPr>
            <w:tcW w:w="9540" w:type="dxa"/>
          </w:tcPr>
          <w:p w14:paraId="7825AE2C" w14:textId="77777777" w:rsidR="00C16528" w:rsidRPr="00D43F09" w:rsidRDefault="00000000" w:rsidP="00C16528">
            <w:pPr>
              <w:pStyle w:val="menu-item"/>
              <w:numPr>
                <w:ilvl w:val="0"/>
                <w:numId w:val="47"/>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31" w:history="1">
              <w:r w:rsidR="00C16528" w:rsidRPr="00D43F09">
                <w:rPr>
                  <w:rStyle w:val="Hyperlink"/>
                  <w:rFonts w:ascii="Arial" w:hAnsi="Arial" w:cs="Arial"/>
                  <w:color w:val="222222"/>
                </w:rPr>
                <w:t>Vermont Gynecology</w:t>
              </w:r>
            </w:hyperlink>
          </w:p>
        </w:tc>
      </w:tr>
    </w:tbl>
    <w:p w14:paraId="5468E6C4" w14:textId="77777777" w:rsidR="00C16528" w:rsidRPr="00D43F09" w:rsidRDefault="00C16528" w:rsidP="00C16528">
      <w:pPr>
        <w:rPr>
          <w:rFonts w:ascii="Arial" w:hAnsi="Arial" w:cs="Arial"/>
          <w:b/>
        </w:rPr>
      </w:pPr>
    </w:p>
    <w:p w14:paraId="5769C6AB" w14:textId="77777777" w:rsidR="00C16528" w:rsidRPr="00D43F09" w:rsidRDefault="00C16528" w:rsidP="00C16528">
      <w:pPr>
        <w:rPr>
          <w:rFonts w:ascii="Arial" w:hAnsi="Arial" w:cs="Arial"/>
          <w:b/>
          <w:u w:val="single"/>
        </w:rPr>
      </w:pPr>
    </w:p>
    <w:p w14:paraId="3DAEABC1" w14:textId="77777777" w:rsidR="00723CE0" w:rsidRPr="00D43F09" w:rsidRDefault="00723CE0" w:rsidP="00FD708E">
      <w:pPr>
        <w:rPr>
          <w:rFonts w:ascii="Arial" w:hAnsi="Arial" w:cs="Arial"/>
          <w:b/>
          <w:u w:val="single"/>
        </w:rPr>
      </w:pPr>
    </w:p>
    <w:sectPr w:rsidR="00723CE0" w:rsidRPr="00D43F09" w:rsidSect="000D44BC">
      <w:footerReference w:type="even" r:id="rId32"/>
      <w:footerReference w:type="default" r:id="rId33"/>
      <w:footerReference w:type="first" r:id="rId34"/>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41C3" w14:textId="77777777" w:rsidR="00353EBD" w:rsidRDefault="00353EBD">
      <w:r>
        <w:separator/>
      </w:r>
    </w:p>
  </w:endnote>
  <w:endnote w:type="continuationSeparator" w:id="0">
    <w:p w14:paraId="14285067" w14:textId="77777777" w:rsidR="00353EBD" w:rsidRDefault="0035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92EF" w14:textId="39765911" w:rsidR="00A17ACD" w:rsidRDefault="00A17ACD" w:rsidP="00B35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AF8">
      <w:rPr>
        <w:rStyle w:val="PageNumber"/>
        <w:noProof/>
      </w:rPr>
      <w:t>2</w:t>
    </w:r>
    <w:r>
      <w:rPr>
        <w:rStyle w:val="PageNumber"/>
      </w:rPr>
      <w:fldChar w:fldCharType="end"/>
    </w:r>
  </w:p>
  <w:p w14:paraId="7F428DFF" w14:textId="77777777" w:rsidR="00A17ACD" w:rsidRDefault="00A17ACD" w:rsidP="00E67D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DDC1" w14:textId="54C71499" w:rsidR="000D44BC" w:rsidRDefault="000D44BC" w:rsidP="000D44BC">
    <w:pPr>
      <w:tabs>
        <w:tab w:val="center" w:pos="4320"/>
        <w:tab w:val="right" w:pos="8640"/>
      </w:tabs>
      <w:overflowPunct w:val="0"/>
      <w:autoSpaceDE w:val="0"/>
      <w:autoSpaceDN w:val="0"/>
      <w:adjustRightInd w:val="0"/>
      <w:ind w:right="360"/>
      <w:textAlignment w:val="baseline"/>
      <w:rPr>
        <w:rFonts w:ascii="Calibri" w:hAnsi="Calibri"/>
        <w:sz w:val="22"/>
        <w:szCs w:val="22"/>
      </w:rPr>
    </w:pPr>
  </w:p>
  <w:p w14:paraId="45C9250D" w14:textId="60293253" w:rsidR="007D312A" w:rsidRPr="00D43F09" w:rsidRDefault="000D44BC" w:rsidP="000D44BC">
    <w:pPr>
      <w:tabs>
        <w:tab w:val="center" w:pos="4320"/>
        <w:tab w:val="right" w:pos="8640"/>
      </w:tabs>
      <w:overflowPunct w:val="0"/>
      <w:autoSpaceDE w:val="0"/>
      <w:autoSpaceDN w:val="0"/>
      <w:adjustRightInd w:val="0"/>
      <w:ind w:right="360"/>
      <w:textAlignment w:val="baseline"/>
      <w:rPr>
        <w:rFonts w:ascii="Arial" w:hAnsi="Arial" w:cs="Arial"/>
      </w:rPr>
    </w:pPr>
    <w:r w:rsidRPr="00D43F09">
      <w:rPr>
        <w:rFonts w:ascii="Arial" w:hAnsi="Arial" w:cs="Arial"/>
      </w:rPr>
      <w:t>Appendix G, Behavioral Health</w:t>
    </w:r>
    <w:r w:rsidRPr="00D43F09">
      <w:rPr>
        <w:rFonts w:ascii="Arial" w:hAnsi="Arial" w:cs="Arial"/>
      </w:rPr>
      <w:tab/>
    </w:r>
    <w:r w:rsidRPr="00D43F09">
      <w:rPr>
        <w:rFonts w:ascii="Arial" w:hAnsi="Arial" w:cs="Arial"/>
      </w:rPr>
      <w:tab/>
    </w:r>
    <w:r w:rsidRPr="00D43F09">
      <w:rPr>
        <w:rFonts w:ascii="Arial" w:hAnsi="Arial" w:cs="Arial"/>
      </w:rPr>
      <w:tab/>
    </w:r>
    <w:r w:rsidRPr="00D43F09">
      <w:rPr>
        <w:rFonts w:ascii="Arial" w:hAnsi="Arial" w:cs="Arial"/>
      </w:rPr>
      <w:fldChar w:fldCharType="begin"/>
    </w:r>
    <w:r w:rsidRPr="00D43F09">
      <w:rPr>
        <w:rFonts w:ascii="Arial" w:hAnsi="Arial" w:cs="Arial"/>
      </w:rPr>
      <w:instrText xml:space="preserve"> PAGE   \* MERGEFORMAT </w:instrText>
    </w:r>
    <w:r w:rsidRPr="00D43F09">
      <w:rPr>
        <w:rFonts w:ascii="Arial" w:hAnsi="Arial" w:cs="Arial"/>
      </w:rPr>
      <w:fldChar w:fldCharType="separate"/>
    </w:r>
    <w:r w:rsidRPr="00D43F09">
      <w:rPr>
        <w:rFonts w:ascii="Arial" w:hAnsi="Arial" w:cs="Arial"/>
        <w:noProof/>
      </w:rPr>
      <w:t>1</w:t>
    </w:r>
    <w:r w:rsidRPr="00D43F0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AA09" w14:textId="5EEAC4A5" w:rsidR="00A17ACD" w:rsidRPr="00D43F09" w:rsidRDefault="00A17ACD" w:rsidP="007D312A">
    <w:pPr>
      <w:tabs>
        <w:tab w:val="center" w:pos="4320"/>
        <w:tab w:val="right" w:pos="8640"/>
      </w:tabs>
      <w:overflowPunct w:val="0"/>
      <w:autoSpaceDE w:val="0"/>
      <w:autoSpaceDN w:val="0"/>
      <w:adjustRightInd w:val="0"/>
      <w:ind w:right="360"/>
      <w:textAlignment w:val="baseline"/>
      <w:rPr>
        <w:rFonts w:ascii="Arial" w:hAnsi="Arial" w:cs="Arial"/>
      </w:rPr>
    </w:pPr>
    <w:r w:rsidRPr="00D43F09">
      <w:rPr>
        <w:rFonts w:ascii="Arial" w:hAnsi="Arial" w:cs="Arial"/>
      </w:rPr>
      <w:t>Appendix G</w:t>
    </w:r>
    <w:r w:rsidR="000D44BC" w:rsidRPr="00D43F09">
      <w:rPr>
        <w:rFonts w:ascii="Arial" w:hAnsi="Arial" w:cs="Arial"/>
      </w:rPr>
      <w:t xml:space="preserve">, </w:t>
    </w:r>
    <w:r w:rsidRPr="00D43F09">
      <w:rPr>
        <w:rFonts w:ascii="Arial" w:hAnsi="Arial" w:cs="Arial"/>
      </w:rPr>
      <w:t>Behavioral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F41B" w14:textId="77777777" w:rsidR="00353EBD" w:rsidRDefault="00353EBD">
      <w:r>
        <w:separator/>
      </w:r>
    </w:p>
  </w:footnote>
  <w:footnote w:type="continuationSeparator" w:id="0">
    <w:p w14:paraId="0B82EF0D" w14:textId="77777777" w:rsidR="00353EBD" w:rsidRDefault="00353EBD">
      <w:r>
        <w:continuationSeparator/>
      </w:r>
    </w:p>
  </w:footnote>
  <w:footnote w:id="1">
    <w:p w14:paraId="345D6ED8" w14:textId="77777777" w:rsidR="00AD4D4D" w:rsidRDefault="00AD4D4D">
      <w:pPr>
        <w:pStyle w:val="FootnoteText"/>
      </w:pPr>
      <w:r>
        <w:rPr>
          <w:rStyle w:val="FootnoteReference"/>
        </w:rPr>
        <w:footnoteRef/>
      </w:r>
      <w:r>
        <w:t xml:space="preserve"> </w:t>
      </w:r>
      <w:r w:rsidRPr="004A4A55">
        <w:rPr>
          <w:rFonts w:ascii="Calibri" w:hAnsi="Calibri"/>
          <w:color w:val="000000"/>
          <w:sz w:val="22"/>
          <w:szCs w:val="22"/>
        </w:rPr>
        <w:t xml:space="preserve">Professional services are also billed for these programs on a 1500 claim form.  </w:t>
      </w:r>
    </w:p>
  </w:footnote>
  <w:footnote w:id="2">
    <w:p w14:paraId="58DAB038" w14:textId="77777777" w:rsidR="00FD708E" w:rsidRDefault="00FD708E" w:rsidP="00FD708E">
      <w:pPr>
        <w:pStyle w:val="FootnoteText"/>
      </w:pPr>
      <w:r>
        <w:rPr>
          <w:rStyle w:val="FootnoteReference"/>
        </w:rPr>
        <w:footnoteRef/>
      </w:r>
      <w:r>
        <w:t xml:space="preserve"> The term “facility” as used in this bulletin includes DMH licensed units within general hospitals.</w:t>
      </w:r>
    </w:p>
  </w:footnote>
  <w:footnote w:id="3">
    <w:p w14:paraId="58A726FD" w14:textId="77777777" w:rsidR="00FD708E" w:rsidRDefault="00FD708E" w:rsidP="00FD708E">
      <w:pPr>
        <w:tabs>
          <w:tab w:val="left" w:pos="0"/>
        </w:tabs>
        <w:rPr>
          <w:sz w:val="18"/>
          <w:szCs w:val="18"/>
        </w:rPr>
      </w:pPr>
      <w:r w:rsidRPr="00545498">
        <w:rPr>
          <w:rStyle w:val="FootnoteReference"/>
          <w:sz w:val="18"/>
          <w:szCs w:val="18"/>
        </w:rPr>
        <w:footnoteRef/>
      </w:r>
      <w:hyperlink r:id="rId1" w:history="1">
        <w:r w:rsidRPr="00C30E1A">
          <w:rPr>
            <w:rStyle w:val="FootnoteTextChar"/>
            <w:sz w:val="18"/>
            <w:szCs w:val="18"/>
          </w:rPr>
          <w:t>21 CFR Part 1306.07</w:t>
        </w:r>
      </w:hyperlink>
      <w:r w:rsidRPr="00C30E1A">
        <w:rPr>
          <w:rStyle w:val="FootnoteTextChar"/>
          <w:sz w:val="18"/>
          <w:szCs w:val="18"/>
        </w:rPr>
        <w:t>.  Note that these regulations also include the “</w:t>
      </w:r>
      <w:r w:rsidR="00D8699F" w:rsidRPr="00C30E1A">
        <w:rPr>
          <w:rStyle w:val="FootnoteTextChar"/>
          <w:sz w:val="18"/>
          <w:szCs w:val="18"/>
        </w:rPr>
        <w:t>three-day</w:t>
      </w:r>
      <w:r w:rsidRPr="00C30E1A">
        <w:rPr>
          <w:rStyle w:val="FootnoteTextChar"/>
          <w:sz w:val="18"/>
          <w:szCs w:val="18"/>
        </w:rPr>
        <w:t xml:space="preserve"> rule”, which allows any physician to administer methadone or buprenorphine without additional state or federal oversight or approval.  This includes MAT induction for a patient being treated for acute withdrawal symptoms.   The rule allows MAT treatment to relieve acute withdrawal symptoms, provided the treatment is limited to 72 hours where</w:t>
      </w:r>
      <w:r w:rsidR="00D8699F" w:rsidRPr="00C30E1A">
        <w:rPr>
          <w:rStyle w:val="FootnoteTextChar"/>
          <w:sz w:val="18"/>
          <w:szCs w:val="18"/>
        </w:rPr>
        <w:t xml:space="preserve"> </w:t>
      </w:r>
      <w:r w:rsidRPr="00C30E1A">
        <w:rPr>
          <w:rStyle w:val="FootnoteTextChar"/>
          <w:sz w:val="18"/>
          <w:szCs w:val="18"/>
        </w:rPr>
        <w:t>not more than one day’s medication is administered to a person at a time.   The 72-hour period cannot be renewed.  For more information, see 21 CFR Part 1306.07(b).</w:t>
      </w:r>
    </w:p>
  </w:footnote>
  <w:footnote w:id="4">
    <w:p w14:paraId="1F8F9F2A" w14:textId="77777777" w:rsidR="00FD708E" w:rsidRDefault="00FD708E" w:rsidP="00FD708E">
      <w:pPr>
        <w:pStyle w:val="FootnoteText"/>
        <w:rPr>
          <w:sz w:val="24"/>
        </w:rPr>
      </w:pPr>
      <w:r>
        <w:rPr>
          <w:rStyle w:val="FootnoteReference"/>
          <w:sz w:val="18"/>
          <w:szCs w:val="18"/>
        </w:rPr>
        <w:footnoteRef/>
      </w:r>
      <w:r>
        <w:rPr>
          <w:sz w:val="18"/>
          <w:szCs w:val="18"/>
        </w:rPr>
        <w:t xml:space="preserve"> The Drug Addiction Treatment Act (DATA) of 2000 authorized physicians to dispense or prescribe buprenorphine in settings other than an opioid treatment program (OTP), subject to certain limitations.  This has subsequently been expanded to also authorize nurse practitioners and physician assistants to dispense or prescribe buprenorphine, subject to certain limitations.  Information on the process for submitting a waiver to SAMHSA and the DEA can be accessed here:  </w:t>
      </w:r>
      <w:hyperlink r:id="rId2" w:tooltip="Go to the  Substance Abuse and Mental Health Services Administration (SAMHSA) website." w:history="1">
        <w:r>
          <w:rPr>
            <w:rStyle w:val="Hyperlink"/>
            <w:sz w:val="18"/>
            <w:szCs w:val="18"/>
          </w:rPr>
          <w:t>https://www.samhsa.gov/programs-campaigns/medication-assisted-treatment/training-materials-resources/buprenorphine-waiver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09C"/>
    <w:multiLevelType w:val="multilevel"/>
    <w:tmpl w:val="F91A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179A6"/>
    <w:multiLevelType w:val="multilevel"/>
    <w:tmpl w:val="533C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2401B"/>
    <w:multiLevelType w:val="multilevel"/>
    <w:tmpl w:val="3D2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508AC"/>
    <w:multiLevelType w:val="multilevel"/>
    <w:tmpl w:val="A528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04F6A"/>
    <w:multiLevelType w:val="multilevel"/>
    <w:tmpl w:val="AB10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70E60"/>
    <w:multiLevelType w:val="multilevel"/>
    <w:tmpl w:val="6F96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80086"/>
    <w:multiLevelType w:val="hybridMultilevel"/>
    <w:tmpl w:val="7EFC0528"/>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04C7A"/>
    <w:multiLevelType w:val="multilevel"/>
    <w:tmpl w:val="5B5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D0C65"/>
    <w:multiLevelType w:val="multilevel"/>
    <w:tmpl w:val="69BA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54B64"/>
    <w:multiLevelType w:val="multilevel"/>
    <w:tmpl w:val="F31E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D907F1"/>
    <w:multiLevelType w:val="multilevel"/>
    <w:tmpl w:val="B87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73307E"/>
    <w:multiLevelType w:val="multilevel"/>
    <w:tmpl w:val="2FE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706EF"/>
    <w:multiLevelType w:val="multilevel"/>
    <w:tmpl w:val="3C3A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F6B5E"/>
    <w:multiLevelType w:val="multilevel"/>
    <w:tmpl w:val="9B4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3F089E"/>
    <w:multiLevelType w:val="multilevel"/>
    <w:tmpl w:val="734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77B11"/>
    <w:multiLevelType w:val="hybridMultilevel"/>
    <w:tmpl w:val="1C9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9A729F"/>
    <w:multiLevelType w:val="multilevel"/>
    <w:tmpl w:val="327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3C3946"/>
    <w:multiLevelType w:val="hybridMultilevel"/>
    <w:tmpl w:val="E0F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05292"/>
    <w:multiLevelType w:val="multilevel"/>
    <w:tmpl w:val="EA2E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D46AB0"/>
    <w:multiLevelType w:val="multilevel"/>
    <w:tmpl w:val="60B8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B22D6D"/>
    <w:multiLevelType w:val="multilevel"/>
    <w:tmpl w:val="E51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6D7CEC"/>
    <w:multiLevelType w:val="multilevel"/>
    <w:tmpl w:val="81B8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B4672"/>
    <w:multiLevelType w:val="hybridMultilevel"/>
    <w:tmpl w:val="A18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4733D0"/>
    <w:multiLevelType w:val="hybridMultilevel"/>
    <w:tmpl w:val="1B2A9DEC"/>
    <w:lvl w:ilvl="0" w:tplc="04090001">
      <w:start w:val="1"/>
      <w:numFmt w:val="bullet"/>
      <w:lvlText w:val=""/>
      <w:lvlJc w:val="left"/>
      <w:pPr>
        <w:ind w:left="720" w:hanging="360"/>
      </w:pPr>
      <w:rPr>
        <w:rFonts w:ascii="Symbol" w:hAnsi="Symbol" w:hint="default"/>
      </w:rPr>
    </w:lvl>
    <w:lvl w:ilvl="1" w:tplc="EDD6D2B2">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87004"/>
    <w:multiLevelType w:val="multilevel"/>
    <w:tmpl w:val="2C0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D03ED7"/>
    <w:multiLevelType w:val="multilevel"/>
    <w:tmpl w:val="086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10B69"/>
    <w:multiLevelType w:val="hybridMultilevel"/>
    <w:tmpl w:val="DFC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31D90"/>
    <w:multiLevelType w:val="multilevel"/>
    <w:tmpl w:val="912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270753"/>
    <w:multiLevelType w:val="hybridMultilevel"/>
    <w:tmpl w:val="B0565614"/>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552EE"/>
    <w:multiLevelType w:val="multilevel"/>
    <w:tmpl w:val="705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F6FBA"/>
    <w:multiLevelType w:val="hybridMultilevel"/>
    <w:tmpl w:val="1D7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977AB"/>
    <w:multiLevelType w:val="multilevel"/>
    <w:tmpl w:val="7D96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93849"/>
    <w:multiLevelType w:val="multilevel"/>
    <w:tmpl w:val="29F2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813D4E"/>
    <w:multiLevelType w:val="multilevel"/>
    <w:tmpl w:val="0F7E9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8C957B8"/>
    <w:multiLevelType w:val="multilevel"/>
    <w:tmpl w:val="E65C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71777E"/>
    <w:multiLevelType w:val="hybridMultilevel"/>
    <w:tmpl w:val="328E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754BF2"/>
    <w:multiLevelType w:val="multilevel"/>
    <w:tmpl w:val="AD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81AF5"/>
    <w:multiLevelType w:val="multilevel"/>
    <w:tmpl w:val="C7F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800D30"/>
    <w:multiLevelType w:val="multilevel"/>
    <w:tmpl w:val="2CEA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E55CD9"/>
    <w:multiLevelType w:val="multilevel"/>
    <w:tmpl w:val="72C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9369B"/>
    <w:multiLevelType w:val="hybridMultilevel"/>
    <w:tmpl w:val="3E2EFCB6"/>
    <w:lvl w:ilvl="0" w:tplc="0409000F">
      <w:start w:val="1"/>
      <w:numFmt w:val="decimal"/>
      <w:lvlText w:val="%1."/>
      <w:lvlJc w:val="left"/>
      <w:pPr>
        <w:ind w:left="1008"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1" w15:restartNumberingAfterBreak="0">
    <w:nsid w:val="677A0391"/>
    <w:multiLevelType w:val="multilevel"/>
    <w:tmpl w:val="037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D816EE"/>
    <w:multiLevelType w:val="multilevel"/>
    <w:tmpl w:val="C908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CA295B"/>
    <w:multiLevelType w:val="hybridMultilevel"/>
    <w:tmpl w:val="813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4498B"/>
    <w:multiLevelType w:val="hybridMultilevel"/>
    <w:tmpl w:val="2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F78D9"/>
    <w:multiLevelType w:val="multilevel"/>
    <w:tmpl w:val="C6C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96230"/>
    <w:multiLevelType w:val="multilevel"/>
    <w:tmpl w:val="1906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656610">
    <w:abstractNumId w:val="40"/>
    <w:lvlOverride w:ilvl="0">
      <w:startOverride w:val="1"/>
    </w:lvlOverride>
    <w:lvlOverride w:ilvl="1"/>
    <w:lvlOverride w:ilvl="2"/>
    <w:lvlOverride w:ilvl="3"/>
    <w:lvlOverride w:ilvl="4"/>
    <w:lvlOverride w:ilvl="5"/>
    <w:lvlOverride w:ilvl="6"/>
    <w:lvlOverride w:ilvl="7"/>
    <w:lvlOverride w:ilvl="8"/>
  </w:num>
  <w:num w:numId="2" w16cid:durableId="701056039">
    <w:abstractNumId w:val="30"/>
  </w:num>
  <w:num w:numId="3" w16cid:durableId="1676886180">
    <w:abstractNumId w:val="44"/>
  </w:num>
  <w:num w:numId="4" w16cid:durableId="1031999652">
    <w:abstractNumId w:val="22"/>
  </w:num>
  <w:num w:numId="5" w16cid:durableId="2008631370">
    <w:abstractNumId w:val="26"/>
  </w:num>
  <w:num w:numId="6" w16cid:durableId="651983098">
    <w:abstractNumId w:val="17"/>
  </w:num>
  <w:num w:numId="7" w16cid:durableId="1970890178">
    <w:abstractNumId w:val="23"/>
  </w:num>
  <w:num w:numId="8" w16cid:durableId="273291215">
    <w:abstractNumId w:val="35"/>
  </w:num>
  <w:num w:numId="9" w16cid:durableId="821389813">
    <w:abstractNumId w:val="6"/>
  </w:num>
  <w:num w:numId="10" w16cid:durableId="1913201824">
    <w:abstractNumId w:val="28"/>
  </w:num>
  <w:num w:numId="11" w16cid:durableId="1654916460">
    <w:abstractNumId w:val="43"/>
  </w:num>
  <w:num w:numId="12" w16cid:durableId="2104916945">
    <w:abstractNumId w:val="15"/>
  </w:num>
  <w:num w:numId="13" w16cid:durableId="1021860357">
    <w:abstractNumId w:val="3"/>
  </w:num>
  <w:num w:numId="14" w16cid:durableId="963804637">
    <w:abstractNumId w:val="13"/>
  </w:num>
  <w:num w:numId="15" w16cid:durableId="1674257213">
    <w:abstractNumId w:val="33"/>
  </w:num>
  <w:num w:numId="16" w16cid:durableId="109325413">
    <w:abstractNumId w:val="38"/>
  </w:num>
  <w:num w:numId="17" w16cid:durableId="1741632990">
    <w:abstractNumId w:val="1"/>
  </w:num>
  <w:num w:numId="18" w16cid:durableId="1132677833">
    <w:abstractNumId w:val="4"/>
  </w:num>
  <w:num w:numId="19" w16cid:durableId="912743019">
    <w:abstractNumId w:val="21"/>
  </w:num>
  <w:num w:numId="20" w16cid:durableId="1960258972">
    <w:abstractNumId w:val="8"/>
  </w:num>
  <w:num w:numId="21" w16cid:durableId="2087416120">
    <w:abstractNumId w:val="41"/>
  </w:num>
  <w:num w:numId="22" w16cid:durableId="1405297345">
    <w:abstractNumId w:val="19"/>
  </w:num>
  <w:num w:numId="23" w16cid:durableId="1878004214">
    <w:abstractNumId w:val="42"/>
  </w:num>
  <w:num w:numId="24" w16cid:durableId="956907214">
    <w:abstractNumId w:val="34"/>
  </w:num>
  <w:num w:numId="25" w16cid:durableId="608007396">
    <w:abstractNumId w:val="0"/>
  </w:num>
  <w:num w:numId="26" w16cid:durableId="262811239">
    <w:abstractNumId w:val="10"/>
  </w:num>
  <w:num w:numId="27" w16cid:durableId="1772775143">
    <w:abstractNumId w:val="18"/>
  </w:num>
  <w:num w:numId="28" w16cid:durableId="1906455571">
    <w:abstractNumId w:val="2"/>
  </w:num>
  <w:num w:numId="29" w16cid:durableId="1993555954">
    <w:abstractNumId w:val="5"/>
  </w:num>
  <w:num w:numId="30" w16cid:durableId="1435711801">
    <w:abstractNumId w:val="37"/>
  </w:num>
  <w:num w:numId="31" w16cid:durableId="76175396">
    <w:abstractNumId w:val="25"/>
  </w:num>
  <w:num w:numId="32" w16cid:durableId="413207986">
    <w:abstractNumId w:val="12"/>
  </w:num>
  <w:num w:numId="33" w16cid:durableId="594367539">
    <w:abstractNumId w:val="14"/>
  </w:num>
  <w:num w:numId="34" w16cid:durableId="1721975725">
    <w:abstractNumId w:val="32"/>
  </w:num>
  <w:num w:numId="35" w16cid:durableId="95826927">
    <w:abstractNumId w:val="7"/>
  </w:num>
  <w:num w:numId="36" w16cid:durableId="451628904">
    <w:abstractNumId w:val="27"/>
  </w:num>
  <w:num w:numId="37" w16cid:durableId="2119326873">
    <w:abstractNumId w:val="39"/>
  </w:num>
  <w:num w:numId="38" w16cid:durableId="388456383">
    <w:abstractNumId w:val="24"/>
  </w:num>
  <w:num w:numId="39" w16cid:durableId="1805274145">
    <w:abstractNumId w:val="9"/>
  </w:num>
  <w:num w:numId="40" w16cid:durableId="1174223991">
    <w:abstractNumId w:val="20"/>
  </w:num>
  <w:num w:numId="41" w16cid:durableId="1673675828">
    <w:abstractNumId w:val="46"/>
  </w:num>
  <w:num w:numId="42" w16cid:durableId="1419205835">
    <w:abstractNumId w:val="31"/>
  </w:num>
  <w:num w:numId="43" w16cid:durableId="563293879">
    <w:abstractNumId w:val="16"/>
  </w:num>
  <w:num w:numId="44" w16cid:durableId="1600061692">
    <w:abstractNumId w:val="11"/>
  </w:num>
  <w:num w:numId="45" w16cid:durableId="1642886893">
    <w:abstractNumId w:val="29"/>
  </w:num>
  <w:num w:numId="46" w16cid:durableId="666519775">
    <w:abstractNumId w:val="36"/>
  </w:num>
  <w:num w:numId="47" w16cid:durableId="1772123565">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C"/>
    <w:rsid w:val="00004468"/>
    <w:rsid w:val="0000468D"/>
    <w:rsid w:val="00005853"/>
    <w:rsid w:val="000058AA"/>
    <w:rsid w:val="000079AC"/>
    <w:rsid w:val="00022957"/>
    <w:rsid w:val="000267FB"/>
    <w:rsid w:val="0003554B"/>
    <w:rsid w:val="00044251"/>
    <w:rsid w:val="00046457"/>
    <w:rsid w:val="0005163A"/>
    <w:rsid w:val="00052308"/>
    <w:rsid w:val="00052D3B"/>
    <w:rsid w:val="000555F2"/>
    <w:rsid w:val="000579A4"/>
    <w:rsid w:val="000633E3"/>
    <w:rsid w:val="000637D6"/>
    <w:rsid w:val="00066B31"/>
    <w:rsid w:val="00086BBD"/>
    <w:rsid w:val="00092B4D"/>
    <w:rsid w:val="00094547"/>
    <w:rsid w:val="000958D2"/>
    <w:rsid w:val="00095978"/>
    <w:rsid w:val="000969AB"/>
    <w:rsid w:val="000B0B30"/>
    <w:rsid w:val="000B421B"/>
    <w:rsid w:val="000B4E0E"/>
    <w:rsid w:val="000C2DFE"/>
    <w:rsid w:val="000C5C0D"/>
    <w:rsid w:val="000D348F"/>
    <w:rsid w:val="000D44BC"/>
    <w:rsid w:val="000E2AAF"/>
    <w:rsid w:val="000E4A45"/>
    <w:rsid w:val="000E77BD"/>
    <w:rsid w:val="000F3163"/>
    <w:rsid w:val="000F6270"/>
    <w:rsid w:val="0010608D"/>
    <w:rsid w:val="001062C7"/>
    <w:rsid w:val="00111216"/>
    <w:rsid w:val="001151FA"/>
    <w:rsid w:val="00116454"/>
    <w:rsid w:val="0013010B"/>
    <w:rsid w:val="00130638"/>
    <w:rsid w:val="00132A5A"/>
    <w:rsid w:val="001331E5"/>
    <w:rsid w:val="00137452"/>
    <w:rsid w:val="00140F75"/>
    <w:rsid w:val="001411DB"/>
    <w:rsid w:val="0014211F"/>
    <w:rsid w:val="00171C4B"/>
    <w:rsid w:val="001804D4"/>
    <w:rsid w:val="001A10DB"/>
    <w:rsid w:val="001A6D2B"/>
    <w:rsid w:val="001A6E13"/>
    <w:rsid w:val="001B1EDE"/>
    <w:rsid w:val="001B211E"/>
    <w:rsid w:val="001B46A8"/>
    <w:rsid w:val="001C43D8"/>
    <w:rsid w:val="001C4C5D"/>
    <w:rsid w:val="001D029E"/>
    <w:rsid w:val="001E0CDB"/>
    <w:rsid w:val="001E4E21"/>
    <w:rsid w:val="001E52D7"/>
    <w:rsid w:val="001F42B6"/>
    <w:rsid w:val="001F49CE"/>
    <w:rsid w:val="002048E0"/>
    <w:rsid w:val="00231167"/>
    <w:rsid w:val="00242437"/>
    <w:rsid w:val="00245063"/>
    <w:rsid w:val="002473A3"/>
    <w:rsid w:val="00250F7C"/>
    <w:rsid w:val="002645A3"/>
    <w:rsid w:val="0026567A"/>
    <w:rsid w:val="00266851"/>
    <w:rsid w:val="00266AC1"/>
    <w:rsid w:val="002670CE"/>
    <w:rsid w:val="00270234"/>
    <w:rsid w:val="002707D4"/>
    <w:rsid w:val="002878DC"/>
    <w:rsid w:val="00291F4C"/>
    <w:rsid w:val="002929CA"/>
    <w:rsid w:val="00294AF8"/>
    <w:rsid w:val="002960C7"/>
    <w:rsid w:val="002A1C23"/>
    <w:rsid w:val="002A20EE"/>
    <w:rsid w:val="002A5C75"/>
    <w:rsid w:val="002C0315"/>
    <w:rsid w:val="002C6484"/>
    <w:rsid w:val="002C7107"/>
    <w:rsid w:val="002D07C9"/>
    <w:rsid w:val="002D11F2"/>
    <w:rsid w:val="002D2D61"/>
    <w:rsid w:val="002D74C2"/>
    <w:rsid w:val="002F0597"/>
    <w:rsid w:val="00310F4D"/>
    <w:rsid w:val="00320CB9"/>
    <w:rsid w:val="003259E2"/>
    <w:rsid w:val="00326356"/>
    <w:rsid w:val="00331E6E"/>
    <w:rsid w:val="003331E0"/>
    <w:rsid w:val="00344D74"/>
    <w:rsid w:val="00350B28"/>
    <w:rsid w:val="00353EBD"/>
    <w:rsid w:val="00370E89"/>
    <w:rsid w:val="003734D0"/>
    <w:rsid w:val="00380DE7"/>
    <w:rsid w:val="0038503A"/>
    <w:rsid w:val="00385B64"/>
    <w:rsid w:val="00395920"/>
    <w:rsid w:val="003A1053"/>
    <w:rsid w:val="003A25E4"/>
    <w:rsid w:val="003B3CFC"/>
    <w:rsid w:val="003C2149"/>
    <w:rsid w:val="003D0B29"/>
    <w:rsid w:val="003D7AE8"/>
    <w:rsid w:val="003D7D35"/>
    <w:rsid w:val="00407F28"/>
    <w:rsid w:val="004146FE"/>
    <w:rsid w:val="004149EC"/>
    <w:rsid w:val="004161BA"/>
    <w:rsid w:val="00416A1D"/>
    <w:rsid w:val="0042043C"/>
    <w:rsid w:val="004236AA"/>
    <w:rsid w:val="00424B1D"/>
    <w:rsid w:val="00433E60"/>
    <w:rsid w:val="00446101"/>
    <w:rsid w:val="004517D3"/>
    <w:rsid w:val="004643C3"/>
    <w:rsid w:val="00473D70"/>
    <w:rsid w:val="004778B1"/>
    <w:rsid w:val="004916DB"/>
    <w:rsid w:val="0049421D"/>
    <w:rsid w:val="004952CF"/>
    <w:rsid w:val="004A10B0"/>
    <w:rsid w:val="004A4A55"/>
    <w:rsid w:val="004A4D4B"/>
    <w:rsid w:val="004A55EB"/>
    <w:rsid w:val="004A7E00"/>
    <w:rsid w:val="004B2EB3"/>
    <w:rsid w:val="004B65B6"/>
    <w:rsid w:val="004D567D"/>
    <w:rsid w:val="004D5A23"/>
    <w:rsid w:val="004F46DF"/>
    <w:rsid w:val="004F5B2B"/>
    <w:rsid w:val="004F5E19"/>
    <w:rsid w:val="00502D59"/>
    <w:rsid w:val="00504670"/>
    <w:rsid w:val="005065A4"/>
    <w:rsid w:val="00506C57"/>
    <w:rsid w:val="00514832"/>
    <w:rsid w:val="005149A6"/>
    <w:rsid w:val="005176D4"/>
    <w:rsid w:val="00517A0F"/>
    <w:rsid w:val="005315B4"/>
    <w:rsid w:val="0053167A"/>
    <w:rsid w:val="00533B57"/>
    <w:rsid w:val="00541047"/>
    <w:rsid w:val="005410A2"/>
    <w:rsid w:val="00554752"/>
    <w:rsid w:val="005549BC"/>
    <w:rsid w:val="005555D6"/>
    <w:rsid w:val="00557FED"/>
    <w:rsid w:val="00564A45"/>
    <w:rsid w:val="00573548"/>
    <w:rsid w:val="005735C3"/>
    <w:rsid w:val="005846BF"/>
    <w:rsid w:val="00586AD3"/>
    <w:rsid w:val="0058718F"/>
    <w:rsid w:val="00587757"/>
    <w:rsid w:val="005923EC"/>
    <w:rsid w:val="00595CCD"/>
    <w:rsid w:val="005A5B37"/>
    <w:rsid w:val="005A787E"/>
    <w:rsid w:val="005B0D3D"/>
    <w:rsid w:val="005B16D6"/>
    <w:rsid w:val="005C506A"/>
    <w:rsid w:val="005D1213"/>
    <w:rsid w:val="005F3A8B"/>
    <w:rsid w:val="005F3EB5"/>
    <w:rsid w:val="005F44EC"/>
    <w:rsid w:val="005F4B4B"/>
    <w:rsid w:val="005F6878"/>
    <w:rsid w:val="006052EC"/>
    <w:rsid w:val="00605D70"/>
    <w:rsid w:val="006204CD"/>
    <w:rsid w:val="00621112"/>
    <w:rsid w:val="0062320E"/>
    <w:rsid w:val="006356D0"/>
    <w:rsid w:val="0063737B"/>
    <w:rsid w:val="006448C6"/>
    <w:rsid w:val="00644FE6"/>
    <w:rsid w:val="0065442C"/>
    <w:rsid w:val="0067153B"/>
    <w:rsid w:val="00676E46"/>
    <w:rsid w:val="00682200"/>
    <w:rsid w:val="00683369"/>
    <w:rsid w:val="006842C4"/>
    <w:rsid w:val="00685482"/>
    <w:rsid w:val="00685F22"/>
    <w:rsid w:val="006A7A8B"/>
    <w:rsid w:val="006B0402"/>
    <w:rsid w:val="006B4402"/>
    <w:rsid w:val="006C2407"/>
    <w:rsid w:val="006C49C0"/>
    <w:rsid w:val="006F0528"/>
    <w:rsid w:val="006F14E9"/>
    <w:rsid w:val="006F4B35"/>
    <w:rsid w:val="00701272"/>
    <w:rsid w:val="007017C8"/>
    <w:rsid w:val="0070195F"/>
    <w:rsid w:val="00701D80"/>
    <w:rsid w:val="0070401B"/>
    <w:rsid w:val="007133CE"/>
    <w:rsid w:val="007232E6"/>
    <w:rsid w:val="00723CE0"/>
    <w:rsid w:val="007317AF"/>
    <w:rsid w:val="00735B89"/>
    <w:rsid w:val="007424F0"/>
    <w:rsid w:val="00747451"/>
    <w:rsid w:val="007635F6"/>
    <w:rsid w:val="007756AD"/>
    <w:rsid w:val="00777CC5"/>
    <w:rsid w:val="007802A5"/>
    <w:rsid w:val="00791E2B"/>
    <w:rsid w:val="0079736B"/>
    <w:rsid w:val="007B1F54"/>
    <w:rsid w:val="007B209B"/>
    <w:rsid w:val="007B6DEF"/>
    <w:rsid w:val="007C5849"/>
    <w:rsid w:val="007D0FF6"/>
    <w:rsid w:val="007D312A"/>
    <w:rsid w:val="007D6F3F"/>
    <w:rsid w:val="007E32CE"/>
    <w:rsid w:val="007F74A9"/>
    <w:rsid w:val="008100B2"/>
    <w:rsid w:val="00811ACF"/>
    <w:rsid w:val="00816A99"/>
    <w:rsid w:val="008176C2"/>
    <w:rsid w:val="00822D66"/>
    <w:rsid w:val="00824F04"/>
    <w:rsid w:val="00827B4B"/>
    <w:rsid w:val="00830AF3"/>
    <w:rsid w:val="008440C6"/>
    <w:rsid w:val="0084737E"/>
    <w:rsid w:val="008506ED"/>
    <w:rsid w:val="0085433A"/>
    <w:rsid w:val="00856E08"/>
    <w:rsid w:val="00860922"/>
    <w:rsid w:val="00862948"/>
    <w:rsid w:val="00865284"/>
    <w:rsid w:val="008672BF"/>
    <w:rsid w:val="00870CBC"/>
    <w:rsid w:val="00874B6F"/>
    <w:rsid w:val="00891AE1"/>
    <w:rsid w:val="00892CA0"/>
    <w:rsid w:val="00895B69"/>
    <w:rsid w:val="0089656B"/>
    <w:rsid w:val="008A0050"/>
    <w:rsid w:val="008A1B51"/>
    <w:rsid w:val="008A2C18"/>
    <w:rsid w:val="008B2115"/>
    <w:rsid w:val="008B77B1"/>
    <w:rsid w:val="008D02AF"/>
    <w:rsid w:val="008D1104"/>
    <w:rsid w:val="008D17A6"/>
    <w:rsid w:val="008E2883"/>
    <w:rsid w:val="008E619A"/>
    <w:rsid w:val="008E6BBD"/>
    <w:rsid w:val="008F1A2F"/>
    <w:rsid w:val="00910988"/>
    <w:rsid w:val="00911051"/>
    <w:rsid w:val="0094408D"/>
    <w:rsid w:val="00951FA0"/>
    <w:rsid w:val="00952029"/>
    <w:rsid w:val="00955965"/>
    <w:rsid w:val="0095715A"/>
    <w:rsid w:val="00975BE2"/>
    <w:rsid w:val="00977984"/>
    <w:rsid w:val="009856D3"/>
    <w:rsid w:val="00995ADB"/>
    <w:rsid w:val="009A4D1D"/>
    <w:rsid w:val="009C200A"/>
    <w:rsid w:val="009C7656"/>
    <w:rsid w:val="009E0914"/>
    <w:rsid w:val="009E1FAE"/>
    <w:rsid w:val="009E4C3B"/>
    <w:rsid w:val="009E6D26"/>
    <w:rsid w:val="00A04CFC"/>
    <w:rsid w:val="00A17907"/>
    <w:rsid w:val="00A17ACD"/>
    <w:rsid w:val="00A20CF0"/>
    <w:rsid w:val="00A2355F"/>
    <w:rsid w:val="00A27A28"/>
    <w:rsid w:val="00A27BE2"/>
    <w:rsid w:val="00A42F96"/>
    <w:rsid w:val="00A51742"/>
    <w:rsid w:val="00A55A95"/>
    <w:rsid w:val="00A5622B"/>
    <w:rsid w:val="00A718A1"/>
    <w:rsid w:val="00A73CF6"/>
    <w:rsid w:val="00A86CCC"/>
    <w:rsid w:val="00A9607B"/>
    <w:rsid w:val="00A976AD"/>
    <w:rsid w:val="00AA4DC0"/>
    <w:rsid w:val="00AB7635"/>
    <w:rsid w:val="00AC0A42"/>
    <w:rsid w:val="00AC174D"/>
    <w:rsid w:val="00AC3138"/>
    <w:rsid w:val="00AC37FB"/>
    <w:rsid w:val="00AC3C82"/>
    <w:rsid w:val="00AC4025"/>
    <w:rsid w:val="00AC5C11"/>
    <w:rsid w:val="00AC7771"/>
    <w:rsid w:val="00AD24FA"/>
    <w:rsid w:val="00AD4D4D"/>
    <w:rsid w:val="00AD4F08"/>
    <w:rsid w:val="00AD635B"/>
    <w:rsid w:val="00AD7270"/>
    <w:rsid w:val="00AE66EF"/>
    <w:rsid w:val="00AF10C3"/>
    <w:rsid w:val="00AF74C0"/>
    <w:rsid w:val="00AF77CC"/>
    <w:rsid w:val="00B02199"/>
    <w:rsid w:val="00B032CE"/>
    <w:rsid w:val="00B07278"/>
    <w:rsid w:val="00B1306B"/>
    <w:rsid w:val="00B143D5"/>
    <w:rsid w:val="00B24802"/>
    <w:rsid w:val="00B27C5E"/>
    <w:rsid w:val="00B31DBA"/>
    <w:rsid w:val="00B3313D"/>
    <w:rsid w:val="00B35141"/>
    <w:rsid w:val="00B36D33"/>
    <w:rsid w:val="00B4245F"/>
    <w:rsid w:val="00B447D1"/>
    <w:rsid w:val="00B63761"/>
    <w:rsid w:val="00B7367B"/>
    <w:rsid w:val="00B80D23"/>
    <w:rsid w:val="00B81936"/>
    <w:rsid w:val="00B97DC6"/>
    <w:rsid w:val="00BA0503"/>
    <w:rsid w:val="00BA2950"/>
    <w:rsid w:val="00BA5297"/>
    <w:rsid w:val="00BA6627"/>
    <w:rsid w:val="00BA67AB"/>
    <w:rsid w:val="00BA7D3E"/>
    <w:rsid w:val="00BB189B"/>
    <w:rsid w:val="00BB246C"/>
    <w:rsid w:val="00BB5F5B"/>
    <w:rsid w:val="00BD17F5"/>
    <w:rsid w:val="00BD26FF"/>
    <w:rsid w:val="00BD7EA4"/>
    <w:rsid w:val="00BE027F"/>
    <w:rsid w:val="00BF16FB"/>
    <w:rsid w:val="00C0449C"/>
    <w:rsid w:val="00C04CE5"/>
    <w:rsid w:val="00C13DB8"/>
    <w:rsid w:val="00C148C0"/>
    <w:rsid w:val="00C16528"/>
    <w:rsid w:val="00C214E4"/>
    <w:rsid w:val="00C30E1A"/>
    <w:rsid w:val="00C31EF9"/>
    <w:rsid w:val="00C3263D"/>
    <w:rsid w:val="00C5064F"/>
    <w:rsid w:val="00C5465D"/>
    <w:rsid w:val="00C55897"/>
    <w:rsid w:val="00C57E3A"/>
    <w:rsid w:val="00C66283"/>
    <w:rsid w:val="00C74622"/>
    <w:rsid w:val="00C77374"/>
    <w:rsid w:val="00C77844"/>
    <w:rsid w:val="00C80556"/>
    <w:rsid w:val="00C81E88"/>
    <w:rsid w:val="00C91D91"/>
    <w:rsid w:val="00C92F3C"/>
    <w:rsid w:val="00C95F19"/>
    <w:rsid w:val="00C97923"/>
    <w:rsid w:val="00CA5A76"/>
    <w:rsid w:val="00CB132F"/>
    <w:rsid w:val="00CB24F7"/>
    <w:rsid w:val="00CB5E27"/>
    <w:rsid w:val="00CC1B32"/>
    <w:rsid w:val="00CC7963"/>
    <w:rsid w:val="00CD59D7"/>
    <w:rsid w:val="00CE1E9C"/>
    <w:rsid w:val="00CE6087"/>
    <w:rsid w:val="00CF1ED7"/>
    <w:rsid w:val="00CF2CC3"/>
    <w:rsid w:val="00CF3911"/>
    <w:rsid w:val="00CF6A52"/>
    <w:rsid w:val="00D06B6E"/>
    <w:rsid w:val="00D2216F"/>
    <w:rsid w:val="00D23ECA"/>
    <w:rsid w:val="00D25FDF"/>
    <w:rsid w:val="00D40A06"/>
    <w:rsid w:val="00D43F09"/>
    <w:rsid w:val="00D45C82"/>
    <w:rsid w:val="00D46E76"/>
    <w:rsid w:val="00D503C5"/>
    <w:rsid w:val="00D5186F"/>
    <w:rsid w:val="00D567A0"/>
    <w:rsid w:val="00D60210"/>
    <w:rsid w:val="00D62A18"/>
    <w:rsid w:val="00D63540"/>
    <w:rsid w:val="00D716C7"/>
    <w:rsid w:val="00D74DAB"/>
    <w:rsid w:val="00D81D33"/>
    <w:rsid w:val="00D8699F"/>
    <w:rsid w:val="00D91A8D"/>
    <w:rsid w:val="00DB5E1C"/>
    <w:rsid w:val="00DB64B6"/>
    <w:rsid w:val="00DC54F3"/>
    <w:rsid w:val="00DD6EFA"/>
    <w:rsid w:val="00DE69F4"/>
    <w:rsid w:val="00DF03CD"/>
    <w:rsid w:val="00E01F9B"/>
    <w:rsid w:val="00E053AA"/>
    <w:rsid w:val="00E05E44"/>
    <w:rsid w:val="00E13778"/>
    <w:rsid w:val="00E157BB"/>
    <w:rsid w:val="00E16EB6"/>
    <w:rsid w:val="00E17327"/>
    <w:rsid w:val="00E23EEC"/>
    <w:rsid w:val="00E25738"/>
    <w:rsid w:val="00E27845"/>
    <w:rsid w:val="00E44BE0"/>
    <w:rsid w:val="00E46E8D"/>
    <w:rsid w:val="00E5016B"/>
    <w:rsid w:val="00E510BE"/>
    <w:rsid w:val="00E541DE"/>
    <w:rsid w:val="00E55DBC"/>
    <w:rsid w:val="00E61041"/>
    <w:rsid w:val="00E64F84"/>
    <w:rsid w:val="00E650F0"/>
    <w:rsid w:val="00E65933"/>
    <w:rsid w:val="00E66822"/>
    <w:rsid w:val="00E67D0C"/>
    <w:rsid w:val="00E855A6"/>
    <w:rsid w:val="00E86B26"/>
    <w:rsid w:val="00E90452"/>
    <w:rsid w:val="00E94A57"/>
    <w:rsid w:val="00EA0FE7"/>
    <w:rsid w:val="00EA4204"/>
    <w:rsid w:val="00EA5AEC"/>
    <w:rsid w:val="00EA61FA"/>
    <w:rsid w:val="00EA62F8"/>
    <w:rsid w:val="00EB0266"/>
    <w:rsid w:val="00EB05F4"/>
    <w:rsid w:val="00EB2921"/>
    <w:rsid w:val="00EC1E9F"/>
    <w:rsid w:val="00EC2AEC"/>
    <w:rsid w:val="00EC719C"/>
    <w:rsid w:val="00ED265B"/>
    <w:rsid w:val="00ED2B79"/>
    <w:rsid w:val="00ED4998"/>
    <w:rsid w:val="00ED70C1"/>
    <w:rsid w:val="00EE0833"/>
    <w:rsid w:val="00EE1161"/>
    <w:rsid w:val="00EE4E4A"/>
    <w:rsid w:val="00EE7B0C"/>
    <w:rsid w:val="00EE7F09"/>
    <w:rsid w:val="00EF05CB"/>
    <w:rsid w:val="00EF18E1"/>
    <w:rsid w:val="00EF4F81"/>
    <w:rsid w:val="00EF5C93"/>
    <w:rsid w:val="00EF6A38"/>
    <w:rsid w:val="00F00806"/>
    <w:rsid w:val="00F00889"/>
    <w:rsid w:val="00F02070"/>
    <w:rsid w:val="00F035CA"/>
    <w:rsid w:val="00F04714"/>
    <w:rsid w:val="00F04816"/>
    <w:rsid w:val="00F1062D"/>
    <w:rsid w:val="00F1186F"/>
    <w:rsid w:val="00F21C3B"/>
    <w:rsid w:val="00F22118"/>
    <w:rsid w:val="00F23236"/>
    <w:rsid w:val="00F24BDB"/>
    <w:rsid w:val="00F26258"/>
    <w:rsid w:val="00F4044E"/>
    <w:rsid w:val="00F420A0"/>
    <w:rsid w:val="00F46A5B"/>
    <w:rsid w:val="00F624EB"/>
    <w:rsid w:val="00F6558B"/>
    <w:rsid w:val="00F6627E"/>
    <w:rsid w:val="00F83D7B"/>
    <w:rsid w:val="00F844EF"/>
    <w:rsid w:val="00F87A50"/>
    <w:rsid w:val="00F91626"/>
    <w:rsid w:val="00FA2B35"/>
    <w:rsid w:val="00FA2B4A"/>
    <w:rsid w:val="00FA3735"/>
    <w:rsid w:val="00FB3839"/>
    <w:rsid w:val="00FD16CF"/>
    <w:rsid w:val="00FD708E"/>
    <w:rsid w:val="00FE05BC"/>
    <w:rsid w:val="00FE4A4A"/>
    <w:rsid w:val="00FE6C80"/>
    <w:rsid w:val="00FF0476"/>
    <w:rsid w:val="02826C0D"/>
    <w:rsid w:val="22B5169E"/>
    <w:rsid w:val="3C56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69FA5"/>
  <w15:chartTrackingRefBased/>
  <w15:docId w15:val="{48F0FE94-A88F-4481-8E12-80F20645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528"/>
    <w:rPr>
      <w:sz w:val="24"/>
      <w:szCs w:val="24"/>
    </w:rPr>
  </w:style>
  <w:style w:type="paragraph" w:styleId="Heading1">
    <w:name w:val="heading 1"/>
    <w:basedOn w:val="Normal"/>
    <w:next w:val="Normal"/>
    <w:qFormat/>
    <w:rsid w:val="0026567A"/>
    <w:pPr>
      <w:overflowPunct w:val="0"/>
      <w:autoSpaceDE w:val="0"/>
      <w:autoSpaceDN w:val="0"/>
      <w:adjustRightInd w:val="0"/>
      <w:jc w:val="center"/>
      <w:textAlignment w:val="baseline"/>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1E2B"/>
    <w:rPr>
      <w:rFonts w:ascii="Tahoma" w:hAnsi="Tahoma" w:cs="Tahoma"/>
      <w:sz w:val="16"/>
      <w:szCs w:val="16"/>
    </w:rPr>
  </w:style>
  <w:style w:type="character" w:styleId="Hyperlink">
    <w:name w:val="Hyperlink"/>
    <w:rsid w:val="00791E2B"/>
    <w:rPr>
      <w:color w:val="0000FF"/>
      <w:u w:val="single"/>
    </w:rPr>
  </w:style>
  <w:style w:type="paragraph" w:styleId="Footer">
    <w:name w:val="footer"/>
    <w:basedOn w:val="Normal"/>
    <w:link w:val="FooterChar"/>
    <w:uiPriority w:val="99"/>
    <w:rsid w:val="00E67D0C"/>
    <w:pPr>
      <w:tabs>
        <w:tab w:val="center" w:pos="4320"/>
        <w:tab w:val="right" w:pos="8640"/>
      </w:tabs>
    </w:pPr>
  </w:style>
  <w:style w:type="character" w:styleId="PageNumber">
    <w:name w:val="page number"/>
    <w:basedOn w:val="DefaultParagraphFont"/>
    <w:rsid w:val="00E67D0C"/>
  </w:style>
  <w:style w:type="character" w:styleId="FollowedHyperlink">
    <w:name w:val="FollowedHyperlink"/>
    <w:rsid w:val="007232E6"/>
    <w:rPr>
      <w:color w:val="800080"/>
      <w:u w:val="single"/>
    </w:rPr>
  </w:style>
  <w:style w:type="paragraph" w:styleId="TOC1">
    <w:name w:val="toc 1"/>
    <w:basedOn w:val="Normal"/>
    <w:next w:val="Normal"/>
    <w:semiHidden/>
    <w:rsid w:val="008A2C18"/>
    <w:pPr>
      <w:tabs>
        <w:tab w:val="right" w:leader="dot" w:pos="10800"/>
      </w:tabs>
      <w:spacing w:before="120" w:after="120"/>
    </w:pPr>
    <w:rPr>
      <w:b/>
      <w:caps/>
      <w:sz w:val="20"/>
      <w:szCs w:val="20"/>
    </w:rPr>
  </w:style>
  <w:style w:type="paragraph" w:styleId="TOC2">
    <w:name w:val="toc 2"/>
    <w:basedOn w:val="Normal"/>
    <w:next w:val="Normal"/>
    <w:semiHidden/>
    <w:rsid w:val="008A2C18"/>
    <w:pPr>
      <w:tabs>
        <w:tab w:val="right" w:leader="dot" w:pos="10800"/>
      </w:tabs>
    </w:pPr>
    <w:rPr>
      <w:smallCaps/>
      <w:sz w:val="20"/>
      <w:szCs w:val="20"/>
    </w:rPr>
  </w:style>
  <w:style w:type="paragraph" w:customStyle="1" w:styleId="Default">
    <w:name w:val="Default"/>
    <w:rsid w:val="009E6D26"/>
    <w:pPr>
      <w:autoSpaceDE w:val="0"/>
      <w:autoSpaceDN w:val="0"/>
      <w:adjustRightInd w:val="0"/>
    </w:pPr>
    <w:rPr>
      <w:color w:val="000000"/>
      <w:sz w:val="24"/>
      <w:szCs w:val="24"/>
    </w:rPr>
  </w:style>
  <w:style w:type="paragraph" w:styleId="Header">
    <w:name w:val="header"/>
    <w:basedOn w:val="Normal"/>
    <w:link w:val="HeaderChar"/>
    <w:uiPriority w:val="99"/>
    <w:rsid w:val="00EF5C93"/>
    <w:pPr>
      <w:tabs>
        <w:tab w:val="center" w:pos="4680"/>
        <w:tab w:val="right" w:pos="9360"/>
      </w:tabs>
    </w:pPr>
  </w:style>
  <w:style w:type="character" w:customStyle="1" w:styleId="HeaderChar">
    <w:name w:val="Header Char"/>
    <w:link w:val="Header"/>
    <w:uiPriority w:val="99"/>
    <w:rsid w:val="00EF5C93"/>
    <w:rPr>
      <w:sz w:val="24"/>
      <w:szCs w:val="24"/>
    </w:rPr>
  </w:style>
  <w:style w:type="character" w:customStyle="1" w:styleId="FooterChar">
    <w:name w:val="Footer Char"/>
    <w:link w:val="Footer"/>
    <w:uiPriority w:val="99"/>
    <w:rsid w:val="00EF5C93"/>
    <w:rPr>
      <w:sz w:val="24"/>
      <w:szCs w:val="24"/>
    </w:rPr>
  </w:style>
  <w:style w:type="table" w:styleId="TableGrid">
    <w:name w:val="Table Grid"/>
    <w:basedOn w:val="TableNormal"/>
    <w:uiPriority w:val="59"/>
    <w:rsid w:val="0065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8699F"/>
    <w:pPr>
      <w:keepLines/>
    </w:pPr>
    <w:rPr>
      <w:sz w:val="20"/>
      <w:szCs w:val="20"/>
    </w:rPr>
  </w:style>
  <w:style w:type="character" w:customStyle="1" w:styleId="FootnoteTextChar">
    <w:name w:val="Footnote Text Char"/>
    <w:basedOn w:val="DefaultParagraphFont"/>
    <w:link w:val="FootnoteText"/>
    <w:rsid w:val="00D8699F"/>
  </w:style>
  <w:style w:type="character" w:styleId="FootnoteReference">
    <w:name w:val="footnote reference"/>
    <w:uiPriority w:val="99"/>
    <w:rsid w:val="006C49C0"/>
    <w:rPr>
      <w:vertAlign w:val="superscript"/>
    </w:rPr>
  </w:style>
  <w:style w:type="paragraph" w:styleId="BodyText">
    <w:name w:val="Body Text"/>
    <w:basedOn w:val="Normal"/>
    <w:link w:val="BodyTextChar"/>
    <w:uiPriority w:val="1"/>
    <w:qFormat/>
    <w:rsid w:val="00A17ACD"/>
    <w:pPr>
      <w:widowControl w:val="0"/>
      <w:autoSpaceDE w:val="0"/>
      <w:autoSpaceDN w:val="0"/>
    </w:pPr>
    <w:rPr>
      <w:rFonts w:ascii="Arial" w:eastAsia="Arial" w:hAnsi="Arial" w:cs="Arial"/>
      <w:b/>
      <w:bCs/>
      <w:sz w:val="16"/>
      <w:szCs w:val="16"/>
      <w:lang w:bidi="en-US"/>
    </w:rPr>
  </w:style>
  <w:style w:type="character" w:customStyle="1" w:styleId="BodyTextChar">
    <w:name w:val="Body Text Char"/>
    <w:link w:val="BodyText"/>
    <w:uiPriority w:val="1"/>
    <w:rsid w:val="00A17ACD"/>
    <w:rPr>
      <w:rFonts w:ascii="Arial" w:eastAsia="Arial" w:hAnsi="Arial" w:cs="Arial"/>
      <w:b/>
      <w:bCs/>
      <w:sz w:val="16"/>
      <w:szCs w:val="16"/>
      <w:lang w:bidi="en-US"/>
    </w:rPr>
  </w:style>
  <w:style w:type="paragraph" w:styleId="ListParagraph">
    <w:name w:val="List Paragraph"/>
    <w:basedOn w:val="Normal"/>
    <w:uiPriority w:val="34"/>
    <w:qFormat/>
    <w:rsid w:val="00A17ACD"/>
    <w:pPr>
      <w:widowControl w:val="0"/>
      <w:autoSpaceDE w:val="0"/>
      <w:autoSpaceDN w:val="0"/>
    </w:pPr>
    <w:rPr>
      <w:rFonts w:ascii="Arial" w:eastAsia="Arial" w:hAnsi="Arial" w:cs="Arial"/>
      <w:sz w:val="22"/>
      <w:szCs w:val="22"/>
      <w:lang w:bidi="en-US"/>
    </w:rPr>
  </w:style>
  <w:style w:type="paragraph" w:customStyle="1" w:styleId="TableParagraph">
    <w:name w:val="Table Paragraph"/>
    <w:basedOn w:val="Normal"/>
    <w:uiPriority w:val="1"/>
    <w:qFormat/>
    <w:rsid w:val="00A17ACD"/>
    <w:pPr>
      <w:widowControl w:val="0"/>
      <w:autoSpaceDE w:val="0"/>
      <w:autoSpaceDN w:val="0"/>
      <w:ind w:left="20"/>
    </w:pPr>
    <w:rPr>
      <w:rFonts w:ascii="Arial" w:eastAsia="Arial" w:hAnsi="Arial" w:cs="Arial"/>
      <w:sz w:val="22"/>
      <w:szCs w:val="22"/>
      <w:lang w:bidi="en-US"/>
    </w:rPr>
  </w:style>
  <w:style w:type="character" w:styleId="CommentReference">
    <w:name w:val="annotation reference"/>
    <w:rsid w:val="00830AF3"/>
    <w:rPr>
      <w:sz w:val="16"/>
      <w:szCs w:val="16"/>
    </w:rPr>
  </w:style>
  <w:style w:type="paragraph" w:styleId="CommentText">
    <w:name w:val="annotation text"/>
    <w:basedOn w:val="Normal"/>
    <w:link w:val="CommentTextChar"/>
    <w:rsid w:val="00830AF3"/>
    <w:rPr>
      <w:sz w:val="20"/>
      <w:szCs w:val="20"/>
    </w:rPr>
  </w:style>
  <w:style w:type="character" w:customStyle="1" w:styleId="CommentTextChar">
    <w:name w:val="Comment Text Char"/>
    <w:basedOn w:val="DefaultParagraphFont"/>
    <w:link w:val="CommentText"/>
    <w:rsid w:val="00830AF3"/>
  </w:style>
  <w:style w:type="paragraph" w:styleId="CommentSubject">
    <w:name w:val="annotation subject"/>
    <w:basedOn w:val="CommentText"/>
    <w:next w:val="CommentText"/>
    <w:link w:val="CommentSubjectChar"/>
    <w:rsid w:val="00830AF3"/>
    <w:rPr>
      <w:b/>
      <w:bCs/>
    </w:rPr>
  </w:style>
  <w:style w:type="character" w:customStyle="1" w:styleId="CommentSubjectChar">
    <w:name w:val="Comment Subject Char"/>
    <w:link w:val="CommentSubject"/>
    <w:rsid w:val="00830AF3"/>
    <w:rPr>
      <w:b/>
      <w:bCs/>
    </w:rPr>
  </w:style>
  <w:style w:type="paragraph" w:styleId="Revision">
    <w:name w:val="Revision"/>
    <w:hidden/>
    <w:uiPriority w:val="99"/>
    <w:semiHidden/>
    <w:rsid w:val="00701272"/>
    <w:rPr>
      <w:sz w:val="24"/>
      <w:szCs w:val="24"/>
    </w:rPr>
  </w:style>
  <w:style w:type="character" w:styleId="UnresolvedMention">
    <w:name w:val="Unresolved Mention"/>
    <w:uiPriority w:val="99"/>
    <w:semiHidden/>
    <w:unhideWhenUsed/>
    <w:rsid w:val="0014211F"/>
    <w:rPr>
      <w:color w:val="605E5C"/>
      <w:shd w:val="clear" w:color="auto" w:fill="E1DFDD"/>
    </w:rPr>
  </w:style>
  <w:style w:type="paragraph" w:customStyle="1" w:styleId="paragraph">
    <w:name w:val="paragraph"/>
    <w:basedOn w:val="Normal"/>
    <w:rsid w:val="00824F04"/>
    <w:pPr>
      <w:spacing w:before="100" w:beforeAutospacing="1" w:after="100" w:afterAutospacing="1"/>
    </w:pPr>
  </w:style>
  <w:style w:type="character" w:customStyle="1" w:styleId="normaltextrun">
    <w:name w:val="normaltextrun"/>
    <w:basedOn w:val="DefaultParagraphFont"/>
    <w:rsid w:val="00824F04"/>
  </w:style>
  <w:style w:type="character" w:customStyle="1" w:styleId="eop">
    <w:name w:val="eop"/>
    <w:basedOn w:val="DefaultParagraphFont"/>
    <w:rsid w:val="00824F04"/>
  </w:style>
  <w:style w:type="paragraph" w:customStyle="1" w:styleId="menu-item">
    <w:name w:val="menu-item"/>
    <w:basedOn w:val="Normal"/>
    <w:rsid w:val="00C165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4609">
      <w:bodyDiv w:val="1"/>
      <w:marLeft w:val="0"/>
      <w:marRight w:val="0"/>
      <w:marTop w:val="0"/>
      <w:marBottom w:val="0"/>
      <w:divBdr>
        <w:top w:val="none" w:sz="0" w:space="0" w:color="auto"/>
        <w:left w:val="none" w:sz="0" w:space="0" w:color="auto"/>
        <w:bottom w:val="none" w:sz="0" w:space="0" w:color="auto"/>
        <w:right w:val="none" w:sz="0" w:space="0" w:color="auto"/>
      </w:divBdr>
    </w:div>
    <w:div w:id="210730127">
      <w:bodyDiv w:val="1"/>
      <w:marLeft w:val="0"/>
      <w:marRight w:val="0"/>
      <w:marTop w:val="0"/>
      <w:marBottom w:val="0"/>
      <w:divBdr>
        <w:top w:val="none" w:sz="0" w:space="0" w:color="auto"/>
        <w:left w:val="none" w:sz="0" w:space="0" w:color="auto"/>
        <w:bottom w:val="none" w:sz="0" w:space="0" w:color="auto"/>
        <w:right w:val="none" w:sz="0" w:space="0" w:color="auto"/>
      </w:divBdr>
    </w:div>
    <w:div w:id="306906104">
      <w:bodyDiv w:val="1"/>
      <w:marLeft w:val="0"/>
      <w:marRight w:val="0"/>
      <w:marTop w:val="0"/>
      <w:marBottom w:val="0"/>
      <w:divBdr>
        <w:top w:val="none" w:sz="0" w:space="0" w:color="auto"/>
        <w:left w:val="none" w:sz="0" w:space="0" w:color="auto"/>
        <w:bottom w:val="none" w:sz="0" w:space="0" w:color="auto"/>
        <w:right w:val="none" w:sz="0" w:space="0" w:color="auto"/>
      </w:divBdr>
    </w:div>
    <w:div w:id="446703518">
      <w:bodyDiv w:val="1"/>
      <w:marLeft w:val="0"/>
      <w:marRight w:val="0"/>
      <w:marTop w:val="0"/>
      <w:marBottom w:val="0"/>
      <w:divBdr>
        <w:top w:val="none" w:sz="0" w:space="0" w:color="auto"/>
        <w:left w:val="none" w:sz="0" w:space="0" w:color="auto"/>
        <w:bottom w:val="none" w:sz="0" w:space="0" w:color="auto"/>
        <w:right w:val="none" w:sz="0" w:space="0" w:color="auto"/>
      </w:divBdr>
    </w:div>
    <w:div w:id="686440558">
      <w:bodyDiv w:val="1"/>
      <w:marLeft w:val="0"/>
      <w:marRight w:val="0"/>
      <w:marTop w:val="0"/>
      <w:marBottom w:val="0"/>
      <w:divBdr>
        <w:top w:val="none" w:sz="0" w:space="0" w:color="auto"/>
        <w:left w:val="none" w:sz="0" w:space="0" w:color="auto"/>
        <w:bottom w:val="none" w:sz="0" w:space="0" w:color="auto"/>
        <w:right w:val="none" w:sz="0" w:space="0" w:color="auto"/>
      </w:divBdr>
    </w:div>
    <w:div w:id="723986476">
      <w:bodyDiv w:val="1"/>
      <w:marLeft w:val="0"/>
      <w:marRight w:val="0"/>
      <w:marTop w:val="0"/>
      <w:marBottom w:val="0"/>
      <w:divBdr>
        <w:top w:val="none" w:sz="0" w:space="0" w:color="auto"/>
        <w:left w:val="none" w:sz="0" w:space="0" w:color="auto"/>
        <w:bottom w:val="none" w:sz="0" w:space="0" w:color="auto"/>
        <w:right w:val="none" w:sz="0" w:space="0" w:color="auto"/>
      </w:divBdr>
    </w:div>
    <w:div w:id="765074856">
      <w:bodyDiv w:val="1"/>
      <w:marLeft w:val="0"/>
      <w:marRight w:val="0"/>
      <w:marTop w:val="0"/>
      <w:marBottom w:val="0"/>
      <w:divBdr>
        <w:top w:val="none" w:sz="0" w:space="0" w:color="auto"/>
        <w:left w:val="none" w:sz="0" w:space="0" w:color="auto"/>
        <w:bottom w:val="none" w:sz="0" w:space="0" w:color="auto"/>
        <w:right w:val="none" w:sz="0" w:space="0" w:color="auto"/>
      </w:divBdr>
    </w:div>
    <w:div w:id="925962835">
      <w:bodyDiv w:val="1"/>
      <w:marLeft w:val="0"/>
      <w:marRight w:val="0"/>
      <w:marTop w:val="0"/>
      <w:marBottom w:val="0"/>
      <w:divBdr>
        <w:top w:val="none" w:sz="0" w:space="0" w:color="auto"/>
        <w:left w:val="none" w:sz="0" w:space="0" w:color="auto"/>
        <w:bottom w:val="none" w:sz="0" w:space="0" w:color="auto"/>
        <w:right w:val="none" w:sz="0" w:space="0" w:color="auto"/>
      </w:divBdr>
    </w:div>
    <w:div w:id="1229338347">
      <w:bodyDiv w:val="1"/>
      <w:marLeft w:val="0"/>
      <w:marRight w:val="0"/>
      <w:marTop w:val="0"/>
      <w:marBottom w:val="0"/>
      <w:divBdr>
        <w:top w:val="none" w:sz="0" w:space="0" w:color="auto"/>
        <w:left w:val="none" w:sz="0" w:space="0" w:color="auto"/>
        <w:bottom w:val="none" w:sz="0" w:space="0" w:color="auto"/>
        <w:right w:val="none" w:sz="0" w:space="0" w:color="auto"/>
      </w:divBdr>
    </w:div>
    <w:div w:id="1338848217">
      <w:bodyDiv w:val="1"/>
      <w:marLeft w:val="0"/>
      <w:marRight w:val="0"/>
      <w:marTop w:val="0"/>
      <w:marBottom w:val="0"/>
      <w:divBdr>
        <w:top w:val="none" w:sz="0" w:space="0" w:color="auto"/>
        <w:left w:val="none" w:sz="0" w:space="0" w:color="auto"/>
        <w:bottom w:val="none" w:sz="0" w:space="0" w:color="auto"/>
        <w:right w:val="none" w:sz="0" w:space="0" w:color="auto"/>
      </w:divBdr>
    </w:div>
    <w:div w:id="1345978874">
      <w:bodyDiv w:val="1"/>
      <w:marLeft w:val="0"/>
      <w:marRight w:val="0"/>
      <w:marTop w:val="0"/>
      <w:marBottom w:val="0"/>
      <w:divBdr>
        <w:top w:val="none" w:sz="0" w:space="0" w:color="auto"/>
        <w:left w:val="none" w:sz="0" w:space="0" w:color="auto"/>
        <w:bottom w:val="none" w:sz="0" w:space="0" w:color="auto"/>
        <w:right w:val="none" w:sz="0" w:space="0" w:color="auto"/>
      </w:divBdr>
    </w:div>
    <w:div w:id="1377200835">
      <w:bodyDiv w:val="1"/>
      <w:marLeft w:val="0"/>
      <w:marRight w:val="0"/>
      <w:marTop w:val="0"/>
      <w:marBottom w:val="0"/>
      <w:divBdr>
        <w:top w:val="none" w:sz="0" w:space="0" w:color="auto"/>
        <w:left w:val="none" w:sz="0" w:space="0" w:color="auto"/>
        <w:bottom w:val="none" w:sz="0" w:space="0" w:color="auto"/>
        <w:right w:val="none" w:sz="0" w:space="0" w:color="auto"/>
      </w:divBdr>
    </w:div>
    <w:div w:id="1466971297">
      <w:bodyDiv w:val="1"/>
      <w:marLeft w:val="0"/>
      <w:marRight w:val="0"/>
      <w:marTop w:val="0"/>
      <w:marBottom w:val="0"/>
      <w:divBdr>
        <w:top w:val="none" w:sz="0" w:space="0" w:color="auto"/>
        <w:left w:val="none" w:sz="0" w:space="0" w:color="auto"/>
        <w:bottom w:val="none" w:sz="0" w:space="0" w:color="auto"/>
        <w:right w:val="none" w:sz="0" w:space="0" w:color="auto"/>
      </w:divBdr>
    </w:div>
    <w:div w:id="1470827282">
      <w:bodyDiv w:val="1"/>
      <w:marLeft w:val="0"/>
      <w:marRight w:val="0"/>
      <w:marTop w:val="0"/>
      <w:marBottom w:val="0"/>
      <w:divBdr>
        <w:top w:val="none" w:sz="0" w:space="0" w:color="auto"/>
        <w:left w:val="none" w:sz="0" w:space="0" w:color="auto"/>
        <w:bottom w:val="none" w:sz="0" w:space="0" w:color="auto"/>
        <w:right w:val="none" w:sz="0" w:space="0" w:color="auto"/>
      </w:divBdr>
    </w:div>
    <w:div w:id="1668167201">
      <w:bodyDiv w:val="1"/>
      <w:marLeft w:val="0"/>
      <w:marRight w:val="0"/>
      <w:marTop w:val="0"/>
      <w:marBottom w:val="0"/>
      <w:divBdr>
        <w:top w:val="none" w:sz="0" w:space="0" w:color="auto"/>
        <w:left w:val="none" w:sz="0" w:space="0" w:color="auto"/>
        <w:bottom w:val="none" w:sz="0" w:space="0" w:color="auto"/>
        <w:right w:val="none" w:sz="0" w:space="0" w:color="auto"/>
      </w:divBdr>
      <w:divsChild>
        <w:div w:id="1973712698">
          <w:marLeft w:val="0"/>
          <w:marRight w:val="0"/>
          <w:marTop w:val="0"/>
          <w:marBottom w:val="0"/>
          <w:divBdr>
            <w:top w:val="none" w:sz="0" w:space="0" w:color="auto"/>
            <w:left w:val="none" w:sz="0" w:space="0" w:color="auto"/>
            <w:bottom w:val="none" w:sz="0" w:space="0" w:color="auto"/>
            <w:right w:val="none" w:sz="0" w:space="0" w:color="auto"/>
          </w:divBdr>
        </w:div>
        <w:div w:id="640114895">
          <w:marLeft w:val="0"/>
          <w:marRight w:val="0"/>
          <w:marTop w:val="0"/>
          <w:marBottom w:val="0"/>
          <w:divBdr>
            <w:top w:val="none" w:sz="0" w:space="0" w:color="auto"/>
            <w:left w:val="none" w:sz="0" w:space="0" w:color="auto"/>
            <w:bottom w:val="none" w:sz="0" w:space="0" w:color="auto"/>
            <w:right w:val="none" w:sz="0" w:space="0" w:color="auto"/>
          </w:divBdr>
        </w:div>
        <w:div w:id="252013947">
          <w:marLeft w:val="0"/>
          <w:marRight w:val="0"/>
          <w:marTop w:val="0"/>
          <w:marBottom w:val="0"/>
          <w:divBdr>
            <w:top w:val="none" w:sz="0" w:space="0" w:color="auto"/>
            <w:left w:val="none" w:sz="0" w:space="0" w:color="auto"/>
            <w:bottom w:val="none" w:sz="0" w:space="0" w:color="auto"/>
            <w:right w:val="none" w:sz="0" w:space="0" w:color="auto"/>
          </w:divBdr>
        </w:div>
        <w:div w:id="1472358166">
          <w:marLeft w:val="0"/>
          <w:marRight w:val="0"/>
          <w:marTop w:val="0"/>
          <w:marBottom w:val="0"/>
          <w:divBdr>
            <w:top w:val="none" w:sz="0" w:space="0" w:color="auto"/>
            <w:left w:val="none" w:sz="0" w:space="0" w:color="auto"/>
            <w:bottom w:val="none" w:sz="0" w:space="0" w:color="auto"/>
            <w:right w:val="none" w:sz="0" w:space="0" w:color="auto"/>
          </w:divBdr>
          <w:divsChild>
            <w:div w:id="1097676536">
              <w:marLeft w:val="-75"/>
              <w:marRight w:val="0"/>
              <w:marTop w:val="30"/>
              <w:marBottom w:val="30"/>
              <w:divBdr>
                <w:top w:val="none" w:sz="0" w:space="0" w:color="auto"/>
                <w:left w:val="none" w:sz="0" w:space="0" w:color="auto"/>
                <w:bottom w:val="none" w:sz="0" w:space="0" w:color="auto"/>
                <w:right w:val="none" w:sz="0" w:space="0" w:color="auto"/>
              </w:divBdr>
              <w:divsChild>
                <w:div w:id="1088190936">
                  <w:marLeft w:val="0"/>
                  <w:marRight w:val="0"/>
                  <w:marTop w:val="0"/>
                  <w:marBottom w:val="0"/>
                  <w:divBdr>
                    <w:top w:val="none" w:sz="0" w:space="0" w:color="auto"/>
                    <w:left w:val="none" w:sz="0" w:space="0" w:color="auto"/>
                    <w:bottom w:val="none" w:sz="0" w:space="0" w:color="auto"/>
                    <w:right w:val="none" w:sz="0" w:space="0" w:color="auto"/>
                  </w:divBdr>
                  <w:divsChild>
                    <w:div w:id="1115061181">
                      <w:marLeft w:val="0"/>
                      <w:marRight w:val="0"/>
                      <w:marTop w:val="0"/>
                      <w:marBottom w:val="0"/>
                      <w:divBdr>
                        <w:top w:val="none" w:sz="0" w:space="0" w:color="auto"/>
                        <w:left w:val="none" w:sz="0" w:space="0" w:color="auto"/>
                        <w:bottom w:val="none" w:sz="0" w:space="0" w:color="auto"/>
                        <w:right w:val="none" w:sz="0" w:space="0" w:color="auto"/>
                      </w:divBdr>
                    </w:div>
                  </w:divsChild>
                </w:div>
                <w:div w:id="1211722116">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
                  </w:divsChild>
                </w:div>
                <w:div w:id="904680199">
                  <w:marLeft w:val="0"/>
                  <w:marRight w:val="0"/>
                  <w:marTop w:val="0"/>
                  <w:marBottom w:val="0"/>
                  <w:divBdr>
                    <w:top w:val="none" w:sz="0" w:space="0" w:color="auto"/>
                    <w:left w:val="none" w:sz="0" w:space="0" w:color="auto"/>
                    <w:bottom w:val="none" w:sz="0" w:space="0" w:color="auto"/>
                    <w:right w:val="none" w:sz="0" w:space="0" w:color="auto"/>
                  </w:divBdr>
                  <w:divsChild>
                    <w:div w:id="1483888578">
                      <w:marLeft w:val="0"/>
                      <w:marRight w:val="0"/>
                      <w:marTop w:val="0"/>
                      <w:marBottom w:val="0"/>
                      <w:divBdr>
                        <w:top w:val="none" w:sz="0" w:space="0" w:color="auto"/>
                        <w:left w:val="none" w:sz="0" w:space="0" w:color="auto"/>
                        <w:bottom w:val="none" w:sz="0" w:space="0" w:color="auto"/>
                        <w:right w:val="none" w:sz="0" w:space="0" w:color="auto"/>
                      </w:divBdr>
                    </w:div>
                    <w:div w:id="1122261320">
                      <w:marLeft w:val="0"/>
                      <w:marRight w:val="0"/>
                      <w:marTop w:val="0"/>
                      <w:marBottom w:val="0"/>
                      <w:divBdr>
                        <w:top w:val="none" w:sz="0" w:space="0" w:color="auto"/>
                        <w:left w:val="none" w:sz="0" w:space="0" w:color="auto"/>
                        <w:bottom w:val="none" w:sz="0" w:space="0" w:color="auto"/>
                        <w:right w:val="none" w:sz="0" w:space="0" w:color="auto"/>
                      </w:divBdr>
                    </w:div>
                  </w:divsChild>
                </w:div>
                <w:div w:id="563688929">
                  <w:marLeft w:val="0"/>
                  <w:marRight w:val="0"/>
                  <w:marTop w:val="0"/>
                  <w:marBottom w:val="0"/>
                  <w:divBdr>
                    <w:top w:val="none" w:sz="0" w:space="0" w:color="auto"/>
                    <w:left w:val="none" w:sz="0" w:space="0" w:color="auto"/>
                    <w:bottom w:val="none" w:sz="0" w:space="0" w:color="auto"/>
                    <w:right w:val="none" w:sz="0" w:space="0" w:color="auto"/>
                  </w:divBdr>
                  <w:divsChild>
                    <w:div w:id="51001469">
                      <w:marLeft w:val="0"/>
                      <w:marRight w:val="0"/>
                      <w:marTop w:val="0"/>
                      <w:marBottom w:val="0"/>
                      <w:divBdr>
                        <w:top w:val="none" w:sz="0" w:space="0" w:color="auto"/>
                        <w:left w:val="none" w:sz="0" w:space="0" w:color="auto"/>
                        <w:bottom w:val="none" w:sz="0" w:space="0" w:color="auto"/>
                        <w:right w:val="none" w:sz="0" w:space="0" w:color="auto"/>
                      </w:divBdr>
                    </w:div>
                  </w:divsChild>
                </w:div>
                <w:div w:id="2046982843">
                  <w:marLeft w:val="0"/>
                  <w:marRight w:val="0"/>
                  <w:marTop w:val="0"/>
                  <w:marBottom w:val="0"/>
                  <w:divBdr>
                    <w:top w:val="none" w:sz="0" w:space="0" w:color="auto"/>
                    <w:left w:val="none" w:sz="0" w:space="0" w:color="auto"/>
                    <w:bottom w:val="none" w:sz="0" w:space="0" w:color="auto"/>
                    <w:right w:val="none" w:sz="0" w:space="0" w:color="auto"/>
                  </w:divBdr>
                  <w:divsChild>
                    <w:div w:id="2143376450">
                      <w:marLeft w:val="0"/>
                      <w:marRight w:val="0"/>
                      <w:marTop w:val="0"/>
                      <w:marBottom w:val="0"/>
                      <w:divBdr>
                        <w:top w:val="none" w:sz="0" w:space="0" w:color="auto"/>
                        <w:left w:val="none" w:sz="0" w:space="0" w:color="auto"/>
                        <w:bottom w:val="none" w:sz="0" w:space="0" w:color="auto"/>
                        <w:right w:val="none" w:sz="0" w:space="0" w:color="auto"/>
                      </w:divBdr>
                    </w:div>
                  </w:divsChild>
                </w:div>
                <w:div w:id="661663321">
                  <w:marLeft w:val="0"/>
                  <w:marRight w:val="0"/>
                  <w:marTop w:val="0"/>
                  <w:marBottom w:val="0"/>
                  <w:divBdr>
                    <w:top w:val="none" w:sz="0" w:space="0" w:color="auto"/>
                    <w:left w:val="none" w:sz="0" w:space="0" w:color="auto"/>
                    <w:bottom w:val="none" w:sz="0" w:space="0" w:color="auto"/>
                    <w:right w:val="none" w:sz="0" w:space="0" w:color="auto"/>
                  </w:divBdr>
                  <w:divsChild>
                    <w:div w:id="1378778252">
                      <w:marLeft w:val="0"/>
                      <w:marRight w:val="0"/>
                      <w:marTop w:val="0"/>
                      <w:marBottom w:val="0"/>
                      <w:divBdr>
                        <w:top w:val="none" w:sz="0" w:space="0" w:color="auto"/>
                        <w:left w:val="none" w:sz="0" w:space="0" w:color="auto"/>
                        <w:bottom w:val="none" w:sz="0" w:space="0" w:color="auto"/>
                        <w:right w:val="none" w:sz="0" w:space="0" w:color="auto"/>
                      </w:divBdr>
                    </w:div>
                  </w:divsChild>
                </w:div>
                <w:div w:id="997344798">
                  <w:marLeft w:val="0"/>
                  <w:marRight w:val="0"/>
                  <w:marTop w:val="0"/>
                  <w:marBottom w:val="0"/>
                  <w:divBdr>
                    <w:top w:val="none" w:sz="0" w:space="0" w:color="auto"/>
                    <w:left w:val="none" w:sz="0" w:space="0" w:color="auto"/>
                    <w:bottom w:val="none" w:sz="0" w:space="0" w:color="auto"/>
                    <w:right w:val="none" w:sz="0" w:space="0" w:color="auto"/>
                  </w:divBdr>
                  <w:divsChild>
                    <w:div w:id="10181560">
                      <w:marLeft w:val="0"/>
                      <w:marRight w:val="0"/>
                      <w:marTop w:val="0"/>
                      <w:marBottom w:val="0"/>
                      <w:divBdr>
                        <w:top w:val="none" w:sz="0" w:space="0" w:color="auto"/>
                        <w:left w:val="none" w:sz="0" w:space="0" w:color="auto"/>
                        <w:bottom w:val="none" w:sz="0" w:space="0" w:color="auto"/>
                        <w:right w:val="none" w:sz="0" w:space="0" w:color="auto"/>
                      </w:divBdr>
                    </w:div>
                  </w:divsChild>
                </w:div>
                <w:div w:id="1559508014">
                  <w:marLeft w:val="0"/>
                  <w:marRight w:val="0"/>
                  <w:marTop w:val="0"/>
                  <w:marBottom w:val="0"/>
                  <w:divBdr>
                    <w:top w:val="none" w:sz="0" w:space="0" w:color="auto"/>
                    <w:left w:val="none" w:sz="0" w:space="0" w:color="auto"/>
                    <w:bottom w:val="none" w:sz="0" w:space="0" w:color="auto"/>
                    <w:right w:val="none" w:sz="0" w:space="0" w:color="auto"/>
                  </w:divBdr>
                  <w:divsChild>
                    <w:div w:id="526138214">
                      <w:marLeft w:val="0"/>
                      <w:marRight w:val="0"/>
                      <w:marTop w:val="0"/>
                      <w:marBottom w:val="0"/>
                      <w:divBdr>
                        <w:top w:val="none" w:sz="0" w:space="0" w:color="auto"/>
                        <w:left w:val="none" w:sz="0" w:space="0" w:color="auto"/>
                        <w:bottom w:val="none" w:sz="0" w:space="0" w:color="auto"/>
                        <w:right w:val="none" w:sz="0" w:space="0" w:color="auto"/>
                      </w:divBdr>
                    </w:div>
                  </w:divsChild>
                </w:div>
                <w:div w:id="710227853">
                  <w:marLeft w:val="0"/>
                  <w:marRight w:val="0"/>
                  <w:marTop w:val="0"/>
                  <w:marBottom w:val="0"/>
                  <w:divBdr>
                    <w:top w:val="none" w:sz="0" w:space="0" w:color="auto"/>
                    <w:left w:val="none" w:sz="0" w:space="0" w:color="auto"/>
                    <w:bottom w:val="none" w:sz="0" w:space="0" w:color="auto"/>
                    <w:right w:val="none" w:sz="0" w:space="0" w:color="auto"/>
                  </w:divBdr>
                  <w:divsChild>
                    <w:div w:id="130753977">
                      <w:marLeft w:val="0"/>
                      <w:marRight w:val="0"/>
                      <w:marTop w:val="0"/>
                      <w:marBottom w:val="0"/>
                      <w:divBdr>
                        <w:top w:val="none" w:sz="0" w:space="0" w:color="auto"/>
                        <w:left w:val="none" w:sz="0" w:space="0" w:color="auto"/>
                        <w:bottom w:val="none" w:sz="0" w:space="0" w:color="auto"/>
                        <w:right w:val="none" w:sz="0" w:space="0" w:color="auto"/>
                      </w:divBdr>
                    </w:div>
                  </w:divsChild>
                </w:div>
                <w:div w:id="105778837">
                  <w:marLeft w:val="0"/>
                  <w:marRight w:val="0"/>
                  <w:marTop w:val="0"/>
                  <w:marBottom w:val="0"/>
                  <w:divBdr>
                    <w:top w:val="none" w:sz="0" w:space="0" w:color="auto"/>
                    <w:left w:val="none" w:sz="0" w:space="0" w:color="auto"/>
                    <w:bottom w:val="none" w:sz="0" w:space="0" w:color="auto"/>
                    <w:right w:val="none" w:sz="0" w:space="0" w:color="auto"/>
                  </w:divBdr>
                  <w:divsChild>
                    <w:div w:id="2046709359">
                      <w:marLeft w:val="0"/>
                      <w:marRight w:val="0"/>
                      <w:marTop w:val="0"/>
                      <w:marBottom w:val="0"/>
                      <w:divBdr>
                        <w:top w:val="none" w:sz="0" w:space="0" w:color="auto"/>
                        <w:left w:val="none" w:sz="0" w:space="0" w:color="auto"/>
                        <w:bottom w:val="none" w:sz="0" w:space="0" w:color="auto"/>
                        <w:right w:val="none" w:sz="0" w:space="0" w:color="auto"/>
                      </w:divBdr>
                    </w:div>
                  </w:divsChild>
                </w:div>
                <w:div w:id="195437066">
                  <w:marLeft w:val="0"/>
                  <w:marRight w:val="0"/>
                  <w:marTop w:val="0"/>
                  <w:marBottom w:val="0"/>
                  <w:divBdr>
                    <w:top w:val="none" w:sz="0" w:space="0" w:color="auto"/>
                    <w:left w:val="none" w:sz="0" w:space="0" w:color="auto"/>
                    <w:bottom w:val="none" w:sz="0" w:space="0" w:color="auto"/>
                    <w:right w:val="none" w:sz="0" w:space="0" w:color="auto"/>
                  </w:divBdr>
                  <w:divsChild>
                    <w:div w:id="789934632">
                      <w:marLeft w:val="0"/>
                      <w:marRight w:val="0"/>
                      <w:marTop w:val="0"/>
                      <w:marBottom w:val="0"/>
                      <w:divBdr>
                        <w:top w:val="none" w:sz="0" w:space="0" w:color="auto"/>
                        <w:left w:val="none" w:sz="0" w:space="0" w:color="auto"/>
                        <w:bottom w:val="none" w:sz="0" w:space="0" w:color="auto"/>
                        <w:right w:val="none" w:sz="0" w:space="0" w:color="auto"/>
                      </w:divBdr>
                    </w:div>
                  </w:divsChild>
                </w:div>
                <w:div w:id="879634278">
                  <w:marLeft w:val="0"/>
                  <w:marRight w:val="0"/>
                  <w:marTop w:val="0"/>
                  <w:marBottom w:val="0"/>
                  <w:divBdr>
                    <w:top w:val="none" w:sz="0" w:space="0" w:color="auto"/>
                    <w:left w:val="none" w:sz="0" w:space="0" w:color="auto"/>
                    <w:bottom w:val="none" w:sz="0" w:space="0" w:color="auto"/>
                    <w:right w:val="none" w:sz="0" w:space="0" w:color="auto"/>
                  </w:divBdr>
                  <w:divsChild>
                    <w:div w:id="954167372">
                      <w:marLeft w:val="0"/>
                      <w:marRight w:val="0"/>
                      <w:marTop w:val="0"/>
                      <w:marBottom w:val="0"/>
                      <w:divBdr>
                        <w:top w:val="none" w:sz="0" w:space="0" w:color="auto"/>
                        <w:left w:val="none" w:sz="0" w:space="0" w:color="auto"/>
                        <w:bottom w:val="none" w:sz="0" w:space="0" w:color="auto"/>
                        <w:right w:val="none" w:sz="0" w:space="0" w:color="auto"/>
                      </w:divBdr>
                    </w:div>
                  </w:divsChild>
                </w:div>
                <w:div w:id="194318287">
                  <w:marLeft w:val="0"/>
                  <w:marRight w:val="0"/>
                  <w:marTop w:val="0"/>
                  <w:marBottom w:val="0"/>
                  <w:divBdr>
                    <w:top w:val="none" w:sz="0" w:space="0" w:color="auto"/>
                    <w:left w:val="none" w:sz="0" w:space="0" w:color="auto"/>
                    <w:bottom w:val="none" w:sz="0" w:space="0" w:color="auto"/>
                    <w:right w:val="none" w:sz="0" w:space="0" w:color="auto"/>
                  </w:divBdr>
                  <w:divsChild>
                    <w:div w:id="34892437">
                      <w:marLeft w:val="0"/>
                      <w:marRight w:val="0"/>
                      <w:marTop w:val="0"/>
                      <w:marBottom w:val="0"/>
                      <w:divBdr>
                        <w:top w:val="none" w:sz="0" w:space="0" w:color="auto"/>
                        <w:left w:val="none" w:sz="0" w:space="0" w:color="auto"/>
                        <w:bottom w:val="none" w:sz="0" w:space="0" w:color="auto"/>
                        <w:right w:val="none" w:sz="0" w:space="0" w:color="auto"/>
                      </w:divBdr>
                    </w:div>
                  </w:divsChild>
                </w:div>
                <w:div w:id="1046298009">
                  <w:marLeft w:val="0"/>
                  <w:marRight w:val="0"/>
                  <w:marTop w:val="0"/>
                  <w:marBottom w:val="0"/>
                  <w:divBdr>
                    <w:top w:val="none" w:sz="0" w:space="0" w:color="auto"/>
                    <w:left w:val="none" w:sz="0" w:space="0" w:color="auto"/>
                    <w:bottom w:val="none" w:sz="0" w:space="0" w:color="auto"/>
                    <w:right w:val="none" w:sz="0" w:space="0" w:color="auto"/>
                  </w:divBdr>
                  <w:divsChild>
                    <w:div w:id="1760324180">
                      <w:marLeft w:val="0"/>
                      <w:marRight w:val="0"/>
                      <w:marTop w:val="0"/>
                      <w:marBottom w:val="0"/>
                      <w:divBdr>
                        <w:top w:val="none" w:sz="0" w:space="0" w:color="auto"/>
                        <w:left w:val="none" w:sz="0" w:space="0" w:color="auto"/>
                        <w:bottom w:val="none" w:sz="0" w:space="0" w:color="auto"/>
                        <w:right w:val="none" w:sz="0" w:space="0" w:color="auto"/>
                      </w:divBdr>
                    </w:div>
                  </w:divsChild>
                </w:div>
                <w:div w:id="607666331">
                  <w:marLeft w:val="0"/>
                  <w:marRight w:val="0"/>
                  <w:marTop w:val="0"/>
                  <w:marBottom w:val="0"/>
                  <w:divBdr>
                    <w:top w:val="none" w:sz="0" w:space="0" w:color="auto"/>
                    <w:left w:val="none" w:sz="0" w:space="0" w:color="auto"/>
                    <w:bottom w:val="none" w:sz="0" w:space="0" w:color="auto"/>
                    <w:right w:val="none" w:sz="0" w:space="0" w:color="auto"/>
                  </w:divBdr>
                  <w:divsChild>
                    <w:div w:id="1596397287">
                      <w:marLeft w:val="0"/>
                      <w:marRight w:val="0"/>
                      <w:marTop w:val="0"/>
                      <w:marBottom w:val="0"/>
                      <w:divBdr>
                        <w:top w:val="none" w:sz="0" w:space="0" w:color="auto"/>
                        <w:left w:val="none" w:sz="0" w:space="0" w:color="auto"/>
                        <w:bottom w:val="none" w:sz="0" w:space="0" w:color="auto"/>
                        <w:right w:val="none" w:sz="0" w:space="0" w:color="auto"/>
                      </w:divBdr>
                    </w:div>
                  </w:divsChild>
                </w:div>
                <w:div w:id="1679577287">
                  <w:marLeft w:val="0"/>
                  <w:marRight w:val="0"/>
                  <w:marTop w:val="0"/>
                  <w:marBottom w:val="0"/>
                  <w:divBdr>
                    <w:top w:val="none" w:sz="0" w:space="0" w:color="auto"/>
                    <w:left w:val="none" w:sz="0" w:space="0" w:color="auto"/>
                    <w:bottom w:val="none" w:sz="0" w:space="0" w:color="auto"/>
                    <w:right w:val="none" w:sz="0" w:space="0" w:color="auto"/>
                  </w:divBdr>
                  <w:divsChild>
                    <w:div w:id="1045716047">
                      <w:marLeft w:val="0"/>
                      <w:marRight w:val="0"/>
                      <w:marTop w:val="0"/>
                      <w:marBottom w:val="0"/>
                      <w:divBdr>
                        <w:top w:val="none" w:sz="0" w:space="0" w:color="auto"/>
                        <w:left w:val="none" w:sz="0" w:space="0" w:color="auto"/>
                        <w:bottom w:val="none" w:sz="0" w:space="0" w:color="auto"/>
                        <w:right w:val="none" w:sz="0" w:space="0" w:color="auto"/>
                      </w:divBdr>
                    </w:div>
                  </w:divsChild>
                </w:div>
                <w:div w:id="616720557">
                  <w:marLeft w:val="0"/>
                  <w:marRight w:val="0"/>
                  <w:marTop w:val="0"/>
                  <w:marBottom w:val="0"/>
                  <w:divBdr>
                    <w:top w:val="none" w:sz="0" w:space="0" w:color="auto"/>
                    <w:left w:val="none" w:sz="0" w:space="0" w:color="auto"/>
                    <w:bottom w:val="none" w:sz="0" w:space="0" w:color="auto"/>
                    <w:right w:val="none" w:sz="0" w:space="0" w:color="auto"/>
                  </w:divBdr>
                  <w:divsChild>
                    <w:div w:id="777061050">
                      <w:marLeft w:val="0"/>
                      <w:marRight w:val="0"/>
                      <w:marTop w:val="0"/>
                      <w:marBottom w:val="0"/>
                      <w:divBdr>
                        <w:top w:val="none" w:sz="0" w:space="0" w:color="auto"/>
                        <w:left w:val="none" w:sz="0" w:space="0" w:color="auto"/>
                        <w:bottom w:val="none" w:sz="0" w:space="0" w:color="auto"/>
                        <w:right w:val="none" w:sz="0" w:space="0" w:color="auto"/>
                      </w:divBdr>
                    </w:div>
                  </w:divsChild>
                </w:div>
                <w:div w:id="1038235789">
                  <w:marLeft w:val="0"/>
                  <w:marRight w:val="0"/>
                  <w:marTop w:val="0"/>
                  <w:marBottom w:val="0"/>
                  <w:divBdr>
                    <w:top w:val="none" w:sz="0" w:space="0" w:color="auto"/>
                    <w:left w:val="none" w:sz="0" w:space="0" w:color="auto"/>
                    <w:bottom w:val="none" w:sz="0" w:space="0" w:color="auto"/>
                    <w:right w:val="none" w:sz="0" w:space="0" w:color="auto"/>
                  </w:divBdr>
                  <w:divsChild>
                    <w:div w:id="11749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293">
          <w:marLeft w:val="0"/>
          <w:marRight w:val="0"/>
          <w:marTop w:val="0"/>
          <w:marBottom w:val="0"/>
          <w:divBdr>
            <w:top w:val="none" w:sz="0" w:space="0" w:color="auto"/>
            <w:left w:val="none" w:sz="0" w:space="0" w:color="auto"/>
            <w:bottom w:val="none" w:sz="0" w:space="0" w:color="auto"/>
            <w:right w:val="none" w:sz="0" w:space="0" w:color="auto"/>
          </w:divBdr>
        </w:div>
      </w:divsChild>
    </w:div>
    <w:div w:id="1751388732">
      <w:bodyDiv w:val="1"/>
      <w:marLeft w:val="0"/>
      <w:marRight w:val="0"/>
      <w:marTop w:val="0"/>
      <w:marBottom w:val="0"/>
      <w:divBdr>
        <w:top w:val="none" w:sz="0" w:space="0" w:color="auto"/>
        <w:left w:val="none" w:sz="0" w:space="0" w:color="auto"/>
        <w:bottom w:val="none" w:sz="0" w:space="0" w:color="auto"/>
        <w:right w:val="none" w:sz="0" w:space="0" w:color="auto"/>
      </w:divBdr>
    </w:div>
    <w:div w:id="2105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dmc.org/centers-and-departments/gender-affirming-services" TargetMode="External"/><Relationship Id="rId18" Type="http://schemas.openxmlformats.org/officeDocument/2006/relationships/hyperlink" Target="https://www.bmc.org/transgender-child-adolescent-center" TargetMode="External"/><Relationship Id="rId26" Type="http://schemas.openxmlformats.org/officeDocument/2006/relationships/hyperlink" Target="https://www.lahey.org/lhmc/department/transgender-medicine/" TargetMode="External"/><Relationship Id="rId3" Type="http://schemas.openxmlformats.org/officeDocument/2006/relationships/customXml" Target="../customXml/item3.xml"/><Relationship Id="rId21" Type="http://schemas.openxmlformats.org/officeDocument/2006/relationships/hyperlink" Target="https://www.cooleydickinson.org/about-us/commitment-to-community/lgbtq-car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aystatehealth.org/services/transgender-services" TargetMode="External"/><Relationship Id="rId17" Type="http://schemas.openxmlformats.org/officeDocument/2006/relationships/hyperlink" Target="http://www.childrenshospital.org/centers-and-services/programs/a-_-e/disorders-of-sexual-development-dsd-and-gender-management-service-program" TargetMode="External"/><Relationship Id="rId25" Type="http://schemas.openxmlformats.org/officeDocument/2006/relationships/hyperlink" Target="https://glfhc.org/transgender-car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hildrenshospital.org/gendersurgery" TargetMode="External"/><Relationship Id="rId20" Type="http://schemas.openxmlformats.org/officeDocument/2006/relationships/hyperlink" Target="https://www.brighamandwomens.org/medicine/endocrinology-diabetes-and-hypertension/transgender-program" TargetMode="External"/><Relationship Id="rId29" Type="http://schemas.openxmlformats.org/officeDocument/2006/relationships/hyperlink" Target="https://www.massgeneral.org/transgenderhealth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H.Licensing@massmail.state.ma.us" TargetMode="External"/><Relationship Id="rId24" Type="http://schemas.openxmlformats.org/officeDocument/2006/relationships/hyperlink" Target="https://fenwayhealth.org/care/medical/transgender-health/"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dmc.org/centers-and-departments/plastic-and-reconstructive-surgery" TargetMode="External"/><Relationship Id="rId23" Type="http://schemas.openxmlformats.org/officeDocument/2006/relationships/hyperlink" Target="https://www.corephysicians.org/Services/Other-Services/LGBTQ-Health" TargetMode="External"/><Relationship Id="rId28" Type="http://schemas.openxmlformats.org/officeDocument/2006/relationships/hyperlink" Target="https://www.lifespan.org/centers-services/gender-and-sexual-health-services/gender-and-sexual-health-servic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mc.org/center-transgender-medicine-and-surgery" TargetMode="External"/><Relationship Id="rId31" Type="http://schemas.openxmlformats.org/officeDocument/2006/relationships/hyperlink" Target="http://www.vtgy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dmc.org/centers-and-departments/obstetrics-and-gynecology/programs-and-services/gynecology" TargetMode="External"/><Relationship Id="rId22" Type="http://schemas.openxmlformats.org/officeDocument/2006/relationships/hyperlink" Target="https://fenwayhealth.org/info/locations/the-borum/" TargetMode="External"/><Relationship Id="rId27" Type="http://schemas.openxmlformats.org/officeDocument/2006/relationships/hyperlink" Target="https://www.lifespan.org/centers-services/adult-transgender-and-sexuality-behavioral-health-program" TargetMode="External"/><Relationship Id="rId30" Type="http://schemas.openxmlformats.org/officeDocument/2006/relationships/hyperlink" Target="https://mainehealth.org/barbara-bush-childrens-hospital/services/the-gender-clinic"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samhsa.gov/programs-campaigns/medication-assisted-treatment/training-materials-resources/buprenorphine-waiver" TargetMode="External"/><Relationship Id="rId1" Type="http://schemas.openxmlformats.org/officeDocument/2006/relationships/hyperlink" Target="https://www.deadiversion.usdoj.gov/21cfr/cfr/1306/1306_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422F9-14FF-43C0-A07A-473A094A6B85}">
  <ds:schemaRefs>
    <ds:schemaRef ds:uri="http://schemas.microsoft.com/sharepoint/v3/contenttype/forms"/>
  </ds:schemaRefs>
</ds:datastoreItem>
</file>

<file path=customXml/itemProps2.xml><?xml version="1.0" encoding="utf-8"?>
<ds:datastoreItem xmlns:ds="http://schemas.openxmlformats.org/officeDocument/2006/customXml" ds:itemID="{22BA2F2E-83C6-4072-A9E8-C625CC73EC77}">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3E956D86-09C3-4992-877E-731B7CFE66D0}">
  <ds:schemaRefs>
    <ds:schemaRef ds:uri="http://schemas.openxmlformats.org/officeDocument/2006/bibliography"/>
  </ds:schemaRefs>
</ds:datastoreItem>
</file>

<file path=customXml/itemProps4.xml><?xml version="1.0" encoding="utf-8"?>
<ds:datastoreItem xmlns:ds="http://schemas.openxmlformats.org/officeDocument/2006/customXml" ds:itemID="{780E1240-FD2D-4B8F-B09C-2E8AFC5D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4161</Words>
  <Characters>26134</Characters>
  <Application>Microsoft Office Word</Application>
  <DocSecurity>0</DocSecurity>
  <Lines>706</Lines>
  <Paragraphs>409</Paragraphs>
  <ScaleCrop>false</ScaleCrop>
  <Company>Commonwealth of MA</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Name:</dc:title>
  <dc:subject/>
  <dc:creator>Department Of Mental Health</dc:creator>
  <cp:keywords>Common</cp:keywords>
  <cp:lastModifiedBy>Lam, Vivian (EHS)</cp:lastModifiedBy>
  <cp:revision>12</cp:revision>
  <cp:lastPrinted>2010-01-13T19:12:00Z</cp:lastPrinted>
  <dcterms:created xsi:type="dcterms:W3CDTF">2023-09-05T14:41:00Z</dcterms:created>
  <dcterms:modified xsi:type="dcterms:W3CDTF">2023-11-30T16:19:00Z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2023-08-30T19:49:39Z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4bceeac4-0d37-4553-b80d-70eb4be15394</vt:lpwstr>
  </property>
  <property fmtid="{D5CDD505-2E9C-101B-9397-08002B2CF9AE}" pid="10" name="MSIP_Label_ea60d57e-af5b-4752-ac57-3e4f28ca11dc_ContentBits">
    <vt:lpwstr>0</vt:lpwstr>
  </property>
</Properties>
</file>