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05CA" w14:textId="77777777" w:rsidR="000E1F39" w:rsidRDefault="00B318E6" w:rsidP="00D45548">
      <w:pPr>
        <w:rPr>
          <w:sz w:val="20"/>
          <w:szCs w:val="20"/>
        </w:rPr>
      </w:pPr>
      <w:r>
        <w:rPr>
          <w:noProof/>
          <w:lang w:val="en-US"/>
        </w:rPr>
        <w:drawing>
          <wp:inline distT="0" distB="0" distL="0" distR="0" wp14:anchorId="67890381" wp14:editId="5EC9E3DD">
            <wp:extent cx="6477000" cy="1827806"/>
            <wp:effectExtent l="0" t="0" r="0" b="1270"/>
            <wp:docPr id="27" name="Picture 27" title="OSD Letterhe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SD Letterhead 1-07 Jay Gonzalez Colorized Supplier Diversity"/>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497636" cy="1833629"/>
                    </a:xfrm>
                    <a:prstGeom prst="rect">
                      <a:avLst/>
                    </a:prstGeom>
                    <a:noFill/>
                    <a:ln w="9525">
                      <a:noFill/>
                      <a:miter lim="800000"/>
                      <a:headEnd/>
                      <a:tailEnd/>
                    </a:ln>
                  </pic:spPr>
                </pic:pic>
              </a:graphicData>
            </a:graphic>
          </wp:inline>
        </w:drawing>
      </w:r>
    </w:p>
    <w:p w14:paraId="6526F7CA" w14:textId="77777777" w:rsidR="000E1F39" w:rsidRPr="008D6F39" w:rsidRDefault="008C71E1" w:rsidP="00ED0952">
      <w:pPr>
        <w:rPr>
          <w:sz w:val="20"/>
          <w:szCs w:val="20"/>
        </w:rPr>
      </w:pPr>
      <w:r>
        <w:rPr>
          <w:sz w:val="20"/>
          <w:szCs w:val="20"/>
        </w:rPr>
        <w:t>December 4, 2014</w:t>
      </w:r>
      <w:r w:rsidR="000E1F39" w:rsidRPr="008D6F39">
        <w:rPr>
          <w:sz w:val="20"/>
          <w:szCs w:val="20"/>
        </w:rPr>
        <w:t xml:space="preserve">, </w:t>
      </w:r>
    </w:p>
    <w:p w14:paraId="22FCDF52" w14:textId="77777777" w:rsidR="005D7025" w:rsidRPr="008D6F39" w:rsidRDefault="005D7025" w:rsidP="00ED0952">
      <w:pPr>
        <w:rPr>
          <w:sz w:val="20"/>
          <w:szCs w:val="20"/>
        </w:rPr>
      </w:pPr>
    </w:p>
    <w:p w14:paraId="5A100595" w14:textId="77777777" w:rsidR="000E1F39" w:rsidRPr="005738B4" w:rsidRDefault="000E1F39" w:rsidP="00352A9A">
      <w:pPr>
        <w:jc w:val="both"/>
      </w:pPr>
      <w:r w:rsidRPr="005738B4">
        <w:t xml:space="preserve">Dear Members of the General Court, Cabinet Secretaries, Agency Heads, </w:t>
      </w:r>
    </w:p>
    <w:p w14:paraId="33B31932" w14:textId="77777777" w:rsidR="000E1F39" w:rsidRPr="005738B4" w:rsidRDefault="000E1F39" w:rsidP="00352A9A">
      <w:pPr>
        <w:jc w:val="both"/>
      </w:pPr>
      <w:r w:rsidRPr="005738B4">
        <w:t>Secretariat and Agency Supp</w:t>
      </w:r>
      <w:r w:rsidR="005D7025" w:rsidRPr="005738B4">
        <w:t>lier Diversity Program Officers</w:t>
      </w:r>
      <w:r w:rsidRPr="005738B4">
        <w:t>:</w:t>
      </w:r>
    </w:p>
    <w:p w14:paraId="78DA5480" w14:textId="77777777" w:rsidR="000E1F39" w:rsidRPr="005738B4" w:rsidRDefault="000E1F39" w:rsidP="00ED0952">
      <w:pPr>
        <w:jc w:val="both"/>
      </w:pPr>
      <w:r w:rsidRPr="005738B4">
        <w:t>It is with great pleasure that I present to you the Operational Services Division’s (OSD), Supplier Diversity Office (SDO) FY201</w:t>
      </w:r>
      <w:r w:rsidR="00D4163E" w:rsidRPr="005738B4">
        <w:t>4</w:t>
      </w:r>
      <w:r w:rsidRPr="005738B4">
        <w:t xml:space="preserve"> Annual Report.  This is the </w:t>
      </w:r>
      <w:r w:rsidR="00D4163E" w:rsidRPr="005738B4">
        <w:t xml:space="preserve">third </w:t>
      </w:r>
      <w:r w:rsidRPr="005738B4">
        <w:t>successive year that we combine our reporting for the Supplier Diversity Office and all of its programs including: the Supplier Diversity Program (SDP), and the Small Business Purchasing Program (SBPP) into one report.  This is a comprehensive Annual Report for all programs under the Supplier Diversity Office for FY201</w:t>
      </w:r>
      <w:r w:rsidR="00D4163E" w:rsidRPr="005738B4">
        <w:t>4</w:t>
      </w:r>
      <w:r w:rsidRPr="005738B4">
        <w:t>.</w:t>
      </w:r>
    </w:p>
    <w:p w14:paraId="6AE89B53" w14:textId="77777777" w:rsidR="005D7025" w:rsidRPr="005738B4" w:rsidRDefault="005D7025" w:rsidP="00352A9A">
      <w:pPr>
        <w:jc w:val="both"/>
      </w:pPr>
      <w:r w:rsidRPr="005738B4">
        <w:t xml:space="preserve">There are approximately 2700 certified firms with a gross revenue of $13.3 Billion that hire over 60,000 employees. Women and Minority owned firms are a major contributor to the Massachusetts economy. We are proud that SDO continues on a positive trend and acknowledge that more needs to be done.  </w:t>
      </w:r>
    </w:p>
    <w:p w14:paraId="789B9D7C" w14:textId="77777777" w:rsidR="000E1F39" w:rsidRPr="005738B4" w:rsidRDefault="000E1F39" w:rsidP="00352A9A">
      <w:pPr>
        <w:jc w:val="both"/>
      </w:pPr>
      <w:r w:rsidRPr="005738B4">
        <w:t xml:space="preserve">Access and opportunity in state procurement is one of the prime objectives of the Patrick Administration that is changing how government does business with Minority, Women, and Disadvantaged Business owned firms, as well as Massachusetts Small Businesses.  This report highlights the offices’ accomplishments in promoting the advancement of Minority and Women Business Enterprises (M/WBE’s) for profit and not-for-profit enterprises in our program, as well as Small Businesses in public contracting.  This report also includes our Performance Management efforts over the past fiscal year and demonstrates how SDO continues to build upon the objective of informing the businesses we serve of the opportunities within the Commonwealth for Minority, Women, and </w:t>
      </w:r>
      <w:r w:rsidR="005D7025" w:rsidRPr="005738B4">
        <w:t>Disadvantaged owned firms, and S</w:t>
      </w:r>
      <w:r w:rsidRPr="005738B4">
        <w:t xml:space="preserve">mall </w:t>
      </w:r>
      <w:r w:rsidR="005D7025" w:rsidRPr="005738B4">
        <w:t>B</w:t>
      </w:r>
      <w:r w:rsidRPr="005738B4">
        <w:t>usinesses.</w:t>
      </w:r>
    </w:p>
    <w:p w14:paraId="04F59244" w14:textId="77777777" w:rsidR="000E1F39" w:rsidRPr="005738B4" w:rsidRDefault="000E1F39" w:rsidP="00ED0952">
      <w:pPr>
        <w:jc w:val="both"/>
      </w:pPr>
      <w:r w:rsidRPr="005738B4">
        <w:t>The Supplier Diversity Office is pleased to announce that $</w:t>
      </w:r>
      <w:r w:rsidR="00070BE8" w:rsidRPr="005738B4">
        <w:t>991,590,145</w:t>
      </w:r>
      <w:r w:rsidR="00AF7352" w:rsidRPr="003F28BC">
        <w:t xml:space="preserve"> </w:t>
      </w:r>
      <w:r w:rsidRPr="005738B4">
        <w:t xml:space="preserve">in total combined </w:t>
      </w:r>
      <w:r w:rsidR="005D7025" w:rsidRPr="005738B4">
        <w:t xml:space="preserve">Commonwealth </w:t>
      </w:r>
      <w:r w:rsidRPr="005738B4">
        <w:t>spending was accomplished through the Supplier Diversity Office in FY201</w:t>
      </w:r>
      <w:r w:rsidR="00AF7352" w:rsidRPr="005738B4">
        <w:t>4</w:t>
      </w:r>
      <w:r w:rsidRPr="005738B4">
        <w:t>, with MBEs, WBEs, SBPP participants, through the Goods and Services and Construction Reform programs.  This includes $</w:t>
      </w:r>
      <w:r w:rsidR="00AF7352" w:rsidRPr="005738B4">
        <w:t>247,150,817</w:t>
      </w:r>
      <w:r w:rsidR="00AF7352" w:rsidRPr="003F28BC">
        <w:t xml:space="preserve"> </w:t>
      </w:r>
      <w:r w:rsidR="00070BE8" w:rsidRPr="003F28BC">
        <w:t xml:space="preserve">(6.19%) </w:t>
      </w:r>
      <w:r w:rsidRPr="005738B4">
        <w:t>with Minority Business Enterprise (MBE), $</w:t>
      </w:r>
      <w:r w:rsidR="00AF7352" w:rsidRPr="005738B4">
        <w:t>574,818,148</w:t>
      </w:r>
      <w:r w:rsidR="00AF7352" w:rsidRPr="003F28BC">
        <w:t xml:space="preserve"> </w:t>
      </w:r>
      <w:r w:rsidR="00070BE8" w:rsidRPr="003F28BC">
        <w:t>(14</w:t>
      </w:r>
      <w:r w:rsidR="00070BE8" w:rsidRPr="005738B4">
        <w:t xml:space="preserve">.40%) </w:t>
      </w:r>
      <w:r w:rsidRPr="005738B4">
        <w:t xml:space="preserve">with Women Business Enterprise (WBE), </w:t>
      </w:r>
      <w:r w:rsidR="00AF7352" w:rsidRPr="005738B4">
        <w:t>$140,946,043</w:t>
      </w:r>
      <w:r w:rsidR="00AF7352" w:rsidRPr="003F28BC">
        <w:t xml:space="preserve"> </w:t>
      </w:r>
      <w:r w:rsidRPr="005738B4">
        <w:t xml:space="preserve">with </w:t>
      </w:r>
      <w:r w:rsidR="00070BE8" w:rsidRPr="005738B4">
        <w:t xml:space="preserve">the </w:t>
      </w:r>
      <w:r w:rsidRPr="005738B4">
        <w:t>Small Business Purchasing Program (SBPP) participants</w:t>
      </w:r>
      <w:r w:rsidR="00070BE8" w:rsidRPr="005738B4">
        <w:t xml:space="preserve"> and $16,263,222 (6.3%) for MBE’s in direct construction related con</w:t>
      </w:r>
      <w:r w:rsidR="00C93F4E">
        <w:t>tracts and $12,411,914 (4.8%) for</w:t>
      </w:r>
      <w:r w:rsidR="00070BE8" w:rsidRPr="005738B4">
        <w:t xml:space="preserve"> WBE</w:t>
      </w:r>
      <w:r w:rsidR="00C93F4E">
        <w:t>s</w:t>
      </w:r>
      <w:r w:rsidR="00070BE8" w:rsidRPr="005738B4">
        <w:t xml:space="preserve"> in direct construction related contracts.</w:t>
      </w:r>
    </w:p>
    <w:p w14:paraId="5BF8E3B0" w14:textId="77777777" w:rsidR="003F28BC" w:rsidRDefault="003F28BC" w:rsidP="00352A9A">
      <w:pPr>
        <w:jc w:val="both"/>
      </w:pPr>
    </w:p>
    <w:p w14:paraId="7643BE7C" w14:textId="77777777" w:rsidR="000E1F39" w:rsidRPr="005738B4" w:rsidRDefault="000E1F39" w:rsidP="00352A9A">
      <w:pPr>
        <w:jc w:val="both"/>
      </w:pPr>
      <w:r w:rsidRPr="005738B4">
        <w:t>It is good business to diversify who the Commonwealth does business with and it is important that as many businesses as possible in Massachusetts have an equal opportunity to contract with state government.  This is the new Massachusetts, moving in a direction of inclusion and transparency as we continue into the new millennium.  Congratulations to the Supplier Diversity Office staff on a job well done</w:t>
      </w:r>
      <w:r w:rsidR="00352A9A">
        <w:t>,</w:t>
      </w:r>
      <w:r w:rsidRPr="005738B4">
        <w:t xml:space="preserve"> and </w:t>
      </w:r>
      <w:r w:rsidR="00352A9A">
        <w:t>c</w:t>
      </w:r>
      <w:r w:rsidRPr="005738B4">
        <w:t xml:space="preserve">ongratulations to all of the SDO Certified firms and businesses on their success in contracting with the </w:t>
      </w:r>
      <w:r w:rsidR="00352A9A">
        <w:t>C</w:t>
      </w:r>
      <w:r w:rsidR="00352A9A" w:rsidRPr="005738B4">
        <w:t>ommonwealth</w:t>
      </w:r>
      <w:r w:rsidRPr="005738B4">
        <w:t>.</w:t>
      </w:r>
    </w:p>
    <w:p w14:paraId="1FEF9C4D" w14:textId="77777777" w:rsidR="000E1F39" w:rsidRPr="005738B4" w:rsidRDefault="000E1F39" w:rsidP="00352A9A">
      <w:pPr>
        <w:jc w:val="both"/>
      </w:pPr>
      <w:r w:rsidRPr="005738B4">
        <w:t>Sincerely,</w:t>
      </w:r>
    </w:p>
    <w:p w14:paraId="464BF630" w14:textId="77777777" w:rsidR="000E1F39" w:rsidRPr="005738B4" w:rsidRDefault="000E1F39" w:rsidP="00352A9A">
      <w:pPr>
        <w:jc w:val="both"/>
      </w:pPr>
      <w:r w:rsidRPr="005738B4">
        <w:rPr>
          <w:noProof/>
          <w:lang w:val="en-US"/>
        </w:rPr>
        <w:drawing>
          <wp:inline distT="0" distB="0" distL="0" distR="0" wp14:anchorId="6BF5565F" wp14:editId="3DFF5E64">
            <wp:extent cx="1857375" cy="523875"/>
            <wp:effectExtent l="0" t="0" r="9525" b="9525"/>
            <wp:docPr id="33" name="Picture 33" title="signature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gieNunnall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7052" cy="523784"/>
                    </a:xfrm>
                    <a:prstGeom prst="rect">
                      <a:avLst/>
                    </a:prstGeom>
                  </pic:spPr>
                </pic:pic>
              </a:graphicData>
            </a:graphic>
          </wp:inline>
        </w:drawing>
      </w:r>
    </w:p>
    <w:p w14:paraId="6B305C76" w14:textId="77777777" w:rsidR="00352A9A" w:rsidRDefault="000E1F39" w:rsidP="00352A9A">
      <w:r w:rsidRPr="005738B4">
        <w:t>Reginald A. Nunnally</w:t>
      </w:r>
    </w:p>
    <w:p w14:paraId="39581095" w14:textId="77777777" w:rsidR="000E1F39" w:rsidRPr="005738B4" w:rsidRDefault="000E1F39" w:rsidP="00352A9A">
      <w:r w:rsidRPr="005738B4">
        <w:t>Executive Director</w:t>
      </w:r>
    </w:p>
    <w:p w14:paraId="0280E565" w14:textId="77777777" w:rsidR="000E1F39" w:rsidRPr="005738B4" w:rsidRDefault="000E1F39" w:rsidP="00352A9A">
      <w:r w:rsidRPr="005738B4">
        <w:t>Supplier Diversity Office</w:t>
      </w:r>
    </w:p>
    <w:p w14:paraId="25ED0F30" w14:textId="77777777" w:rsidR="000E1F39" w:rsidRDefault="000E1F39" w:rsidP="00D45548"/>
    <w:p w14:paraId="126C6076" w14:textId="77777777" w:rsidR="003F28BC" w:rsidRDefault="003F28BC">
      <w:r>
        <w:br w:type="page"/>
      </w:r>
    </w:p>
    <w:p w14:paraId="62BD45F0" w14:textId="77777777" w:rsidR="00306B53" w:rsidRDefault="00306B53" w:rsidP="00852854">
      <w:pPr>
        <w:spacing w:after="1080"/>
      </w:pPr>
    </w:p>
    <w:p w14:paraId="1230F570" w14:textId="77777777" w:rsidR="00207869" w:rsidRPr="007713C1" w:rsidRDefault="00E2422D" w:rsidP="00D45548">
      <w:pPr>
        <w:pStyle w:val="ListParagraph"/>
        <w:rPr>
          <w:color w:val="000000" w:themeColor="text1"/>
          <w:kern w:val="24"/>
          <w:sz w:val="40"/>
          <w:szCs w:val="40"/>
        </w:rPr>
      </w:pPr>
      <w:r w:rsidRPr="007713C1">
        <w:rPr>
          <w:b/>
        </w:rPr>
        <w:t>Supplier Diversity Office</w:t>
      </w:r>
      <w:r w:rsidRPr="007713C1">
        <w:rPr>
          <w:b/>
        </w:rPr>
        <w:br/>
      </w:r>
      <w:r w:rsidRPr="007713C1">
        <w:t>Comprehensive Annual Report</w:t>
      </w:r>
      <w:r w:rsidRPr="007713C1">
        <w:br/>
      </w:r>
      <w:r w:rsidR="002A116E" w:rsidRPr="007713C1">
        <w:t>FY201</w:t>
      </w:r>
      <w:r w:rsidR="00E03476">
        <w:t>4</w:t>
      </w:r>
      <w:r w:rsidRPr="007713C1">
        <w:br/>
      </w:r>
    </w:p>
    <w:p w14:paraId="7B4476B7" w14:textId="77777777" w:rsidR="00207869" w:rsidRPr="007713C1" w:rsidRDefault="00207869" w:rsidP="00D45548">
      <w:pPr>
        <w:pStyle w:val="ListParagraph"/>
      </w:pPr>
      <w:r w:rsidRPr="007713C1">
        <w:t xml:space="preserve">Commonwealth of Massachusetts </w:t>
      </w:r>
    </w:p>
    <w:p w14:paraId="0C8B510E" w14:textId="77777777" w:rsidR="00207869" w:rsidRPr="007713C1" w:rsidRDefault="00207869" w:rsidP="00D45548">
      <w:pPr>
        <w:pStyle w:val="ListParagraph"/>
      </w:pPr>
      <w:r w:rsidRPr="007713C1">
        <w:t>Operational Services Division</w:t>
      </w:r>
    </w:p>
    <w:p w14:paraId="57B14241" w14:textId="77777777" w:rsidR="00207869" w:rsidRDefault="00207869" w:rsidP="00852854">
      <w:pPr>
        <w:pStyle w:val="ListParagraph"/>
        <w:spacing w:after="1080"/>
      </w:pPr>
    </w:p>
    <w:p w14:paraId="46478BFC" w14:textId="77777777" w:rsidR="00306B53" w:rsidRDefault="00306B53" w:rsidP="00852854">
      <w:pPr>
        <w:pStyle w:val="ListParagraph"/>
        <w:spacing w:after="1080"/>
      </w:pPr>
    </w:p>
    <w:p w14:paraId="41D20A41" w14:textId="77777777" w:rsidR="00852854" w:rsidRDefault="00E2422D" w:rsidP="00D45548">
      <w:pPr>
        <w:pStyle w:val="Subtitle"/>
      </w:pPr>
      <w:r w:rsidRPr="007713C1">
        <w:rPr>
          <w:noProof/>
          <w:lang w:val="en-US"/>
        </w:rPr>
        <w:drawing>
          <wp:inline distT="0" distB="0" distL="0" distR="0" wp14:anchorId="08D5011E" wp14:editId="6E9886C1">
            <wp:extent cx="4653927" cy="2543175"/>
            <wp:effectExtent l="0" t="0" r="0" b="0"/>
            <wp:docPr id="5" name="Picture 5" title="Logo for Supplier Diveristy Office, Operational Service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8632" cy="2545746"/>
                    </a:xfrm>
                    <a:prstGeom prst="rect">
                      <a:avLst/>
                    </a:prstGeom>
                    <a:noFill/>
                    <a:ln>
                      <a:noFill/>
                    </a:ln>
                  </pic:spPr>
                </pic:pic>
              </a:graphicData>
            </a:graphic>
          </wp:inline>
        </w:drawing>
      </w:r>
      <w:r w:rsidRPr="00EC1CE5">
        <w:tab/>
      </w:r>
    </w:p>
    <w:p w14:paraId="31E032EF" w14:textId="77777777" w:rsidR="00E03476" w:rsidRDefault="00E03476" w:rsidP="00852854">
      <w:pPr>
        <w:pStyle w:val="Subtitle"/>
      </w:pPr>
    </w:p>
    <w:p w14:paraId="010ED411" w14:textId="77777777" w:rsidR="00306B53" w:rsidRDefault="00E2422D" w:rsidP="00852854">
      <w:pPr>
        <w:pStyle w:val="Subtitle"/>
      </w:pPr>
      <w:r w:rsidRPr="00EC1CE5">
        <w:t xml:space="preserve"> </w:t>
      </w:r>
      <w:bookmarkStart w:id="0" w:name="_Toc339963464"/>
    </w:p>
    <w:p w14:paraId="30EA5077" w14:textId="77777777" w:rsidR="003F28BC" w:rsidRDefault="003F28BC" w:rsidP="00852854">
      <w:pPr>
        <w:pStyle w:val="Heading4"/>
        <w:spacing w:after="200"/>
      </w:pPr>
    </w:p>
    <w:p w14:paraId="281DB93A" w14:textId="77777777" w:rsidR="00E2422D" w:rsidRPr="00306B53" w:rsidRDefault="00E2422D" w:rsidP="00852854">
      <w:pPr>
        <w:pStyle w:val="Heading4"/>
        <w:spacing w:after="200"/>
      </w:pPr>
      <w:r w:rsidRPr="00306B53">
        <w:t>Executive Summary</w:t>
      </w:r>
      <w:bookmarkEnd w:id="0"/>
    </w:p>
    <w:p w14:paraId="1757BCCD" w14:textId="77777777" w:rsidR="00FC73BA" w:rsidRPr="00A0225C" w:rsidRDefault="00651170" w:rsidP="0081468D">
      <w:pPr>
        <w:jc w:val="both"/>
        <w:rPr>
          <w:b/>
          <w:bCs/>
        </w:rPr>
      </w:pPr>
      <w:r w:rsidRPr="00A0225C">
        <w:t xml:space="preserve">In </w:t>
      </w:r>
      <w:r w:rsidR="00104FD8" w:rsidRPr="00A0225C">
        <w:t>FY201</w:t>
      </w:r>
      <w:r w:rsidR="00104FD8">
        <w:t>4</w:t>
      </w:r>
      <w:r w:rsidRPr="00A0225C">
        <w:t xml:space="preserve">, the Operational Services Division’s (OSD) Supplier Diversity Office (SDO) had a tremendous year. </w:t>
      </w:r>
      <w:r w:rsidR="00FC73BA" w:rsidRPr="00A0225C">
        <w:t xml:space="preserve">We started the year as the proud recipient of the </w:t>
      </w:r>
      <w:r w:rsidR="00FC73BA" w:rsidRPr="007713C1">
        <w:rPr>
          <w:bCs/>
        </w:rPr>
        <w:t xml:space="preserve">“Pinnacle Award for Excellence” </w:t>
      </w:r>
      <w:r w:rsidR="00FC73BA" w:rsidRPr="007713C1">
        <w:t xml:space="preserve">presented by the </w:t>
      </w:r>
      <w:r w:rsidR="00FC73BA" w:rsidRPr="007713C1">
        <w:rPr>
          <w:bCs/>
        </w:rPr>
        <w:t>New England Area Conference of the NAACP at its One Hundred Year Dinner Award Celebration.</w:t>
      </w:r>
      <w:r w:rsidR="00FC73BA" w:rsidRPr="00A0225C">
        <w:rPr>
          <w:b/>
          <w:bCs/>
        </w:rPr>
        <w:t xml:space="preserve"> </w:t>
      </w:r>
    </w:p>
    <w:p w14:paraId="1BF2D4B0" w14:textId="77777777" w:rsidR="00352A9A" w:rsidRDefault="00651170" w:rsidP="00ED0952">
      <w:pPr>
        <w:jc w:val="both"/>
      </w:pPr>
      <w:r w:rsidRPr="00A0225C">
        <w:t xml:space="preserve">Certified minority, women owned, </w:t>
      </w:r>
      <w:r w:rsidR="00FC73BA" w:rsidRPr="00A0225C">
        <w:t xml:space="preserve">and </w:t>
      </w:r>
      <w:r w:rsidRPr="00A0225C">
        <w:t>registered small businesses received</w:t>
      </w:r>
      <w:r w:rsidR="005D7025">
        <w:t xml:space="preserve"> $</w:t>
      </w:r>
      <w:r w:rsidR="00070BE8">
        <w:rPr>
          <w:b/>
          <w:szCs w:val="22"/>
        </w:rPr>
        <w:t>991,590,145</w:t>
      </w:r>
      <w:r w:rsidR="00040C17">
        <w:rPr>
          <w:szCs w:val="22"/>
        </w:rPr>
        <w:t xml:space="preserve"> </w:t>
      </w:r>
      <w:r w:rsidRPr="00A0225C">
        <w:t>in business with the Commonwealth: $</w:t>
      </w:r>
      <w:r w:rsidR="00040C17">
        <w:rPr>
          <w:szCs w:val="22"/>
        </w:rPr>
        <w:t xml:space="preserve">247,150,819 </w:t>
      </w:r>
      <w:r w:rsidRPr="00A0225C">
        <w:t>with Minority Business Enterprises (MBE), $</w:t>
      </w:r>
      <w:r w:rsidR="00040C17">
        <w:rPr>
          <w:szCs w:val="22"/>
        </w:rPr>
        <w:t xml:space="preserve">574,818,148 </w:t>
      </w:r>
      <w:r w:rsidRPr="00A0225C">
        <w:t>with Women Business Enterprises (WBE), $</w:t>
      </w:r>
      <w:r w:rsidR="00040C17">
        <w:rPr>
          <w:szCs w:val="22"/>
        </w:rPr>
        <w:t>140,946,043</w:t>
      </w:r>
      <w:r w:rsidRPr="00A0225C">
        <w:t xml:space="preserve"> with Small Business Purchasing Program (SBPP) participants, </w:t>
      </w:r>
      <w:r w:rsidR="00070BE8" w:rsidRPr="005738B4">
        <w:t xml:space="preserve">and $16,263,222 (6.3%) for MBE’s in direct construction related contracts and $12,411,914 (4.8%) </w:t>
      </w:r>
      <w:r w:rsidR="00C93F4E">
        <w:t>for</w:t>
      </w:r>
      <w:r w:rsidR="00070BE8" w:rsidRPr="005738B4">
        <w:t xml:space="preserve"> WBE</w:t>
      </w:r>
      <w:r w:rsidR="00C93F4E">
        <w:t>s</w:t>
      </w:r>
      <w:r w:rsidR="00070BE8" w:rsidRPr="005738B4">
        <w:t xml:space="preserve"> in direct construction related contracts</w:t>
      </w:r>
      <w:r w:rsidR="00863E9C">
        <w:t xml:space="preserve"> within the </w:t>
      </w:r>
      <w:r w:rsidRPr="00A0225C">
        <w:t>Construction Reform</w:t>
      </w:r>
      <w:r w:rsidR="00863E9C">
        <w:t xml:space="preserve"> Initiative</w:t>
      </w:r>
      <w:r w:rsidRPr="00A0225C">
        <w:t>. There were 542 new applications for certification filed. The office processed 581 requests for certification actions and 2,103 renewal applications.</w:t>
      </w:r>
    </w:p>
    <w:p w14:paraId="4DD6155A" w14:textId="77777777" w:rsidR="00651170" w:rsidRPr="00A0225C" w:rsidRDefault="00651170" w:rsidP="00ED0952">
      <w:pPr>
        <w:jc w:val="both"/>
      </w:pPr>
      <w:r w:rsidRPr="00A0225C">
        <w:t xml:space="preserve">Although the core mission of OSD’s Supplier Diversity Office is the certification of Minority and Women owned businesses, we recognize that there is a need to provide technical assistance to businesses in support of their efforts to secure contracts through the Commonwealth’s various bidding processes. </w:t>
      </w:r>
    </w:p>
    <w:p w14:paraId="28FE02BD" w14:textId="77777777" w:rsidR="00CB64B3" w:rsidRPr="00A0225C" w:rsidRDefault="005D7025" w:rsidP="00352A9A">
      <w:pPr>
        <w:jc w:val="both"/>
      </w:pPr>
      <w:r>
        <w:t>The t</w:t>
      </w:r>
      <w:r w:rsidR="00CB64B3" w:rsidRPr="00A0225C">
        <w:t xml:space="preserve">echnical </w:t>
      </w:r>
      <w:r>
        <w:t>a</w:t>
      </w:r>
      <w:r w:rsidR="00CB64B3" w:rsidRPr="00A0225C">
        <w:t xml:space="preserve">ssistance opportunities were developed through a variety of programs that have either expanded or were newly created through our Supplier Diversity Program (SDP) </w:t>
      </w:r>
      <w:r w:rsidR="00104FD8">
        <w:t xml:space="preserve">and </w:t>
      </w:r>
      <w:r w:rsidR="00CB64B3" w:rsidRPr="00A0225C">
        <w:t>Construction Reform Program</w:t>
      </w:r>
      <w:r w:rsidR="00104FD8">
        <w:t>.</w:t>
      </w:r>
      <w:r w:rsidR="00104FD8" w:rsidRPr="00A0225C">
        <w:t xml:space="preserve"> </w:t>
      </w:r>
      <w:r w:rsidR="00CB64B3" w:rsidRPr="00A0225C">
        <w:t>OSD and SDO provided technical assistance to numerous businesses. These services included pre-certification workshops</w:t>
      </w:r>
      <w:r w:rsidR="00352A9A">
        <w:t xml:space="preserve"> and </w:t>
      </w:r>
      <w:r w:rsidR="00CB64B3" w:rsidRPr="00A0225C">
        <w:t>recruitment of certified firms into construction technical assistance programs</w:t>
      </w:r>
      <w:r w:rsidR="00352A9A">
        <w:t>.</w:t>
      </w:r>
      <w:r w:rsidR="00CB64B3" w:rsidRPr="00A0225C">
        <w:t xml:space="preserve"> </w:t>
      </w:r>
    </w:p>
    <w:p w14:paraId="33BBD125" w14:textId="77777777" w:rsidR="00DF7DC4" w:rsidRPr="00A0225C" w:rsidRDefault="002F6C68" w:rsidP="00352A9A">
      <w:pPr>
        <w:jc w:val="both"/>
      </w:pPr>
      <w:r w:rsidRPr="00A0225C">
        <w:t>The Supplier Diversity Program is directly involved in the monitoring of statewide contracts for Minority and Women participation in providing goods and services to the Commonwealth. Executive Branch spend</w:t>
      </w:r>
      <w:r w:rsidR="004B2910">
        <w:t>ing</w:t>
      </w:r>
      <w:r w:rsidRPr="00A0225C">
        <w:t xml:space="preserve"> with certified entities and small business participating entities, </w:t>
      </w:r>
      <w:r w:rsidR="004B2910">
        <w:t xml:space="preserve">occurs </w:t>
      </w:r>
      <w:r w:rsidRPr="00A0225C">
        <w:t xml:space="preserve">through </w:t>
      </w:r>
      <w:r w:rsidR="00DF7DC4" w:rsidRPr="00A0225C">
        <w:t xml:space="preserve">three </w:t>
      </w:r>
      <w:r w:rsidRPr="00A0225C">
        <w:t>different types of procurement</w:t>
      </w:r>
      <w:r w:rsidR="004B2910">
        <w:t>s statewide</w:t>
      </w:r>
      <w:r w:rsidRPr="00A0225C">
        <w:t xml:space="preserve">, large procurements (over $150,000.01), small procurements (between $5,000.01 and $150,000.00), and incidental procurements (typically one –time procurements under $5,000.00). </w:t>
      </w:r>
    </w:p>
    <w:p w14:paraId="47535308" w14:textId="77777777" w:rsidR="002F6C68" w:rsidRPr="00A0225C" w:rsidRDefault="002F6C68" w:rsidP="00352A9A">
      <w:pPr>
        <w:jc w:val="both"/>
        <w:rPr>
          <w:rFonts w:ascii="Calibri" w:hAnsi="Calibri" w:cs="Calibri"/>
        </w:rPr>
      </w:pPr>
      <w:r w:rsidRPr="00A0225C">
        <w:t xml:space="preserve">In June of 2010, Governor Patrick issued Executive Order 523 to establish the Small Business Purchasing Program (SBPP) for the Commonwealth in recognition of the importance of Massachusetts small businesses. The mission of the SBPP is to direct Executive Department spending for non-construction goods and services to program-eligible small businesses. Departments took steps to direct notification and award non-construction procurements valued </w:t>
      </w:r>
      <w:r w:rsidR="00DF7DC4" w:rsidRPr="00A0225C">
        <w:t>F</w:t>
      </w:r>
      <w:r w:rsidRPr="00A0225C">
        <w:t xml:space="preserve">ulfilling the Promise of Access and Opportunity </w:t>
      </w:r>
      <w:r w:rsidR="00DF7DC4" w:rsidRPr="00A0225C">
        <w:t xml:space="preserve">within the </w:t>
      </w:r>
      <w:r w:rsidRPr="00A0225C">
        <w:t>Operational Services Division</w:t>
      </w:r>
      <w:r w:rsidR="00DF7DC4" w:rsidRPr="00A0225C">
        <w:t>’s</w:t>
      </w:r>
      <w:r w:rsidRPr="00A0225C">
        <w:t xml:space="preserve"> Supplier Diversity Office</w:t>
      </w:r>
      <w:r w:rsidR="007713C1">
        <w:t>.</w:t>
      </w:r>
      <w:r w:rsidRPr="00A0225C">
        <w:t xml:space="preserve"> </w:t>
      </w:r>
      <w:r w:rsidR="007713C1">
        <w:t xml:space="preserve">For further information you can review the Supplier Diversity Office </w:t>
      </w:r>
      <w:r w:rsidRPr="00A0225C">
        <w:t xml:space="preserve">Comprehensive Annual Report </w:t>
      </w:r>
      <w:hyperlink r:id="rId11" w:history="1">
        <w:r w:rsidRPr="00C93F4E">
          <w:rPr>
            <w:rStyle w:val="Hyperlink"/>
          </w:rPr>
          <w:t>FY201</w:t>
        </w:r>
        <w:r w:rsidR="003C2FCD" w:rsidRPr="00C93F4E">
          <w:rPr>
            <w:rStyle w:val="Hyperlink"/>
          </w:rPr>
          <w:t>3</w:t>
        </w:r>
      </w:hyperlink>
      <w:r w:rsidR="00C93F4E">
        <w:t>.</w:t>
      </w:r>
    </w:p>
    <w:p w14:paraId="62A52488" w14:textId="77777777" w:rsidR="002F6C68" w:rsidRDefault="002F6C68" w:rsidP="00352A9A">
      <w:pPr>
        <w:jc w:val="both"/>
      </w:pPr>
      <w:r w:rsidRPr="00A0225C">
        <w:t xml:space="preserve">The Commonwealth’s Construction Reform Law, Chapter 193 of the Acts of 2004, establishes that state Municipalities must incorporate MBE and WBE goals into both the design and construction phases of any vertical construction project where state funds are used if that phase exceeds $100,000. </w:t>
      </w:r>
    </w:p>
    <w:p w14:paraId="7477724F" w14:textId="77777777" w:rsidR="002F6C68" w:rsidRDefault="002F6C68" w:rsidP="00352A9A">
      <w:pPr>
        <w:jc w:val="both"/>
      </w:pPr>
      <w:r w:rsidRPr="00A0225C">
        <w:lastRenderedPageBreak/>
        <w:t xml:space="preserve">This applies to the construction, reconstruction, alteration, remodeling, repair or demolition of any vertical public building by any city or town. </w:t>
      </w:r>
    </w:p>
    <w:p w14:paraId="25693909" w14:textId="77777777" w:rsidR="002F6C68" w:rsidRPr="00A0225C" w:rsidRDefault="002F6C68" w:rsidP="00352A9A">
      <w:pPr>
        <w:jc w:val="both"/>
      </w:pPr>
      <w:r w:rsidRPr="007713C1">
        <w:t>The SDO enjoys a positive relationship</w:t>
      </w:r>
      <w:r w:rsidRPr="00A0225C">
        <w:t xml:space="preserve"> with the Massachusetts School Building Authority (MSBA), which conducts the majority of large budget vertical construction projects in the Commonwealth over which the SDO has oversight. SDO also recognizes the technical assistance provided through our partners: the Turner School of Construction Management and Gilbane School of Construction. </w:t>
      </w:r>
    </w:p>
    <w:p w14:paraId="50BDDD51" w14:textId="77777777" w:rsidR="00FA7FD0" w:rsidRDefault="002F6C68" w:rsidP="00352A9A">
      <w:pPr>
        <w:jc w:val="both"/>
      </w:pPr>
      <w:r w:rsidRPr="00A0225C">
        <w:t>We have accomplished a great deal in FY201</w:t>
      </w:r>
      <w:r w:rsidR="003A4360">
        <w:t>4</w:t>
      </w:r>
      <w:r w:rsidRPr="00A0225C">
        <w:t xml:space="preserve">, We look forward to </w:t>
      </w:r>
      <w:r w:rsidRPr="00257183">
        <w:t xml:space="preserve">monitoring </w:t>
      </w:r>
      <w:r w:rsidR="00257183" w:rsidRPr="00257183">
        <w:t>compliance</w:t>
      </w:r>
      <w:r w:rsidR="00257183">
        <w:t xml:space="preserve"> </w:t>
      </w:r>
      <w:r w:rsidRPr="00A0225C">
        <w:t xml:space="preserve">with Executive Orders </w:t>
      </w:r>
      <w:hyperlink r:id="rId12" w:history="1">
        <w:r w:rsidRPr="00893171">
          <w:rPr>
            <w:rStyle w:val="Hyperlink"/>
          </w:rPr>
          <w:t>524</w:t>
        </w:r>
      </w:hyperlink>
      <w:r w:rsidRPr="00A0225C">
        <w:t xml:space="preserve"> and</w:t>
      </w:r>
      <w:r w:rsidR="00893171">
        <w:t xml:space="preserve"> </w:t>
      </w:r>
      <w:hyperlink r:id="rId13" w:history="1">
        <w:r w:rsidR="00893171" w:rsidRPr="00893171">
          <w:rPr>
            <w:rStyle w:val="Hyperlink"/>
          </w:rPr>
          <w:t>523</w:t>
        </w:r>
      </w:hyperlink>
      <w:r w:rsidRPr="00A0225C">
        <w:t>, building capacity of certified Minority and Women owned firms as well as Small Businesses.</w:t>
      </w:r>
    </w:p>
    <w:p w14:paraId="1EE05E78" w14:textId="77777777" w:rsidR="00C05530" w:rsidRDefault="00C05530" w:rsidP="00352A9A">
      <w:r>
        <w:br w:type="page"/>
      </w:r>
    </w:p>
    <w:p w14:paraId="2094E69B" w14:textId="77777777" w:rsidR="0025276F" w:rsidRPr="00F4066D" w:rsidRDefault="0025276F" w:rsidP="00352A9A">
      <w:pPr>
        <w:spacing w:before="2400"/>
      </w:pPr>
      <w:r w:rsidRPr="00F4066D">
        <w:lastRenderedPageBreak/>
        <w:t>CONTENTS</w:t>
      </w:r>
    </w:p>
    <w:p w14:paraId="0B5F86F4" w14:textId="77777777" w:rsidR="003648AE" w:rsidRDefault="003648AE" w:rsidP="00352A9A">
      <w:pPr>
        <w:pStyle w:val="TOC1"/>
        <w:tabs>
          <w:tab w:val="right" w:leader="dot" w:pos="9800"/>
        </w:tabs>
      </w:pPr>
    </w:p>
    <w:p w14:paraId="6AC8EC6B" w14:textId="77777777" w:rsidR="005577B8" w:rsidRDefault="003429DE" w:rsidP="00352A9A">
      <w:pPr>
        <w:pStyle w:val="TOC1"/>
        <w:tabs>
          <w:tab w:val="right" w:leader="dot" w:pos="9980"/>
        </w:tabs>
        <w:rPr>
          <w:rFonts w:asciiTheme="minorHAnsi" w:eastAsiaTheme="minorEastAsia" w:hAnsiTheme="minorHAnsi" w:cstheme="minorBidi"/>
          <w:noProof/>
          <w:sz w:val="22"/>
          <w:szCs w:val="22"/>
          <w:lang w:val="en-US"/>
        </w:rPr>
      </w:pPr>
      <w:r>
        <w:fldChar w:fldCharType="begin"/>
      </w:r>
      <w:r>
        <w:instrText xml:space="preserve"> TOC \o "1-2" \h \z \u </w:instrText>
      </w:r>
      <w:r>
        <w:fldChar w:fldCharType="separate"/>
      </w:r>
      <w:hyperlink w:anchor="_Toc405372667" w:history="1">
        <w:r w:rsidR="005577B8" w:rsidRPr="00010DF7">
          <w:rPr>
            <w:rStyle w:val="Hyperlink"/>
            <w:noProof/>
          </w:rPr>
          <w:t>OPERATIONAL SERVICES DIVISION</w:t>
        </w:r>
        <w:r w:rsidR="005577B8">
          <w:rPr>
            <w:noProof/>
            <w:webHidden/>
          </w:rPr>
          <w:tab/>
        </w:r>
        <w:r w:rsidR="005577B8">
          <w:rPr>
            <w:noProof/>
            <w:webHidden/>
          </w:rPr>
          <w:fldChar w:fldCharType="begin"/>
        </w:r>
        <w:r w:rsidR="005577B8">
          <w:rPr>
            <w:noProof/>
            <w:webHidden/>
          </w:rPr>
          <w:instrText xml:space="preserve"> PAGEREF _Toc405372667 \h </w:instrText>
        </w:r>
        <w:r w:rsidR="005577B8">
          <w:rPr>
            <w:noProof/>
            <w:webHidden/>
          </w:rPr>
        </w:r>
        <w:r w:rsidR="005577B8">
          <w:rPr>
            <w:noProof/>
            <w:webHidden/>
          </w:rPr>
          <w:fldChar w:fldCharType="separate"/>
        </w:r>
        <w:r w:rsidR="005F321A">
          <w:rPr>
            <w:noProof/>
            <w:webHidden/>
          </w:rPr>
          <w:t>7</w:t>
        </w:r>
        <w:r w:rsidR="005577B8">
          <w:rPr>
            <w:noProof/>
            <w:webHidden/>
          </w:rPr>
          <w:fldChar w:fldCharType="end"/>
        </w:r>
      </w:hyperlink>
    </w:p>
    <w:p w14:paraId="3922C466" w14:textId="77777777" w:rsidR="005577B8" w:rsidRDefault="005577B8" w:rsidP="00352A9A">
      <w:pPr>
        <w:pStyle w:val="TOC1"/>
        <w:tabs>
          <w:tab w:val="right" w:leader="dot" w:pos="9980"/>
        </w:tabs>
        <w:rPr>
          <w:rFonts w:asciiTheme="minorHAnsi" w:eastAsiaTheme="minorEastAsia" w:hAnsiTheme="minorHAnsi" w:cstheme="minorBidi"/>
          <w:noProof/>
          <w:sz w:val="22"/>
          <w:szCs w:val="22"/>
          <w:lang w:val="en-US"/>
        </w:rPr>
      </w:pPr>
      <w:hyperlink w:anchor="_Toc405372668" w:history="1">
        <w:r w:rsidRPr="00010DF7">
          <w:rPr>
            <w:rStyle w:val="Hyperlink"/>
            <w:noProof/>
          </w:rPr>
          <w:t>PERFORMANCE MANAGEMENT</w:t>
        </w:r>
        <w:r>
          <w:rPr>
            <w:noProof/>
            <w:webHidden/>
          </w:rPr>
          <w:tab/>
        </w:r>
        <w:r>
          <w:rPr>
            <w:noProof/>
            <w:webHidden/>
          </w:rPr>
          <w:fldChar w:fldCharType="begin"/>
        </w:r>
        <w:r>
          <w:rPr>
            <w:noProof/>
            <w:webHidden/>
          </w:rPr>
          <w:instrText xml:space="preserve"> PAGEREF _Toc405372668 \h </w:instrText>
        </w:r>
        <w:r>
          <w:rPr>
            <w:noProof/>
            <w:webHidden/>
          </w:rPr>
        </w:r>
        <w:r>
          <w:rPr>
            <w:noProof/>
            <w:webHidden/>
          </w:rPr>
          <w:fldChar w:fldCharType="separate"/>
        </w:r>
        <w:r w:rsidR="005F321A">
          <w:rPr>
            <w:noProof/>
            <w:webHidden/>
          </w:rPr>
          <w:t>10</w:t>
        </w:r>
        <w:r>
          <w:rPr>
            <w:noProof/>
            <w:webHidden/>
          </w:rPr>
          <w:fldChar w:fldCharType="end"/>
        </w:r>
      </w:hyperlink>
    </w:p>
    <w:p w14:paraId="05D55CE4" w14:textId="77777777" w:rsidR="005577B8" w:rsidRDefault="005577B8" w:rsidP="00352A9A">
      <w:pPr>
        <w:pStyle w:val="TOC1"/>
        <w:tabs>
          <w:tab w:val="right" w:leader="dot" w:pos="9980"/>
        </w:tabs>
        <w:rPr>
          <w:rFonts w:asciiTheme="minorHAnsi" w:eastAsiaTheme="minorEastAsia" w:hAnsiTheme="minorHAnsi" w:cstheme="minorBidi"/>
          <w:noProof/>
          <w:sz w:val="22"/>
          <w:szCs w:val="22"/>
          <w:lang w:val="en-US"/>
        </w:rPr>
      </w:pPr>
      <w:hyperlink w:anchor="_Toc405372669" w:history="1">
        <w:r w:rsidRPr="00010DF7">
          <w:rPr>
            <w:rStyle w:val="Hyperlink"/>
            <w:noProof/>
          </w:rPr>
          <w:t>CERTIFICATION UNIT</w:t>
        </w:r>
        <w:r>
          <w:rPr>
            <w:noProof/>
            <w:webHidden/>
          </w:rPr>
          <w:tab/>
        </w:r>
        <w:r>
          <w:rPr>
            <w:noProof/>
            <w:webHidden/>
          </w:rPr>
          <w:fldChar w:fldCharType="begin"/>
        </w:r>
        <w:r>
          <w:rPr>
            <w:noProof/>
            <w:webHidden/>
          </w:rPr>
          <w:instrText xml:space="preserve"> PAGEREF _Toc405372669 \h </w:instrText>
        </w:r>
        <w:r>
          <w:rPr>
            <w:noProof/>
            <w:webHidden/>
          </w:rPr>
        </w:r>
        <w:r>
          <w:rPr>
            <w:noProof/>
            <w:webHidden/>
          </w:rPr>
          <w:fldChar w:fldCharType="separate"/>
        </w:r>
        <w:r w:rsidR="005F321A">
          <w:rPr>
            <w:noProof/>
            <w:webHidden/>
          </w:rPr>
          <w:t>12</w:t>
        </w:r>
        <w:r>
          <w:rPr>
            <w:noProof/>
            <w:webHidden/>
          </w:rPr>
          <w:fldChar w:fldCharType="end"/>
        </w:r>
      </w:hyperlink>
    </w:p>
    <w:p w14:paraId="65595684" w14:textId="77777777" w:rsidR="005577B8" w:rsidRDefault="005577B8" w:rsidP="00352A9A">
      <w:pPr>
        <w:pStyle w:val="TOC2"/>
        <w:tabs>
          <w:tab w:val="right" w:leader="dot" w:pos="9980"/>
        </w:tabs>
        <w:rPr>
          <w:rFonts w:asciiTheme="minorHAnsi" w:eastAsiaTheme="minorEastAsia" w:hAnsiTheme="minorHAnsi" w:cstheme="minorBidi"/>
          <w:noProof/>
          <w:sz w:val="22"/>
          <w:szCs w:val="22"/>
          <w:lang w:val="en-US"/>
        </w:rPr>
      </w:pPr>
      <w:hyperlink w:anchor="_Toc405372670" w:history="1">
        <w:r w:rsidRPr="00010DF7">
          <w:rPr>
            <w:rStyle w:val="Hyperlink"/>
            <w:noProof/>
          </w:rPr>
          <w:t>STATE CERTIFICATION PROGRAM</w:t>
        </w:r>
        <w:r>
          <w:rPr>
            <w:noProof/>
            <w:webHidden/>
          </w:rPr>
          <w:tab/>
        </w:r>
        <w:r>
          <w:rPr>
            <w:noProof/>
            <w:webHidden/>
          </w:rPr>
          <w:fldChar w:fldCharType="begin"/>
        </w:r>
        <w:r>
          <w:rPr>
            <w:noProof/>
            <w:webHidden/>
          </w:rPr>
          <w:instrText xml:space="preserve"> PAGEREF _Toc405372670 \h </w:instrText>
        </w:r>
        <w:r>
          <w:rPr>
            <w:noProof/>
            <w:webHidden/>
          </w:rPr>
        </w:r>
        <w:r>
          <w:rPr>
            <w:noProof/>
            <w:webHidden/>
          </w:rPr>
          <w:fldChar w:fldCharType="separate"/>
        </w:r>
        <w:r w:rsidR="005F321A">
          <w:rPr>
            <w:noProof/>
            <w:webHidden/>
          </w:rPr>
          <w:t>12</w:t>
        </w:r>
        <w:r>
          <w:rPr>
            <w:noProof/>
            <w:webHidden/>
          </w:rPr>
          <w:fldChar w:fldCharType="end"/>
        </w:r>
      </w:hyperlink>
    </w:p>
    <w:p w14:paraId="2F58EEEE" w14:textId="77777777" w:rsidR="005577B8" w:rsidRDefault="005577B8" w:rsidP="00352A9A">
      <w:pPr>
        <w:pStyle w:val="TOC2"/>
        <w:tabs>
          <w:tab w:val="right" w:leader="dot" w:pos="9980"/>
        </w:tabs>
        <w:rPr>
          <w:rFonts w:asciiTheme="minorHAnsi" w:eastAsiaTheme="minorEastAsia" w:hAnsiTheme="minorHAnsi" w:cstheme="minorBidi"/>
          <w:noProof/>
          <w:sz w:val="22"/>
          <w:szCs w:val="22"/>
          <w:lang w:val="en-US"/>
        </w:rPr>
      </w:pPr>
      <w:hyperlink w:anchor="_Toc405372671" w:history="1">
        <w:r w:rsidRPr="00010DF7">
          <w:rPr>
            <w:rStyle w:val="Hyperlink"/>
            <w:noProof/>
          </w:rPr>
          <w:t>UNIFIED CERTIFICATION PROGRAM</w:t>
        </w:r>
        <w:r>
          <w:rPr>
            <w:noProof/>
            <w:webHidden/>
          </w:rPr>
          <w:tab/>
        </w:r>
        <w:r>
          <w:rPr>
            <w:noProof/>
            <w:webHidden/>
          </w:rPr>
          <w:fldChar w:fldCharType="begin"/>
        </w:r>
        <w:r>
          <w:rPr>
            <w:noProof/>
            <w:webHidden/>
          </w:rPr>
          <w:instrText xml:space="preserve"> PAGEREF _Toc405372671 \h </w:instrText>
        </w:r>
        <w:r>
          <w:rPr>
            <w:noProof/>
            <w:webHidden/>
          </w:rPr>
        </w:r>
        <w:r>
          <w:rPr>
            <w:noProof/>
            <w:webHidden/>
          </w:rPr>
          <w:fldChar w:fldCharType="separate"/>
        </w:r>
        <w:r w:rsidR="005F321A">
          <w:rPr>
            <w:noProof/>
            <w:webHidden/>
          </w:rPr>
          <w:t>14</w:t>
        </w:r>
        <w:r>
          <w:rPr>
            <w:noProof/>
            <w:webHidden/>
          </w:rPr>
          <w:fldChar w:fldCharType="end"/>
        </w:r>
      </w:hyperlink>
    </w:p>
    <w:p w14:paraId="01D2E64C" w14:textId="77777777" w:rsidR="005577B8" w:rsidRDefault="005577B8" w:rsidP="00352A9A">
      <w:pPr>
        <w:pStyle w:val="TOC2"/>
        <w:tabs>
          <w:tab w:val="right" w:leader="dot" w:pos="9980"/>
        </w:tabs>
        <w:rPr>
          <w:rFonts w:asciiTheme="minorHAnsi" w:eastAsiaTheme="minorEastAsia" w:hAnsiTheme="minorHAnsi" w:cstheme="minorBidi"/>
          <w:noProof/>
          <w:sz w:val="22"/>
          <w:szCs w:val="22"/>
          <w:lang w:val="en-US"/>
        </w:rPr>
      </w:pPr>
      <w:hyperlink w:anchor="_Toc405372672" w:history="1">
        <w:r w:rsidRPr="00010DF7">
          <w:rPr>
            <w:rStyle w:val="Hyperlink"/>
            <w:noProof/>
          </w:rPr>
          <w:t>COMBINED FEDERAL and STATE RESULTS</w:t>
        </w:r>
        <w:r>
          <w:rPr>
            <w:noProof/>
            <w:webHidden/>
          </w:rPr>
          <w:tab/>
        </w:r>
        <w:r>
          <w:rPr>
            <w:noProof/>
            <w:webHidden/>
          </w:rPr>
          <w:fldChar w:fldCharType="begin"/>
        </w:r>
        <w:r>
          <w:rPr>
            <w:noProof/>
            <w:webHidden/>
          </w:rPr>
          <w:instrText xml:space="preserve"> PAGEREF _Toc405372672 \h </w:instrText>
        </w:r>
        <w:r>
          <w:rPr>
            <w:noProof/>
            <w:webHidden/>
          </w:rPr>
        </w:r>
        <w:r>
          <w:rPr>
            <w:noProof/>
            <w:webHidden/>
          </w:rPr>
          <w:fldChar w:fldCharType="separate"/>
        </w:r>
        <w:r w:rsidR="005F321A">
          <w:rPr>
            <w:noProof/>
            <w:webHidden/>
          </w:rPr>
          <w:t>15</w:t>
        </w:r>
        <w:r>
          <w:rPr>
            <w:noProof/>
            <w:webHidden/>
          </w:rPr>
          <w:fldChar w:fldCharType="end"/>
        </w:r>
      </w:hyperlink>
    </w:p>
    <w:p w14:paraId="12D9B02D" w14:textId="77777777" w:rsidR="005577B8" w:rsidRDefault="005577B8" w:rsidP="00352A9A">
      <w:pPr>
        <w:pStyle w:val="TOC2"/>
        <w:tabs>
          <w:tab w:val="right" w:leader="dot" w:pos="9980"/>
        </w:tabs>
        <w:rPr>
          <w:rFonts w:asciiTheme="minorHAnsi" w:eastAsiaTheme="minorEastAsia" w:hAnsiTheme="minorHAnsi" w:cstheme="minorBidi"/>
          <w:noProof/>
          <w:sz w:val="22"/>
          <w:szCs w:val="22"/>
          <w:lang w:val="en-US"/>
        </w:rPr>
      </w:pPr>
      <w:hyperlink w:anchor="_Toc405372673" w:history="1">
        <w:r w:rsidRPr="00010DF7">
          <w:rPr>
            <w:rStyle w:val="Hyperlink"/>
            <w:noProof/>
          </w:rPr>
          <w:t>APPEALS</w:t>
        </w:r>
        <w:r>
          <w:rPr>
            <w:noProof/>
            <w:webHidden/>
          </w:rPr>
          <w:tab/>
        </w:r>
        <w:r>
          <w:rPr>
            <w:noProof/>
            <w:webHidden/>
          </w:rPr>
          <w:fldChar w:fldCharType="begin"/>
        </w:r>
        <w:r>
          <w:rPr>
            <w:noProof/>
            <w:webHidden/>
          </w:rPr>
          <w:instrText xml:space="preserve"> PAGEREF _Toc405372673 \h </w:instrText>
        </w:r>
        <w:r>
          <w:rPr>
            <w:noProof/>
            <w:webHidden/>
          </w:rPr>
        </w:r>
        <w:r>
          <w:rPr>
            <w:noProof/>
            <w:webHidden/>
          </w:rPr>
          <w:fldChar w:fldCharType="separate"/>
        </w:r>
        <w:r w:rsidR="005F321A">
          <w:rPr>
            <w:noProof/>
            <w:webHidden/>
          </w:rPr>
          <w:t>16</w:t>
        </w:r>
        <w:r>
          <w:rPr>
            <w:noProof/>
            <w:webHidden/>
          </w:rPr>
          <w:fldChar w:fldCharType="end"/>
        </w:r>
      </w:hyperlink>
    </w:p>
    <w:p w14:paraId="44487B87" w14:textId="77777777" w:rsidR="005577B8" w:rsidRDefault="005577B8" w:rsidP="00352A9A">
      <w:pPr>
        <w:pStyle w:val="TOC1"/>
        <w:tabs>
          <w:tab w:val="right" w:leader="dot" w:pos="9980"/>
        </w:tabs>
        <w:rPr>
          <w:rFonts w:asciiTheme="minorHAnsi" w:eastAsiaTheme="minorEastAsia" w:hAnsiTheme="minorHAnsi" w:cstheme="minorBidi"/>
          <w:noProof/>
          <w:sz w:val="22"/>
          <w:szCs w:val="22"/>
          <w:lang w:val="en-US"/>
        </w:rPr>
      </w:pPr>
      <w:hyperlink w:anchor="_Toc405372674" w:history="1">
        <w:r w:rsidRPr="00010DF7">
          <w:rPr>
            <w:rStyle w:val="Hyperlink"/>
            <w:noProof/>
          </w:rPr>
          <w:t>SUPPLIER DIVERSITY PROGRAM (SDP)</w:t>
        </w:r>
        <w:r>
          <w:rPr>
            <w:noProof/>
            <w:webHidden/>
          </w:rPr>
          <w:tab/>
        </w:r>
        <w:r>
          <w:rPr>
            <w:noProof/>
            <w:webHidden/>
          </w:rPr>
          <w:fldChar w:fldCharType="begin"/>
        </w:r>
        <w:r>
          <w:rPr>
            <w:noProof/>
            <w:webHidden/>
          </w:rPr>
          <w:instrText xml:space="preserve"> PAGEREF _Toc405372674 \h </w:instrText>
        </w:r>
        <w:r>
          <w:rPr>
            <w:noProof/>
            <w:webHidden/>
          </w:rPr>
        </w:r>
        <w:r>
          <w:rPr>
            <w:noProof/>
            <w:webHidden/>
          </w:rPr>
          <w:fldChar w:fldCharType="separate"/>
        </w:r>
        <w:r w:rsidR="005F321A">
          <w:rPr>
            <w:noProof/>
            <w:webHidden/>
          </w:rPr>
          <w:t>17</w:t>
        </w:r>
        <w:r>
          <w:rPr>
            <w:noProof/>
            <w:webHidden/>
          </w:rPr>
          <w:fldChar w:fldCharType="end"/>
        </w:r>
      </w:hyperlink>
    </w:p>
    <w:p w14:paraId="2BB7B7F8" w14:textId="77777777" w:rsidR="005577B8" w:rsidRDefault="005577B8" w:rsidP="00352A9A">
      <w:pPr>
        <w:pStyle w:val="TOC2"/>
        <w:tabs>
          <w:tab w:val="right" w:leader="dot" w:pos="9980"/>
        </w:tabs>
        <w:rPr>
          <w:rFonts w:asciiTheme="minorHAnsi" w:eastAsiaTheme="minorEastAsia" w:hAnsiTheme="minorHAnsi" w:cstheme="minorBidi"/>
          <w:noProof/>
          <w:sz w:val="22"/>
          <w:szCs w:val="22"/>
          <w:lang w:val="en-US"/>
        </w:rPr>
      </w:pPr>
      <w:hyperlink w:anchor="_Toc405372675" w:history="1">
        <w:r w:rsidRPr="00010DF7">
          <w:rPr>
            <w:rStyle w:val="Hyperlink"/>
            <w:noProof/>
          </w:rPr>
          <w:t>Three year trend of spending at the Secretariat level</w:t>
        </w:r>
        <w:r>
          <w:rPr>
            <w:noProof/>
            <w:webHidden/>
          </w:rPr>
          <w:tab/>
        </w:r>
        <w:r>
          <w:rPr>
            <w:noProof/>
            <w:webHidden/>
          </w:rPr>
          <w:fldChar w:fldCharType="begin"/>
        </w:r>
        <w:r>
          <w:rPr>
            <w:noProof/>
            <w:webHidden/>
          </w:rPr>
          <w:instrText xml:space="preserve"> PAGEREF _Toc405372675 \h </w:instrText>
        </w:r>
        <w:r>
          <w:rPr>
            <w:noProof/>
            <w:webHidden/>
          </w:rPr>
        </w:r>
        <w:r>
          <w:rPr>
            <w:noProof/>
            <w:webHidden/>
          </w:rPr>
          <w:fldChar w:fldCharType="separate"/>
        </w:r>
        <w:r w:rsidR="005F321A">
          <w:rPr>
            <w:noProof/>
            <w:webHidden/>
          </w:rPr>
          <w:t>18</w:t>
        </w:r>
        <w:r>
          <w:rPr>
            <w:noProof/>
            <w:webHidden/>
          </w:rPr>
          <w:fldChar w:fldCharType="end"/>
        </w:r>
      </w:hyperlink>
    </w:p>
    <w:p w14:paraId="42197B56" w14:textId="77777777" w:rsidR="005577B8" w:rsidRDefault="005577B8" w:rsidP="00352A9A">
      <w:pPr>
        <w:pStyle w:val="TOC1"/>
        <w:tabs>
          <w:tab w:val="right" w:leader="dot" w:pos="9980"/>
        </w:tabs>
        <w:rPr>
          <w:rFonts w:asciiTheme="minorHAnsi" w:eastAsiaTheme="minorEastAsia" w:hAnsiTheme="minorHAnsi" w:cstheme="minorBidi"/>
          <w:noProof/>
          <w:sz w:val="22"/>
          <w:szCs w:val="22"/>
          <w:lang w:val="en-US"/>
        </w:rPr>
      </w:pPr>
      <w:hyperlink w:anchor="_Toc405372676" w:history="1">
        <w:r w:rsidRPr="00010DF7">
          <w:rPr>
            <w:rStyle w:val="Hyperlink"/>
            <w:noProof/>
          </w:rPr>
          <w:t>SMALL BUSINESS PURCHASING PROGRAM (SBPP)</w:t>
        </w:r>
        <w:r>
          <w:rPr>
            <w:noProof/>
            <w:webHidden/>
          </w:rPr>
          <w:tab/>
        </w:r>
        <w:r>
          <w:rPr>
            <w:noProof/>
            <w:webHidden/>
          </w:rPr>
          <w:fldChar w:fldCharType="begin"/>
        </w:r>
        <w:r>
          <w:rPr>
            <w:noProof/>
            <w:webHidden/>
          </w:rPr>
          <w:instrText xml:space="preserve"> PAGEREF _Toc405372676 \h </w:instrText>
        </w:r>
        <w:r>
          <w:rPr>
            <w:noProof/>
            <w:webHidden/>
          </w:rPr>
        </w:r>
        <w:r>
          <w:rPr>
            <w:noProof/>
            <w:webHidden/>
          </w:rPr>
          <w:fldChar w:fldCharType="separate"/>
        </w:r>
        <w:r w:rsidR="005F321A">
          <w:rPr>
            <w:noProof/>
            <w:webHidden/>
          </w:rPr>
          <w:t>21</w:t>
        </w:r>
        <w:r>
          <w:rPr>
            <w:noProof/>
            <w:webHidden/>
          </w:rPr>
          <w:fldChar w:fldCharType="end"/>
        </w:r>
      </w:hyperlink>
    </w:p>
    <w:p w14:paraId="669D6EB4" w14:textId="77777777" w:rsidR="005577B8" w:rsidRDefault="005577B8" w:rsidP="00352A9A">
      <w:pPr>
        <w:pStyle w:val="TOC2"/>
        <w:tabs>
          <w:tab w:val="right" w:leader="dot" w:pos="9980"/>
        </w:tabs>
        <w:rPr>
          <w:rFonts w:asciiTheme="minorHAnsi" w:eastAsiaTheme="minorEastAsia" w:hAnsiTheme="minorHAnsi" w:cstheme="minorBidi"/>
          <w:noProof/>
          <w:sz w:val="22"/>
          <w:szCs w:val="22"/>
          <w:lang w:val="en-US"/>
        </w:rPr>
      </w:pPr>
      <w:hyperlink w:anchor="_Toc405372677" w:history="1">
        <w:r w:rsidRPr="00010DF7">
          <w:rPr>
            <w:rStyle w:val="Hyperlink"/>
            <w:noProof/>
          </w:rPr>
          <w:t>FY2014 State Expenditures with SBPP Participants</w:t>
        </w:r>
        <w:r>
          <w:rPr>
            <w:noProof/>
            <w:webHidden/>
          </w:rPr>
          <w:tab/>
        </w:r>
        <w:r>
          <w:rPr>
            <w:noProof/>
            <w:webHidden/>
          </w:rPr>
          <w:fldChar w:fldCharType="begin"/>
        </w:r>
        <w:r>
          <w:rPr>
            <w:noProof/>
            <w:webHidden/>
          </w:rPr>
          <w:instrText xml:space="preserve"> PAGEREF _Toc405372677 \h </w:instrText>
        </w:r>
        <w:r>
          <w:rPr>
            <w:noProof/>
            <w:webHidden/>
          </w:rPr>
        </w:r>
        <w:r>
          <w:rPr>
            <w:noProof/>
            <w:webHidden/>
          </w:rPr>
          <w:fldChar w:fldCharType="separate"/>
        </w:r>
        <w:r w:rsidR="005F321A">
          <w:rPr>
            <w:noProof/>
            <w:webHidden/>
          </w:rPr>
          <w:t>21</w:t>
        </w:r>
        <w:r>
          <w:rPr>
            <w:noProof/>
            <w:webHidden/>
          </w:rPr>
          <w:fldChar w:fldCharType="end"/>
        </w:r>
      </w:hyperlink>
    </w:p>
    <w:p w14:paraId="40ACCEC6" w14:textId="77777777" w:rsidR="005577B8" w:rsidRDefault="005577B8" w:rsidP="00352A9A">
      <w:pPr>
        <w:pStyle w:val="TOC1"/>
        <w:tabs>
          <w:tab w:val="right" w:leader="dot" w:pos="9980"/>
        </w:tabs>
        <w:rPr>
          <w:rFonts w:asciiTheme="minorHAnsi" w:eastAsiaTheme="minorEastAsia" w:hAnsiTheme="minorHAnsi" w:cstheme="minorBidi"/>
          <w:noProof/>
          <w:sz w:val="22"/>
          <w:szCs w:val="22"/>
          <w:lang w:val="en-US"/>
        </w:rPr>
      </w:pPr>
      <w:hyperlink w:anchor="_Toc405372678" w:history="1">
        <w:r w:rsidRPr="00010DF7">
          <w:rPr>
            <w:rStyle w:val="Hyperlink"/>
            <w:noProof/>
          </w:rPr>
          <w:t>CONSTRUCTION REFORM LAW PROGRAM</w:t>
        </w:r>
        <w:r>
          <w:rPr>
            <w:noProof/>
            <w:webHidden/>
          </w:rPr>
          <w:tab/>
        </w:r>
        <w:r>
          <w:rPr>
            <w:noProof/>
            <w:webHidden/>
          </w:rPr>
          <w:fldChar w:fldCharType="begin"/>
        </w:r>
        <w:r>
          <w:rPr>
            <w:noProof/>
            <w:webHidden/>
          </w:rPr>
          <w:instrText xml:space="preserve"> PAGEREF _Toc405372678 \h </w:instrText>
        </w:r>
        <w:r>
          <w:rPr>
            <w:noProof/>
            <w:webHidden/>
          </w:rPr>
        </w:r>
        <w:r>
          <w:rPr>
            <w:noProof/>
            <w:webHidden/>
          </w:rPr>
          <w:fldChar w:fldCharType="separate"/>
        </w:r>
        <w:r w:rsidR="005F321A">
          <w:rPr>
            <w:noProof/>
            <w:webHidden/>
          </w:rPr>
          <w:t>22</w:t>
        </w:r>
        <w:r>
          <w:rPr>
            <w:noProof/>
            <w:webHidden/>
          </w:rPr>
          <w:fldChar w:fldCharType="end"/>
        </w:r>
      </w:hyperlink>
    </w:p>
    <w:p w14:paraId="40856489" w14:textId="77777777" w:rsidR="005577B8" w:rsidRDefault="005577B8" w:rsidP="00352A9A">
      <w:pPr>
        <w:pStyle w:val="TOC1"/>
        <w:tabs>
          <w:tab w:val="right" w:leader="dot" w:pos="9980"/>
        </w:tabs>
        <w:rPr>
          <w:rFonts w:asciiTheme="minorHAnsi" w:eastAsiaTheme="minorEastAsia" w:hAnsiTheme="minorHAnsi" w:cstheme="minorBidi"/>
          <w:noProof/>
          <w:sz w:val="22"/>
          <w:szCs w:val="22"/>
          <w:lang w:val="en-US"/>
        </w:rPr>
      </w:pPr>
      <w:hyperlink w:anchor="_Toc405372679" w:history="1">
        <w:r w:rsidRPr="00010DF7">
          <w:rPr>
            <w:rStyle w:val="Hyperlink"/>
            <w:noProof/>
          </w:rPr>
          <w:t>APPENDIX A</w:t>
        </w:r>
        <w:r>
          <w:rPr>
            <w:noProof/>
            <w:webHidden/>
          </w:rPr>
          <w:tab/>
        </w:r>
        <w:r>
          <w:rPr>
            <w:noProof/>
            <w:webHidden/>
          </w:rPr>
          <w:fldChar w:fldCharType="begin"/>
        </w:r>
        <w:r>
          <w:rPr>
            <w:noProof/>
            <w:webHidden/>
          </w:rPr>
          <w:instrText xml:space="preserve"> PAGEREF _Toc405372679 \h </w:instrText>
        </w:r>
        <w:r>
          <w:rPr>
            <w:noProof/>
            <w:webHidden/>
          </w:rPr>
        </w:r>
        <w:r>
          <w:rPr>
            <w:noProof/>
            <w:webHidden/>
          </w:rPr>
          <w:fldChar w:fldCharType="separate"/>
        </w:r>
        <w:r w:rsidR="005F321A">
          <w:rPr>
            <w:noProof/>
            <w:webHidden/>
          </w:rPr>
          <w:t>25</w:t>
        </w:r>
        <w:r>
          <w:rPr>
            <w:noProof/>
            <w:webHidden/>
          </w:rPr>
          <w:fldChar w:fldCharType="end"/>
        </w:r>
      </w:hyperlink>
    </w:p>
    <w:p w14:paraId="586EB71B" w14:textId="77777777" w:rsidR="005577B8" w:rsidRDefault="005577B8" w:rsidP="00352A9A">
      <w:pPr>
        <w:pStyle w:val="TOC1"/>
        <w:tabs>
          <w:tab w:val="right" w:leader="dot" w:pos="9980"/>
        </w:tabs>
        <w:rPr>
          <w:rFonts w:asciiTheme="minorHAnsi" w:eastAsiaTheme="minorEastAsia" w:hAnsiTheme="minorHAnsi" w:cstheme="minorBidi"/>
          <w:noProof/>
          <w:sz w:val="22"/>
          <w:szCs w:val="22"/>
          <w:lang w:val="en-US"/>
        </w:rPr>
      </w:pPr>
      <w:hyperlink w:anchor="_Toc405372680" w:history="1">
        <w:r w:rsidRPr="00010DF7">
          <w:rPr>
            <w:rStyle w:val="Hyperlink"/>
            <w:noProof/>
          </w:rPr>
          <w:t>APPENDIX B</w:t>
        </w:r>
        <w:r>
          <w:rPr>
            <w:noProof/>
            <w:webHidden/>
          </w:rPr>
          <w:tab/>
        </w:r>
        <w:r>
          <w:rPr>
            <w:noProof/>
            <w:webHidden/>
          </w:rPr>
          <w:fldChar w:fldCharType="begin"/>
        </w:r>
        <w:r>
          <w:rPr>
            <w:noProof/>
            <w:webHidden/>
          </w:rPr>
          <w:instrText xml:space="preserve"> PAGEREF _Toc405372680 \h </w:instrText>
        </w:r>
        <w:r>
          <w:rPr>
            <w:noProof/>
            <w:webHidden/>
          </w:rPr>
        </w:r>
        <w:r>
          <w:rPr>
            <w:noProof/>
            <w:webHidden/>
          </w:rPr>
          <w:fldChar w:fldCharType="separate"/>
        </w:r>
        <w:r w:rsidR="005F321A">
          <w:rPr>
            <w:noProof/>
            <w:webHidden/>
          </w:rPr>
          <w:t>26</w:t>
        </w:r>
        <w:r>
          <w:rPr>
            <w:noProof/>
            <w:webHidden/>
          </w:rPr>
          <w:fldChar w:fldCharType="end"/>
        </w:r>
      </w:hyperlink>
    </w:p>
    <w:p w14:paraId="2A7370C2" w14:textId="77777777" w:rsidR="005577B8" w:rsidRDefault="005577B8" w:rsidP="00352A9A">
      <w:pPr>
        <w:pStyle w:val="TOC1"/>
        <w:tabs>
          <w:tab w:val="right" w:leader="dot" w:pos="9980"/>
        </w:tabs>
        <w:rPr>
          <w:rFonts w:asciiTheme="minorHAnsi" w:eastAsiaTheme="minorEastAsia" w:hAnsiTheme="minorHAnsi" w:cstheme="minorBidi"/>
          <w:noProof/>
          <w:sz w:val="22"/>
          <w:szCs w:val="22"/>
          <w:lang w:val="en-US"/>
        </w:rPr>
      </w:pPr>
      <w:hyperlink w:anchor="_Toc405372681" w:history="1">
        <w:r w:rsidRPr="00010DF7">
          <w:rPr>
            <w:rStyle w:val="Hyperlink"/>
            <w:noProof/>
          </w:rPr>
          <w:t>APPENDIX C</w:t>
        </w:r>
        <w:r>
          <w:rPr>
            <w:noProof/>
            <w:webHidden/>
          </w:rPr>
          <w:tab/>
        </w:r>
        <w:r>
          <w:rPr>
            <w:noProof/>
            <w:webHidden/>
          </w:rPr>
          <w:fldChar w:fldCharType="begin"/>
        </w:r>
        <w:r>
          <w:rPr>
            <w:noProof/>
            <w:webHidden/>
          </w:rPr>
          <w:instrText xml:space="preserve"> PAGEREF _Toc405372681 \h </w:instrText>
        </w:r>
        <w:r>
          <w:rPr>
            <w:noProof/>
            <w:webHidden/>
          </w:rPr>
        </w:r>
        <w:r>
          <w:rPr>
            <w:noProof/>
            <w:webHidden/>
          </w:rPr>
          <w:fldChar w:fldCharType="separate"/>
        </w:r>
        <w:r w:rsidR="005F321A">
          <w:rPr>
            <w:noProof/>
            <w:webHidden/>
          </w:rPr>
          <w:t>27</w:t>
        </w:r>
        <w:r>
          <w:rPr>
            <w:noProof/>
            <w:webHidden/>
          </w:rPr>
          <w:fldChar w:fldCharType="end"/>
        </w:r>
      </w:hyperlink>
    </w:p>
    <w:p w14:paraId="29B9962C" w14:textId="77777777" w:rsidR="005577B8" w:rsidRDefault="005577B8" w:rsidP="00352A9A">
      <w:pPr>
        <w:pStyle w:val="TOC1"/>
        <w:tabs>
          <w:tab w:val="right" w:leader="dot" w:pos="9980"/>
        </w:tabs>
        <w:rPr>
          <w:rFonts w:asciiTheme="minorHAnsi" w:eastAsiaTheme="minorEastAsia" w:hAnsiTheme="minorHAnsi" w:cstheme="minorBidi"/>
          <w:noProof/>
          <w:sz w:val="22"/>
          <w:szCs w:val="22"/>
          <w:lang w:val="en-US"/>
        </w:rPr>
      </w:pPr>
      <w:hyperlink w:anchor="_Toc405372682" w:history="1">
        <w:r w:rsidRPr="00010DF7">
          <w:rPr>
            <w:rStyle w:val="Hyperlink"/>
            <w:noProof/>
          </w:rPr>
          <w:t>APPENDIX D</w:t>
        </w:r>
        <w:r>
          <w:rPr>
            <w:noProof/>
            <w:webHidden/>
          </w:rPr>
          <w:tab/>
        </w:r>
        <w:r>
          <w:rPr>
            <w:noProof/>
            <w:webHidden/>
          </w:rPr>
          <w:fldChar w:fldCharType="begin"/>
        </w:r>
        <w:r>
          <w:rPr>
            <w:noProof/>
            <w:webHidden/>
          </w:rPr>
          <w:instrText xml:space="preserve"> PAGEREF _Toc405372682 \h </w:instrText>
        </w:r>
        <w:r>
          <w:rPr>
            <w:noProof/>
            <w:webHidden/>
          </w:rPr>
        </w:r>
        <w:r>
          <w:rPr>
            <w:noProof/>
            <w:webHidden/>
          </w:rPr>
          <w:fldChar w:fldCharType="separate"/>
        </w:r>
        <w:r w:rsidR="005F321A">
          <w:rPr>
            <w:noProof/>
            <w:webHidden/>
          </w:rPr>
          <w:t>32</w:t>
        </w:r>
        <w:r>
          <w:rPr>
            <w:noProof/>
            <w:webHidden/>
          </w:rPr>
          <w:fldChar w:fldCharType="end"/>
        </w:r>
      </w:hyperlink>
    </w:p>
    <w:p w14:paraId="4FC2EBB4" w14:textId="77777777" w:rsidR="005577B8" w:rsidRDefault="005577B8" w:rsidP="00352A9A">
      <w:pPr>
        <w:pStyle w:val="TOC1"/>
        <w:tabs>
          <w:tab w:val="right" w:leader="dot" w:pos="9980"/>
        </w:tabs>
        <w:rPr>
          <w:rFonts w:asciiTheme="minorHAnsi" w:eastAsiaTheme="minorEastAsia" w:hAnsiTheme="minorHAnsi" w:cstheme="minorBidi"/>
          <w:noProof/>
          <w:sz w:val="22"/>
          <w:szCs w:val="22"/>
          <w:lang w:val="en-US"/>
        </w:rPr>
      </w:pPr>
      <w:hyperlink w:anchor="_Toc405372683" w:history="1">
        <w:r w:rsidRPr="00010DF7">
          <w:rPr>
            <w:rStyle w:val="Hyperlink"/>
            <w:noProof/>
          </w:rPr>
          <w:t>APPENDIX E</w:t>
        </w:r>
        <w:r>
          <w:rPr>
            <w:noProof/>
            <w:webHidden/>
          </w:rPr>
          <w:tab/>
        </w:r>
        <w:r>
          <w:rPr>
            <w:noProof/>
            <w:webHidden/>
          </w:rPr>
          <w:fldChar w:fldCharType="begin"/>
        </w:r>
        <w:r>
          <w:rPr>
            <w:noProof/>
            <w:webHidden/>
          </w:rPr>
          <w:instrText xml:space="preserve"> PAGEREF _Toc405372683 \h </w:instrText>
        </w:r>
        <w:r>
          <w:rPr>
            <w:noProof/>
            <w:webHidden/>
          </w:rPr>
        </w:r>
        <w:r>
          <w:rPr>
            <w:noProof/>
            <w:webHidden/>
          </w:rPr>
          <w:fldChar w:fldCharType="separate"/>
        </w:r>
        <w:r w:rsidR="005F321A">
          <w:rPr>
            <w:noProof/>
            <w:webHidden/>
          </w:rPr>
          <w:t>36</w:t>
        </w:r>
        <w:r>
          <w:rPr>
            <w:noProof/>
            <w:webHidden/>
          </w:rPr>
          <w:fldChar w:fldCharType="end"/>
        </w:r>
      </w:hyperlink>
    </w:p>
    <w:p w14:paraId="03D92A71" w14:textId="77777777" w:rsidR="003429DE" w:rsidRPr="00F4066D" w:rsidRDefault="003429DE" w:rsidP="00352A9A">
      <w:pPr>
        <w:sectPr w:rsidR="003429DE" w:rsidRPr="00F4066D" w:rsidSect="006D007E">
          <w:pgSz w:w="12240" w:h="15840" w:code="1"/>
          <w:pgMar w:top="810" w:right="990" w:bottom="1080" w:left="1260" w:header="0" w:footer="0" w:gutter="0"/>
          <w:cols w:space="720"/>
          <w:docGrid w:linePitch="360"/>
        </w:sectPr>
      </w:pPr>
      <w:r>
        <w:fldChar w:fldCharType="end"/>
      </w:r>
    </w:p>
    <w:p w14:paraId="3D3DE08E" w14:textId="77777777" w:rsidR="0014292E" w:rsidRDefault="0014292E" w:rsidP="0014292E">
      <w:pPr>
        <w:tabs>
          <w:tab w:val="left" w:pos="5130"/>
        </w:tabs>
      </w:pPr>
      <w:r>
        <w:rPr>
          <w:noProof/>
          <w:color w:val="000000" w:themeColor="text1"/>
          <w:lang w:val="en-US"/>
        </w:rPr>
        <w:lastRenderedPageBreak/>
        <mc:AlternateContent>
          <mc:Choice Requires="wpg">
            <w:drawing>
              <wp:inline distT="0" distB="0" distL="0" distR="0" wp14:anchorId="6C76966B" wp14:editId="1C756DE6">
                <wp:extent cx="2772410" cy="554465"/>
                <wp:effectExtent l="57150" t="38100" r="8890" b="0"/>
                <wp:docPr id="11" name="Group 11" title="SDO at a glance logo"/>
                <wp:cNvGraphicFramePr/>
                <a:graphic xmlns:a="http://schemas.openxmlformats.org/drawingml/2006/main">
                  <a:graphicData uri="http://schemas.microsoft.com/office/word/2010/wordprocessingGroup">
                    <wpg:wgp>
                      <wpg:cNvGrpSpPr/>
                      <wpg:grpSpPr>
                        <a:xfrm>
                          <a:off x="0" y="0"/>
                          <a:ext cx="2772410" cy="554465"/>
                          <a:chOff x="0" y="0"/>
                          <a:chExt cx="2772410" cy="554465"/>
                        </a:xfrm>
                      </wpg:grpSpPr>
                      <wps:wsp>
                        <wps:cNvPr id="25" name="Text Box 25" descr="SDO at a glance" title="SDO at a glance"/>
                        <wps:cNvSpPr txBox="1">
                          <a:spLocks noChangeArrowheads="1"/>
                        </wps:cNvSpPr>
                        <wps:spPr bwMode="auto">
                          <a:xfrm>
                            <a:off x="445273" y="246490"/>
                            <a:ext cx="2197100" cy="3079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A720F34" w14:textId="77777777" w:rsidR="00EF4C42" w:rsidRPr="009C7C91" w:rsidRDefault="00EF4C42" w:rsidP="00D45548">
                              <w:r>
                                <w:t>SDO at a glance</w:t>
                              </w:r>
                            </w:p>
                            <w:p w14:paraId="04BE3CD3" w14:textId="77777777" w:rsidR="00EF4C42" w:rsidRDefault="00EF4C42" w:rsidP="00D45548"/>
                          </w:txbxContent>
                        </wps:txbx>
                        <wps:bodyPr rot="0" vert="horz" wrap="square" lIns="36576" tIns="36576" rIns="36576" bIns="36576" anchor="t" anchorCtr="0" upright="1">
                          <a:noAutofit/>
                        </wps:bodyPr>
                      </wps:wsp>
                      <wps:wsp>
                        <wps:cNvPr id="6" name="Rectangle 6" descr="this is part of the new branding for SDO" title="SDO branding"/>
                        <wps:cNvSpPr>
                          <a:spLocks noChangeArrowheads="1"/>
                        </wps:cNvSpPr>
                        <wps:spPr bwMode="auto">
                          <a:xfrm>
                            <a:off x="365760" y="198782"/>
                            <a:ext cx="2406650" cy="45085"/>
                          </a:xfrm>
                          <a:prstGeom prst="rect">
                            <a:avLst/>
                          </a:prstGeom>
                          <a:solidFill>
                            <a:srgbClr val="CC0066"/>
                          </a:solidFill>
                          <a:ln>
                            <a:noFill/>
                          </a:ln>
                          <a:effectLst/>
                        </wps:spPr>
                        <wps:bodyPr rot="0" vert="horz" wrap="square" lIns="36576" tIns="36576" rIns="36576" bIns="36576" anchor="t" anchorCtr="0" upright="1">
                          <a:noAutofit/>
                        </wps:bodyPr>
                      </wps:wsp>
                      <wps:wsp>
                        <wps:cNvPr id="7" name="Oval 7" descr="this is part of the new branding for SDO" title="red oval"/>
                        <wps:cNvSpPr/>
                        <wps:spPr>
                          <a:xfrm>
                            <a:off x="0" y="0"/>
                            <a:ext cx="372110" cy="372110"/>
                          </a:xfrm>
                          <a:prstGeom prst="ellipse">
                            <a:avLst/>
                          </a:prstGeom>
                          <a:gradFill>
                            <a:gsLst>
                              <a:gs pos="46000">
                                <a:srgbClr val="CC0066"/>
                              </a:gs>
                              <a:gs pos="100000">
                                <a:schemeClr val="bg1">
                                  <a:lumMod val="95000"/>
                                </a:schemeClr>
                              </a:gs>
                            </a:gsLst>
                            <a:lin ang="16200000" scaled="1"/>
                          </a:gradFill>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C76966B" id="Group 11" o:spid="_x0000_s1026" alt="Title: SDO at a glance logo" style="width:218.3pt;height:43.65pt;mso-position-horizontal-relative:char;mso-position-vertical-relative:line" coordsize="27724,5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">
                <v:shapetype id="_x0000_t202" coordsize="21600,21600" o:spt="202" path="m,l,21600r21600,l21600,xe">
                  <v:stroke joinstyle="miter"/>
                  <v:path gradientshapeok="t" o:connecttype="rect"/>
                </v:shapetype>
                <v:shape id="Text Box 25" o:spid="_x0000_s1027" type="#_x0000_t202" alt="SDO at a glance" style="position:absolute;left:4452;top:2464;width:21971;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" filled="f" fillcolor="#fffffe" stroked="f" strokecolor="#212120" insetpen="t">
                  <v:textbox inset="2.88pt,2.88pt,2.88pt,2.88pt">
                    <w:txbxContent>
                      <w:p w14:paraId="7A720F34" w14:textId="77777777" w:rsidR="00EF4C42" w:rsidRPr="009C7C91" w:rsidRDefault="00EF4C42" w:rsidP="00D45548">
                        <w:r>
                          <w:t>SDO at a glance</w:t>
                        </w:r>
                      </w:p>
                      <w:p w14:paraId="04BE3CD3" w14:textId="77777777" w:rsidR="00EF4C42" w:rsidRDefault="00EF4C42" w:rsidP="00D45548"/>
                    </w:txbxContent>
                  </v:textbox>
                </v:shape>
                <v:rect id="Rectangle 6" o:spid="_x0000_s1028" alt="this is part of the new branding for SDO" style="position:absolute;left:3657;top:1987;width:24067;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" fillcolor="#c06" stroked="f">
                  <v:textbox inset="2.88pt,2.88pt,2.88pt,2.88pt"/>
                </v:rect>
                <v:oval id="Oval 7" o:spid="_x0000_s1029" alt="this is part of the new branding for SDO" style="position:absolute;width:3721;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" fillcolor="#c06" stroked="f">
                  <v:fill color2="#f2f2f2 [3052]" rotate="t" angle="180" colors="0 #c06;30147f #c06" focus="100%" type="gradient"/>
                  <v:shadow on="t" color="black" opacity="24903f" origin=",.5" offset="0,.55556mm"/>
                </v:oval>
                <w10:anchorlock/>
              </v:group>
            </w:pict>
          </mc:Fallback>
        </mc:AlternateContent>
      </w:r>
      <w:r>
        <w:tab/>
      </w:r>
      <w:r>
        <w:tab/>
        <w:t xml:space="preserve"> </w:t>
      </w:r>
      <w:r w:rsidR="00665F3F" w:rsidRPr="005862F5">
        <w:rPr>
          <w:noProof/>
          <w:lang w:val="en-US"/>
        </w:rPr>
        <w:drawing>
          <wp:inline distT="0" distB="0" distL="0" distR="0" wp14:anchorId="6005E11A" wp14:editId="5C998666">
            <wp:extent cx="1795145" cy="858520"/>
            <wp:effectExtent l="0" t="0" r="0" b="0"/>
            <wp:docPr id="8" name="Picture 8" descr="Logo for Supplier Diveristy Office, Operational Services Division" title="Logo for Supplier Diveristy Office, Operational Service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5145" cy="858520"/>
                    </a:xfrm>
                    <a:prstGeom prst="rect">
                      <a:avLst/>
                    </a:prstGeom>
                    <a:noFill/>
                    <a:ln>
                      <a:noFill/>
                    </a:ln>
                  </pic:spPr>
                </pic:pic>
              </a:graphicData>
            </a:graphic>
          </wp:inline>
        </w:drawing>
      </w:r>
    </w:p>
    <w:p w14:paraId="09DC8793" w14:textId="77777777" w:rsidR="00877A53" w:rsidRPr="00F4066D" w:rsidRDefault="00877A53" w:rsidP="00352A9A">
      <w:pPr>
        <w:jc w:val="center"/>
      </w:pPr>
      <w:r w:rsidRPr="00F4066D">
        <w:t>SUPPLIER DIVERSITY OFFICE</w:t>
      </w:r>
    </w:p>
    <w:p w14:paraId="6C49B9AA" w14:textId="77777777" w:rsidR="00877A53" w:rsidRPr="00D45548" w:rsidRDefault="00877A53" w:rsidP="008D6F39">
      <w:pPr>
        <w:jc w:val="center"/>
      </w:pPr>
      <w:r w:rsidRPr="00D45548">
        <w:t>WITHIN THE</w:t>
      </w:r>
    </w:p>
    <w:p w14:paraId="63648F7D" w14:textId="77777777" w:rsidR="00877A53" w:rsidRPr="008D6F39" w:rsidRDefault="00877A53" w:rsidP="009857BB">
      <w:pPr>
        <w:pStyle w:val="Heading1"/>
      </w:pPr>
      <w:bookmarkStart w:id="1" w:name="_Toc405372667"/>
      <w:r w:rsidRPr="008D6F39">
        <w:t>OPERATIONAL SERVICES DIVISION</w:t>
      </w:r>
      <w:bookmarkEnd w:id="1"/>
    </w:p>
    <w:p w14:paraId="23E19B6F" w14:textId="77777777" w:rsidR="00877A53" w:rsidRPr="00A0225C" w:rsidRDefault="00877A53" w:rsidP="009E236C">
      <w:pPr>
        <w:jc w:val="both"/>
      </w:pPr>
      <w:r w:rsidRPr="00A0225C">
        <w:rPr>
          <w:bCs/>
          <w:color w:val="000000" w:themeColor="text1"/>
        </w:rPr>
        <w:t xml:space="preserve">In January of 2010, Governor Patrick executed An Act Reorganizing Certain Agencies of the Executive Department (Article 87) </w:t>
      </w:r>
      <w:r w:rsidRPr="00A0225C">
        <w:t>specifically combining the State Office of Minority and Women Business Assistance (SOMWBA) and the Affirmative Market Program (AMP) within the Operational Services Division (OSD) to create a single door through which Minority and Women-owned businesses can seek certification, technical assistance and capacity-building services. The newly created department within OSD was named the Supplier Diversity Office.</w:t>
      </w:r>
      <w:r w:rsidRPr="00A0225C">
        <w:rPr>
          <w:rStyle w:val="FootnoteReference"/>
          <w:rFonts w:eastAsia="Times New Roman"/>
        </w:rPr>
        <w:footnoteReference w:id="1"/>
      </w:r>
    </w:p>
    <w:p w14:paraId="2114AFD1" w14:textId="77777777" w:rsidR="00877A53" w:rsidRPr="00A0225C" w:rsidRDefault="00877A53" w:rsidP="009E236C">
      <w:pPr>
        <w:jc w:val="both"/>
      </w:pPr>
      <w:r w:rsidRPr="00A0225C">
        <w:rPr>
          <w:bCs/>
          <w:color w:val="000000" w:themeColor="text1"/>
        </w:rPr>
        <w:t xml:space="preserve">OSD </w:t>
      </w:r>
      <w:r w:rsidRPr="00A0225C">
        <w:t>administers the procurement process for the Commonwealth by establishing Statewide Contracts for goods and services that ensure best value, provide customer satisfaction, and support the socioeconomic and environmental goals of the Commonwealth and by providing specific operational services.  OSD provides unified support to the Commonwealth and external customers and is leading through a team approach under the direction of Gary Lambert, the Assistant Secretary for Operational Services.</w:t>
      </w:r>
    </w:p>
    <w:p w14:paraId="31A9AB23" w14:textId="77777777" w:rsidR="00877A53" w:rsidRPr="00A0225C" w:rsidRDefault="00877A53" w:rsidP="009E236C">
      <w:pPr>
        <w:jc w:val="both"/>
      </w:pPr>
      <w:r w:rsidRPr="00A0225C">
        <w:t>The Supplier Diversity Office is fully integrated into OSD.  Throughout FY201</w:t>
      </w:r>
      <w:r w:rsidR="00877B01">
        <w:t>4</w:t>
      </w:r>
      <w:r w:rsidRPr="00A0225C">
        <w:t xml:space="preserve"> SDO has actively participated in all aspects of the procurement and contracting of goods and services on statewide contracts, the performance management efforts within OSD, and SDO and its Supplier Diversity Program are involved in the strategic planning and reviewing of statewide contracts that come up for initial bid, renewal, or re-bid.</w:t>
      </w:r>
    </w:p>
    <w:p w14:paraId="551718C2" w14:textId="77777777" w:rsidR="00877A53" w:rsidRPr="00BA0FE4" w:rsidRDefault="00877A53" w:rsidP="005738B4">
      <w:pPr>
        <w:jc w:val="center"/>
      </w:pPr>
      <w:r w:rsidRPr="00BA0FE4">
        <w:t>The OSD Leadership Team</w:t>
      </w:r>
    </w:p>
    <w:p w14:paraId="721DA968" w14:textId="77777777" w:rsidR="00877A53" w:rsidRPr="00A0225C" w:rsidRDefault="00877A53" w:rsidP="00352A9A">
      <w:pPr>
        <w:spacing w:after="120"/>
        <w:jc w:val="both"/>
      </w:pPr>
      <w:r w:rsidRPr="00A0225C">
        <w:t>Gary J. Lambert, Assistant Secretary for Operational Services</w:t>
      </w:r>
    </w:p>
    <w:p w14:paraId="76F9004D" w14:textId="77777777" w:rsidR="00877A53" w:rsidRPr="00A0225C" w:rsidRDefault="00877A53" w:rsidP="00352A9A">
      <w:pPr>
        <w:spacing w:after="120"/>
        <w:ind w:left="2340" w:hanging="2340"/>
        <w:jc w:val="both"/>
      </w:pPr>
      <w:r w:rsidRPr="00A0225C">
        <w:t>William McAvoy, Esq., Deputy State Purchasing Agent and General Counsel, Legal, Policy and Compliance Office</w:t>
      </w:r>
    </w:p>
    <w:p w14:paraId="498D7E30" w14:textId="77777777" w:rsidR="00877A53" w:rsidRPr="00A0225C" w:rsidRDefault="00877A53" w:rsidP="00352A9A">
      <w:pPr>
        <w:spacing w:after="120"/>
        <w:jc w:val="both"/>
      </w:pPr>
      <w:r w:rsidRPr="00A0225C">
        <w:t>Patricia Wynn, Deputy State Purchasing Agent, Office of Operations, Training, and Audit</w:t>
      </w:r>
    </w:p>
    <w:p w14:paraId="542EC6C9" w14:textId="77777777" w:rsidR="00877A53" w:rsidRPr="00A0225C" w:rsidRDefault="00877A53" w:rsidP="00352A9A">
      <w:pPr>
        <w:spacing w:after="120"/>
        <w:jc w:val="both"/>
      </w:pPr>
      <w:r w:rsidRPr="00A0225C">
        <w:t>Reginald A. Nunnally, Executive Director, Supplier Diversity Office</w:t>
      </w:r>
    </w:p>
    <w:p w14:paraId="218CF493" w14:textId="77777777" w:rsidR="00877A53" w:rsidRPr="00A0225C" w:rsidRDefault="00852854" w:rsidP="00352A9A">
      <w:pPr>
        <w:spacing w:after="120"/>
        <w:jc w:val="both"/>
      </w:pPr>
      <w:r>
        <w:t xml:space="preserve">Julie S. Sullivan, </w:t>
      </w:r>
      <w:r w:rsidR="00877A53" w:rsidRPr="00A0225C">
        <w:t>C.F.O., Office of Administration and Finance</w:t>
      </w:r>
    </w:p>
    <w:p w14:paraId="378F5FEE" w14:textId="77777777" w:rsidR="00877A53" w:rsidRPr="00A0225C" w:rsidRDefault="00877A53" w:rsidP="00352A9A">
      <w:pPr>
        <w:spacing w:after="120"/>
        <w:jc w:val="both"/>
      </w:pPr>
      <w:r w:rsidRPr="00A0225C">
        <w:t xml:space="preserve">Kathy Reilly, </w:t>
      </w:r>
      <w:r w:rsidRPr="00A0225C">
        <w:tab/>
        <w:t>Director Strategic Sourcing Services</w:t>
      </w:r>
    </w:p>
    <w:p w14:paraId="125FED9A" w14:textId="77777777" w:rsidR="00877A53" w:rsidRPr="00A0225C" w:rsidRDefault="00877A53" w:rsidP="00352A9A">
      <w:pPr>
        <w:ind w:left="1440" w:hanging="1440"/>
        <w:jc w:val="both"/>
      </w:pPr>
      <w:r w:rsidRPr="00A0225C">
        <w:lastRenderedPageBreak/>
        <w:t>Nancy Burke,</w:t>
      </w:r>
      <w:r w:rsidRPr="00A0225C">
        <w:tab/>
        <w:t>Office of Administration and Finance Agency C.I.O. for Operational Services, Division of Capital Asset Management and Maintenance (DCAMM) and Bureau of the State House (BSB)</w:t>
      </w:r>
    </w:p>
    <w:p w14:paraId="052AF302" w14:textId="77777777" w:rsidR="00B318E6" w:rsidRPr="005862F5" w:rsidRDefault="00B318E6" w:rsidP="00D45548">
      <w:r w:rsidRPr="005862F5">
        <w:t>The Commonwealth of Massachusetts spends approximately $4 Billion each year on goods and services.  Approximately $1</w:t>
      </w:r>
      <w:r w:rsidR="00352A9A">
        <w:t xml:space="preserve"> </w:t>
      </w:r>
      <w:r w:rsidRPr="005862F5">
        <w:t>Billion of this amount is targeted to Operational Services Division Supplier Diversity Office certified minority and women-owned business enterprises as well as Small Business Purchasing Program participants.  The SDO is responsible for reviewing applications for certification from businesses that meet certain state and federal criteria.  The SDO has a long tradition of service to minority and women owned businesses in the Commonwealth of Massachusetts. Today the SDO continues to expand outreach to even more business communities.</w:t>
      </w:r>
    </w:p>
    <w:p w14:paraId="5BB940D5" w14:textId="77777777" w:rsidR="00B318E6" w:rsidRPr="005862F5" w:rsidRDefault="00B318E6" w:rsidP="00D45548">
      <w:pPr>
        <w:pStyle w:val="NormalWeb"/>
      </w:pPr>
      <w:r w:rsidRPr="005862F5">
        <w:t>The SDO is comprised of the following programs:</w:t>
      </w:r>
    </w:p>
    <w:p w14:paraId="6CF9128E" w14:textId="77777777" w:rsidR="00B318E6" w:rsidRPr="005862F5" w:rsidRDefault="00B318E6" w:rsidP="00D45548">
      <w:pPr>
        <w:pStyle w:val="NormalWeb"/>
        <w:numPr>
          <w:ilvl w:val="0"/>
          <w:numId w:val="9"/>
        </w:numPr>
      </w:pPr>
      <w:r w:rsidRPr="005862F5">
        <w:t>Certification</w:t>
      </w:r>
    </w:p>
    <w:p w14:paraId="2A49AFFF" w14:textId="77777777" w:rsidR="00B318E6" w:rsidRPr="005862F5" w:rsidRDefault="00B318E6" w:rsidP="00D45548">
      <w:pPr>
        <w:pStyle w:val="NormalWeb"/>
        <w:numPr>
          <w:ilvl w:val="1"/>
          <w:numId w:val="9"/>
        </w:numPr>
      </w:pPr>
      <w:r w:rsidRPr="005862F5">
        <w:t>State Certification Program</w:t>
      </w:r>
    </w:p>
    <w:p w14:paraId="67F19E61" w14:textId="77777777" w:rsidR="00B318E6" w:rsidRPr="005862F5" w:rsidRDefault="00B318E6" w:rsidP="00D45548">
      <w:pPr>
        <w:pStyle w:val="NormalWeb"/>
        <w:numPr>
          <w:ilvl w:val="1"/>
          <w:numId w:val="9"/>
        </w:numPr>
      </w:pPr>
      <w:r w:rsidRPr="005862F5">
        <w:t>Unified Certification Program</w:t>
      </w:r>
    </w:p>
    <w:p w14:paraId="3B55D9C9" w14:textId="77777777" w:rsidR="00B318E6" w:rsidRPr="005862F5" w:rsidRDefault="00B318E6" w:rsidP="00D45548">
      <w:pPr>
        <w:pStyle w:val="NormalWeb"/>
        <w:numPr>
          <w:ilvl w:val="0"/>
          <w:numId w:val="9"/>
        </w:numPr>
      </w:pPr>
      <w:r w:rsidRPr="005862F5">
        <w:t>Supplier Diversity Program</w:t>
      </w:r>
    </w:p>
    <w:p w14:paraId="6790D919" w14:textId="77777777" w:rsidR="00B318E6" w:rsidRPr="005862F5" w:rsidRDefault="00B318E6" w:rsidP="00D45548">
      <w:pPr>
        <w:pStyle w:val="NormalWeb"/>
        <w:numPr>
          <w:ilvl w:val="0"/>
          <w:numId w:val="9"/>
        </w:numPr>
      </w:pPr>
      <w:r w:rsidRPr="005862F5">
        <w:t>Small Business Purchasing Program</w:t>
      </w:r>
    </w:p>
    <w:p w14:paraId="3AE56F32" w14:textId="77777777" w:rsidR="00104FD8" w:rsidRDefault="00B318E6" w:rsidP="00D45548">
      <w:pPr>
        <w:pStyle w:val="NormalWeb"/>
        <w:numPr>
          <w:ilvl w:val="0"/>
          <w:numId w:val="9"/>
        </w:numPr>
      </w:pPr>
      <w:r w:rsidRPr="005862F5">
        <w:t>Construction Reform Program</w:t>
      </w:r>
    </w:p>
    <w:p w14:paraId="0EE7A636" w14:textId="77777777" w:rsidR="00B318E6" w:rsidRPr="005862F5" w:rsidRDefault="00104FD8" w:rsidP="00D45548">
      <w:pPr>
        <w:pStyle w:val="NormalWeb"/>
        <w:numPr>
          <w:ilvl w:val="0"/>
          <w:numId w:val="9"/>
        </w:numPr>
      </w:pPr>
      <w:r>
        <w:t>Service Disabled Veteran Owned Business Enterprise</w:t>
      </w:r>
      <w:r w:rsidR="00B318E6" w:rsidRPr="005862F5">
        <w:t xml:space="preserve"> </w:t>
      </w:r>
    </w:p>
    <w:p w14:paraId="67E01F4F" w14:textId="77777777" w:rsidR="00870AE9" w:rsidRDefault="00B318E6" w:rsidP="00352A9A">
      <w:pPr>
        <w:pStyle w:val="NormalWeb"/>
        <w:spacing w:line="276" w:lineRule="auto"/>
        <w:rPr>
          <w:b/>
        </w:rPr>
      </w:pPr>
      <w:r w:rsidRPr="00F4066D">
        <w:t>Certification Program: State / UCP Program</w:t>
      </w:r>
      <w:r w:rsidR="005862F5" w:rsidRPr="005862F5">
        <w:rPr>
          <w:b/>
        </w:rPr>
        <w:t xml:space="preserve"> </w:t>
      </w:r>
    </w:p>
    <w:p w14:paraId="1C1E14A9" w14:textId="77777777" w:rsidR="00B318E6" w:rsidRPr="005862F5" w:rsidRDefault="00B318E6" w:rsidP="00352A9A">
      <w:pPr>
        <w:pStyle w:val="NormalWeb"/>
        <w:spacing w:line="276" w:lineRule="auto"/>
        <w:jc w:val="both"/>
      </w:pPr>
      <w:r w:rsidRPr="005862F5">
        <w:t xml:space="preserve">One of our primary services at the state level is to certify Minority (MBE), Women (WBE), and at the federal level through the Unified Certification Program (UCP), the Disadvantaged </w:t>
      </w:r>
      <w:r w:rsidR="00C93F4E">
        <w:t>Business E</w:t>
      </w:r>
      <w:r w:rsidRPr="005862F5">
        <w:t xml:space="preserve">nterprises </w:t>
      </w:r>
      <w:r w:rsidR="00C93F4E" w:rsidRPr="005862F5">
        <w:t xml:space="preserve">(DBE) </w:t>
      </w:r>
      <w:r w:rsidRPr="005862F5">
        <w:t xml:space="preserve">that </w:t>
      </w:r>
      <w:r w:rsidR="00C93F4E">
        <w:t>meet</w:t>
      </w:r>
      <w:r w:rsidRPr="005862F5">
        <w:t xml:space="preserve"> certain state and/or federal criteria.  SDO certification is a marketing tool used to enhance a firm's ability to do business in public markets.  Although certification does not guarantee that a business will be successful every time it bids, it may add a competitive edge to firms seeking contracts with the government.</w:t>
      </w:r>
    </w:p>
    <w:p w14:paraId="490B4DA4" w14:textId="77777777" w:rsidR="00870AE9" w:rsidRDefault="00B318E6" w:rsidP="00352A9A">
      <w:pPr>
        <w:pStyle w:val="NormalWeb"/>
        <w:spacing w:line="276" w:lineRule="auto"/>
        <w:jc w:val="both"/>
        <w:rPr>
          <w:b/>
        </w:rPr>
      </w:pPr>
      <w:r w:rsidRPr="00F4066D">
        <w:t>Supplier Diversity Program (SDP)</w:t>
      </w:r>
      <w:r w:rsidR="005862F5" w:rsidRPr="005862F5">
        <w:rPr>
          <w:b/>
        </w:rPr>
        <w:t xml:space="preserve"> </w:t>
      </w:r>
    </w:p>
    <w:p w14:paraId="51AE79E6" w14:textId="77777777" w:rsidR="00B318E6" w:rsidRPr="005862F5" w:rsidRDefault="00B318E6" w:rsidP="00352A9A">
      <w:pPr>
        <w:pStyle w:val="NormalWeb"/>
        <w:spacing w:line="276" w:lineRule="auto"/>
        <w:jc w:val="both"/>
      </w:pPr>
      <w:r w:rsidRPr="005862F5">
        <w:t xml:space="preserve">The Supplier Diversity Program was established in September, 2010 via </w:t>
      </w:r>
      <w:r w:rsidRPr="005862F5">
        <w:rPr>
          <w:color w:val="000000" w:themeColor="text1"/>
        </w:rPr>
        <w:t xml:space="preserve">Executive Order 524 to </w:t>
      </w:r>
      <w:r w:rsidRPr="005862F5">
        <w:t>promote equality in state contracting by ensuring full participation of minority and women owned business enterprises in all areas of state contracting including goods and services.  The SDP provides opportunities in state contracting for minority and women owned business enterprises to partner with prime vendors in completing their SDP Plan contracting obligations.</w:t>
      </w:r>
    </w:p>
    <w:p w14:paraId="2D8746EB" w14:textId="77777777" w:rsidR="00870AE9" w:rsidRDefault="00B318E6" w:rsidP="00ED0952">
      <w:pPr>
        <w:jc w:val="both"/>
        <w:rPr>
          <w:b/>
        </w:rPr>
      </w:pPr>
      <w:r w:rsidRPr="00F4066D">
        <w:t>Small Business Purchasing Program (SBPP)</w:t>
      </w:r>
      <w:r w:rsidR="005862F5" w:rsidRPr="005862F5">
        <w:rPr>
          <w:b/>
        </w:rPr>
        <w:t xml:space="preserve"> </w:t>
      </w:r>
    </w:p>
    <w:p w14:paraId="39B88175" w14:textId="77777777" w:rsidR="00B318E6" w:rsidRPr="005862F5" w:rsidRDefault="00B318E6" w:rsidP="00352A9A">
      <w:pPr>
        <w:jc w:val="both"/>
      </w:pPr>
      <w:r w:rsidRPr="005862F5">
        <w:t>Governor Deval Patrick recognizes the importance of Massachusetts small businesses and the impact and challenges the latest recession has placed on them. Governor Patrick signed Executive Order 523, on June 29,</w:t>
      </w:r>
      <w:r w:rsidR="00877B01">
        <w:t xml:space="preserve"> </w:t>
      </w:r>
      <w:r w:rsidRPr="005862F5">
        <w:t xml:space="preserve">2010, establishing a new Massachusetts Small Business </w:t>
      </w:r>
      <w:r w:rsidRPr="005862F5">
        <w:lastRenderedPageBreak/>
        <w:t xml:space="preserve">Purchasing Program (SBPP) to direct state spending for non-construction goods and services to participating Massachusetts small businesses. </w:t>
      </w:r>
    </w:p>
    <w:p w14:paraId="764B4868" w14:textId="77777777" w:rsidR="00870AE9" w:rsidRDefault="00B318E6" w:rsidP="00ED0952">
      <w:pPr>
        <w:rPr>
          <w:b/>
        </w:rPr>
      </w:pPr>
      <w:r w:rsidRPr="00F4066D">
        <w:t>Construction Reform Program</w:t>
      </w:r>
      <w:r w:rsidR="00F33C20">
        <w:rPr>
          <w:b/>
        </w:rPr>
        <w:t xml:space="preserve"> </w:t>
      </w:r>
    </w:p>
    <w:p w14:paraId="4125B4FE" w14:textId="77777777" w:rsidR="00B318E6" w:rsidRDefault="00B318E6" w:rsidP="00352A9A">
      <w:pPr>
        <w:jc w:val="both"/>
      </w:pPr>
      <w:r w:rsidRPr="005862F5">
        <w:t xml:space="preserve">The Construction Reform Law, Chapter 193 of the Acts of 2004 was signed into law on July 19, 2004 and requires that municipalities incorporate MBE and WBE goals into both the design and construction phase of </w:t>
      </w:r>
      <w:r w:rsidRPr="005862F5">
        <w:rPr>
          <w:bCs/>
          <w:u w:val="single"/>
        </w:rPr>
        <w:t>vertical</w:t>
      </w:r>
      <w:r w:rsidRPr="005862F5">
        <w:t xml:space="preserve"> municipal construction projects utilizing state funds if that phase exceeds $100,000.</w:t>
      </w:r>
    </w:p>
    <w:p w14:paraId="5E9D4DD0" w14:textId="77777777" w:rsidR="00104FD8" w:rsidRDefault="005738B4" w:rsidP="00352A9A">
      <w:r>
        <w:t>Service</w:t>
      </w:r>
      <w:r w:rsidR="00104FD8">
        <w:t xml:space="preserve"> Disabled Veteran Owned Business:</w:t>
      </w:r>
    </w:p>
    <w:p w14:paraId="53BF00B9" w14:textId="77777777" w:rsidR="00104FD8" w:rsidRPr="00104FD8" w:rsidRDefault="00104FD8" w:rsidP="00352A9A">
      <w:pPr>
        <w:shd w:val="clear" w:color="auto" w:fill="FFFFFF"/>
        <w:jc w:val="both"/>
        <w:rPr>
          <w:rFonts w:eastAsia="Times New Roman"/>
          <w:sz w:val="22"/>
          <w:szCs w:val="22"/>
        </w:rPr>
      </w:pPr>
      <w:r w:rsidRPr="00104FD8">
        <w:rPr>
          <w:rFonts w:eastAsia="Times New Roman"/>
          <w:sz w:val="22"/>
          <w:szCs w:val="22"/>
        </w:rPr>
        <w:t>The Service-Disabled Veteran-Owned Business Enterprise (SDVOBE) Program was established March 8, 2013 </w:t>
      </w:r>
      <w:r>
        <w:rPr>
          <w:rFonts w:eastAsia="Times New Roman"/>
          <w:sz w:val="22"/>
          <w:szCs w:val="22"/>
        </w:rPr>
        <w:t xml:space="preserve">by Executive Order 546 </w:t>
      </w:r>
      <w:r w:rsidRPr="00104FD8">
        <w:rPr>
          <w:rFonts w:eastAsia="Times New Roman"/>
          <w:sz w:val="22"/>
          <w:szCs w:val="22"/>
        </w:rPr>
        <w:t>to promote self-reliance among service-disabled veterans by offering such veterans who own and control business enterprises the opportunity to participate in state contracting activity; and to promote supplier diversity in public contracting. The program encourages the award of state contracts in a manner that develops and strengthens Service-Disabled Veteran-Owned Business Enterprise. Our mission is to increase business opportunities for SDVOBE</w:t>
      </w:r>
      <w:r w:rsidR="003F28BC">
        <w:rPr>
          <w:rFonts w:eastAsia="Times New Roman"/>
          <w:sz w:val="22"/>
          <w:szCs w:val="22"/>
        </w:rPr>
        <w:t>’</w:t>
      </w:r>
      <w:r w:rsidRPr="00104FD8">
        <w:rPr>
          <w:rFonts w:eastAsia="Times New Roman"/>
          <w:sz w:val="22"/>
          <w:szCs w:val="22"/>
        </w:rPr>
        <w:t>s.</w:t>
      </w:r>
      <w:r>
        <w:rPr>
          <w:rFonts w:eastAsia="Times New Roman"/>
          <w:sz w:val="22"/>
          <w:szCs w:val="22"/>
        </w:rPr>
        <w:t xml:space="preserve"> </w:t>
      </w:r>
      <w:r w:rsidR="003F28BC">
        <w:rPr>
          <w:rFonts w:eastAsia="Times New Roman"/>
          <w:sz w:val="22"/>
          <w:szCs w:val="22"/>
        </w:rPr>
        <w:t xml:space="preserve"> As this is the newest of the Supplier Diversity Office’s programs we will begin tracking spending eff</w:t>
      </w:r>
      <w:r w:rsidR="00C93F4E">
        <w:rPr>
          <w:rFonts w:eastAsia="Times New Roman"/>
          <w:sz w:val="22"/>
          <w:szCs w:val="22"/>
        </w:rPr>
        <w:t>ective July 1, 2014 of FY</w:t>
      </w:r>
      <w:r w:rsidR="003F28BC">
        <w:rPr>
          <w:rFonts w:eastAsia="Times New Roman"/>
          <w:sz w:val="22"/>
          <w:szCs w:val="22"/>
        </w:rPr>
        <w:t>15.</w:t>
      </w:r>
    </w:p>
    <w:p w14:paraId="618BA314" w14:textId="77777777" w:rsidR="00104FD8" w:rsidRPr="005862F5" w:rsidRDefault="00104FD8" w:rsidP="00D45548"/>
    <w:p w14:paraId="44FC295B" w14:textId="77777777" w:rsidR="007E0A0A" w:rsidRDefault="007E0A0A" w:rsidP="00D45548">
      <w:r>
        <w:br w:type="page"/>
      </w:r>
    </w:p>
    <w:p w14:paraId="18CB61E6" w14:textId="77777777" w:rsidR="00DC54C6" w:rsidRPr="00F4066D" w:rsidRDefault="000D6A9D" w:rsidP="009857BB">
      <w:pPr>
        <w:pStyle w:val="Heading1"/>
      </w:pPr>
      <w:bookmarkStart w:id="2" w:name="_Toc405372668"/>
      <w:r w:rsidRPr="00F4066D">
        <w:lastRenderedPageBreak/>
        <w:t>PERFORMANCE MANAGEMENT</w:t>
      </w:r>
      <w:bookmarkEnd w:id="2"/>
    </w:p>
    <w:p w14:paraId="4D77863A" w14:textId="77777777" w:rsidR="00DC54C6" w:rsidRPr="005A74C6" w:rsidRDefault="007B5F17" w:rsidP="00ED0952">
      <w:pPr>
        <w:jc w:val="both"/>
      </w:pPr>
      <w:r w:rsidRPr="005A74C6">
        <w:t xml:space="preserve">Governor Patrick signed </w:t>
      </w:r>
      <w:hyperlink r:id="rId15" w:history="1">
        <w:r w:rsidRPr="00422E95">
          <w:rPr>
            <w:rStyle w:val="Hyperlink"/>
          </w:rPr>
          <w:t>Executive Order 540</w:t>
        </w:r>
      </w:hyperlink>
      <w:r w:rsidRPr="005A74C6">
        <w:t xml:space="preserve"> in FY2012, which set out the policy framework</w:t>
      </w:r>
      <w:r w:rsidR="00C653C5" w:rsidRPr="005A74C6">
        <w:t xml:space="preserve"> </w:t>
      </w:r>
      <w:r w:rsidRPr="005A74C6">
        <w:t xml:space="preserve">for instituting performance management across state government.  </w:t>
      </w:r>
      <w:r w:rsidR="00DC54C6" w:rsidRPr="005A74C6">
        <w:t xml:space="preserve">Under the Executive Office </w:t>
      </w:r>
      <w:r w:rsidR="00877A53" w:rsidRPr="005A74C6">
        <w:t>for</w:t>
      </w:r>
      <w:r w:rsidR="00DC54C6" w:rsidRPr="005A74C6">
        <w:t xml:space="preserve"> Admin</w:t>
      </w:r>
      <w:r w:rsidRPr="005A74C6">
        <w:t>i</w:t>
      </w:r>
      <w:r w:rsidR="00DC54C6" w:rsidRPr="005A74C6">
        <w:t>stration and Finance, OSD and SDO participate</w:t>
      </w:r>
      <w:r w:rsidR="000D6A9D" w:rsidRPr="005A74C6">
        <w:t xml:space="preserve">d throughout FY2013 </w:t>
      </w:r>
      <w:r w:rsidR="00DC54C6" w:rsidRPr="005A74C6">
        <w:t xml:space="preserve">in </w:t>
      </w:r>
      <w:r w:rsidR="002E222A" w:rsidRPr="005A74C6">
        <w:t xml:space="preserve">various Performance Management activities including </w:t>
      </w:r>
      <w:r w:rsidR="00DC54C6" w:rsidRPr="005A74C6">
        <w:t>the Mass Results Ini</w:t>
      </w:r>
      <w:r w:rsidR="00877A53" w:rsidRPr="005A74C6">
        <w:t>tiative launched by the Patrick</w:t>
      </w:r>
      <w:r w:rsidR="00DC54C6" w:rsidRPr="005A74C6">
        <w:t xml:space="preserve"> Administration to build a results orientated government.  </w:t>
      </w:r>
      <w:r w:rsidRPr="005A74C6">
        <w:t xml:space="preserve">SDO is </w:t>
      </w:r>
      <w:r w:rsidR="002E222A" w:rsidRPr="005A74C6">
        <w:t xml:space="preserve">included within </w:t>
      </w:r>
      <w:r w:rsidRPr="005A74C6">
        <w:t xml:space="preserve">OSD’s </w:t>
      </w:r>
      <w:r w:rsidR="002E222A" w:rsidRPr="005A74C6">
        <w:t>T</w:t>
      </w:r>
      <w:r w:rsidRPr="005A74C6">
        <w:t>wo-</w:t>
      </w:r>
      <w:r w:rsidR="002E222A" w:rsidRPr="005A74C6">
        <w:t>Y</w:t>
      </w:r>
      <w:r w:rsidRPr="005A74C6">
        <w:t xml:space="preserve">ear </w:t>
      </w:r>
      <w:r w:rsidR="002E222A" w:rsidRPr="005A74C6">
        <w:t>S</w:t>
      </w:r>
      <w:r w:rsidRPr="005A74C6">
        <w:t xml:space="preserve">trategic </w:t>
      </w:r>
      <w:r w:rsidR="002E222A" w:rsidRPr="005A74C6">
        <w:t>P</w:t>
      </w:r>
      <w:r w:rsidRPr="005A74C6">
        <w:t xml:space="preserve">lan which was developed as part of the first milestone of EO540.  </w:t>
      </w:r>
      <w:r w:rsidR="00DC54C6" w:rsidRPr="005A74C6">
        <w:t>To that end</w:t>
      </w:r>
      <w:r w:rsidRPr="005A74C6">
        <w:t>,</w:t>
      </w:r>
      <w:r w:rsidR="00DC54C6" w:rsidRPr="005A74C6">
        <w:t xml:space="preserve"> </w:t>
      </w:r>
      <w:r w:rsidR="000D6A9D" w:rsidRPr="005A74C6">
        <w:t xml:space="preserve">the OSD 2013 – 2015 Strategic Plan-in-Brief can be located at </w:t>
      </w:r>
      <w:hyperlink r:id="rId16" w:tooltip="http://www.mass.gov/anf/docs/osd/osd-2013-2015-strategic-plan.pdf" w:history="1">
        <w:r w:rsidR="00192B1B">
          <w:rPr>
            <w:rStyle w:val="Hyperlink"/>
          </w:rPr>
          <w:t>www.mass.gov/anf/docs/osd/osd-2013-2015-strategic-plan.pdf.</w:t>
        </w:r>
      </w:hyperlink>
      <w:r w:rsidR="000D6A9D" w:rsidRPr="005A74C6">
        <w:t xml:space="preserve">  </w:t>
      </w:r>
      <w:r w:rsidR="00DC54C6" w:rsidRPr="005A74C6">
        <w:t xml:space="preserve">SDO members successfully </w:t>
      </w:r>
      <w:r w:rsidR="000D6A9D" w:rsidRPr="005A74C6">
        <w:t>participate in the strategic plan and you can find many of the achievements</w:t>
      </w:r>
      <w:r w:rsidR="002E30D0" w:rsidRPr="005A74C6">
        <w:t xml:space="preserve"> </w:t>
      </w:r>
      <w:r w:rsidR="000D6A9D" w:rsidRPr="005A74C6">
        <w:t>of the office identified in the document.  Further, SDO member</w:t>
      </w:r>
      <w:r w:rsidR="002E30D0" w:rsidRPr="005A74C6">
        <w:t>s</w:t>
      </w:r>
      <w:r w:rsidR="000D6A9D" w:rsidRPr="005A74C6">
        <w:t xml:space="preserve"> participated in </w:t>
      </w:r>
      <w:r w:rsidR="00DC54C6" w:rsidRPr="005A74C6">
        <w:t>Performance Manageme</w:t>
      </w:r>
      <w:r w:rsidRPr="005A74C6">
        <w:t>n</w:t>
      </w:r>
      <w:r w:rsidR="00DC54C6" w:rsidRPr="005A74C6">
        <w:t>t Executive Training sessions, attended the second annual Conference on Performance Management in State Government, and continue to seek o</w:t>
      </w:r>
      <w:r w:rsidRPr="005A74C6">
        <w:t>p</w:t>
      </w:r>
      <w:r w:rsidR="00DC54C6" w:rsidRPr="005A74C6">
        <w:t>portunit</w:t>
      </w:r>
      <w:r w:rsidRPr="005A74C6">
        <w:t>i</w:t>
      </w:r>
      <w:r w:rsidR="00DC54C6" w:rsidRPr="005A74C6">
        <w:t xml:space="preserve">es to drive </w:t>
      </w:r>
      <w:r w:rsidRPr="005A74C6">
        <w:t>efficiencies</w:t>
      </w:r>
      <w:r w:rsidR="00DC54C6" w:rsidRPr="005A74C6">
        <w:t xml:space="preserve"> in our work.  </w:t>
      </w:r>
      <w:r w:rsidR="002E30D0" w:rsidRPr="005A74C6">
        <w:t>OSD</w:t>
      </w:r>
      <w:r w:rsidR="002E222A" w:rsidRPr="005A74C6">
        <w:t>’s</w:t>
      </w:r>
      <w:r w:rsidR="002E30D0" w:rsidRPr="005A74C6">
        <w:t xml:space="preserve"> Leadership Team selected a business tool to lead the </w:t>
      </w:r>
      <w:r w:rsidR="002E222A" w:rsidRPr="005A74C6">
        <w:t xml:space="preserve">entire </w:t>
      </w:r>
      <w:r w:rsidR="002E30D0" w:rsidRPr="005A74C6">
        <w:t>organization to achieve one singularly important goal.</w:t>
      </w:r>
    </w:p>
    <w:p w14:paraId="7D653875" w14:textId="77777777" w:rsidR="00457790" w:rsidRPr="00D45548" w:rsidRDefault="00457790" w:rsidP="00352A9A">
      <w:pPr>
        <w:jc w:val="both"/>
      </w:pPr>
      <w:r w:rsidRPr="00D45548">
        <w:t>The Wildly Important Goal</w:t>
      </w:r>
    </w:p>
    <w:p w14:paraId="2F33D518" w14:textId="77777777" w:rsidR="00827795" w:rsidRPr="00827795" w:rsidRDefault="00877A53" w:rsidP="00ED0952">
      <w:pPr>
        <w:jc w:val="both"/>
      </w:pPr>
      <w:r>
        <w:rPr>
          <w:u w:val="single"/>
        </w:rPr>
        <w:t>4</w:t>
      </w:r>
      <w:r w:rsidR="00827795" w:rsidRPr="00827795">
        <w:rPr>
          <w:u w:val="single"/>
        </w:rPr>
        <w:t xml:space="preserve"> Disciplines of Execution</w:t>
      </w:r>
      <w:r w:rsidR="00827795" w:rsidRPr="00827795">
        <w:t xml:space="preserve"> </w:t>
      </w:r>
      <w:r w:rsidR="002E30D0">
        <w:t xml:space="preserve">(4DX) </w:t>
      </w:r>
      <w:r w:rsidR="002E222A">
        <w:t xml:space="preserve">is that business tool; the instructive book was </w:t>
      </w:r>
      <w:r w:rsidR="00827795" w:rsidRPr="00827795">
        <w:t xml:space="preserve">written by Sean Covey, Chris McChesney, and Jim Huling.  </w:t>
      </w:r>
      <w:r w:rsidR="00827795" w:rsidRPr="00827795">
        <w:rPr>
          <w:rFonts w:eastAsia="Times New Roman"/>
        </w:rPr>
        <w:t xml:space="preserve">4DX is a simple, repeatable, and proven formula for executing on your most important strategic priorities in the midst of the </w:t>
      </w:r>
      <w:r w:rsidR="007B5F17">
        <w:rPr>
          <w:rFonts w:eastAsia="Times New Roman"/>
        </w:rPr>
        <w:t>W</w:t>
      </w:r>
      <w:r w:rsidR="00827795" w:rsidRPr="00827795">
        <w:rPr>
          <w:rFonts w:eastAsia="Times New Roman"/>
        </w:rPr>
        <w:t>hirlwind (urgent activity required to keep things running day-to-day</w:t>
      </w:r>
      <w:r w:rsidR="007B5F17">
        <w:rPr>
          <w:rFonts w:eastAsia="Times New Roman"/>
        </w:rPr>
        <w:t>)</w:t>
      </w:r>
      <w:r w:rsidR="00827795" w:rsidRPr="00827795">
        <w:rPr>
          <w:rFonts w:eastAsia="Times New Roman"/>
        </w:rPr>
        <w:t>.  By following the 4 Disciplines leaders can produce breakthrough results.</w:t>
      </w:r>
      <w:r w:rsidR="00827795" w:rsidRPr="00827795">
        <w:rPr>
          <w:rStyle w:val="FootnoteReference"/>
          <w:rFonts w:eastAsia="Times New Roman"/>
          <w:color w:val="000000" w:themeColor="text1"/>
        </w:rPr>
        <w:footnoteReference w:id="2"/>
      </w:r>
    </w:p>
    <w:p w14:paraId="7282C578" w14:textId="77777777" w:rsidR="00827795" w:rsidRPr="00827795" w:rsidRDefault="00827795" w:rsidP="00352A9A">
      <w:pPr>
        <w:jc w:val="both"/>
      </w:pPr>
      <w:r w:rsidRPr="00827795">
        <w:t>Discipline 1: focusing on the wildly important,</w:t>
      </w:r>
    </w:p>
    <w:p w14:paraId="1DDE7EF0" w14:textId="77777777" w:rsidR="00827795" w:rsidRPr="00827795" w:rsidRDefault="00827795" w:rsidP="00352A9A">
      <w:pPr>
        <w:jc w:val="both"/>
      </w:pPr>
      <w:r w:rsidRPr="00827795">
        <w:t>Discipline 2: acting on lead measures</w:t>
      </w:r>
      <w:r w:rsidR="002E222A">
        <w:t>,</w:t>
      </w:r>
    </w:p>
    <w:p w14:paraId="7BB877DA" w14:textId="77777777" w:rsidR="00827795" w:rsidRPr="00827795" w:rsidRDefault="00827795" w:rsidP="00352A9A">
      <w:pPr>
        <w:jc w:val="both"/>
      </w:pPr>
      <w:r w:rsidRPr="00827795">
        <w:t>Discipline 3: keeping a compelling scoreboard</w:t>
      </w:r>
      <w:r w:rsidR="002E222A">
        <w:t>, and</w:t>
      </w:r>
    </w:p>
    <w:p w14:paraId="6EDAEF03" w14:textId="77777777" w:rsidR="00827795" w:rsidRPr="00827795" w:rsidRDefault="00827795" w:rsidP="00352A9A">
      <w:pPr>
        <w:jc w:val="both"/>
      </w:pPr>
      <w:r w:rsidRPr="00827795">
        <w:t>Discipline 4: creating a cadence of accountability</w:t>
      </w:r>
      <w:r w:rsidR="002E222A">
        <w:t>.</w:t>
      </w:r>
    </w:p>
    <w:p w14:paraId="60103A01" w14:textId="77777777" w:rsidR="00827795" w:rsidRDefault="00827795" w:rsidP="00ED0952">
      <w:pPr>
        <w:jc w:val="both"/>
      </w:pPr>
      <w:r>
        <w:t>In working with 4DX</w:t>
      </w:r>
      <w:r w:rsidR="00D411E7">
        <w:t>,</w:t>
      </w:r>
      <w:r>
        <w:t xml:space="preserve"> an organization creates one </w:t>
      </w:r>
      <w:r w:rsidR="002E222A">
        <w:t>W</w:t>
      </w:r>
      <w:r>
        <w:t xml:space="preserve">ildly </w:t>
      </w:r>
      <w:r w:rsidR="002E222A">
        <w:t>I</w:t>
      </w:r>
      <w:r>
        <w:t xml:space="preserve">mportant </w:t>
      </w:r>
      <w:r w:rsidR="002E222A">
        <w:t>G</w:t>
      </w:r>
      <w:r>
        <w:t>oal (“WIG”) and all departments within the organization then create their own goals that relate to and support the single most important goal of the organization</w:t>
      </w:r>
      <w:r w:rsidR="007B5F17">
        <w:t>.  The formula for a WIG is to make a change</w:t>
      </w:r>
      <w:r w:rsidR="002E222A">
        <w:t>:</w:t>
      </w:r>
      <w:r w:rsidR="007B5F17">
        <w:t xml:space="preserve"> from X to Y by a specific date.  OSD’s WIG was a fiscal year long one</w:t>
      </w:r>
      <w:r w:rsidR="002E30D0">
        <w:t xml:space="preserve"> and SDO participated with two sub-WIGs throughout the fiscal year</w:t>
      </w:r>
      <w:r w:rsidR="007B5F17">
        <w:t xml:space="preserve">.  </w:t>
      </w:r>
    </w:p>
    <w:p w14:paraId="698E1233" w14:textId="77777777" w:rsidR="002E30D0" w:rsidRDefault="002E30D0" w:rsidP="00352A9A">
      <w:pPr>
        <w:jc w:val="both"/>
      </w:pPr>
      <w:r w:rsidRPr="00881BB2">
        <w:t>O</w:t>
      </w:r>
      <w:r>
        <w:t xml:space="preserve">perational Services Division </w:t>
      </w:r>
      <w:r w:rsidR="00E20511">
        <w:t xml:space="preserve">FY2014 </w:t>
      </w:r>
      <w:r>
        <w:t>WIG</w:t>
      </w:r>
      <w:r w:rsidRPr="00881BB2">
        <w:t>:</w:t>
      </w:r>
    </w:p>
    <w:p w14:paraId="0A5D2691" w14:textId="77777777" w:rsidR="00D45548" w:rsidRPr="00837297" w:rsidRDefault="00D45548" w:rsidP="00ED0952">
      <w:pPr>
        <w:jc w:val="both"/>
        <w:rPr>
          <w:iCs/>
        </w:rPr>
      </w:pPr>
      <w:r w:rsidRPr="00837297">
        <w:t xml:space="preserve">Increase the </w:t>
      </w:r>
      <w:r w:rsidR="00D4453F">
        <w:t>Amount of Unique Page Views on the OSD Websites from 390,000 to 445</w:t>
      </w:r>
      <w:r w:rsidR="00796ADB">
        <w:t>,</w:t>
      </w:r>
      <w:r w:rsidR="00D4453F">
        <w:t>000 by June 30, 2014</w:t>
      </w:r>
      <w:r w:rsidR="00796ADB">
        <w:t>.</w:t>
      </w:r>
      <w:r w:rsidR="00D4453F">
        <w:t xml:space="preserve"> </w:t>
      </w:r>
    </w:p>
    <w:p w14:paraId="329D3BB4" w14:textId="77777777" w:rsidR="00803944" w:rsidRDefault="00803944" w:rsidP="00352A9A">
      <w:pPr>
        <w:jc w:val="both"/>
      </w:pPr>
      <w:r>
        <w:t>The Supplie</w:t>
      </w:r>
      <w:r w:rsidR="00EB2A34">
        <w:t>r Diversity Office’s WIG wa</w:t>
      </w:r>
      <w:r>
        <w:t>s:</w:t>
      </w:r>
    </w:p>
    <w:p w14:paraId="5508369D" w14:textId="77777777" w:rsidR="00D45548" w:rsidRPr="00837297" w:rsidRDefault="00D45548" w:rsidP="00ED0952">
      <w:pPr>
        <w:jc w:val="both"/>
      </w:pPr>
      <w:r w:rsidRPr="00837297">
        <w:lastRenderedPageBreak/>
        <w:t xml:space="preserve">To </w:t>
      </w:r>
      <w:r w:rsidR="00796ADB">
        <w:t>r</w:t>
      </w:r>
      <w:r w:rsidR="00D4453F">
        <w:t xml:space="preserve">educe the </w:t>
      </w:r>
      <w:r w:rsidR="00796ADB">
        <w:t>n</w:t>
      </w:r>
      <w:r w:rsidR="00D4453F">
        <w:t xml:space="preserve">umber of </w:t>
      </w:r>
      <w:r w:rsidR="00796ADB">
        <w:t>t</w:t>
      </w:r>
      <w:r w:rsidR="00D4453F">
        <w:t xml:space="preserve">elephone </w:t>
      </w:r>
      <w:r w:rsidR="00796ADB">
        <w:t>c</w:t>
      </w:r>
      <w:r w:rsidR="00D4453F">
        <w:t>alls from 12,630 to 6,315 by June 30, 2014</w:t>
      </w:r>
      <w:r w:rsidR="00796ADB">
        <w:t>.</w:t>
      </w:r>
      <w:r w:rsidR="00D4453F">
        <w:t xml:space="preserve"> </w:t>
      </w:r>
    </w:p>
    <w:p w14:paraId="37241727" w14:textId="77777777" w:rsidR="00D411E7" w:rsidRDefault="0064244B" w:rsidP="00352A9A">
      <w:pPr>
        <w:jc w:val="both"/>
      </w:pPr>
      <w:r>
        <w:t xml:space="preserve">To achieve this, the SDO team </w:t>
      </w:r>
      <w:r w:rsidR="00D4453F">
        <w:t xml:space="preserve">updated, refreshed and made more user friendly the SDO web pages </w:t>
      </w:r>
      <w:hyperlink r:id="rId17" w:tooltip="www.Mass.gov/SDO" w:history="1">
        <w:r w:rsidR="00D4453F" w:rsidRPr="00B441CB">
          <w:rPr>
            <w:rStyle w:val="Hyperlink"/>
          </w:rPr>
          <w:t>www.Mass.gov/SDO</w:t>
        </w:r>
      </w:hyperlink>
      <w:r w:rsidR="00D4453F">
        <w:t xml:space="preserve">  to </w:t>
      </w:r>
      <w:r w:rsidR="00796ADB">
        <w:t>e</w:t>
      </w:r>
      <w:r w:rsidR="00D4453F">
        <w:t xml:space="preserve">nsure customers could obtain information relative the SDO programs without having to call for additional information.  SDO </w:t>
      </w:r>
      <w:r w:rsidR="00796ADB">
        <w:t xml:space="preserve">surpassed </w:t>
      </w:r>
      <w:r w:rsidR="00D4453F">
        <w:t>the goal by 4%</w:t>
      </w:r>
      <w:r w:rsidR="00796ADB">
        <w:t>/</w:t>
      </w:r>
      <w:r w:rsidR="00E553A7">
        <w:t xml:space="preserve"> 6,113</w:t>
      </w:r>
      <w:r w:rsidR="00796ADB">
        <w:t xml:space="preserve"> telephone calls</w:t>
      </w:r>
      <w:r w:rsidR="00D4453F">
        <w:t>.  As a result</w:t>
      </w:r>
      <w:r w:rsidR="00E553A7">
        <w:t xml:space="preserve"> the web pages are much more user friendly, all information is up to date</w:t>
      </w:r>
      <w:r w:rsidR="008E1FE5">
        <w:t>.</w:t>
      </w:r>
    </w:p>
    <w:p w14:paraId="7E98FF24" w14:textId="77777777" w:rsidR="0053398E" w:rsidRDefault="0053398E" w:rsidP="00352A9A">
      <w:pPr>
        <w:jc w:val="both"/>
      </w:pPr>
      <w:r>
        <w:t>Each WIG has a scoreboard so that the WIG forecast and the WIG performance can be tracked, measured, and immediately visually availa</w:t>
      </w:r>
      <w:r w:rsidR="00EA5DB1">
        <w:t xml:space="preserve">ble to the team at all times.  </w:t>
      </w:r>
      <w:r>
        <w:t>The process of identifying potentially qualified companies and having them apply for SDO certification and the review and approval or denial process takes time, as did the profile evaluation process, so the achievement of this WIG shows the slow and methodical progress and then the final results</w:t>
      </w:r>
      <w:r w:rsidR="00D76E1D">
        <w:t xml:space="preserve"> that</w:t>
      </w:r>
      <w:r>
        <w:t xml:space="preserve"> came together at the very end of the</w:t>
      </w:r>
      <w:r w:rsidR="00F40BEC">
        <w:t xml:space="preserve"> </w:t>
      </w:r>
      <w:r w:rsidR="00EB2A34">
        <w:t>year</w:t>
      </w:r>
      <w:r>
        <w:t>.</w:t>
      </w:r>
    </w:p>
    <w:p w14:paraId="4E810F53" w14:textId="77777777" w:rsidR="00C87409" w:rsidRDefault="00C87409" w:rsidP="009E236C">
      <w:pPr>
        <w:jc w:val="both"/>
      </w:pPr>
      <w:r>
        <w:rPr>
          <w:noProof/>
          <w:lang w:val="en-US"/>
        </w:rPr>
        <w:drawing>
          <wp:inline distT="0" distB="0" distL="0" distR="0" wp14:anchorId="08C5DCBC" wp14:editId="29B1DE6E">
            <wp:extent cx="5764696" cy="3559130"/>
            <wp:effectExtent l="0" t="0" r="7620" b="0"/>
            <wp:docPr id="3" name="Picture 3" descr="To Reduce the Number of Telephone Calls from 12,630 to 6,315 by June 30, 2014 &#10;&#10;SDO achieved the goal by 4% or 6,113" title="The Supplier Diversity Office’s W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4696" cy="3559130"/>
                    </a:xfrm>
                    <a:prstGeom prst="rect">
                      <a:avLst/>
                    </a:prstGeom>
                    <a:noFill/>
                  </pic:spPr>
                </pic:pic>
              </a:graphicData>
            </a:graphic>
          </wp:inline>
        </w:drawing>
      </w:r>
    </w:p>
    <w:p w14:paraId="4835B7BF" w14:textId="77777777" w:rsidR="0097429B" w:rsidRPr="00EB2A34" w:rsidRDefault="00C653C5" w:rsidP="00ED0952">
      <w:r w:rsidRPr="00EB2A34">
        <w:t xml:space="preserve">Other </w:t>
      </w:r>
      <w:r w:rsidR="00246B0D" w:rsidRPr="00EB2A34">
        <w:t>T</w:t>
      </w:r>
      <w:r w:rsidRPr="00EB2A34">
        <w:t>rainin</w:t>
      </w:r>
      <w:r w:rsidR="00246B0D" w:rsidRPr="00EB2A34">
        <w:t>g and P</w:t>
      </w:r>
      <w:r w:rsidRPr="00EB2A34">
        <w:t xml:space="preserve">erformance </w:t>
      </w:r>
      <w:r w:rsidR="00246B0D" w:rsidRPr="00EB2A34">
        <w:t>M</w:t>
      </w:r>
      <w:r w:rsidRPr="00EB2A34">
        <w:t>anagement efforts</w:t>
      </w:r>
      <w:r w:rsidR="00EB2A34" w:rsidRPr="00EB2A34">
        <w:t>:</w:t>
      </w:r>
    </w:p>
    <w:p w14:paraId="4FD6F6FF" w14:textId="77777777" w:rsidR="001675DF" w:rsidRDefault="0097429B" w:rsidP="00352A9A">
      <w:pPr>
        <w:jc w:val="both"/>
      </w:pPr>
      <w:r w:rsidRPr="00EB2A34">
        <w:t xml:space="preserve">For other training </w:t>
      </w:r>
      <w:r w:rsidR="00C653C5" w:rsidRPr="00EB2A34">
        <w:t xml:space="preserve">and performance management efforts </w:t>
      </w:r>
      <w:r w:rsidRPr="00EB2A34">
        <w:t>that SDO either participated in</w:t>
      </w:r>
      <w:r w:rsidR="00D76E1D" w:rsidRPr="00EB2A34">
        <w:t>,</w:t>
      </w:r>
      <w:r w:rsidRPr="00EB2A34">
        <w:t xml:space="preserve"> or provided throughout </w:t>
      </w:r>
      <w:r w:rsidR="00E553A7" w:rsidRPr="00EB2A34">
        <w:t>FY201</w:t>
      </w:r>
      <w:r w:rsidR="00E553A7">
        <w:t>4</w:t>
      </w:r>
      <w:r w:rsidRPr="00EB2A34">
        <w:t xml:space="preserve">, please see </w:t>
      </w:r>
      <w:r w:rsidR="00796ADB">
        <w:t>p</w:t>
      </w:r>
      <w:r w:rsidR="00E553A7">
        <w:t>re-certification workshops on page 12</w:t>
      </w:r>
      <w:r w:rsidRPr="00EB2A34">
        <w:t>.</w:t>
      </w:r>
    </w:p>
    <w:p w14:paraId="04CE81F6" w14:textId="77777777" w:rsidR="00EF4C42" w:rsidRDefault="00EF4C42" w:rsidP="00EF4C42">
      <w:pPr>
        <w:spacing w:after="1320"/>
        <w:jc w:val="both"/>
      </w:pPr>
    </w:p>
    <w:p w14:paraId="015C6E5F" w14:textId="77777777" w:rsidR="00977E30" w:rsidRPr="00E96F79" w:rsidRDefault="00A023F9" w:rsidP="00352A9A">
      <w:pPr>
        <w:pStyle w:val="Heading1"/>
        <w:spacing w:line="276" w:lineRule="auto"/>
      </w:pPr>
      <w:bookmarkStart w:id="3" w:name="_Toc405372669"/>
      <w:r w:rsidRPr="00E96F79">
        <w:lastRenderedPageBreak/>
        <w:t>CERTIFICATION UNIT</w:t>
      </w:r>
      <w:bookmarkEnd w:id="3"/>
    </w:p>
    <w:p w14:paraId="5202E83C" w14:textId="77777777" w:rsidR="00A023F9" w:rsidRPr="00EC1CE5" w:rsidRDefault="00A023F9" w:rsidP="00ED0952">
      <w:pPr>
        <w:jc w:val="both"/>
      </w:pPr>
      <w:proofErr w:type="gramStart"/>
      <w:r w:rsidRPr="00EC1CE5">
        <w:t>The Su</w:t>
      </w:r>
      <w:r w:rsidR="00D76E1D">
        <w:t>pplier Diversity Office (SDO),</w:t>
      </w:r>
      <w:proofErr w:type="gramEnd"/>
      <w:r w:rsidR="00D76E1D">
        <w:t xml:space="preserve"> </w:t>
      </w:r>
      <w:r w:rsidRPr="00EC1CE5">
        <w:t xml:space="preserve">continues its rich and long tradition of service to </w:t>
      </w:r>
      <w:r w:rsidR="004B4C79" w:rsidRPr="00EC1CE5">
        <w:t>Minority and Women</w:t>
      </w:r>
      <w:r w:rsidRPr="00EC1CE5">
        <w:t xml:space="preserve"> owned businesses in the Commonwealth of Massachusetts</w:t>
      </w:r>
      <w:r w:rsidR="007C6321" w:rsidRPr="00EC1CE5">
        <w:t xml:space="preserve">.  </w:t>
      </w:r>
      <w:r w:rsidR="009B5C90" w:rsidRPr="00EC1CE5">
        <w:t xml:space="preserve">One of our primary services </w:t>
      </w:r>
      <w:r w:rsidRPr="00EC1CE5">
        <w:t xml:space="preserve">to </w:t>
      </w:r>
      <w:r w:rsidR="004B4C79" w:rsidRPr="00EC1CE5">
        <w:t>Minority and Women</w:t>
      </w:r>
      <w:r w:rsidRPr="00EC1CE5">
        <w:t xml:space="preserve"> business enterprises</w:t>
      </w:r>
      <w:r w:rsidR="009B5C90" w:rsidRPr="00EC1CE5">
        <w:t xml:space="preserve"> is</w:t>
      </w:r>
      <w:r w:rsidRPr="00EC1CE5">
        <w:t xml:space="preserve"> to certify businesses that meet certain criteria</w:t>
      </w:r>
      <w:r w:rsidR="007C6321" w:rsidRPr="00EC1CE5">
        <w:t xml:space="preserve">.  </w:t>
      </w:r>
      <w:r w:rsidRPr="00EC1CE5">
        <w:t>SDO certification is a marketing tool used to enhance a firm's ability to do business in public markets</w:t>
      </w:r>
      <w:r w:rsidR="007C6321" w:rsidRPr="00EC1CE5">
        <w:t xml:space="preserve">.  </w:t>
      </w:r>
      <w:r w:rsidRPr="00EC1CE5">
        <w:t>Although certification does not guarantee that a business will be successful every time it bids, it may add a competitive edge to a bid</w:t>
      </w:r>
      <w:r w:rsidR="007C6321" w:rsidRPr="00EC1CE5">
        <w:t xml:space="preserve">.  </w:t>
      </w:r>
    </w:p>
    <w:p w14:paraId="549428B4" w14:textId="77777777" w:rsidR="00140B96" w:rsidRPr="00EC1CE5" w:rsidRDefault="00A023F9" w:rsidP="00852854">
      <w:pPr>
        <w:jc w:val="both"/>
      </w:pPr>
      <w:bookmarkStart w:id="4" w:name="MainContaint"/>
      <w:bookmarkEnd w:id="4"/>
      <w:r w:rsidRPr="00EC1CE5">
        <w:t xml:space="preserve">The SDO Certification Unit publishes a directory of certified </w:t>
      </w:r>
      <w:r w:rsidR="004B4C79" w:rsidRPr="00EC1CE5">
        <w:t>Minority and Women</w:t>
      </w:r>
      <w:r w:rsidRPr="00EC1CE5">
        <w:t xml:space="preserve"> business enterprises and certified </w:t>
      </w:r>
      <w:r w:rsidR="004B4C79" w:rsidRPr="00EC1CE5">
        <w:t>Minority and Women</w:t>
      </w:r>
      <w:r w:rsidRPr="00EC1CE5">
        <w:t>-controlled, non-profit organizations</w:t>
      </w:r>
      <w:r w:rsidR="007C6321" w:rsidRPr="00EC1CE5">
        <w:t xml:space="preserve">.  </w:t>
      </w:r>
      <w:r w:rsidRPr="00EC1CE5">
        <w:t xml:space="preserve">The directory is </w:t>
      </w:r>
      <w:hyperlink r:id="rId19" w:history="1">
        <w:r w:rsidRPr="00EC1CE5">
          <w:t>searchable online</w:t>
        </w:r>
      </w:hyperlink>
      <w:r w:rsidRPr="00EC1CE5">
        <w:t xml:space="preserve">, and may also be </w:t>
      </w:r>
      <w:hyperlink r:id="rId20" w:history="1">
        <w:r w:rsidRPr="00EC1CE5">
          <w:t>downloaded</w:t>
        </w:r>
      </w:hyperlink>
      <w:r w:rsidR="007C6321" w:rsidRPr="00EC1CE5">
        <w:t xml:space="preserve">.  </w:t>
      </w:r>
      <w:r w:rsidR="00140B96" w:rsidRPr="00EC1CE5">
        <w:t xml:space="preserve">You may access the directory at: </w:t>
      </w:r>
      <w:hyperlink r:id="rId21" w:tooltip="www.Mass.gov/SDO" w:history="1">
        <w:r w:rsidR="006145D1" w:rsidRPr="00682B95">
          <w:rPr>
            <w:rStyle w:val="Hyperlink"/>
          </w:rPr>
          <w:t>www.mass.gov/</w:t>
        </w:r>
        <w:bookmarkStart w:id="5" w:name="_Hlk394038545"/>
        <w:r w:rsidR="006145D1" w:rsidRPr="00682B95">
          <w:rPr>
            <w:rStyle w:val="Hyperlink"/>
          </w:rPr>
          <w:t>SDO</w:t>
        </w:r>
        <w:bookmarkEnd w:id="5"/>
      </w:hyperlink>
    </w:p>
    <w:p w14:paraId="52EA5DB4" w14:textId="77777777" w:rsidR="00606D7B" w:rsidRPr="00D45548" w:rsidRDefault="002F3F56" w:rsidP="00D45548">
      <w:pPr>
        <w:pStyle w:val="Heading2"/>
      </w:pPr>
      <w:bookmarkStart w:id="6" w:name="_Toc405372670"/>
      <w:r w:rsidRPr="00D45548">
        <w:t>STATE CERTIFICATION PROGRAM</w:t>
      </w:r>
      <w:bookmarkEnd w:id="6"/>
    </w:p>
    <w:p w14:paraId="041993D7" w14:textId="77777777" w:rsidR="002F3F56" w:rsidRPr="00EB2A34" w:rsidRDefault="00606D7B" w:rsidP="00D45548">
      <w:pPr>
        <w:jc w:val="center"/>
        <w:rPr>
          <w:color w:val="00B0F0"/>
        </w:rPr>
      </w:pPr>
      <w:r w:rsidRPr="00EB2A34">
        <w:t xml:space="preserve">MBE, </w:t>
      </w:r>
      <w:r w:rsidR="00884388" w:rsidRPr="00EB2A34">
        <w:t xml:space="preserve">WBE, M/WBE, </w:t>
      </w:r>
      <w:r w:rsidRPr="00EB2A34">
        <w:t xml:space="preserve">M/NPO, W/NPO, </w:t>
      </w:r>
      <w:r w:rsidR="00884388" w:rsidRPr="00EB2A34">
        <w:t>M/W/NPO</w:t>
      </w:r>
    </w:p>
    <w:p w14:paraId="64496397" w14:textId="77777777" w:rsidR="00553A3D" w:rsidRPr="00EC1CE5" w:rsidRDefault="00CD2534" w:rsidP="009E236C">
      <w:pPr>
        <w:jc w:val="both"/>
      </w:pPr>
      <w:r w:rsidRPr="00EC1CE5">
        <w:t xml:space="preserve">The </w:t>
      </w:r>
      <w:r w:rsidR="00553A3D" w:rsidRPr="00EC1CE5">
        <w:t>SDO</w:t>
      </w:r>
      <w:r w:rsidR="00553A3D" w:rsidRPr="00EC1CE5">
        <w:rPr>
          <w:b/>
        </w:rPr>
        <w:t xml:space="preserve"> </w:t>
      </w:r>
      <w:r w:rsidR="00553A3D" w:rsidRPr="00EC1CE5">
        <w:t>reviews applicants who seek to participate in affirmative business opportunities to determine that they meet the requirements of state statutes and regulations</w:t>
      </w:r>
      <w:r w:rsidR="007C6321" w:rsidRPr="00EC1CE5">
        <w:t xml:space="preserve">.  </w:t>
      </w:r>
      <w:r w:rsidR="00C66F6B" w:rsidRPr="00EC1CE5">
        <w:t xml:space="preserve">SDO reviews applications </w:t>
      </w:r>
      <w:r w:rsidR="00A242B5" w:rsidRPr="00EC1CE5">
        <w:t>f</w:t>
      </w:r>
      <w:r w:rsidR="00C66F6B" w:rsidRPr="00EC1CE5">
        <w:t xml:space="preserve">or certification as: </w:t>
      </w:r>
      <w:r w:rsidR="00C66F6B" w:rsidRPr="00EC1CE5">
        <w:rPr>
          <w:color w:val="000000" w:themeColor="text1"/>
        </w:rPr>
        <w:t xml:space="preserve">Minority Business Enterprises (MBE), Women Business Enterprises (WBE), Minority Women Business Enterprises (M/WBE), and Minority or Women </w:t>
      </w:r>
      <w:r w:rsidR="00884388">
        <w:rPr>
          <w:color w:val="000000" w:themeColor="text1"/>
        </w:rPr>
        <w:t xml:space="preserve">or Minority Women </w:t>
      </w:r>
      <w:r w:rsidR="00C66F6B" w:rsidRPr="00EC1CE5">
        <w:rPr>
          <w:color w:val="000000" w:themeColor="text1"/>
        </w:rPr>
        <w:t>Non Profit Organizations (M/NPO</w:t>
      </w:r>
      <w:r w:rsidR="00884388">
        <w:rPr>
          <w:color w:val="000000" w:themeColor="text1"/>
        </w:rPr>
        <w:t xml:space="preserve">, </w:t>
      </w:r>
      <w:r w:rsidR="00C66F6B" w:rsidRPr="00EC1CE5">
        <w:rPr>
          <w:color w:val="000000" w:themeColor="text1"/>
        </w:rPr>
        <w:t>W/NPO</w:t>
      </w:r>
      <w:r w:rsidR="00884388">
        <w:rPr>
          <w:color w:val="000000" w:themeColor="text1"/>
        </w:rPr>
        <w:t>, or M/W/NPO</w:t>
      </w:r>
      <w:r w:rsidR="00C66F6B" w:rsidRPr="00EC1CE5">
        <w:rPr>
          <w:color w:val="000000" w:themeColor="text1"/>
        </w:rPr>
        <w:t>).</w:t>
      </w:r>
    </w:p>
    <w:p w14:paraId="6E7E7271" w14:textId="77777777" w:rsidR="00951E2F" w:rsidRPr="00EC1CE5" w:rsidRDefault="00785532" w:rsidP="009E236C">
      <w:pPr>
        <w:jc w:val="both"/>
        <w:rPr>
          <w:rFonts w:eastAsia="SymbolMT"/>
        </w:rPr>
      </w:pPr>
      <w:r w:rsidRPr="00EC1CE5">
        <w:t xml:space="preserve">At the end of </w:t>
      </w:r>
      <w:r w:rsidR="00C2008F">
        <w:t>FY2014</w:t>
      </w:r>
      <w:r w:rsidR="00951E2F" w:rsidRPr="00EC1CE5">
        <w:t xml:space="preserve"> there w</w:t>
      </w:r>
      <w:r w:rsidR="00CD2534" w:rsidRPr="00EC1CE5">
        <w:t>ere</w:t>
      </w:r>
      <w:r w:rsidR="00951E2F" w:rsidRPr="00EC1CE5">
        <w:t xml:space="preserve"> a total of </w:t>
      </w:r>
      <w:r w:rsidR="00EB1456">
        <w:t>27</w:t>
      </w:r>
      <w:r w:rsidR="00C2008F">
        <w:t>97</w:t>
      </w:r>
      <w:r w:rsidR="00EB1456">
        <w:t xml:space="preserve"> </w:t>
      </w:r>
      <w:r w:rsidR="00951E2F" w:rsidRPr="00EC1CE5">
        <w:t xml:space="preserve">certified </w:t>
      </w:r>
      <w:r w:rsidR="002B615E" w:rsidRPr="00EC1CE5">
        <w:t>businesses at the state level.</w:t>
      </w:r>
      <w:r w:rsidRPr="00EC1CE5">
        <w:t xml:space="preserve">  Each week some new businesses are certified, some are decertified, and some withdraw their </w:t>
      </w:r>
      <w:r w:rsidR="006E102A" w:rsidRPr="00EC1CE5">
        <w:t>applications</w:t>
      </w:r>
      <w:r w:rsidR="00106CA2" w:rsidRPr="00EC1CE5">
        <w:t>, t</w:t>
      </w:r>
      <w:r w:rsidRPr="00EC1CE5">
        <w:t xml:space="preserve">herefore the total number of certified businesses within the Commonwealth is an ever fluctuating number.  </w:t>
      </w:r>
    </w:p>
    <w:p w14:paraId="03F94A0C" w14:textId="77777777" w:rsidR="00841832" w:rsidRPr="00EC1CE5" w:rsidRDefault="00841832" w:rsidP="00D45548">
      <w:r w:rsidRPr="00EC1CE5">
        <w:t xml:space="preserve">In </w:t>
      </w:r>
      <w:r w:rsidR="00C2008F">
        <w:t>FY2014</w:t>
      </w:r>
      <w:r w:rsidRPr="00EC1CE5">
        <w:t xml:space="preserve"> there were </w:t>
      </w:r>
      <w:r w:rsidR="00C2008F">
        <w:t>1</w:t>
      </w:r>
      <w:r w:rsidR="0031004C">
        <w:t>72</w:t>
      </w:r>
      <w:r w:rsidR="00EB1456">
        <w:t xml:space="preserve"> </w:t>
      </w:r>
      <w:r w:rsidR="0031004C">
        <w:t>Non-profit</w:t>
      </w:r>
      <w:r w:rsidRPr="00EC1CE5">
        <w:t xml:space="preserve"> certified </w:t>
      </w:r>
      <w:r w:rsidR="00CD2534" w:rsidRPr="00EC1CE5">
        <w:t xml:space="preserve">businesses </w:t>
      </w:r>
      <w:r w:rsidRPr="00EC1CE5">
        <w:t>at the state level.</w:t>
      </w:r>
    </w:p>
    <w:tbl>
      <w:tblPr>
        <w:tblStyle w:val="TableGrid1"/>
        <w:tblW w:w="8547" w:type="dxa"/>
        <w:tblInd w:w="648" w:type="dxa"/>
        <w:tblLook w:val="04A0" w:firstRow="1" w:lastRow="0" w:firstColumn="1" w:lastColumn="0" w:noHBand="0" w:noVBand="1"/>
        <w:tblCaption w:val="table of non-minority certified businesses"/>
        <w:tblDescription w:val="FY2014 there were a total of 1817 women owned businesses in "/>
      </w:tblPr>
      <w:tblGrid>
        <w:gridCol w:w="4320"/>
        <w:gridCol w:w="977"/>
        <w:gridCol w:w="990"/>
        <w:gridCol w:w="1270"/>
        <w:gridCol w:w="990"/>
      </w:tblGrid>
      <w:tr w:rsidR="0031004C" w:rsidRPr="00EC1CE5" w14:paraId="27489A22" w14:textId="77777777" w:rsidTr="0031004C">
        <w:trPr>
          <w:trHeight w:val="418"/>
          <w:tblHeader/>
        </w:trPr>
        <w:tc>
          <w:tcPr>
            <w:tcW w:w="4320" w:type="dxa"/>
            <w:noWrap/>
            <w:vAlign w:val="center"/>
            <w:hideMark/>
          </w:tcPr>
          <w:p w14:paraId="0D9A5E8B" w14:textId="77777777" w:rsidR="0031004C" w:rsidRPr="00EC1CE5" w:rsidRDefault="0031004C" w:rsidP="00D45548">
            <w:r>
              <w:t>Non-profit</w:t>
            </w:r>
            <w:r w:rsidRPr="00EC1CE5">
              <w:t xml:space="preserve"> certified businesses</w:t>
            </w:r>
          </w:p>
        </w:tc>
        <w:tc>
          <w:tcPr>
            <w:tcW w:w="977" w:type="dxa"/>
            <w:vAlign w:val="center"/>
          </w:tcPr>
          <w:p w14:paraId="7629A61A" w14:textId="77777777" w:rsidR="0031004C" w:rsidRPr="00EC1CE5" w:rsidRDefault="00DE7806" w:rsidP="00DE7806">
            <w:r>
              <w:t>M/</w:t>
            </w:r>
            <w:r w:rsidR="0031004C">
              <w:t>NPO</w:t>
            </w:r>
          </w:p>
        </w:tc>
        <w:tc>
          <w:tcPr>
            <w:tcW w:w="990" w:type="dxa"/>
            <w:noWrap/>
            <w:vAlign w:val="center"/>
            <w:hideMark/>
          </w:tcPr>
          <w:p w14:paraId="36D628B5" w14:textId="77777777" w:rsidR="0031004C" w:rsidRPr="00EC1CE5" w:rsidRDefault="00DE7806" w:rsidP="00DE7806">
            <w:r>
              <w:t>W/</w:t>
            </w:r>
            <w:r w:rsidR="0031004C">
              <w:t>NPO</w:t>
            </w:r>
          </w:p>
        </w:tc>
        <w:tc>
          <w:tcPr>
            <w:tcW w:w="1270" w:type="dxa"/>
            <w:noWrap/>
            <w:vAlign w:val="center"/>
            <w:hideMark/>
          </w:tcPr>
          <w:p w14:paraId="50E48BEF" w14:textId="77777777" w:rsidR="0031004C" w:rsidRPr="00EC1CE5" w:rsidRDefault="00DE7806" w:rsidP="00DE7806">
            <w:r>
              <w:t>M/W/</w:t>
            </w:r>
            <w:r w:rsidR="0031004C">
              <w:t>NPO</w:t>
            </w:r>
          </w:p>
        </w:tc>
        <w:tc>
          <w:tcPr>
            <w:tcW w:w="990" w:type="dxa"/>
            <w:noWrap/>
            <w:vAlign w:val="center"/>
            <w:hideMark/>
          </w:tcPr>
          <w:p w14:paraId="6AD9240B" w14:textId="77777777" w:rsidR="0031004C" w:rsidRPr="00EC1CE5" w:rsidRDefault="0031004C" w:rsidP="00D45548">
            <w:r w:rsidRPr="00EC1CE5">
              <w:t>Total</w:t>
            </w:r>
          </w:p>
        </w:tc>
      </w:tr>
      <w:tr w:rsidR="0031004C" w:rsidRPr="00EC1CE5" w14:paraId="69B111EA" w14:textId="77777777" w:rsidTr="008C1B1C">
        <w:trPr>
          <w:trHeight w:val="305"/>
        </w:trPr>
        <w:tc>
          <w:tcPr>
            <w:tcW w:w="4320" w:type="dxa"/>
            <w:noWrap/>
            <w:vAlign w:val="center"/>
            <w:hideMark/>
          </w:tcPr>
          <w:p w14:paraId="274DBFA1" w14:textId="77777777" w:rsidR="0031004C" w:rsidRPr="00EC1CE5" w:rsidRDefault="0031004C" w:rsidP="00D45548">
            <w:r>
              <w:t>Non-profit</w:t>
            </w:r>
          </w:p>
        </w:tc>
        <w:tc>
          <w:tcPr>
            <w:tcW w:w="977" w:type="dxa"/>
            <w:vAlign w:val="center"/>
          </w:tcPr>
          <w:p w14:paraId="6CBD3C95" w14:textId="77777777" w:rsidR="0031004C" w:rsidRDefault="0031004C" w:rsidP="003D132C">
            <w:pPr>
              <w:jc w:val="right"/>
            </w:pPr>
            <w:r>
              <w:t>86</w:t>
            </w:r>
          </w:p>
        </w:tc>
        <w:tc>
          <w:tcPr>
            <w:tcW w:w="990" w:type="dxa"/>
            <w:noWrap/>
            <w:vAlign w:val="center"/>
          </w:tcPr>
          <w:p w14:paraId="32CA09B4" w14:textId="77777777" w:rsidR="0031004C" w:rsidRPr="00EC1CE5" w:rsidRDefault="0031004C" w:rsidP="003D132C">
            <w:pPr>
              <w:jc w:val="right"/>
            </w:pPr>
            <w:r>
              <w:t>73</w:t>
            </w:r>
          </w:p>
        </w:tc>
        <w:tc>
          <w:tcPr>
            <w:tcW w:w="1270" w:type="dxa"/>
            <w:noWrap/>
            <w:vAlign w:val="center"/>
          </w:tcPr>
          <w:p w14:paraId="0BE315B0" w14:textId="77777777" w:rsidR="0031004C" w:rsidRPr="00EC1CE5" w:rsidRDefault="0031004C" w:rsidP="003D132C">
            <w:pPr>
              <w:jc w:val="right"/>
            </w:pPr>
            <w:r>
              <w:t>13</w:t>
            </w:r>
          </w:p>
        </w:tc>
        <w:tc>
          <w:tcPr>
            <w:tcW w:w="990" w:type="dxa"/>
            <w:noWrap/>
            <w:vAlign w:val="center"/>
          </w:tcPr>
          <w:p w14:paraId="21C3A581" w14:textId="77777777" w:rsidR="0031004C" w:rsidRPr="00EC1CE5" w:rsidRDefault="0031004C" w:rsidP="003D132C">
            <w:pPr>
              <w:jc w:val="right"/>
            </w:pPr>
            <w:r>
              <w:t>172</w:t>
            </w:r>
          </w:p>
        </w:tc>
      </w:tr>
    </w:tbl>
    <w:p w14:paraId="490925DC" w14:textId="77777777" w:rsidR="00A2005D" w:rsidRDefault="00A2005D" w:rsidP="00D45548"/>
    <w:p w14:paraId="7EFE3951" w14:textId="77777777" w:rsidR="00FB30F7" w:rsidRDefault="00FB30F7" w:rsidP="00D45548">
      <w:r w:rsidRPr="00EC1CE5">
        <w:t xml:space="preserve">In </w:t>
      </w:r>
      <w:r>
        <w:t>FY2014</w:t>
      </w:r>
      <w:r w:rsidRPr="00EC1CE5">
        <w:t xml:space="preserve"> there were </w:t>
      </w:r>
      <w:r>
        <w:t xml:space="preserve">1817 </w:t>
      </w:r>
      <w:r w:rsidRPr="00EC1CE5">
        <w:t>Women-owned certified businesses at the state level.</w:t>
      </w:r>
    </w:p>
    <w:tbl>
      <w:tblPr>
        <w:tblStyle w:val="TableGrid1"/>
        <w:tblW w:w="7290" w:type="dxa"/>
        <w:tblInd w:w="648" w:type="dxa"/>
        <w:tblLook w:val="04A0" w:firstRow="1" w:lastRow="0" w:firstColumn="1" w:lastColumn="0" w:noHBand="0" w:noVBand="1"/>
        <w:tblCaption w:val="Non-profit Certified Businesses"/>
        <w:tblDescription w:val="In FY2014 there were 172 Non-profit Certified Businesses"/>
      </w:tblPr>
      <w:tblGrid>
        <w:gridCol w:w="4320"/>
        <w:gridCol w:w="990"/>
        <w:gridCol w:w="1030"/>
        <w:gridCol w:w="950"/>
      </w:tblGrid>
      <w:tr w:rsidR="00C2008F" w:rsidRPr="00EC1CE5" w14:paraId="57427336" w14:textId="77777777" w:rsidTr="00C93F4E">
        <w:trPr>
          <w:trHeight w:val="418"/>
          <w:tblHeader/>
        </w:trPr>
        <w:tc>
          <w:tcPr>
            <w:tcW w:w="4320" w:type="dxa"/>
            <w:noWrap/>
            <w:vAlign w:val="center"/>
            <w:hideMark/>
          </w:tcPr>
          <w:p w14:paraId="79E9D4CE" w14:textId="77777777" w:rsidR="00C2008F" w:rsidRPr="00EC1CE5" w:rsidRDefault="00C2008F" w:rsidP="00D45548">
            <w:r w:rsidRPr="00EC1CE5">
              <w:t>Women-owned certified businesses</w:t>
            </w:r>
          </w:p>
        </w:tc>
        <w:tc>
          <w:tcPr>
            <w:tcW w:w="990" w:type="dxa"/>
            <w:noWrap/>
            <w:vAlign w:val="center"/>
            <w:hideMark/>
          </w:tcPr>
          <w:p w14:paraId="1A95D0C2" w14:textId="77777777" w:rsidR="00C2008F" w:rsidRPr="00EC1CE5" w:rsidRDefault="00C2008F" w:rsidP="00C93F4E">
            <w:pPr>
              <w:jc w:val="center"/>
            </w:pPr>
            <w:r w:rsidRPr="00EC1CE5">
              <w:t>WBE</w:t>
            </w:r>
          </w:p>
        </w:tc>
        <w:tc>
          <w:tcPr>
            <w:tcW w:w="1030" w:type="dxa"/>
            <w:noWrap/>
            <w:vAlign w:val="center"/>
            <w:hideMark/>
          </w:tcPr>
          <w:p w14:paraId="007667F0" w14:textId="77777777" w:rsidR="00C2008F" w:rsidRPr="00EC1CE5" w:rsidRDefault="00C2008F" w:rsidP="00C93F4E">
            <w:pPr>
              <w:jc w:val="center"/>
            </w:pPr>
            <w:r w:rsidRPr="00EC1CE5">
              <w:t>M</w:t>
            </w:r>
            <w:r>
              <w:t>/W</w:t>
            </w:r>
            <w:r w:rsidRPr="00EC1CE5">
              <w:t>BE</w:t>
            </w:r>
          </w:p>
        </w:tc>
        <w:tc>
          <w:tcPr>
            <w:tcW w:w="950" w:type="dxa"/>
            <w:noWrap/>
            <w:vAlign w:val="center"/>
            <w:hideMark/>
          </w:tcPr>
          <w:p w14:paraId="597E2446" w14:textId="77777777" w:rsidR="00C2008F" w:rsidRPr="00EC1CE5" w:rsidRDefault="00C2008F" w:rsidP="00C93F4E">
            <w:pPr>
              <w:jc w:val="center"/>
            </w:pPr>
            <w:r w:rsidRPr="00EC1CE5">
              <w:t>Total</w:t>
            </w:r>
          </w:p>
        </w:tc>
      </w:tr>
      <w:tr w:rsidR="00C2008F" w:rsidRPr="00EC1CE5" w14:paraId="4B013B4B" w14:textId="77777777" w:rsidTr="00C93F4E">
        <w:trPr>
          <w:trHeight w:val="302"/>
        </w:trPr>
        <w:tc>
          <w:tcPr>
            <w:tcW w:w="4320" w:type="dxa"/>
            <w:noWrap/>
            <w:vAlign w:val="center"/>
            <w:hideMark/>
          </w:tcPr>
          <w:p w14:paraId="2B4AC57F" w14:textId="77777777" w:rsidR="00C2008F" w:rsidRPr="00EC1CE5" w:rsidRDefault="00C2008F" w:rsidP="00D45548">
            <w:r w:rsidRPr="00EC1CE5">
              <w:t>Women-owned</w:t>
            </w:r>
          </w:p>
        </w:tc>
        <w:tc>
          <w:tcPr>
            <w:tcW w:w="990" w:type="dxa"/>
            <w:noWrap/>
            <w:vAlign w:val="center"/>
          </w:tcPr>
          <w:p w14:paraId="6E875BAC" w14:textId="77777777" w:rsidR="00C2008F" w:rsidRPr="00EC1CE5" w:rsidRDefault="00C2008F" w:rsidP="003D132C">
            <w:pPr>
              <w:jc w:val="right"/>
            </w:pPr>
            <w:r>
              <w:t>1511</w:t>
            </w:r>
          </w:p>
        </w:tc>
        <w:tc>
          <w:tcPr>
            <w:tcW w:w="1030" w:type="dxa"/>
            <w:noWrap/>
            <w:vAlign w:val="center"/>
          </w:tcPr>
          <w:p w14:paraId="59D4BAB6" w14:textId="77777777" w:rsidR="00C2008F" w:rsidRPr="00EC1CE5" w:rsidRDefault="007D2B35" w:rsidP="003D132C">
            <w:pPr>
              <w:jc w:val="right"/>
            </w:pPr>
            <w:r>
              <w:t>306</w:t>
            </w:r>
          </w:p>
        </w:tc>
        <w:tc>
          <w:tcPr>
            <w:tcW w:w="950" w:type="dxa"/>
            <w:noWrap/>
            <w:vAlign w:val="center"/>
          </w:tcPr>
          <w:p w14:paraId="510BC13E" w14:textId="77777777" w:rsidR="00C2008F" w:rsidRPr="00EC1CE5" w:rsidRDefault="00C2008F" w:rsidP="003D132C">
            <w:pPr>
              <w:jc w:val="right"/>
            </w:pPr>
            <w:r>
              <w:t>1817</w:t>
            </w:r>
          </w:p>
        </w:tc>
      </w:tr>
    </w:tbl>
    <w:p w14:paraId="094C88F0" w14:textId="77777777" w:rsidR="00C2008F" w:rsidRPr="00EC1CE5" w:rsidRDefault="00C2008F" w:rsidP="00D45548"/>
    <w:p w14:paraId="582E06C0" w14:textId="77777777" w:rsidR="00A079B7" w:rsidRDefault="00841832" w:rsidP="00EF4C42">
      <w:pPr>
        <w:spacing w:after="840"/>
      </w:pPr>
      <w:r w:rsidRPr="00EC1CE5">
        <w:t xml:space="preserve">In </w:t>
      </w:r>
      <w:r w:rsidR="00FB30F7">
        <w:t>FY2014</w:t>
      </w:r>
      <w:r w:rsidRPr="00EC1CE5">
        <w:t xml:space="preserve"> there were </w:t>
      </w:r>
      <w:r w:rsidR="00FB30F7">
        <w:t>1114</w:t>
      </w:r>
      <w:r w:rsidR="00EB1456">
        <w:t xml:space="preserve"> </w:t>
      </w:r>
      <w:r w:rsidR="000B4CF0" w:rsidRPr="00EC1CE5">
        <w:t>M</w:t>
      </w:r>
      <w:r w:rsidRPr="00EC1CE5">
        <w:t xml:space="preserve">inority owned certified </w:t>
      </w:r>
      <w:r w:rsidR="00CD2534" w:rsidRPr="00EC1CE5">
        <w:t xml:space="preserve">businesses </w:t>
      </w:r>
      <w:r w:rsidRPr="00EC1CE5">
        <w:t xml:space="preserve">at the state level.  </w:t>
      </w:r>
    </w:p>
    <w:p w14:paraId="78C5C9FD" w14:textId="77777777" w:rsidR="00EF4C42" w:rsidRDefault="00EF4C42" w:rsidP="00EF4C42">
      <w:pPr>
        <w:spacing w:after="600"/>
      </w:pPr>
    </w:p>
    <w:p w14:paraId="56E2F1BC" w14:textId="77777777" w:rsidR="001138DB" w:rsidRPr="00EC1CE5" w:rsidRDefault="00841832" w:rsidP="00D45548">
      <w:r w:rsidRPr="00EC1CE5">
        <w:lastRenderedPageBreak/>
        <w:t xml:space="preserve">The breakdown of </w:t>
      </w:r>
      <w:r w:rsidR="00A079B7">
        <w:t xml:space="preserve">certified </w:t>
      </w:r>
      <w:r w:rsidRPr="00EC1CE5">
        <w:t xml:space="preserve">businesses, by </w:t>
      </w:r>
      <w:r w:rsidR="002130A1">
        <w:t>ethnicity/</w:t>
      </w:r>
      <w:r w:rsidR="00106CA2" w:rsidRPr="00EC1CE5">
        <w:t>minority</w:t>
      </w:r>
      <w:r w:rsidRPr="00EC1CE5">
        <w:t>, is as follows:</w:t>
      </w:r>
    </w:p>
    <w:tbl>
      <w:tblPr>
        <w:tblStyle w:val="TableGrid1"/>
        <w:tblW w:w="7560" w:type="dxa"/>
        <w:tblInd w:w="648" w:type="dxa"/>
        <w:tblLook w:val="04A0" w:firstRow="1" w:lastRow="0" w:firstColumn="1" w:lastColumn="0" w:noHBand="0" w:noVBand="1"/>
        <w:tblCaption w:val="table of ethinic and racial breakdown of certified businesses"/>
        <w:tblDescription w:val="shows a total of 2625 certified businesses and their ethnic and racial breakdown, including by gender"/>
      </w:tblPr>
      <w:tblGrid>
        <w:gridCol w:w="3780"/>
        <w:gridCol w:w="950"/>
        <w:gridCol w:w="1030"/>
        <w:gridCol w:w="900"/>
        <w:gridCol w:w="900"/>
      </w:tblGrid>
      <w:tr w:rsidR="00EB1456" w:rsidRPr="0043096F" w14:paraId="44F7BD5F" w14:textId="77777777" w:rsidTr="006145D1">
        <w:trPr>
          <w:trHeight w:val="302"/>
          <w:tblHeader/>
        </w:trPr>
        <w:tc>
          <w:tcPr>
            <w:tcW w:w="3780" w:type="dxa"/>
            <w:noWrap/>
            <w:vAlign w:val="center"/>
            <w:hideMark/>
          </w:tcPr>
          <w:p w14:paraId="5B6098D4" w14:textId="77777777" w:rsidR="00EB1456" w:rsidRPr="0043096F" w:rsidRDefault="002130A1" w:rsidP="00D45548">
            <w:r>
              <w:t>Ethnicity/</w:t>
            </w:r>
            <w:r w:rsidR="00EB1456" w:rsidRPr="0043096F">
              <w:t>Minority</w:t>
            </w:r>
          </w:p>
        </w:tc>
        <w:tc>
          <w:tcPr>
            <w:tcW w:w="950" w:type="dxa"/>
            <w:vAlign w:val="center"/>
          </w:tcPr>
          <w:p w14:paraId="23D3ED8F" w14:textId="77777777" w:rsidR="00EB1456" w:rsidRPr="0043096F" w:rsidRDefault="00EB1456" w:rsidP="00C93F4E">
            <w:pPr>
              <w:jc w:val="center"/>
            </w:pPr>
            <w:r>
              <w:t>WBE</w:t>
            </w:r>
          </w:p>
        </w:tc>
        <w:tc>
          <w:tcPr>
            <w:tcW w:w="1030" w:type="dxa"/>
            <w:noWrap/>
            <w:vAlign w:val="center"/>
            <w:hideMark/>
          </w:tcPr>
          <w:p w14:paraId="144D5A0C" w14:textId="77777777" w:rsidR="00EB1456" w:rsidRPr="0043096F" w:rsidRDefault="00EB1456" w:rsidP="00C93F4E">
            <w:pPr>
              <w:jc w:val="center"/>
            </w:pPr>
            <w:r w:rsidRPr="0043096F">
              <w:t>M/WBE</w:t>
            </w:r>
          </w:p>
        </w:tc>
        <w:tc>
          <w:tcPr>
            <w:tcW w:w="900" w:type="dxa"/>
            <w:noWrap/>
            <w:vAlign w:val="center"/>
            <w:hideMark/>
          </w:tcPr>
          <w:p w14:paraId="768442B1" w14:textId="77777777" w:rsidR="00EB1456" w:rsidRPr="0043096F" w:rsidRDefault="00EB1456" w:rsidP="00C93F4E">
            <w:pPr>
              <w:jc w:val="center"/>
            </w:pPr>
            <w:r w:rsidRPr="0043096F">
              <w:t>MBE</w:t>
            </w:r>
          </w:p>
        </w:tc>
        <w:tc>
          <w:tcPr>
            <w:tcW w:w="900" w:type="dxa"/>
            <w:noWrap/>
            <w:vAlign w:val="center"/>
            <w:hideMark/>
          </w:tcPr>
          <w:p w14:paraId="4AFF7351" w14:textId="77777777" w:rsidR="00EB1456" w:rsidRPr="0043096F" w:rsidRDefault="00EB1456" w:rsidP="00C93F4E">
            <w:pPr>
              <w:jc w:val="center"/>
            </w:pPr>
            <w:r w:rsidRPr="0043096F">
              <w:t>Total</w:t>
            </w:r>
          </w:p>
        </w:tc>
      </w:tr>
      <w:tr w:rsidR="00EB1456" w:rsidRPr="0043096F" w14:paraId="26A7B4E1" w14:textId="77777777" w:rsidTr="006145D1">
        <w:trPr>
          <w:trHeight w:val="302"/>
        </w:trPr>
        <w:tc>
          <w:tcPr>
            <w:tcW w:w="3780" w:type="dxa"/>
            <w:noWrap/>
            <w:vAlign w:val="center"/>
            <w:hideMark/>
          </w:tcPr>
          <w:p w14:paraId="6F28C245" w14:textId="77777777" w:rsidR="00EB1456" w:rsidRPr="0043096F" w:rsidRDefault="00EB1456" w:rsidP="00D45548">
            <w:r w:rsidRPr="0043096F">
              <w:t>African American, Black</w:t>
            </w:r>
          </w:p>
        </w:tc>
        <w:tc>
          <w:tcPr>
            <w:tcW w:w="950" w:type="dxa"/>
            <w:vAlign w:val="center"/>
          </w:tcPr>
          <w:p w14:paraId="09B1CC54" w14:textId="77777777" w:rsidR="00EB1456" w:rsidRDefault="00EB1456" w:rsidP="003D132C">
            <w:pPr>
              <w:jc w:val="right"/>
            </w:pPr>
          </w:p>
        </w:tc>
        <w:tc>
          <w:tcPr>
            <w:tcW w:w="1030" w:type="dxa"/>
            <w:noWrap/>
            <w:vAlign w:val="center"/>
          </w:tcPr>
          <w:p w14:paraId="04F85E5A" w14:textId="77777777" w:rsidR="00EB1456" w:rsidRPr="0043096F" w:rsidRDefault="00C2008F" w:rsidP="003D132C">
            <w:pPr>
              <w:jc w:val="right"/>
            </w:pPr>
            <w:r>
              <w:t>112</w:t>
            </w:r>
          </w:p>
        </w:tc>
        <w:tc>
          <w:tcPr>
            <w:tcW w:w="900" w:type="dxa"/>
            <w:noWrap/>
            <w:vAlign w:val="center"/>
          </w:tcPr>
          <w:p w14:paraId="47486023" w14:textId="77777777" w:rsidR="00EB1456" w:rsidRPr="0043096F" w:rsidRDefault="00FB30F7" w:rsidP="003D132C">
            <w:pPr>
              <w:jc w:val="right"/>
            </w:pPr>
            <w:r>
              <w:t>317</w:t>
            </w:r>
          </w:p>
        </w:tc>
        <w:tc>
          <w:tcPr>
            <w:tcW w:w="900" w:type="dxa"/>
            <w:noWrap/>
            <w:vAlign w:val="center"/>
          </w:tcPr>
          <w:p w14:paraId="3E9CF675" w14:textId="77777777" w:rsidR="00EB1456" w:rsidRPr="0043096F" w:rsidRDefault="00FB30F7" w:rsidP="003D132C">
            <w:pPr>
              <w:jc w:val="right"/>
            </w:pPr>
            <w:r>
              <w:t>429</w:t>
            </w:r>
          </w:p>
        </w:tc>
      </w:tr>
      <w:tr w:rsidR="00EB1456" w:rsidRPr="0043096F" w14:paraId="3CCD7935" w14:textId="77777777" w:rsidTr="006145D1">
        <w:trPr>
          <w:trHeight w:val="302"/>
        </w:trPr>
        <w:tc>
          <w:tcPr>
            <w:tcW w:w="3780" w:type="dxa"/>
            <w:noWrap/>
            <w:vAlign w:val="center"/>
          </w:tcPr>
          <w:p w14:paraId="0AD2F56E" w14:textId="77777777" w:rsidR="00EB1456" w:rsidRPr="0043096F" w:rsidRDefault="00EB1456" w:rsidP="00D45548">
            <w:r w:rsidRPr="0043096F">
              <w:t>Asian American (Pacific)</w:t>
            </w:r>
          </w:p>
        </w:tc>
        <w:tc>
          <w:tcPr>
            <w:tcW w:w="950" w:type="dxa"/>
            <w:vAlign w:val="center"/>
          </w:tcPr>
          <w:p w14:paraId="5A1E40B2" w14:textId="77777777" w:rsidR="00EB1456" w:rsidRDefault="00EB1456" w:rsidP="003D132C">
            <w:pPr>
              <w:jc w:val="right"/>
            </w:pPr>
          </w:p>
        </w:tc>
        <w:tc>
          <w:tcPr>
            <w:tcW w:w="1030" w:type="dxa"/>
            <w:noWrap/>
            <w:vAlign w:val="center"/>
          </w:tcPr>
          <w:p w14:paraId="55A4CE4B" w14:textId="77777777" w:rsidR="00EB1456" w:rsidRPr="0043096F" w:rsidRDefault="00C2008F" w:rsidP="003D132C">
            <w:pPr>
              <w:jc w:val="right"/>
            </w:pPr>
            <w:r>
              <w:t>60</w:t>
            </w:r>
          </w:p>
        </w:tc>
        <w:tc>
          <w:tcPr>
            <w:tcW w:w="900" w:type="dxa"/>
            <w:noWrap/>
            <w:vAlign w:val="center"/>
          </w:tcPr>
          <w:p w14:paraId="2E8B0716" w14:textId="77777777" w:rsidR="00EB1456" w:rsidRPr="0043096F" w:rsidRDefault="00EB1456" w:rsidP="003D132C">
            <w:pPr>
              <w:jc w:val="right"/>
            </w:pPr>
            <w:r>
              <w:t>121</w:t>
            </w:r>
          </w:p>
        </w:tc>
        <w:tc>
          <w:tcPr>
            <w:tcW w:w="900" w:type="dxa"/>
            <w:noWrap/>
            <w:vAlign w:val="center"/>
          </w:tcPr>
          <w:p w14:paraId="269BA9CA" w14:textId="77777777" w:rsidR="00EB1456" w:rsidRPr="0043096F" w:rsidRDefault="00FB30F7" w:rsidP="003D132C">
            <w:pPr>
              <w:jc w:val="right"/>
            </w:pPr>
            <w:r>
              <w:t>181</w:t>
            </w:r>
          </w:p>
        </w:tc>
      </w:tr>
      <w:tr w:rsidR="00EB1456" w:rsidRPr="0043096F" w14:paraId="0805EB1C" w14:textId="77777777" w:rsidTr="006145D1">
        <w:trPr>
          <w:trHeight w:val="302"/>
        </w:trPr>
        <w:tc>
          <w:tcPr>
            <w:tcW w:w="3780" w:type="dxa"/>
            <w:noWrap/>
            <w:vAlign w:val="center"/>
          </w:tcPr>
          <w:p w14:paraId="31AFC364" w14:textId="77777777" w:rsidR="00EB1456" w:rsidRPr="0043096F" w:rsidRDefault="00EB1456" w:rsidP="00D45548">
            <w:r w:rsidRPr="0043096F">
              <w:t>Asian American (Subcontinent)</w:t>
            </w:r>
          </w:p>
        </w:tc>
        <w:tc>
          <w:tcPr>
            <w:tcW w:w="950" w:type="dxa"/>
            <w:vAlign w:val="center"/>
          </w:tcPr>
          <w:p w14:paraId="3EE7A4B3" w14:textId="77777777" w:rsidR="00EB1456" w:rsidRDefault="00EB1456" w:rsidP="003D132C">
            <w:pPr>
              <w:jc w:val="right"/>
            </w:pPr>
          </w:p>
        </w:tc>
        <w:tc>
          <w:tcPr>
            <w:tcW w:w="1030" w:type="dxa"/>
            <w:noWrap/>
            <w:vAlign w:val="center"/>
          </w:tcPr>
          <w:p w14:paraId="57A64AE8" w14:textId="77777777" w:rsidR="00EB1456" w:rsidRPr="0043096F" w:rsidRDefault="00C2008F" w:rsidP="003D132C">
            <w:pPr>
              <w:jc w:val="right"/>
            </w:pPr>
            <w:r>
              <w:t>32</w:t>
            </w:r>
          </w:p>
        </w:tc>
        <w:tc>
          <w:tcPr>
            <w:tcW w:w="900" w:type="dxa"/>
            <w:noWrap/>
            <w:vAlign w:val="center"/>
          </w:tcPr>
          <w:p w14:paraId="219484FE" w14:textId="77777777" w:rsidR="00EB1456" w:rsidRPr="0043096F" w:rsidRDefault="00FB30F7" w:rsidP="003D132C">
            <w:pPr>
              <w:jc w:val="right"/>
            </w:pPr>
            <w:r>
              <w:t>96</w:t>
            </w:r>
          </w:p>
        </w:tc>
        <w:tc>
          <w:tcPr>
            <w:tcW w:w="900" w:type="dxa"/>
            <w:noWrap/>
            <w:vAlign w:val="center"/>
          </w:tcPr>
          <w:p w14:paraId="59BECE87" w14:textId="77777777" w:rsidR="00EB1456" w:rsidRPr="0043096F" w:rsidRDefault="00FB30F7" w:rsidP="003D132C">
            <w:pPr>
              <w:jc w:val="right"/>
            </w:pPr>
            <w:r>
              <w:t>128</w:t>
            </w:r>
          </w:p>
        </w:tc>
      </w:tr>
      <w:tr w:rsidR="00EB1456" w:rsidRPr="0043096F" w14:paraId="422D42AC" w14:textId="77777777" w:rsidTr="006145D1">
        <w:trPr>
          <w:trHeight w:val="302"/>
        </w:trPr>
        <w:tc>
          <w:tcPr>
            <w:tcW w:w="3780" w:type="dxa"/>
            <w:noWrap/>
            <w:vAlign w:val="center"/>
          </w:tcPr>
          <w:p w14:paraId="66195162" w14:textId="77777777" w:rsidR="00EB1456" w:rsidRPr="0043096F" w:rsidRDefault="00EB1456" w:rsidP="00D45548">
            <w:r w:rsidRPr="0043096F">
              <w:t>Cape Verdean</w:t>
            </w:r>
          </w:p>
        </w:tc>
        <w:tc>
          <w:tcPr>
            <w:tcW w:w="950" w:type="dxa"/>
            <w:vAlign w:val="center"/>
          </w:tcPr>
          <w:p w14:paraId="74540FFD" w14:textId="77777777" w:rsidR="00EB1456" w:rsidRDefault="00EB1456" w:rsidP="003D132C">
            <w:pPr>
              <w:jc w:val="right"/>
            </w:pPr>
          </w:p>
        </w:tc>
        <w:tc>
          <w:tcPr>
            <w:tcW w:w="1030" w:type="dxa"/>
            <w:noWrap/>
            <w:vAlign w:val="center"/>
          </w:tcPr>
          <w:p w14:paraId="57F6529F" w14:textId="77777777" w:rsidR="00EB1456" w:rsidRPr="0043096F" w:rsidRDefault="00EB1456" w:rsidP="003D132C">
            <w:pPr>
              <w:jc w:val="right"/>
            </w:pPr>
            <w:r>
              <w:t>2</w:t>
            </w:r>
          </w:p>
        </w:tc>
        <w:tc>
          <w:tcPr>
            <w:tcW w:w="900" w:type="dxa"/>
            <w:noWrap/>
            <w:vAlign w:val="center"/>
          </w:tcPr>
          <w:p w14:paraId="1FCC8564" w14:textId="77777777" w:rsidR="00EB1456" w:rsidRPr="0043096F" w:rsidRDefault="00FB30F7" w:rsidP="003D132C">
            <w:pPr>
              <w:jc w:val="right"/>
            </w:pPr>
            <w:r>
              <w:t>37</w:t>
            </w:r>
          </w:p>
        </w:tc>
        <w:tc>
          <w:tcPr>
            <w:tcW w:w="900" w:type="dxa"/>
            <w:noWrap/>
            <w:vAlign w:val="center"/>
          </w:tcPr>
          <w:p w14:paraId="042608D3" w14:textId="77777777" w:rsidR="00EB1456" w:rsidRPr="0043096F" w:rsidRDefault="00FB30F7" w:rsidP="003D132C">
            <w:pPr>
              <w:jc w:val="right"/>
            </w:pPr>
            <w:r>
              <w:t>39</w:t>
            </w:r>
          </w:p>
        </w:tc>
      </w:tr>
      <w:tr w:rsidR="00EB1456" w:rsidRPr="0043096F" w14:paraId="2FDB1714" w14:textId="77777777" w:rsidTr="006145D1">
        <w:trPr>
          <w:trHeight w:val="302"/>
        </w:trPr>
        <w:tc>
          <w:tcPr>
            <w:tcW w:w="3780" w:type="dxa"/>
            <w:noWrap/>
            <w:vAlign w:val="center"/>
          </w:tcPr>
          <w:p w14:paraId="5D6386EA" w14:textId="77777777" w:rsidR="00EB1456" w:rsidRPr="0043096F" w:rsidRDefault="00EB1456" w:rsidP="00D45548">
            <w:r>
              <w:t>Caucasian</w:t>
            </w:r>
          </w:p>
        </w:tc>
        <w:tc>
          <w:tcPr>
            <w:tcW w:w="950" w:type="dxa"/>
            <w:vAlign w:val="center"/>
          </w:tcPr>
          <w:p w14:paraId="4E3BB552" w14:textId="77777777" w:rsidR="00EB1456" w:rsidRDefault="00EB1456" w:rsidP="003D132C">
            <w:pPr>
              <w:jc w:val="right"/>
            </w:pPr>
            <w:r>
              <w:t>1</w:t>
            </w:r>
            <w:r w:rsidR="00FB30F7">
              <w:t>511</w:t>
            </w:r>
          </w:p>
        </w:tc>
        <w:tc>
          <w:tcPr>
            <w:tcW w:w="1030" w:type="dxa"/>
            <w:noWrap/>
            <w:vAlign w:val="center"/>
          </w:tcPr>
          <w:p w14:paraId="63A7DD5C" w14:textId="77777777" w:rsidR="00EB1456" w:rsidRPr="0043096F" w:rsidRDefault="00EB1456" w:rsidP="003D132C">
            <w:pPr>
              <w:jc w:val="right"/>
            </w:pPr>
          </w:p>
        </w:tc>
        <w:tc>
          <w:tcPr>
            <w:tcW w:w="900" w:type="dxa"/>
            <w:noWrap/>
            <w:vAlign w:val="center"/>
          </w:tcPr>
          <w:p w14:paraId="39E3F2B5" w14:textId="77777777" w:rsidR="00EB1456" w:rsidRPr="0043096F" w:rsidRDefault="00EB1456" w:rsidP="003D132C">
            <w:pPr>
              <w:jc w:val="right"/>
            </w:pPr>
          </w:p>
        </w:tc>
        <w:tc>
          <w:tcPr>
            <w:tcW w:w="900" w:type="dxa"/>
            <w:noWrap/>
            <w:vAlign w:val="center"/>
          </w:tcPr>
          <w:p w14:paraId="78E2CCE3" w14:textId="77777777" w:rsidR="00EB1456" w:rsidRPr="0043096F" w:rsidRDefault="00FB30F7" w:rsidP="003D132C">
            <w:pPr>
              <w:jc w:val="right"/>
            </w:pPr>
            <w:r>
              <w:t>1511</w:t>
            </w:r>
          </w:p>
        </w:tc>
      </w:tr>
      <w:tr w:rsidR="00EB1456" w:rsidRPr="0043096F" w14:paraId="1C125485" w14:textId="77777777" w:rsidTr="006145D1">
        <w:trPr>
          <w:trHeight w:val="302"/>
        </w:trPr>
        <w:tc>
          <w:tcPr>
            <w:tcW w:w="3780" w:type="dxa"/>
            <w:noWrap/>
            <w:vAlign w:val="center"/>
          </w:tcPr>
          <w:p w14:paraId="0311226D" w14:textId="77777777" w:rsidR="00EB1456" w:rsidRPr="0043096F" w:rsidRDefault="00EB1456" w:rsidP="00D45548">
            <w:r w:rsidRPr="0043096F">
              <w:t>Hispanic</w:t>
            </w:r>
          </w:p>
        </w:tc>
        <w:tc>
          <w:tcPr>
            <w:tcW w:w="950" w:type="dxa"/>
            <w:vAlign w:val="center"/>
          </w:tcPr>
          <w:p w14:paraId="43626000" w14:textId="77777777" w:rsidR="00EB1456" w:rsidRDefault="00EB1456" w:rsidP="003D132C">
            <w:pPr>
              <w:jc w:val="right"/>
            </w:pPr>
          </w:p>
        </w:tc>
        <w:tc>
          <w:tcPr>
            <w:tcW w:w="1030" w:type="dxa"/>
            <w:noWrap/>
            <w:vAlign w:val="center"/>
          </w:tcPr>
          <w:p w14:paraId="3009C6E1" w14:textId="77777777" w:rsidR="00EB1456" w:rsidRPr="0043096F" w:rsidRDefault="00C2008F" w:rsidP="003D132C">
            <w:pPr>
              <w:jc w:val="right"/>
            </w:pPr>
            <w:r>
              <w:t>74</w:t>
            </w:r>
          </w:p>
        </w:tc>
        <w:tc>
          <w:tcPr>
            <w:tcW w:w="900" w:type="dxa"/>
            <w:noWrap/>
            <w:vAlign w:val="center"/>
          </w:tcPr>
          <w:p w14:paraId="021F7F48" w14:textId="77777777" w:rsidR="00EB1456" w:rsidRPr="0043096F" w:rsidRDefault="00FB30F7" w:rsidP="003D132C">
            <w:pPr>
              <w:jc w:val="right"/>
            </w:pPr>
            <w:r>
              <w:t>149</w:t>
            </w:r>
          </w:p>
        </w:tc>
        <w:tc>
          <w:tcPr>
            <w:tcW w:w="900" w:type="dxa"/>
            <w:noWrap/>
            <w:vAlign w:val="center"/>
          </w:tcPr>
          <w:p w14:paraId="0D62A2F5" w14:textId="77777777" w:rsidR="00EB1456" w:rsidRPr="0043096F" w:rsidRDefault="00FB30F7" w:rsidP="003D132C">
            <w:pPr>
              <w:jc w:val="right"/>
            </w:pPr>
            <w:r>
              <w:t>223</w:t>
            </w:r>
          </w:p>
        </w:tc>
      </w:tr>
      <w:tr w:rsidR="00EB1456" w:rsidRPr="0043096F" w14:paraId="0F218597" w14:textId="77777777" w:rsidTr="006145D1">
        <w:trPr>
          <w:trHeight w:val="302"/>
        </w:trPr>
        <w:tc>
          <w:tcPr>
            <w:tcW w:w="3780" w:type="dxa"/>
            <w:noWrap/>
            <w:vAlign w:val="center"/>
          </w:tcPr>
          <w:p w14:paraId="06412FB0" w14:textId="77777777" w:rsidR="00EB1456" w:rsidRPr="0043096F" w:rsidRDefault="00EB1456" w:rsidP="00D45548">
            <w:r w:rsidRPr="0043096F">
              <w:t>Native American</w:t>
            </w:r>
          </w:p>
        </w:tc>
        <w:tc>
          <w:tcPr>
            <w:tcW w:w="950" w:type="dxa"/>
            <w:vAlign w:val="center"/>
          </w:tcPr>
          <w:p w14:paraId="0DCF1D5A" w14:textId="77777777" w:rsidR="00EB1456" w:rsidRDefault="00EB1456" w:rsidP="003D132C">
            <w:pPr>
              <w:jc w:val="right"/>
            </w:pPr>
          </w:p>
        </w:tc>
        <w:tc>
          <w:tcPr>
            <w:tcW w:w="1030" w:type="dxa"/>
            <w:noWrap/>
            <w:vAlign w:val="center"/>
          </w:tcPr>
          <w:p w14:paraId="5DA5B1D4" w14:textId="77777777" w:rsidR="00EB1456" w:rsidRPr="0043096F" w:rsidRDefault="00C2008F" w:rsidP="003D132C">
            <w:pPr>
              <w:jc w:val="right"/>
            </w:pPr>
            <w:r>
              <w:t>6</w:t>
            </w:r>
          </w:p>
        </w:tc>
        <w:tc>
          <w:tcPr>
            <w:tcW w:w="900" w:type="dxa"/>
            <w:noWrap/>
            <w:vAlign w:val="center"/>
          </w:tcPr>
          <w:p w14:paraId="38A3EB55" w14:textId="77777777" w:rsidR="00EB1456" w:rsidRPr="0043096F" w:rsidRDefault="00EB1456" w:rsidP="003D132C">
            <w:pPr>
              <w:jc w:val="right"/>
            </w:pPr>
            <w:r>
              <w:t>9</w:t>
            </w:r>
          </w:p>
        </w:tc>
        <w:tc>
          <w:tcPr>
            <w:tcW w:w="900" w:type="dxa"/>
            <w:noWrap/>
            <w:vAlign w:val="center"/>
          </w:tcPr>
          <w:p w14:paraId="0387E324" w14:textId="77777777" w:rsidR="00EB1456" w:rsidRPr="0043096F" w:rsidRDefault="00FB30F7" w:rsidP="003D132C">
            <w:pPr>
              <w:jc w:val="right"/>
            </w:pPr>
            <w:r>
              <w:t>15</w:t>
            </w:r>
          </w:p>
        </w:tc>
      </w:tr>
      <w:tr w:rsidR="00EB1456" w:rsidRPr="0043096F" w14:paraId="35BB9892" w14:textId="77777777" w:rsidTr="006145D1">
        <w:trPr>
          <w:trHeight w:val="302"/>
        </w:trPr>
        <w:tc>
          <w:tcPr>
            <w:tcW w:w="3780" w:type="dxa"/>
            <w:noWrap/>
            <w:vAlign w:val="center"/>
          </w:tcPr>
          <w:p w14:paraId="140EBD76" w14:textId="77777777" w:rsidR="00EB1456" w:rsidRPr="0043096F" w:rsidRDefault="00EB1456" w:rsidP="00D45548">
            <w:pPr>
              <w:rPr>
                <w:color w:val="000000"/>
              </w:rPr>
            </w:pPr>
            <w:r w:rsidRPr="0043096F">
              <w:t>Person with a Disability</w:t>
            </w:r>
          </w:p>
        </w:tc>
        <w:tc>
          <w:tcPr>
            <w:tcW w:w="950" w:type="dxa"/>
            <w:vAlign w:val="center"/>
          </w:tcPr>
          <w:p w14:paraId="148715E9" w14:textId="77777777" w:rsidR="00EB1456" w:rsidRDefault="00EB1456" w:rsidP="003D132C">
            <w:pPr>
              <w:jc w:val="right"/>
            </w:pPr>
          </w:p>
        </w:tc>
        <w:tc>
          <w:tcPr>
            <w:tcW w:w="1030" w:type="dxa"/>
            <w:noWrap/>
            <w:vAlign w:val="center"/>
          </w:tcPr>
          <w:p w14:paraId="1D604E68" w14:textId="77777777" w:rsidR="00EB1456" w:rsidRPr="0043096F" w:rsidRDefault="00EB1456" w:rsidP="003D132C">
            <w:pPr>
              <w:jc w:val="right"/>
            </w:pPr>
            <w:r>
              <w:t>0</w:t>
            </w:r>
          </w:p>
        </w:tc>
        <w:tc>
          <w:tcPr>
            <w:tcW w:w="900" w:type="dxa"/>
            <w:noWrap/>
            <w:vAlign w:val="center"/>
          </w:tcPr>
          <w:p w14:paraId="12ACBF8E" w14:textId="77777777" w:rsidR="00EB1456" w:rsidRPr="0043096F" w:rsidRDefault="00EB1456" w:rsidP="003D132C">
            <w:pPr>
              <w:jc w:val="right"/>
            </w:pPr>
            <w:r>
              <w:t>0</w:t>
            </w:r>
          </w:p>
        </w:tc>
        <w:tc>
          <w:tcPr>
            <w:tcW w:w="900" w:type="dxa"/>
            <w:noWrap/>
            <w:vAlign w:val="center"/>
          </w:tcPr>
          <w:p w14:paraId="083D60EA" w14:textId="77777777" w:rsidR="00EB1456" w:rsidRPr="0043096F" w:rsidRDefault="00EB1456" w:rsidP="003D132C">
            <w:pPr>
              <w:jc w:val="right"/>
            </w:pPr>
            <w:r>
              <w:t>0</w:t>
            </w:r>
          </w:p>
        </w:tc>
      </w:tr>
      <w:tr w:rsidR="00EB1456" w:rsidRPr="0043096F" w14:paraId="39EC2034" w14:textId="77777777" w:rsidTr="006145D1">
        <w:trPr>
          <w:trHeight w:val="302"/>
        </w:trPr>
        <w:tc>
          <w:tcPr>
            <w:tcW w:w="3780" w:type="dxa"/>
            <w:noWrap/>
            <w:vAlign w:val="center"/>
          </w:tcPr>
          <w:p w14:paraId="78D8EF47" w14:textId="77777777" w:rsidR="00EB1456" w:rsidRPr="0043096F" w:rsidRDefault="00EB1456" w:rsidP="00D45548">
            <w:r w:rsidRPr="0043096F">
              <w:t>Portuguese</w:t>
            </w:r>
          </w:p>
        </w:tc>
        <w:tc>
          <w:tcPr>
            <w:tcW w:w="950" w:type="dxa"/>
            <w:vAlign w:val="center"/>
          </w:tcPr>
          <w:p w14:paraId="3560799E" w14:textId="77777777" w:rsidR="00EB1456" w:rsidRDefault="00EB1456" w:rsidP="003D132C">
            <w:pPr>
              <w:jc w:val="right"/>
            </w:pPr>
          </w:p>
        </w:tc>
        <w:tc>
          <w:tcPr>
            <w:tcW w:w="1030" w:type="dxa"/>
            <w:noWrap/>
            <w:vAlign w:val="center"/>
          </w:tcPr>
          <w:p w14:paraId="512681EE" w14:textId="77777777" w:rsidR="00EB1456" w:rsidRPr="0043096F" w:rsidRDefault="00C2008F" w:rsidP="003D132C">
            <w:pPr>
              <w:jc w:val="right"/>
            </w:pPr>
            <w:r>
              <w:t>20</w:t>
            </w:r>
          </w:p>
        </w:tc>
        <w:tc>
          <w:tcPr>
            <w:tcW w:w="900" w:type="dxa"/>
            <w:noWrap/>
            <w:vAlign w:val="center"/>
          </w:tcPr>
          <w:p w14:paraId="4D537801" w14:textId="77777777" w:rsidR="00EB1456" w:rsidRPr="0043096F" w:rsidRDefault="00FB30F7" w:rsidP="003D132C">
            <w:pPr>
              <w:jc w:val="right"/>
            </w:pPr>
            <w:r>
              <w:t>79</w:t>
            </w:r>
          </w:p>
        </w:tc>
        <w:tc>
          <w:tcPr>
            <w:tcW w:w="900" w:type="dxa"/>
            <w:noWrap/>
            <w:vAlign w:val="center"/>
          </w:tcPr>
          <w:p w14:paraId="162F9176" w14:textId="77777777" w:rsidR="00EB1456" w:rsidRPr="0043096F" w:rsidRDefault="00FB30F7" w:rsidP="003D132C">
            <w:pPr>
              <w:jc w:val="right"/>
            </w:pPr>
            <w:r>
              <w:t>99</w:t>
            </w:r>
          </w:p>
        </w:tc>
      </w:tr>
      <w:tr w:rsidR="00EB1456" w:rsidRPr="0043096F" w14:paraId="664CEA97" w14:textId="77777777" w:rsidTr="006145D1">
        <w:trPr>
          <w:trHeight w:val="302"/>
        </w:trPr>
        <w:tc>
          <w:tcPr>
            <w:tcW w:w="3780" w:type="dxa"/>
            <w:noWrap/>
            <w:vAlign w:val="center"/>
            <w:hideMark/>
          </w:tcPr>
          <w:p w14:paraId="329C378B" w14:textId="77777777" w:rsidR="00EB1456" w:rsidRPr="0043096F" w:rsidRDefault="00EB1456" w:rsidP="00D45548">
            <w:r w:rsidRPr="0043096F">
              <w:t>Eskimo/Aleut</w:t>
            </w:r>
          </w:p>
        </w:tc>
        <w:tc>
          <w:tcPr>
            <w:tcW w:w="950" w:type="dxa"/>
            <w:vAlign w:val="center"/>
          </w:tcPr>
          <w:p w14:paraId="2E0BA25E" w14:textId="77777777" w:rsidR="00EB1456" w:rsidRDefault="00EB1456" w:rsidP="003D132C">
            <w:pPr>
              <w:jc w:val="right"/>
            </w:pPr>
          </w:p>
        </w:tc>
        <w:tc>
          <w:tcPr>
            <w:tcW w:w="1030" w:type="dxa"/>
            <w:noWrap/>
            <w:vAlign w:val="center"/>
          </w:tcPr>
          <w:p w14:paraId="0F60C5F2" w14:textId="77777777" w:rsidR="00EB1456" w:rsidRPr="0043096F" w:rsidRDefault="00EB1456" w:rsidP="003D132C">
            <w:pPr>
              <w:jc w:val="right"/>
            </w:pPr>
            <w:r>
              <w:t>0</w:t>
            </w:r>
          </w:p>
        </w:tc>
        <w:tc>
          <w:tcPr>
            <w:tcW w:w="900" w:type="dxa"/>
            <w:noWrap/>
            <w:vAlign w:val="center"/>
          </w:tcPr>
          <w:p w14:paraId="0E968792" w14:textId="77777777" w:rsidR="00EB1456" w:rsidRPr="0043096F" w:rsidRDefault="00EB1456" w:rsidP="003D132C">
            <w:pPr>
              <w:jc w:val="right"/>
            </w:pPr>
            <w:r>
              <w:t>0</w:t>
            </w:r>
          </w:p>
        </w:tc>
        <w:tc>
          <w:tcPr>
            <w:tcW w:w="900" w:type="dxa"/>
            <w:noWrap/>
            <w:vAlign w:val="center"/>
          </w:tcPr>
          <w:p w14:paraId="3FDB976C" w14:textId="77777777" w:rsidR="00EB1456" w:rsidRPr="0043096F" w:rsidRDefault="00EB1456" w:rsidP="003D132C">
            <w:pPr>
              <w:jc w:val="right"/>
            </w:pPr>
            <w:r>
              <w:t>0</w:t>
            </w:r>
          </w:p>
        </w:tc>
      </w:tr>
      <w:tr w:rsidR="00EB1456" w:rsidRPr="0043096F" w14:paraId="06D7756F" w14:textId="77777777" w:rsidTr="006145D1">
        <w:trPr>
          <w:trHeight w:val="302"/>
        </w:trPr>
        <w:tc>
          <w:tcPr>
            <w:tcW w:w="3780" w:type="dxa"/>
            <w:noWrap/>
            <w:vAlign w:val="center"/>
            <w:hideMark/>
          </w:tcPr>
          <w:p w14:paraId="2FD09353" w14:textId="77777777" w:rsidR="00EB1456" w:rsidRPr="0043096F" w:rsidRDefault="00EB1456" w:rsidP="00D45548">
            <w:r w:rsidRPr="0043096F">
              <w:t>Total</w:t>
            </w:r>
          </w:p>
        </w:tc>
        <w:tc>
          <w:tcPr>
            <w:tcW w:w="950" w:type="dxa"/>
            <w:vAlign w:val="center"/>
          </w:tcPr>
          <w:p w14:paraId="6FB0A347" w14:textId="77777777" w:rsidR="00EB1456" w:rsidRPr="00982D9A" w:rsidRDefault="00EB1456" w:rsidP="003D132C">
            <w:pPr>
              <w:jc w:val="right"/>
            </w:pPr>
            <w:r w:rsidRPr="00982D9A">
              <w:t>1</w:t>
            </w:r>
            <w:r w:rsidR="003B0CF5">
              <w:t>511</w:t>
            </w:r>
          </w:p>
        </w:tc>
        <w:tc>
          <w:tcPr>
            <w:tcW w:w="1030" w:type="dxa"/>
            <w:noWrap/>
            <w:vAlign w:val="center"/>
          </w:tcPr>
          <w:p w14:paraId="6674C99C" w14:textId="77777777" w:rsidR="00EB1456" w:rsidRPr="0043096F" w:rsidRDefault="00C2008F" w:rsidP="003D132C">
            <w:pPr>
              <w:jc w:val="right"/>
            </w:pPr>
            <w:r>
              <w:t>306</w:t>
            </w:r>
          </w:p>
        </w:tc>
        <w:tc>
          <w:tcPr>
            <w:tcW w:w="900" w:type="dxa"/>
            <w:noWrap/>
            <w:vAlign w:val="center"/>
          </w:tcPr>
          <w:p w14:paraId="29675864" w14:textId="77777777" w:rsidR="00EB1456" w:rsidRPr="0043096F" w:rsidRDefault="00C2008F" w:rsidP="003D132C">
            <w:pPr>
              <w:jc w:val="right"/>
            </w:pPr>
            <w:r>
              <w:t>808</w:t>
            </w:r>
          </w:p>
        </w:tc>
        <w:tc>
          <w:tcPr>
            <w:tcW w:w="900" w:type="dxa"/>
            <w:noWrap/>
            <w:vAlign w:val="center"/>
          </w:tcPr>
          <w:p w14:paraId="7CB6AB52" w14:textId="77777777" w:rsidR="00EB1456" w:rsidRPr="0043096F" w:rsidRDefault="00FB30F7" w:rsidP="003D132C">
            <w:pPr>
              <w:jc w:val="right"/>
            </w:pPr>
            <w:r>
              <w:t>2625</w:t>
            </w:r>
          </w:p>
        </w:tc>
      </w:tr>
    </w:tbl>
    <w:p w14:paraId="12C0D48E" w14:textId="77777777" w:rsidR="009857BB" w:rsidRDefault="009857BB" w:rsidP="009857BB">
      <w:pPr>
        <w:jc w:val="center"/>
      </w:pPr>
    </w:p>
    <w:p w14:paraId="0AA70C07" w14:textId="77777777" w:rsidR="006E6663" w:rsidRPr="009A5FEB" w:rsidRDefault="006E6663" w:rsidP="009857BB">
      <w:pPr>
        <w:jc w:val="center"/>
      </w:pPr>
      <w:r w:rsidRPr="009A5FEB">
        <w:t>Pre-Certification Workshops offered by SDO and OSD</w:t>
      </w:r>
    </w:p>
    <w:p w14:paraId="4585241C" w14:textId="77777777" w:rsidR="006E6663" w:rsidRDefault="006E6663" w:rsidP="009E236C">
      <w:pPr>
        <w:jc w:val="both"/>
      </w:pPr>
      <w:r>
        <w:t xml:space="preserve">Throughout every year </w:t>
      </w:r>
      <w:r w:rsidR="00D76E1D">
        <w:t xml:space="preserve">the </w:t>
      </w:r>
      <w:r>
        <w:t xml:space="preserve">SDO, in conjunction with the Training, Outreach, and Marketing department of OSD offer Pre-Certification Workshops.  These workshops introduce the topic of SDO Certification as minority (MBE) or women (WBE) business enterprises, both for profit and not for profit, as well as disadvantaged business enterprises (DBE) </w:t>
      </w:r>
      <w:r w:rsidR="00D76E1D">
        <w:t>the workshops</w:t>
      </w:r>
      <w:r>
        <w:t xml:space="preserve"> provide companies and entrepreneurs with information and awareness about opportunities to do work with the government and how Certification may help them market their company.</w:t>
      </w:r>
    </w:p>
    <w:p w14:paraId="1FC72F86" w14:textId="77777777" w:rsidR="004A41E3" w:rsidRDefault="004A41E3" w:rsidP="009E236C">
      <w:pPr>
        <w:jc w:val="both"/>
      </w:pPr>
      <w:r>
        <w:t xml:space="preserve">In </w:t>
      </w:r>
      <w:r w:rsidR="00E553A7">
        <w:t xml:space="preserve">FY2014 </w:t>
      </w:r>
      <w:r>
        <w:t xml:space="preserve">there were fourteen Pre-Certification Workshops held throughout the Commonwealth.  On average each workshop offered a capacity of </w:t>
      </w:r>
      <w:r w:rsidR="00E553A7">
        <w:t xml:space="preserve">59 </w:t>
      </w:r>
      <w:r w:rsidR="00AD7B59">
        <w:t xml:space="preserve">seats, with an average of </w:t>
      </w:r>
      <w:r w:rsidR="00E553A7">
        <w:t xml:space="preserve">63 </w:t>
      </w:r>
      <w:r>
        <w:t>individuals re</w:t>
      </w:r>
      <w:r w:rsidR="00AD7B59">
        <w:t xml:space="preserve">gistering and an average of </w:t>
      </w:r>
      <w:r w:rsidR="00E553A7">
        <w:t xml:space="preserve">44 </w:t>
      </w:r>
      <w:r>
        <w:t xml:space="preserve">individuals attending.  This means that the Pre Certification </w:t>
      </w:r>
      <w:r w:rsidR="00AD7B59">
        <w:t xml:space="preserve">Workshops had a show rate of </w:t>
      </w:r>
      <w:r w:rsidR="00E553A7">
        <w:t xml:space="preserve">74 </w:t>
      </w:r>
      <w:r>
        <w:t xml:space="preserve">percent.  </w:t>
      </w:r>
    </w:p>
    <w:tbl>
      <w:tblPr>
        <w:tblStyle w:val="TableGrid1"/>
        <w:tblW w:w="10075" w:type="dxa"/>
        <w:tblLook w:val="04A0" w:firstRow="1" w:lastRow="0" w:firstColumn="1" w:lastColumn="0" w:noHBand="0" w:noVBand="1"/>
        <w:tblCaption w:val="Pre-Certification Workshops held throughout the Commonwealth"/>
      </w:tblPr>
      <w:tblGrid>
        <w:gridCol w:w="2178"/>
        <w:gridCol w:w="1296"/>
        <w:gridCol w:w="1070"/>
        <w:gridCol w:w="1246"/>
        <w:gridCol w:w="1096"/>
        <w:gridCol w:w="1029"/>
        <w:gridCol w:w="2160"/>
      </w:tblGrid>
      <w:tr w:rsidR="006E6663" w:rsidRPr="00506CA0" w14:paraId="1E713E77" w14:textId="77777777" w:rsidTr="008C1B1C">
        <w:trPr>
          <w:trHeight w:val="418"/>
          <w:tblHeader/>
        </w:trPr>
        <w:tc>
          <w:tcPr>
            <w:tcW w:w="2178" w:type="dxa"/>
          </w:tcPr>
          <w:p w14:paraId="3776E9FE" w14:textId="77777777" w:rsidR="006E6663" w:rsidRPr="00D920BB" w:rsidRDefault="006E6663" w:rsidP="00D45548">
            <w:r w:rsidRPr="00D920BB">
              <w:t xml:space="preserve">   Date</w:t>
            </w:r>
          </w:p>
        </w:tc>
        <w:tc>
          <w:tcPr>
            <w:tcW w:w="1296" w:type="dxa"/>
            <w:noWrap/>
            <w:hideMark/>
          </w:tcPr>
          <w:p w14:paraId="67FB8598" w14:textId="77777777" w:rsidR="006E6663" w:rsidRPr="00D920BB" w:rsidRDefault="006E6663" w:rsidP="00D45548">
            <w:r w:rsidRPr="00D920BB">
              <w:t>City</w:t>
            </w:r>
          </w:p>
        </w:tc>
        <w:tc>
          <w:tcPr>
            <w:tcW w:w="1070" w:type="dxa"/>
            <w:noWrap/>
            <w:hideMark/>
          </w:tcPr>
          <w:p w14:paraId="37410DA2" w14:textId="77777777" w:rsidR="006E6663" w:rsidRPr="00D920BB" w:rsidRDefault="006E6663" w:rsidP="00D45548">
            <w:r w:rsidRPr="00D920BB">
              <w:t>Capacity</w:t>
            </w:r>
          </w:p>
        </w:tc>
        <w:tc>
          <w:tcPr>
            <w:tcW w:w="1246" w:type="dxa"/>
            <w:noWrap/>
            <w:hideMark/>
          </w:tcPr>
          <w:p w14:paraId="55B4CB87" w14:textId="77777777" w:rsidR="006E6663" w:rsidRPr="00D920BB" w:rsidRDefault="006E6663" w:rsidP="00D45548">
            <w:r w:rsidRPr="00D920BB">
              <w:t>Registered</w:t>
            </w:r>
          </w:p>
        </w:tc>
        <w:tc>
          <w:tcPr>
            <w:tcW w:w="1096" w:type="dxa"/>
            <w:noWrap/>
            <w:hideMark/>
          </w:tcPr>
          <w:p w14:paraId="13F0E56B" w14:textId="77777777" w:rsidR="006E6663" w:rsidRPr="00D920BB" w:rsidRDefault="006E6663" w:rsidP="00D45548">
            <w:r w:rsidRPr="00D920BB">
              <w:t>Attended</w:t>
            </w:r>
          </w:p>
        </w:tc>
        <w:tc>
          <w:tcPr>
            <w:tcW w:w="1029" w:type="dxa"/>
            <w:noWrap/>
            <w:hideMark/>
          </w:tcPr>
          <w:p w14:paraId="1B9DF884" w14:textId="77777777" w:rsidR="006E6663" w:rsidRPr="00D920BB" w:rsidRDefault="006E6663" w:rsidP="00D45548">
            <w:r w:rsidRPr="00D920BB">
              <w:t>% attended</w:t>
            </w:r>
          </w:p>
        </w:tc>
        <w:tc>
          <w:tcPr>
            <w:tcW w:w="2160" w:type="dxa"/>
            <w:noWrap/>
            <w:hideMark/>
          </w:tcPr>
          <w:p w14:paraId="16538DBD" w14:textId="77777777" w:rsidR="006E6663" w:rsidRPr="00D920BB" w:rsidRDefault="006E6663" w:rsidP="00D45548">
            <w:r w:rsidRPr="00D920BB">
              <w:t>Any extraordinary activity</w:t>
            </w:r>
          </w:p>
        </w:tc>
      </w:tr>
      <w:tr w:rsidR="006E6663" w:rsidRPr="00506CA0" w14:paraId="7C0E4D66" w14:textId="77777777" w:rsidTr="008C1B1C">
        <w:trPr>
          <w:trHeight w:val="302"/>
        </w:trPr>
        <w:tc>
          <w:tcPr>
            <w:tcW w:w="2178" w:type="dxa"/>
            <w:vAlign w:val="center"/>
          </w:tcPr>
          <w:p w14:paraId="7976148C" w14:textId="77777777" w:rsidR="006E6663" w:rsidRPr="00D920BB" w:rsidRDefault="006E6663" w:rsidP="000D286A">
            <w:r w:rsidRPr="00D920BB">
              <w:t xml:space="preserve">July 31, </w:t>
            </w:r>
            <w:r w:rsidR="000D286A" w:rsidRPr="00D920BB">
              <w:t>201</w:t>
            </w:r>
            <w:r w:rsidR="000D286A">
              <w:t>3</w:t>
            </w:r>
          </w:p>
        </w:tc>
        <w:tc>
          <w:tcPr>
            <w:tcW w:w="1296" w:type="dxa"/>
            <w:noWrap/>
            <w:vAlign w:val="center"/>
            <w:hideMark/>
          </w:tcPr>
          <w:p w14:paraId="41FF3D57" w14:textId="77777777" w:rsidR="006E6663" w:rsidRPr="00D920BB" w:rsidRDefault="006E6663" w:rsidP="00D45548">
            <w:r w:rsidRPr="00D920BB">
              <w:t>Boston</w:t>
            </w:r>
          </w:p>
        </w:tc>
        <w:tc>
          <w:tcPr>
            <w:tcW w:w="1070" w:type="dxa"/>
            <w:noWrap/>
            <w:vAlign w:val="center"/>
            <w:hideMark/>
          </w:tcPr>
          <w:p w14:paraId="77E0FD75" w14:textId="77777777" w:rsidR="006E6663" w:rsidRPr="00D920BB" w:rsidRDefault="006E6663" w:rsidP="00713031">
            <w:pPr>
              <w:jc w:val="center"/>
            </w:pPr>
            <w:r w:rsidRPr="00D920BB">
              <w:t>40</w:t>
            </w:r>
          </w:p>
        </w:tc>
        <w:tc>
          <w:tcPr>
            <w:tcW w:w="1246" w:type="dxa"/>
            <w:noWrap/>
            <w:vAlign w:val="center"/>
            <w:hideMark/>
          </w:tcPr>
          <w:p w14:paraId="0D685CF4" w14:textId="77777777" w:rsidR="006E6663" w:rsidRPr="00D920BB" w:rsidRDefault="006E6663" w:rsidP="00713031">
            <w:pPr>
              <w:jc w:val="center"/>
            </w:pPr>
            <w:r w:rsidRPr="00D920BB">
              <w:t>40</w:t>
            </w:r>
          </w:p>
        </w:tc>
        <w:tc>
          <w:tcPr>
            <w:tcW w:w="1096" w:type="dxa"/>
            <w:noWrap/>
            <w:vAlign w:val="center"/>
            <w:hideMark/>
          </w:tcPr>
          <w:p w14:paraId="77C2C265" w14:textId="77777777" w:rsidR="006E6663" w:rsidRPr="00D920BB" w:rsidRDefault="006E6663" w:rsidP="00713031">
            <w:pPr>
              <w:jc w:val="center"/>
            </w:pPr>
            <w:r w:rsidRPr="00D920BB">
              <w:t>27</w:t>
            </w:r>
          </w:p>
        </w:tc>
        <w:tc>
          <w:tcPr>
            <w:tcW w:w="1029" w:type="dxa"/>
            <w:noWrap/>
            <w:vAlign w:val="center"/>
            <w:hideMark/>
          </w:tcPr>
          <w:p w14:paraId="05A8A105" w14:textId="77777777" w:rsidR="006E6663" w:rsidRPr="00D920BB" w:rsidRDefault="006E6663" w:rsidP="00713031">
            <w:pPr>
              <w:jc w:val="center"/>
            </w:pPr>
            <w:r w:rsidRPr="00D920BB">
              <w:t>68%</w:t>
            </w:r>
          </w:p>
        </w:tc>
        <w:tc>
          <w:tcPr>
            <w:tcW w:w="2160" w:type="dxa"/>
            <w:noWrap/>
            <w:vAlign w:val="center"/>
            <w:hideMark/>
          </w:tcPr>
          <w:p w14:paraId="3135E7E7" w14:textId="77777777" w:rsidR="006E6663" w:rsidRPr="00D920BB" w:rsidRDefault="006E6663" w:rsidP="00D45548"/>
        </w:tc>
      </w:tr>
      <w:tr w:rsidR="00AC6FD5" w:rsidRPr="00506CA0" w14:paraId="45857C35" w14:textId="77777777" w:rsidTr="008C1B1C">
        <w:trPr>
          <w:trHeight w:val="302"/>
        </w:trPr>
        <w:tc>
          <w:tcPr>
            <w:tcW w:w="2178" w:type="dxa"/>
            <w:vAlign w:val="center"/>
          </w:tcPr>
          <w:p w14:paraId="4BBC4302" w14:textId="77777777" w:rsidR="00AC6FD5" w:rsidRPr="00D920BB" w:rsidRDefault="00AC6FD5" w:rsidP="00D45548">
            <w:r w:rsidRPr="00D920BB">
              <w:t>August 23, 2013</w:t>
            </w:r>
          </w:p>
        </w:tc>
        <w:tc>
          <w:tcPr>
            <w:tcW w:w="1296" w:type="dxa"/>
            <w:noWrap/>
            <w:vAlign w:val="center"/>
            <w:hideMark/>
          </w:tcPr>
          <w:p w14:paraId="10636E6F" w14:textId="77777777" w:rsidR="00AC6FD5" w:rsidRPr="00D920BB" w:rsidRDefault="00AC6FD5" w:rsidP="00D45548">
            <w:r w:rsidRPr="00D920BB">
              <w:t>Boston</w:t>
            </w:r>
          </w:p>
        </w:tc>
        <w:tc>
          <w:tcPr>
            <w:tcW w:w="1070" w:type="dxa"/>
            <w:noWrap/>
            <w:vAlign w:val="center"/>
            <w:hideMark/>
          </w:tcPr>
          <w:p w14:paraId="51904F78" w14:textId="77777777" w:rsidR="00AC6FD5" w:rsidRPr="00D920BB" w:rsidRDefault="00AC6FD5" w:rsidP="00713031">
            <w:pPr>
              <w:jc w:val="center"/>
            </w:pPr>
            <w:r w:rsidRPr="00D920BB">
              <w:t>75</w:t>
            </w:r>
          </w:p>
        </w:tc>
        <w:tc>
          <w:tcPr>
            <w:tcW w:w="1246" w:type="dxa"/>
            <w:noWrap/>
            <w:vAlign w:val="center"/>
            <w:hideMark/>
          </w:tcPr>
          <w:p w14:paraId="2845A2CF" w14:textId="77777777" w:rsidR="00AC6FD5" w:rsidRPr="00D920BB" w:rsidRDefault="00AC6FD5" w:rsidP="00713031">
            <w:pPr>
              <w:jc w:val="center"/>
            </w:pPr>
            <w:r w:rsidRPr="00D920BB">
              <w:t>87</w:t>
            </w:r>
          </w:p>
        </w:tc>
        <w:tc>
          <w:tcPr>
            <w:tcW w:w="1096" w:type="dxa"/>
            <w:noWrap/>
            <w:vAlign w:val="center"/>
            <w:hideMark/>
          </w:tcPr>
          <w:p w14:paraId="1283AE7A" w14:textId="77777777" w:rsidR="00AC6FD5" w:rsidRPr="00D920BB" w:rsidRDefault="00AC6FD5" w:rsidP="00713031">
            <w:pPr>
              <w:jc w:val="center"/>
            </w:pPr>
            <w:r w:rsidRPr="00D920BB">
              <w:t>68</w:t>
            </w:r>
          </w:p>
        </w:tc>
        <w:tc>
          <w:tcPr>
            <w:tcW w:w="1029" w:type="dxa"/>
            <w:noWrap/>
            <w:vAlign w:val="center"/>
            <w:hideMark/>
          </w:tcPr>
          <w:p w14:paraId="60C9388A" w14:textId="77777777" w:rsidR="00AC6FD5" w:rsidRPr="00D920BB" w:rsidRDefault="00AC6FD5" w:rsidP="00713031">
            <w:pPr>
              <w:jc w:val="center"/>
            </w:pPr>
            <w:r w:rsidRPr="00D920BB">
              <w:t>78%</w:t>
            </w:r>
          </w:p>
        </w:tc>
        <w:tc>
          <w:tcPr>
            <w:tcW w:w="2160" w:type="dxa"/>
            <w:noWrap/>
            <w:vAlign w:val="center"/>
            <w:hideMark/>
          </w:tcPr>
          <w:p w14:paraId="228AE525" w14:textId="77777777" w:rsidR="00AC6FD5" w:rsidRPr="00D920BB" w:rsidRDefault="00AC6FD5" w:rsidP="00D45548">
            <w:r w:rsidRPr="00D920BB">
              <w:t> </w:t>
            </w:r>
          </w:p>
        </w:tc>
      </w:tr>
      <w:tr w:rsidR="00AC6FD5" w:rsidRPr="00506CA0" w14:paraId="369AA610" w14:textId="77777777" w:rsidTr="008C1B1C">
        <w:trPr>
          <w:trHeight w:val="302"/>
        </w:trPr>
        <w:tc>
          <w:tcPr>
            <w:tcW w:w="2178" w:type="dxa"/>
            <w:vAlign w:val="center"/>
          </w:tcPr>
          <w:p w14:paraId="2CFAC6D6" w14:textId="77777777" w:rsidR="00AC6FD5" w:rsidRPr="00D920BB" w:rsidRDefault="00AC6FD5" w:rsidP="00D45548">
            <w:r w:rsidRPr="00D920BB">
              <w:t>September 12, 2013</w:t>
            </w:r>
          </w:p>
        </w:tc>
        <w:tc>
          <w:tcPr>
            <w:tcW w:w="1296" w:type="dxa"/>
            <w:noWrap/>
            <w:vAlign w:val="center"/>
            <w:hideMark/>
          </w:tcPr>
          <w:p w14:paraId="2BAAC175" w14:textId="77777777" w:rsidR="00AC6FD5" w:rsidRPr="00D920BB" w:rsidRDefault="00AC6FD5" w:rsidP="00D45548">
            <w:r w:rsidRPr="00D920BB">
              <w:t>Cambridge</w:t>
            </w:r>
          </w:p>
        </w:tc>
        <w:tc>
          <w:tcPr>
            <w:tcW w:w="1070" w:type="dxa"/>
            <w:noWrap/>
            <w:vAlign w:val="center"/>
            <w:hideMark/>
          </w:tcPr>
          <w:p w14:paraId="50CC6471" w14:textId="77777777" w:rsidR="00AC6FD5" w:rsidRPr="00D920BB" w:rsidRDefault="00AC6FD5" w:rsidP="00713031">
            <w:pPr>
              <w:jc w:val="center"/>
            </w:pPr>
            <w:r w:rsidRPr="00D920BB">
              <w:t>35</w:t>
            </w:r>
          </w:p>
        </w:tc>
        <w:tc>
          <w:tcPr>
            <w:tcW w:w="1246" w:type="dxa"/>
            <w:noWrap/>
            <w:vAlign w:val="center"/>
            <w:hideMark/>
          </w:tcPr>
          <w:p w14:paraId="4C363311" w14:textId="77777777" w:rsidR="00AC6FD5" w:rsidRPr="00D920BB" w:rsidRDefault="00AC6FD5" w:rsidP="00713031">
            <w:pPr>
              <w:jc w:val="center"/>
            </w:pPr>
            <w:r w:rsidRPr="00D920BB">
              <w:t>35</w:t>
            </w:r>
          </w:p>
        </w:tc>
        <w:tc>
          <w:tcPr>
            <w:tcW w:w="1096" w:type="dxa"/>
            <w:noWrap/>
            <w:vAlign w:val="center"/>
            <w:hideMark/>
          </w:tcPr>
          <w:p w14:paraId="56520238" w14:textId="77777777" w:rsidR="00AC6FD5" w:rsidRPr="00D920BB" w:rsidRDefault="00AC6FD5" w:rsidP="00713031">
            <w:pPr>
              <w:jc w:val="center"/>
            </w:pPr>
            <w:r w:rsidRPr="00D920BB">
              <w:t>19</w:t>
            </w:r>
          </w:p>
        </w:tc>
        <w:tc>
          <w:tcPr>
            <w:tcW w:w="1029" w:type="dxa"/>
            <w:noWrap/>
            <w:vAlign w:val="center"/>
            <w:hideMark/>
          </w:tcPr>
          <w:p w14:paraId="232BFF87" w14:textId="77777777" w:rsidR="00AC6FD5" w:rsidRPr="00D920BB" w:rsidRDefault="00AC6FD5" w:rsidP="00713031">
            <w:pPr>
              <w:jc w:val="center"/>
            </w:pPr>
            <w:r w:rsidRPr="00D920BB">
              <w:t>54%</w:t>
            </w:r>
          </w:p>
        </w:tc>
        <w:tc>
          <w:tcPr>
            <w:tcW w:w="2160" w:type="dxa"/>
            <w:noWrap/>
            <w:vAlign w:val="center"/>
            <w:hideMark/>
          </w:tcPr>
          <w:p w14:paraId="69F6A812" w14:textId="77777777" w:rsidR="00AC6FD5" w:rsidRPr="00D920BB" w:rsidRDefault="00AC6FD5" w:rsidP="00D45548">
            <w:r w:rsidRPr="00D920BB">
              <w:t> </w:t>
            </w:r>
          </w:p>
        </w:tc>
      </w:tr>
      <w:tr w:rsidR="00AC6FD5" w:rsidRPr="00506CA0" w14:paraId="7CD0C5B6" w14:textId="77777777" w:rsidTr="008C1B1C">
        <w:trPr>
          <w:trHeight w:val="302"/>
        </w:trPr>
        <w:tc>
          <w:tcPr>
            <w:tcW w:w="2178" w:type="dxa"/>
            <w:vAlign w:val="center"/>
          </w:tcPr>
          <w:p w14:paraId="65E18063" w14:textId="77777777" w:rsidR="00AC6FD5" w:rsidRPr="00D920BB" w:rsidRDefault="00AC6FD5" w:rsidP="00D45548">
            <w:r w:rsidRPr="00D920BB">
              <w:t>October 21, 2013</w:t>
            </w:r>
          </w:p>
        </w:tc>
        <w:tc>
          <w:tcPr>
            <w:tcW w:w="1296" w:type="dxa"/>
            <w:noWrap/>
            <w:vAlign w:val="center"/>
            <w:hideMark/>
          </w:tcPr>
          <w:p w14:paraId="1707483C" w14:textId="77777777" w:rsidR="00AC6FD5" w:rsidRPr="00D920BB" w:rsidRDefault="00AC6FD5" w:rsidP="00D45548">
            <w:r w:rsidRPr="00D920BB">
              <w:t>Springfield</w:t>
            </w:r>
          </w:p>
        </w:tc>
        <w:tc>
          <w:tcPr>
            <w:tcW w:w="1070" w:type="dxa"/>
            <w:noWrap/>
            <w:vAlign w:val="center"/>
            <w:hideMark/>
          </w:tcPr>
          <w:p w14:paraId="0D6AD95A" w14:textId="77777777" w:rsidR="00AC6FD5" w:rsidRPr="00D920BB" w:rsidRDefault="00AC6FD5" w:rsidP="00713031">
            <w:pPr>
              <w:jc w:val="center"/>
            </w:pPr>
            <w:r w:rsidRPr="00D920BB">
              <w:t>45</w:t>
            </w:r>
          </w:p>
        </w:tc>
        <w:tc>
          <w:tcPr>
            <w:tcW w:w="1246" w:type="dxa"/>
            <w:noWrap/>
            <w:vAlign w:val="center"/>
            <w:hideMark/>
          </w:tcPr>
          <w:p w14:paraId="572103F9" w14:textId="77777777" w:rsidR="00AC6FD5" w:rsidRPr="00D920BB" w:rsidRDefault="00AC6FD5" w:rsidP="00713031">
            <w:pPr>
              <w:jc w:val="center"/>
            </w:pPr>
            <w:r w:rsidRPr="00D920BB">
              <w:t>57</w:t>
            </w:r>
          </w:p>
        </w:tc>
        <w:tc>
          <w:tcPr>
            <w:tcW w:w="1096" w:type="dxa"/>
            <w:noWrap/>
            <w:vAlign w:val="center"/>
            <w:hideMark/>
          </w:tcPr>
          <w:p w14:paraId="28A23CBA" w14:textId="77777777" w:rsidR="00AC6FD5" w:rsidRPr="00D920BB" w:rsidRDefault="00AC6FD5" w:rsidP="00713031">
            <w:pPr>
              <w:jc w:val="center"/>
            </w:pPr>
            <w:r w:rsidRPr="00D920BB">
              <w:t>45</w:t>
            </w:r>
          </w:p>
        </w:tc>
        <w:tc>
          <w:tcPr>
            <w:tcW w:w="1029" w:type="dxa"/>
            <w:noWrap/>
            <w:vAlign w:val="center"/>
            <w:hideMark/>
          </w:tcPr>
          <w:p w14:paraId="73007A2B" w14:textId="77777777" w:rsidR="00AC6FD5" w:rsidRPr="00D920BB" w:rsidRDefault="00AC6FD5" w:rsidP="00713031">
            <w:pPr>
              <w:jc w:val="center"/>
            </w:pPr>
            <w:r w:rsidRPr="00D920BB">
              <w:t>79%</w:t>
            </w:r>
          </w:p>
        </w:tc>
        <w:tc>
          <w:tcPr>
            <w:tcW w:w="2160" w:type="dxa"/>
            <w:noWrap/>
            <w:vAlign w:val="center"/>
            <w:hideMark/>
          </w:tcPr>
          <w:p w14:paraId="745BB236" w14:textId="77777777" w:rsidR="00AC6FD5" w:rsidRPr="00D920BB" w:rsidRDefault="00AC6FD5" w:rsidP="00D45548">
            <w:r w:rsidRPr="00D920BB">
              <w:t> </w:t>
            </w:r>
          </w:p>
        </w:tc>
      </w:tr>
      <w:tr w:rsidR="00AC6FD5" w:rsidRPr="00506CA0" w14:paraId="624936F7" w14:textId="77777777" w:rsidTr="008C1B1C">
        <w:trPr>
          <w:trHeight w:val="302"/>
        </w:trPr>
        <w:tc>
          <w:tcPr>
            <w:tcW w:w="2178" w:type="dxa"/>
            <w:vAlign w:val="center"/>
          </w:tcPr>
          <w:p w14:paraId="703DE04F" w14:textId="77777777" w:rsidR="00AC6FD5" w:rsidRPr="00D920BB" w:rsidRDefault="00AC6FD5" w:rsidP="00D45548">
            <w:r w:rsidRPr="00D920BB">
              <w:t>November 13, 2013</w:t>
            </w:r>
          </w:p>
        </w:tc>
        <w:tc>
          <w:tcPr>
            <w:tcW w:w="1296" w:type="dxa"/>
            <w:noWrap/>
            <w:vAlign w:val="center"/>
            <w:hideMark/>
          </w:tcPr>
          <w:p w14:paraId="10D32705" w14:textId="77777777" w:rsidR="00AC6FD5" w:rsidRPr="00D920BB" w:rsidRDefault="00AC6FD5" w:rsidP="00D45548">
            <w:r w:rsidRPr="00D920BB">
              <w:t>Worcester</w:t>
            </w:r>
          </w:p>
        </w:tc>
        <w:tc>
          <w:tcPr>
            <w:tcW w:w="1070" w:type="dxa"/>
            <w:noWrap/>
            <w:vAlign w:val="center"/>
            <w:hideMark/>
          </w:tcPr>
          <w:p w14:paraId="0F8CA916" w14:textId="77777777" w:rsidR="00AC6FD5" w:rsidRPr="00D920BB" w:rsidRDefault="00AC6FD5" w:rsidP="00713031">
            <w:pPr>
              <w:jc w:val="center"/>
            </w:pPr>
            <w:r w:rsidRPr="00D920BB">
              <w:t>100</w:t>
            </w:r>
          </w:p>
        </w:tc>
        <w:tc>
          <w:tcPr>
            <w:tcW w:w="1246" w:type="dxa"/>
            <w:noWrap/>
            <w:vAlign w:val="center"/>
            <w:hideMark/>
          </w:tcPr>
          <w:p w14:paraId="223F624C" w14:textId="77777777" w:rsidR="00AC6FD5" w:rsidRPr="00D920BB" w:rsidRDefault="00AC6FD5" w:rsidP="00713031">
            <w:pPr>
              <w:jc w:val="center"/>
            </w:pPr>
            <w:r w:rsidRPr="00D920BB">
              <w:t>99</w:t>
            </w:r>
          </w:p>
        </w:tc>
        <w:tc>
          <w:tcPr>
            <w:tcW w:w="1096" w:type="dxa"/>
            <w:noWrap/>
            <w:vAlign w:val="center"/>
            <w:hideMark/>
          </w:tcPr>
          <w:p w14:paraId="74AAC503" w14:textId="77777777" w:rsidR="00AC6FD5" w:rsidRPr="00D920BB" w:rsidRDefault="00AC6FD5" w:rsidP="00713031">
            <w:pPr>
              <w:jc w:val="center"/>
            </w:pPr>
            <w:r w:rsidRPr="00D920BB">
              <w:t>91</w:t>
            </w:r>
          </w:p>
        </w:tc>
        <w:tc>
          <w:tcPr>
            <w:tcW w:w="1029" w:type="dxa"/>
            <w:noWrap/>
            <w:vAlign w:val="center"/>
            <w:hideMark/>
          </w:tcPr>
          <w:p w14:paraId="56550843" w14:textId="77777777" w:rsidR="00AC6FD5" w:rsidRPr="00D920BB" w:rsidRDefault="00AC6FD5" w:rsidP="00713031">
            <w:pPr>
              <w:jc w:val="center"/>
            </w:pPr>
            <w:r w:rsidRPr="00D920BB">
              <w:t>92%</w:t>
            </w:r>
          </w:p>
        </w:tc>
        <w:tc>
          <w:tcPr>
            <w:tcW w:w="2160" w:type="dxa"/>
            <w:noWrap/>
            <w:vAlign w:val="center"/>
            <w:hideMark/>
          </w:tcPr>
          <w:p w14:paraId="172ADC11" w14:textId="77777777" w:rsidR="00AC6FD5" w:rsidRPr="00D920BB" w:rsidRDefault="00AC6FD5" w:rsidP="00D45548">
            <w:r w:rsidRPr="00D920BB">
              <w:t> </w:t>
            </w:r>
          </w:p>
        </w:tc>
      </w:tr>
      <w:tr w:rsidR="00AC6FD5" w:rsidRPr="00506CA0" w14:paraId="3FBEABED" w14:textId="77777777" w:rsidTr="008C1B1C">
        <w:trPr>
          <w:trHeight w:val="302"/>
        </w:trPr>
        <w:tc>
          <w:tcPr>
            <w:tcW w:w="2178" w:type="dxa"/>
            <w:vAlign w:val="center"/>
          </w:tcPr>
          <w:p w14:paraId="2DCE83D0" w14:textId="77777777" w:rsidR="00AC6FD5" w:rsidRPr="00D920BB" w:rsidRDefault="00AC6FD5" w:rsidP="00D45548">
            <w:r w:rsidRPr="00D920BB">
              <w:t>December 10, 2013</w:t>
            </w:r>
          </w:p>
        </w:tc>
        <w:tc>
          <w:tcPr>
            <w:tcW w:w="1296" w:type="dxa"/>
            <w:noWrap/>
            <w:vAlign w:val="center"/>
            <w:hideMark/>
          </w:tcPr>
          <w:p w14:paraId="66A3937C" w14:textId="77777777" w:rsidR="00AC6FD5" w:rsidRPr="00D920BB" w:rsidRDefault="00AC6FD5" w:rsidP="00D45548">
            <w:r w:rsidRPr="00D920BB">
              <w:t>Boston</w:t>
            </w:r>
          </w:p>
        </w:tc>
        <w:tc>
          <w:tcPr>
            <w:tcW w:w="1070" w:type="dxa"/>
            <w:noWrap/>
            <w:vAlign w:val="center"/>
            <w:hideMark/>
          </w:tcPr>
          <w:p w14:paraId="2C5DDC7B" w14:textId="77777777" w:rsidR="00AC6FD5" w:rsidRPr="00D920BB" w:rsidRDefault="00AC6FD5" w:rsidP="00713031">
            <w:pPr>
              <w:jc w:val="center"/>
            </w:pPr>
            <w:r w:rsidRPr="00D920BB">
              <w:t>75</w:t>
            </w:r>
          </w:p>
        </w:tc>
        <w:tc>
          <w:tcPr>
            <w:tcW w:w="1246" w:type="dxa"/>
            <w:noWrap/>
            <w:vAlign w:val="center"/>
            <w:hideMark/>
          </w:tcPr>
          <w:p w14:paraId="27E02BC2" w14:textId="77777777" w:rsidR="00AC6FD5" w:rsidRPr="00D920BB" w:rsidRDefault="00AC6FD5" w:rsidP="00713031">
            <w:pPr>
              <w:jc w:val="center"/>
            </w:pPr>
            <w:r w:rsidRPr="00D920BB">
              <w:t>75</w:t>
            </w:r>
          </w:p>
        </w:tc>
        <w:tc>
          <w:tcPr>
            <w:tcW w:w="1096" w:type="dxa"/>
            <w:noWrap/>
            <w:vAlign w:val="center"/>
            <w:hideMark/>
          </w:tcPr>
          <w:p w14:paraId="5DFB797B" w14:textId="77777777" w:rsidR="00AC6FD5" w:rsidRPr="00D920BB" w:rsidRDefault="00AC6FD5" w:rsidP="00713031">
            <w:pPr>
              <w:jc w:val="center"/>
            </w:pPr>
            <w:r w:rsidRPr="00D920BB">
              <w:t>56</w:t>
            </w:r>
          </w:p>
        </w:tc>
        <w:tc>
          <w:tcPr>
            <w:tcW w:w="1029" w:type="dxa"/>
            <w:noWrap/>
            <w:vAlign w:val="center"/>
            <w:hideMark/>
          </w:tcPr>
          <w:p w14:paraId="137052E1" w14:textId="77777777" w:rsidR="00AC6FD5" w:rsidRPr="00D920BB" w:rsidRDefault="00AC6FD5" w:rsidP="00713031">
            <w:pPr>
              <w:jc w:val="center"/>
            </w:pPr>
            <w:r w:rsidRPr="00D920BB">
              <w:t>75%</w:t>
            </w:r>
          </w:p>
        </w:tc>
        <w:tc>
          <w:tcPr>
            <w:tcW w:w="2160" w:type="dxa"/>
            <w:noWrap/>
            <w:vAlign w:val="center"/>
            <w:hideMark/>
          </w:tcPr>
          <w:p w14:paraId="57284A7E" w14:textId="77777777" w:rsidR="00AC6FD5" w:rsidRPr="00D920BB" w:rsidRDefault="00AC6FD5" w:rsidP="00D45548">
            <w:r w:rsidRPr="00D920BB">
              <w:t>Snow Storm</w:t>
            </w:r>
          </w:p>
        </w:tc>
      </w:tr>
      <w:tr w:rsidR="00AC6FD5" w:rsidRPr="00506CA0" w14:paraId="55CCCF8C" w14:textId="77777777" w:rsidTr="008C1B1C">
        <w:trPr>
          <w:trHeight w:val="302"/>
        </w:trPr>
        <w:tc>
          <w:tcPr>
            <w:tcW w:w="2178" w:type="dxa"/>
            <w:vAlign w:val="center"/>
          </w:tcPr>
          <w:p w14:paraId="10D66902" w14:textId="77777777" w:rsidR="00AC6FD5" w:rsidRPr="00D920BB" w:rsidRDefault="00AC6FD5" w:rsidP="00D45548">
            <w:r w:rsidRPr="00D920BB">
              <w:t>January 27, 2014</w:t>
            </w:r>
          </w:p>
        </w:tc>
        <w:tc>
          <w:tcPr>
            <w:tcW w:w="1296" w:type="dxa"/>
            <w:noWrap/>
            <w:vAlign w:val="center"/>
            <w:hideMark/>
          </w:tcPr>
          <w:p w14:paraId="0C873743" w14:textId="77777777" w:rsidR="00AC6FD5" w:rsidRPr="00D920BB" w:rsidRDefault="00AC6FD5" w:rsidP="00D45548">
            <w:r w:rsidRPr="00D920BB">
              <w:t>Springfield</w:t>
            </w:r>
          </w:p>
        </w:tc>
        <w:tc>
          <w:tcPr>
            <w:tcW w:w="1070" w:type="dxa"/>
            <w:noWrap/>
            <w:vAlign w:val="center"/>
            <w:hideMark/>
          </w:tcPr>
          <w:p w14:paraId="3A5FCE65" w14:textId="77777777" w:rsidR="00AC6FD5" w:rsidRPr="00D920BB" w:rsidRDefault="00AC6FD5" w:rsidP="00713031">
            <w:pPr>
              <w:jc w:val="center"/>
            </w:pPr>
            <w:r w:rsidRPr="00D920BB">
              <w:t>45</w:t>
            </w:r>
          </w:p>
        </w:tc>
        <w:tc>
          <w:tcPr>
            <w:tcW w:w="1246" w:type="dxa"/>
            <w:noWrap/>
            <w:vAlign w:val="center"/>
            <w:hideMark/>
          </w:tcPr>
          <w:p w14:paraId="087DD65B" w14:textId="77777777" w:rsidR="00AC6FD5" w:rsidRPr="00D920BB" w:rsidRDefault="00AC6FD5" w:rsidP="00713031">
            <w:pPr>
              <w:jc w:val="center"/>
            </w:pPr>
            <w:r w:rsidRPr="00D920BB">
              <w:t>44</w:t>
            </w:r>
          </w:p>
        </w:tc>
        <w:tc>
          <w:tcPr>
            <w:tcW w:w="1096" w:type="dxa"/>
            <w:noWrap/>
            <w:vAlign w:val="center"/>
            <w:hideMark/>
          </w:tcPr>
          <w:p w14:paraId="5E95167B" w14:textId="77777777" w:rsidR="00AC6FD5" w:rsidRPr="00D920BB" w:rsidRDefault="00AC6FD5" w:rsidP="00713031">
            <w:pPr>
              <w:jc w:val="center"/>
            </w:pPr>
            <w:r w:rsidRPr="00D920BB">
              <w:t>33</w:t>
            </w:r>
          </w:p>
        </w:tc>
        <w:tc>
          <w:tcPr>
            <w:tcW w:w="1029" w:type="dxa"/>
            <w:noWrap/>
            <w:vAlign w:val="center"/>
            <w:hideMark/>
          </w:tcPr>
          <w:p w14:paraId="188C5A15" w14:textId="77777777" w:rsidR="00AC6FD5" w:rsidRPr="00D920BB" w:rsidRDefault="00AC6FD5" w:rsidP="00713031">
            <w:pPr>
              <w:jc w:val="center"/>
            </w:pPr>
            <w:r w:rsidRPr="00D920BB">
              <w:t>75%</w:t>
            </w:r>
          </w:p>
        </w:tc>
        <w:tc>
          <w:tcPr>
            <w:tcW w:w="2160" w:type="dxa"/>
            <w:noWrap/>
            <w:vAlign w:val="center"/>
            <w:hideMark/>
          </w:tcPr>
          <w:p w14:paraId="5B689299" w14:textId="77777777" w:rsidR="00AC6FD5" w:rsidRPr="00D920BB" w:rsidRDefault="00AC6FD5" w:rsidP="00D45548">
            <w:r w:rsidRPr="00D920BB">
              <w:t> </w:t>
            </w:r>
          </w:p>
        </w:tc>
      </w:tr>
      <w:tr w:rsidR="00AC6FD5" w:rsidRPr="00506CA0" w14:paraId="0B2FEB35" w14:textId="77777777" w:rsidTr="008C1B1C">
        <w:trPr>
          <w:trHeight w:val="302"/>
        </w:trPr>
        <w:tc>
          <w:tcPr>
            <w:tcW w:w="2178" w:type="dxa"/>
            <w:vAlign w:val="center"/>
          </w:tcPr>
          <w:p w14:paraId="2D431124" w14:textId="77777777" w:rsidR="00AC6FD5" w:rsidRPr="00D920BB" w:rsidRDefault="00AC6FD5" w:rsidP="00D45548">
            <w:r w:rsidRPr="00D920BB">
              <w:t>January 31, 2014</w:t>
            </w:r>
          </w:p>
        </w:tc>
        <w:tc>
          <w:tcPr>
            <w:tcW w:w="1296" w:type="dxa"/>
            <w:noWrap/>
            <w:vAlign w:val="center"/>
            <w:hideMark/>
          </w:tcPr>
          <w:p w14:paraId="00F55F69" w14:textId="77777777" w:rsidR="00AC6FD5" w:rsidRPr="00D920BB" w:rsidRDefault="00AC6FD5" w:rsidP="00D45548">
            <w:r w:rsidRPr="00D920BB">
              <w:t>Boston</w:t>
            </w:r>
          </w:p>
        </w:tc>
        <w:tc>
          <w:tcPr>
            <w:tcW w:w="1070" w:type="dxa"/>
            <w:noWrap/>
            <w:vAlign w:val="center"/>
            <w:hideMark/>
          </w:tcPr>
          <w:p w14:paraId="6059DDA4" w14:textId="77777777" w:rsidR="00AC6FD5" w:rsidRPr="00D920BB" w:rsidRDefault="00AC6FD5" w:rsidP="00713031">
            <w:pPr>
              <w:jc w:val="center"/>
            </w:pPr>
            <w:r w:rsidRPr="00D920BB">
              <w:t>60</w:t>
            </w:r>
          </w:p>
        </w:tc>
        <w:tc>
          <w:tcPr>
            <w:tcW w:w="1246" w:type="dxa"/>
            <w:noWrap/>
            <w:vAlign w:val="center"/>
            <w:hideMark/>
          </w:tcPr>
          <w:p w14:paraId="7298B3A5" w14:textId="77777777" w:rsidR="00AC6FD5" w:rsidRPr="00D920BB" w:rsidRDefault="00AC6FD5" w:rsidP="00713031">
            <w:pPr>
              <w:jc w:val="center"/>
            </w:pPr>
            <w:r w:rsidRPr="00D920BB">
              <w:t>58</w:t>
            </w:r>
          </w:p>
        </w:tc>
        <w:tc>
          <w:tcPr>
            <w:tcW w:w="1096" w:type="dxa"/>
            <w:noWrap/>
            <w:vAlign w:val="center"/>
            <w:hideMark/>
          </w:tcPr>
          <w:p w14:paraId="6730A8CA" w14:textId="77777777" w:rsidR="00AC6FD5" w:rsidRPr="00D920BB" w:rsidRDefault="00AC6FD5" w:rsidP="00713031">
            <w:pPr>
              <w:jc w:val="center"/>
            </w:pPr>
            <w:r w:rsidRPr="00D920BB">
              <w:t>44</w:t>
            </w:r>
          </w:p>
        </w:tc>
        <w:tc>
          <w:tcPr>
            <w:tcW w:w="1029" w:type="dxa"/>
            <w:noWrap/>
            <w:vAlign w:val="center"/>
            <w:hideMark/>
          </w:tcPr>
          <w:p w14:paraId="50C8444B" w14:textId="77777777" w:rsidR="00AC6FD5" w:rsidRPr="00D920BB" w:rsidRDefault="00AC6FD5" w:rsidP="00713031">
            <w:pPr>
              <w:jc w:val="center"/>
            </w:pPr>
            <w:r w:rsidRPr="00D920BB">
              <w:t>76%</w:t>
            </w:r>
          </w:p>
        </w:tc>
        <w:tc>
          <w:tcPr>
            <w:tcW w:w="2160" w:type="dxa"/>
            <w:noWrap/>
            <w:vAlign w:val="center"/>
            <w:hideMark/>
          </w:tcPr>
          <w:p w14:paraId="2DF0D534" w14:textId="77777777" w:rsidR="00AC6FD5" w:rsidRPr="00D920BB" w:rsidRDefault="00AC6FD5" w:rsidP="00D45548">
            <w:r w:rsidRPr="00D920BB">
              <w:t> </w:t>
            </w:r>
          </w:p>
        </w:tc>
      </w:tr>
      <w:tr w:rsidR="00AC6FD5" w:rsidRPr="00506CA0" w14:paraId="6A6BE7BD" w14:textId="77777777" w:rsidTr="008C1B1C">
        <w:trPr>
          <w:trHeight w:val="302"/>
        </w:trPr>
        <w:tc>
          <w:tcPr>
            <w:tcW w:w="2178" w:type="dxa"/>
            <w:vAlign w:val="center"/>
          </w:tcPr>
          <w:p w14:paraId="485F1663" w14:textId="77777777" w:rsidR="00AC6FD5" w:rsidRPr="00D920BB" w:rsidRDefault="00AC6FD5" w:rsidP="00D45548">
            <w:r w:rsidRPr="00D920BB">
              <w:t>February 12, 2014</w:t>
            </w:r>
          </w:p>
        </w:tc>
        <w:tc>
          <w:tcPr>
            <w:tcW w:w="1296" w:type="dxa"/>
            <w:noWrap/>
            <w:vAlign w:val="center"/>
            <w:hideMark/>
          </w:tcPr>
          <w:p w14:paraId="02EAAE68" w14:textId="77777777" w:rsidR="00AC6FD5" w:rsidRPr="00D920BB" w:rsidRDefault="00AC6FD5" w:rsidP="00D45548">
            <w:r w:rsidRPr="00D920BB">
              <w:t>Dorchester</w:t>
            </w:r>
          </w:p>
        </w:tc>
        <w:tc>
          <w:tcPr>
            <w:tcW w:w="1070" w:type="dxa"/>
            <w:noWrap/>
            <w:vAlign w:val="center"/>
            <w:hideMark/>
          </w:tcPr>
          <w:p w14:paraId="0031887A" w14:textId="77777777" w:rsidR="00AC6FD5" w:rsidRPr="00D920BB" w:rsidRDefault="00AC6FD5" w:rsidP="00713031">
            <w:pPr>
              <w:jc w:val="center"/>
            </w:pPr>
            <w:r w:rsidRPr="00D920BB">
              <w:t>40</w:t>
            </w:r>
          </w:p>
        </w:tc>
        <w:tc>
          <w:tcPr>
            <w:tcW w:w="1246" w:type="dxa"/>
            <w:noWrap/>
            <w:vAlign w:val="center"/>
            <w:hideMark/>
          </w:tcPr>
          <w:p w14:paraId="074D68BF" w14:textId="77777777" w:rsidR="00AC6FD5" w:rsidRPr="00D920BB" w:rsidRDefault="00AC6FD5" w:rsidP="00713031">
            <w:pPr>
              <w:jc w:val="center"/>
            </w:pPr>
            <w:r w:rsidRPr="00D920BB">
              <w:t>34</w:t>
            </w:r>
          </w:p>
        </w:tc>
        <w:tc>
          <w:tcPr>
            <w:tcW w:w="1096" w:type="dxa"/>
            <w:noWrap/>
            <w:vAlign w:val="center"/>
            <w:hideMark/>
          </w:tcPr>
          <w:p w14:paraId="3FB8293E" w14:textId="77777777" w:rsidR="00AC6FD5" w:rsidRPr="00D920BB" w:rsidRDefault="00AC6FD5" w:rsidP="00713031">
            <w:pPr>
              <w:jc w:val="center"/>
            </w:pPr>
            <w:r w:rsidRPr="00D920BB">
              <w:t>19</w:t>
            </w:r>
          </w:p>
        </w:tc>
        <w:tc>
          <w:tcPr>
            <w:tcW w:w="1029" w:type="dxa"/>
            <w:noWrap/>
            <w:vAlign w:val="center"/>
            <w:hideMark/>
          </w:tcPr>
          <w:p w14:paraId="17131284" w14:textId="77777777" w:rsidR="00AC6FD5" w:rsidRPr="00D920BB" w:rsidRDefault="00AC6FD5" w:rsidP="00713031">
            <w:pPr>
              <w:jc w:val="center"/>
            </w:pPr>
            <w:r w:rsidRPr="00D920BB">
              <w:t>56%</w:t>
            </w:r>
          </w:p>
        </w:tc>
        <w:tc>
          <w:tcPr>
            <w:tcW w:w="2160" w:type="dxa"/>
            <w:noWrap/>
            <w:vAlign w:val="center"/>
            <w:hideMark/>
          </w:tcPr>
          <w:p w14:paraId="51BA12B1" w14:textId="77777777" w:rsidR="00AC6FD5" w:rsidRPr="00D920BB" w:rsidRDefault="00AC6FD5" w:rsidP="00D45548">
            <w:r w:rsidRPr="00D920BB">
              <w:t>Location Changed</w:t>
            </w:r>
          </w:p>
        </w:tc>
      </w:tr>
      <w:tr w:rsidR="00AC6FD5" w:rsidRPr="00506CA0" w14:paraId="23AAFBBD" w14:textId="77777777" w:rsidTr="008C1B1C">
        <w:trPr>
          <w:trHeight w:val="302"/>
        </w:trPr>
        <w:tc>
          <w:tcPr>
            <w:tcW w:w="2178" w:type="dxa"/>
            <w:vAlign w:val="center"/>
          </w:tcPr>
          <w:p w14:paraId="48A63CE3" w14:textId="77777777" w:rsidR="00AC6FD5" w:rsidRPr="00D920BB" w:rsidRDefault="00AC6FD5" w:rsidP="00D45548">
            <w:r w:rsidRPr="00D920BB">
              <w:t>February 20, 2014</w:t>
            </w:r>
          </w:p>
        </w:tc>
        <w:tc>
          <w:tcPr>
            <w:tcW w:w="1296" w:type="dxa"/>
            <w:noWrap/>
            <w:vAlign w:val="center"/>
            <w:hideMark/>
          </w:tcPr>
          <w:p w14:paraId="2C7ABAA4" w14:textId="77777777" w:rsidR="00AC6FD5" w:rsidRPr="00D920BB" w:rsidRDefault="00AC6FD5" w:rsidP="00D45548">
            <w:r w:rsidRPr="00D920BB">
              <w:t>Lawrence</w:t>
            </w:r>
          </w:p>
        </w:tc>
        <w:tc>
          <w:tcPr>
            <w:tcW w:w="1070" w:type="dxa"/>
            <w:noWrap/>
            <w:vAlign w:val="center"/>
            <w:hideMark/>
          </w:tcPr>
          <w:p w14:paraId="7B56E7D0" w14:textId="77777777" w:rsidR="00AC6FD5" w:rsidRPr="00D920BB" w:rsidRDefault="00AC6FD5" w:rsidP="00713031">
            <w:pPr>
              <w:jc w:val="center"/>
            </w:pPr>
            <w:r w:rsidRPr="00D920BB">
              <w:t>80</w:t>
            </w:r>
          </w:p>
        </w:tc>
        <w:tc>
          <w:tcPr>
            <w:tcW w:w="1246" w:type="dxa"/>
            <w:noWrap/>
            <w:vAlign w:val="center"/>
            <w:hideMark/>
          </w:tcPr>
          <w:p w14:paraId="50080648" w14:textId="77777777" w:rsidR="00AC6FD5" w:rsidRPr="00D920BB" w:rsidRDefault="00AC6FD5" w:rsidP="00713031">
            <w:pPr>
              <w:jc w:val="center"/>
            </w:pPr>
            <w:r w:rsidRPr="00D920BB">
              <w:t>58</w:t>
            </w:r>
          </w:p>
        </w:tc>
        <w:tc>
          <w:tcPr>
            <w:tcW w:w="1096" w:type="dxa"/>
            <w:noWrap/>
            <w:vAlign w:val="center"/>
            <w:hideMark/>
          </w:tcPr>
          <w:p w14:paraId="5EE5CB66" w14:textId="77777777" w:rsidR="00AC6FD5" w:rsidRPr="00D920BB" w:rsidRDefault="00AC6FD5" w:rsidP="00713031">
            <w:pPr>
              <w:jc w:val="center"/>
            </w:pPr>
            <w:r w:rsidRPr="00D920BB">
              <w:t>44</w:t>
            </w:r>
          </w:p>
        </w:tc>
        <w:tc>
          <w:tcPr>
            <w:tcW w:w="1029" w:type="dxa"/>
            <w:noWrap/>
            <w:vAlign w:val="center"/>
            <w:hideMark/>
          </w:tcPr>
          <w:p w14:paraId="30B900B1" w14:textId="77777777" w:rsidR="00AC6FD5" w:rsidRPr="00D920BB" w:rsidRDefault="00AC6FD5" w:rsidP="00713031">
            <w:pPr>
              <w:jc w:val="center"/>
            </w:pPr>
            <w:r w:rsidRPr="00D920BB">
              <w:t>76%</w:t>
            </w:r>
          </w:p>
        </w:tc>
        <w:tc>
          <w:tcPr>
            <w:tcW w:w="2160" w:type="dxa"/>
            <w:noWrap/>
            <w:vAlign w:val="center"/>
            <w:hideMark/>
          </w:tcPr>
          <w:p w14:paraId="445C4AB6" w14:textId="77777777" w:rsidR="00AC6FD5" w:rsidRPr="00D920BB" w:rsidRDefault="00AC6FD5" w:rsidP="00D45548">
            <w:r w:rsidRPr="00D920BB">
              <w:t> </w:t>
            </w:r>
          </w:p>
        </w:tc>
      </w:tr>
      <w:tr w:rsidR="00AC6FD5" w:rsidRPr="00506CA0" w14:paraId="2A18BC2D" w14:textId="77777777" w:rsidTr="008C1B1C">
        <w:trPr>
          <w:trHeight w:val="302"/>
        </w:trPr>
        <w:tc>
          <w:tcPr>
            <w:tcW w:w="2178" w:type="dxa"/>
            <w:vAlign w:val="center"/>
          </w:tcPr>
          <w:p w14:paraId="71885068" w14:textId="77777777" w:rsidR="00AC6FD5" w:rsidRPr="00D920BB" w:rsidRDefault="00AC6FD5" w:rsidP="00D45548">
            <w:r w:rsidRPr="00D920BB">
              <w:t>March 13, 2014</w:t>
            </w:r>
          </w:p>
        </w:tc>
        <w:tc>
          <w:tcPr>
            <w:tcW w:w="1296" w:type="dxa"/>
            <w:noWrap/>
            <w:vAlign w:val="center"/>
            <w:hideMark/>
          </w:tcPr>
          <w:p w14:paraId="1581A251" w14:textId="77777777" w:rsidR="00AC6FD5" w:rsidRPr="00D920BB" w:rsidRDefault="00AC6FD5" w:rsidP="00D45548">
            <w:r w:rsidRPr="00D920BB">
              <w:t>Fall River</w:t>
            </w:r>
          </w:p>
        </w:tc>
        <w:tc>
          <w:tcPr>
            <w:tcW w:w="1070" w:type="dxa"/>
            <w:noWrap/>
            <w:vAlign w:val="center"/>
            <w:hideMark/>
          </w:tcPr>
          <w:p w14:paraId="293CACB5" w14:textId="77777777" w:rsidR="00AC6FD5" w:rsidRPr="00D920BB" w:rsidRDefault="00AC6FD5" w:rsidP="00713031">
            <w:pPr>
              <w:jc w:val="center"/>
            </w:pPr>
            <w:r w:rsidRPr="00D920BB">
              <w:t>30</w:t>
            </w:r>
          </w:p>
        </w:tc>
        <w:tc>
          <w:tcPr>
            <w:tcW w:w="1246" w:type="dxa"/>
            <w:noWrap/>
            <w:vAlign w:val="center"/>
            <w:hideMark/>
          </w:tcPr>
          <w:p w14:paraId="17BA66D6" w14:textId="77777777" w:rsidR="00AC6FD5" w:rsidRPr="00D920BB" w:rsidRDefault="00AC6FD5" w:rsidP="00713031">
            <w:pPr>
              <w:jc w:val="center"/>
            </w:pPr>
            <w:r w:rsidRPr="00D920BB">
              <w:t>30</w:t>
            </w:r>
          </w:p>
        </w:tc>
        <w:tc>
          <w:tcPr>
            <w:tcW w:w="1096" w:type="dxa"/>
            <w:noWrap/>
            <w:vAlign w:val="center"/>
            <w:hideMark/>
          </w:tcPr>
          <w:p w14:paraId="6507D35E" w14:textId="77777777" w:rsidR="00AC6FD5" w:rsidRPr="00D920BB" w:rsidRDefault="00AC6FD5" w:rsidP="00713031">
            <w:pPr>
              <w:jc w:val="center"/>
            </w:pPr>
            <w:r w:rsidRPr="00D920BB">
              <w:t>27</w:t>
            </w:r>
          </w:p>
        </w:tc>
        <w:tc>
          <w:tcPr>
            <w:tcW w:w="1029" w:type="dxa"/>
            <w:noWrap/>
            <w:vAlign w:val="center"/>
            <w:hideMark/>
          </w:tcPr>
          <w:p w14:paraId="78449CC1" w14:textId="77777777" w:rsidR="00AC6FD5" w:rsidRPr="00D920BB" w:rsidRDefault="00AC6FD5" w:rsidP="00713031">
            <w:pPr>
              <w:jc w:val="center"/>
            </w:pPr>
            <w:r w:rsidRPr="00D920BB">
              <w:t>90%</w:t>
            </w:r>
          </w:p>
        </w:tc>
        <w:tc>
          <w:tcPr>
            <w:tcW w:w="2160" w:type="dxa"/>
            <w:noWrap/>
            <w:vAlign w:val="center"/>
            <w:hideMark/>
          </w:tcPr>
          <w:p w14:paraId="7B3E8F9F" w14:textId="77777777" w:rsidR="00AC6FD5" w:rsidRPr="00D920BB" w:rsidRDefault="00AC6FD5" w:rsidP="00D45548">
            <w:r w:rsidRPr="00D920BB">
              <w:t> </w:t>
            </w:r>
          </w:p>
        </w:tc>
      </w:tr>
      <w:tr w:rsidR="00AC6FD5" w:rsidRPr="00506CA0" w14:paraId="01CE8F2C" w14:textId="77777777" w:rsidTr="008C1B1C">
        <w:trPr>
          <w:trHeight w:val="302"/>
        </w:trPr>
        <w:tc>
          <w:tcPr>
            <w:tcW w:w="2178" w:type="dxa"/>
            <w:vAlign w:val="center"/>
          </w:tcPr>
          <w:p w14:paraId="11F7D61A" w14:textId="77777777" w:rsidR="00AC6FD5" w:rsidRPr="00D920BB" w:rsidRDefault="00AC6FD5" w:rsidP="00D45548">
            <w:r w:rsidRPr="00D920BB">
              <w:t>April 17, 2014</w:t>
            </w:r>
          </w:p>
        </w:tc>
        <w:tc>
          <w:tcPr>
            <w:tcW w:w="1296" w:type="dxa"/>
            <w:noWrap/>
            <w:vAlign w:val="center"/>
            <w:hideMark/>
          </w:tcPr>
          <w:p w14:paraId="6BDD6F6C" w14:textId="77777777" w:rsidR="00AC6FD5" w:rsidRPr="00D920BB" w:rsidRDefault="00AC6FD5" w:rsidP="00D45548">
            <w:r w:rsidRPr="00D920BB">
              <w:t>Boston</w:t>
            </w:r>
          </w:p>
        </w:tc>
        <w:tc>
          <w:tcPr>
            <w:tcW w:w="1070" w:type="dxa"/>
            <w:noWrap/>
            <w:vAlign w:val="center"/>
            <w:hideMark/>
          </w:tcPr>
          <w:p w14:paraId="2908631E" w14:textId="77777777" w:rsidR="00AC6FD5" w:rsidRPr="00D920BB" w:rsidRDefault="00AC6FD5" w:rsidP="00713031">
            <w:pPr>
              <w:jc w:val="center"/>
            </w:pPr>
            <w:r w:rsidRPr="00D920BB">
              <w:t>70</w:t>
            </w:r>
          </w:p>
        </w:tc>
        <w:tc>
          <w:tcPr>
            <w:tcW w:w="1246" w:type="dxa"/>
            <w:noWrap/>
            <w:vAlign w:val="center"/>
            <w:hideMark/>
          </w:tcPr>
          <w:p w14:paraId="41CF4A7E" w14:textId="77777777" w:rsidR="00AC6FD5" w:rsidRPr="00D920BB" w:rsidRDefault="00AC6FD5" w:rsidP="00713031">
            <w:pPr>
              <w:jc w:val="center"/>
            </w:pPr>
            <w:r w:rsidRPr="00D920BB">
              <w:t>70</w:t>
            </w:r>
          </w:p>
        </w:tc>
        <w:tc>
          <w:tcPr>
            <w:tcW w:w="1096" w:type="dxa"/>
            <w:noWrap/>
            <w:vAlign w:val="center"/>
            <w:hideMark/>
          </w:tcPr>
          <w:p w14:paraId="4869A062" w14:textId="77777777" w:rsidR="00AC6FD5" w:rsidRPr="00D920BB" w:rsidRDefault="00AC6FD5" w:rsidP="00713031">
            <w:pPr>
              <w:jc w:val="center"/>
            </w:pPr>
            <w:r w:rsidRPr="00D920BB">
              <w:t>61</w:t>
            </w:r>
          </w:p>
        </w:tc>
        <w:tc>
          <w:tcPr>
            <w:tcW w:w="1029" w:type="dxa"/>
            <w:noWrap/>
            <w:vAlign w:val="center"/>
            <w:hideMark/>
          </w:tcPr>
          <w:p w14:paraId="173ABCED" w14:textId="77777777" w:rsidR="00AC6FD5" w:rsidRPr="00D920BB" w:rsidRDefault="00AC6FD5" w:rsidP="00713031">
            <w:pPr>
              <w:jc w:val="center"/>
            </w:pPr>
            <w:r w:rsidRPr="00D920BB">
              <w:t>87%</w:t>
            </w:r>
          </w:p>
        </w:tc>
        <w:tc>
          <w:tcPr>
            <w:tcW w:w="2160" w:type="dxa"/>
            <w:noWrap/>
            <w:vAlign w:val="center"/>
            <w:hideMark/>
          </w:tcPr>
          <w:p w14:paraId="436E8419" w14:textId="77777777" w:rsidR="00AC6FD5" w:rsidRPr="00D920BB" w:rsidRDefault="00AC6FD5" w:rsidP="00D45548">
            <w:r w:rsidRPr="00D920BB">
              <w:t> </w:t>
            </w:r>
          </w:p>
        </w:tc>
      </w:tr>
      <w:tr w:rsidR="00AC6FD5" w:rsidRPr="00506CA0" w14:paraId="1E0A866E" w14:textId="77777777" w:rsidTr="008C1B1C">
        <w:trPr>
          <w:trHeight w:val="302"/>
        </w:trPr>
        <w:tc>
          <w:tcPr>
            <w:tcW w:w="2178" w:type="dxa"/>
            <w:vAlign w:val="center"/>
          </w:tcPr>
          <w:p w14:paraId="6C574786" w14:textId="77777777" w:rsidR="00AC6FD5" w:rsidRPr="00D920BB" w:rsidRDefault="00AC6FD5" w:rsidP="00D45548">
            <w:r w:rsidRPr="00D920BB">
              <w:t>May 14, 2014</w:t>
            </w:r>
          </w:p>
        </w:tc>
        <w:tc>
          <w:tcPr>
            <w:tcW w:w="1296" w:type="dxa"/>
            <w:noWrap/>
            <w:vAlign w:val="center"/>
            <w:hideMark/>
          </w:tcPr>
          <w:p w14:paraId="6B5FD6E4" w14:textId="77777777" w:rsidR="00AC6FD5" w:rsidRPr="00D920BB" w:rsidRDefault="00AC6FD5" w:rsidP="00D45548">
            <w:r w:rsidRPr="00D920BB">
              <w:t>Cambridge</w:t>
            </w:r>
          </w:p>
        </w:tc>
        <w:tc>
          <w:tcPr>
            <w:tcW w:w="1070" w:type="dxa"/>
            <w:noWrap/>
            <w:vAlign w:val="center"/>
            <w:hideMark/>
          </w:tcPr>
          <w:p w14:paraId="56C3D94B" w14:textId="77777777" w:rsidR="00AC6FD5" w:rsidRPr="00D920BB" w:rsidRDefault="00AC6FD5" w:rsidP="00713031">
            <w:pPr>
              <w:jc w:val="center"/>
            </w:pPr>
            <w:r w:rsidRPr="00D920BB">
              <w:t>35</w:t>
            </w:r>
          </w:p>
        </w:tc>
        <w:tc>
          <w:tcPr>
            <w:tcW w:w="1246" w:type="dxa"/>
            <w:noWrap/>
            <w:vAlign w:val="center"/>
            <w:hideMark/>
          </w:tcPr>
          <w:p w14:paraId="327404D0" w14:textId="77777777" w:rsidR="00AC6FD5" w:rsidRPr="00D920BB" w:rsidRDefault="00AC6FD5" w:rsidP="00713031">
            <w:pPr>
              <w:jc w:val="center"/>
            </w:pPr>
            <w:r w:rsidRPr="00D920BB">
              <w:t>40</w:t>
            </w:r>
          </w:p>
        </w:tc>
        <w:tc>
          <w:tcPr>
            <w:tcW w:w="1096" w:type="dxa"/>
            <w:noWrap/>
            <w:vAlign w:val="center"/>
            <w:hideMark/>
          </w:tcPr>
          <w:p w14:paraId="27E96EFD" w14:textId="77777777" w:rsidR="00AC6FD5" w:rsidRPr="00D920BB" w:rsidRDefault="00AC6FD5" w:rsidP="00713031">
            <w:pPr>
              <w:jc w:val="center"/>
            </w:pPr>
            <w:r w:rsidRPr="00D920BB">
              <w:t>27</w:t>
            </w:r>
          </w:p>
        </w:tc>
        <w:tc>
          <w:tcPr>
            <w:tcW w:w="1029" w:type="dxa"/>
            <w:noWrap/>
            <w:vAlign w:val="center"/>
            <w:hideMark/>
          </w:tcPr>
          <w:p w14:paraId="4153A811" w14:textId="77777777" w:rsidR="00AC6FD5" w:rsidRPr="00D920BB" w:rsidRDefault="00AC6FD5" w:rsidP="00713031">
            <w:pPr>
              <w:jc w:val="center"/>
            </w:pPr>
            <w:r w:rsidRPr="00D920BB">
              <w:t>68%</w:t>
            </w:r>
          </w:p>
        </w:tc>
        <w:tc>
          <w:tcPr>
            <w:tcW w:w="2160" w:type="dxa"/>
            <w:noWrap/>
            <w:vAlign w:val="center"/>
            <w:hideMark/>
          </w:tcPr>
          <w:p w14:paraId="41636AF1" w14:textId="77777777" w:rsidR="00AC6FD5" w:rsidRPr="00D920BB" w:rsidRDefault="00AC6FD5" w:rsidP="00D45548">
            <w:r w:rsidRPr="00D920BB">
              <w:t> </w:t>
            </w:r>
          </w:p>
        </w:tc>
      </w:tr>
      <w:tr w:rsidR="00AC6FD5" w:rsidRPr="00506CA0" w14:paraId="07F88D03" w14:textId="77777777" w:rsidTr="008C1B1C">
        <w:trPr>
          <w:trHeight w:val="302"/>
        </w:trPr>
        <w:tc>
          <w:tcPr>
            <w:tcW w:w="2178" w:type="dxa"/>
            <w:vAlign w:val="center"/>
          </w:tcPr>
          <w:p w14:paraId="14D3EC80" w14:textId="77777777" w:rsidR="00AC6FD5" w:rsidRPr="00D920BB" w:rsidRDefault="00AC6FD5" w:rsidP="00D45548">
            <w:r w:rsidRPr="00D920BB">
              <w:lastRenderedPageBreak/>
              <w:t>June 11, 2014</w:t>
            </w:r>
          </w:p>
        </w:tc>
        <w:tc>
          <w:tcPr>
            <w:tcW w:w="1296" w:type="dxa"/>
            <w:noWrap/>
            <w:vAlign w:val="center"/>
            <w:hideMark/>
          </w:tcPr>
          <w:p w14:paraId="2124A95E" w14:textId="77777777" w:rsidR="00AC6FD5" w:rsidRPr="00D920BB" w:rsidRDefault="00AC6FD5" w:rsidP="00D45548">
            <w:r w:rsidRPr="00D920BB">
              <w:t>Worcester</w:t>
            </w:r>
          </w:p>
        </w:tc>
        <w:tc>
          <w:tcPr>
            <w:tcW w:w="1070" w:type="dxa"/>
            <w:noWrap/>
            <w:vAlign w:val="center"/>
            <w:hideMark/>
          </w:tcPr>
          <w:p w14:paraId="16823DD6" w14:textId="77777777" w:rsidR="00AC6FD5" w:rsidRPr="00D920BB" w:rsidRDefault="00AC6FD5" w:rsidP="00713031">
            <w:pPr>
              <w:jc w:val="center"/>
            </w:pPr>
            <w:r w:rsidRPr="00D920BB">
              <w:t>100</w:t>
            </w:r>
          </w:p>
        </w:tc>
        <w:tc>
          <w:tcPr>
            <w:tcW w:w="1246" w:type="dxa"/>
            <w:noWrap/>
            <w:vAlign w:val="center"/>
            <w:hideMark/>
          </w:tcPr>
          <w:p w14:paraId="1D8B078C" w14:textId="77777777" w:rsidR="00AC6FD5" w:rsidRPr="00D920BB" w:rsidRDefault="00AC6FD5" w:rsidP="00713031">
            <w:pPr>
              <w:jc w:val="center"/>
            </w:pPr>
            <w:r w:rsidRPr="00D920BB">
              <w:t>72</w:t>
            </w:r>
          </w:p>
        </w:tc>
        <w:tc>
          <w:tcPr>
            <w:tcW w:w="1096" w:type="dxa"/>
            <w:noWrap/>
            <w:vAlign w:val="center"/>
            <w:hideMark/>
          </w:tcPr>
          <w:p w14:paraId="79AD404D" w14:textId="77777777" w:rsidR="00AC6FD5" w:rsidRPr="00D920BB" w:rsidRDefault="00AC6FD5" w:rsidP="00713031">
            <w:pPr>
              <w:jc w:val="center"/>
            </w:pPr>
            <w:r w:rsidRPr="00D920BB">
              <w:t>48</w:t>
            </w:r>
          </w:p>
        </w:tc>
        <w:tc>
          <w:tcPr>
            <w:tcW w:w="1029" w:type="dxa"/>
            <w:noWrap/>
            <w:vAlign w:val="center"/>
            <w:hideMark/>
          </w:tcPr>
          <w:p w14:paraId="0688BDE4" w14:textId="77777777" w:rsidR="00AC6FD5" w:rsidRPr="00D920BB" w:rsidRDefault="00AC6FD5" w:rsidP="00713031">
            <w:pPr>
              <w:jc w:val="center"/>
            </w:pPr>
            <w:r w:rsidRPr="00D920BB">
              <w:t>67%</w:t>
            </w:r>
          </w:p>
        </w:tc>
        <w:tc>
          <w:tcPr>
            <w:tcW w:w="2160" w:type="dxa"/>
            <w:noWrap/>
            <w:vAlign w:val="center"/>
            <w:hideMark/>
          </w:tcPr>
          <w:p w14:paraId="46E9874E" w14:textId="77777777" w:rsidR="00AC6FD5" w:rsidRPr="00D920BB" w:rsidRDefault="00AC6FD5" w:rsidP="00D45548">
            <w:r w:rsidRPr="00D920BB">
              <w:t>President Obama spoke in Worcester</w:t>
            </w:r>
          </w:p>
        </w:tc>
      </w:tr>
      <w:tr w:rsidR="00AC6FD5" w:rsidRPr="00506CA0" w14:paraId="1F55B5C4" w14:textId="77777777" w:rsidTr="008C1B1C">
        <w:trPr>
          <w:trHeight w:val="302"/>
        </w:trPr>
        <w:tc>
          <w:tcPr>
            <w:tcW w:w="2178" w:type="dxa"/>
            <w:vAlign w:val="center"/>
          </w:tcPr>
          <w:p w14:paraId="65465F1D" w14:textId="77777777" w:rsidR="00AC6FD5" w:rsidRPr="00D920BB" w:rsidRDefault="00AC6FD5" w:rsidP="00D45548"/>
        </w:tc>
        <w:tc>
          <w:tcPr>
            <w:tcW w:w="1296" w:type="dxa"/>
            <w:noWrap/>
            <w:vAlign w:val="center"/>
          </w:tcPr>
          <w:p w14:paraId="57BBD01F" w14:textId="77777777" w:rsidR="00AC6FD5" w:rsidRPr="00D920BB" w:rsidRDefault="00AC6FD5" w:rsidP="00D45548">
            <w:r w:rsidRPr="00D920BB">
              <w:t>Webinar</w:t>
            </w:r>
          </w:p>
        </w:tc>
        <w:tc>
          <w:tcPr>
            <w:tcW w:w="1070" w:type="dxa"/>
            <w:noWrap/>
            <w:vAlign w:val="center"/>
          </w:tcPr>
          <w:p w14:paraId="5B2C2760" w14:textId="77777777" w:rsidR="00AC6FD5" w:rsidRPr="00D920BB" w:rsidRDefault="00AC6FD5" w:rsidP="00713031">
            <w:pPr>
              <w:jc w:val="center"/>
            </w:pPr>
          </w:p>
        </w:tc>
        <w:tc>
          <w:tcPr>
            <w:tcW w:w="1246" w:type="dxa"/>
            <w:noWrap/>
            <w:vAlign w:val="center"/>
          </w:tcPr>
          <w:p w14:paraId="47EF8037" w14:textId="77777777" w:rsidR="00AC6FD5" w:rsidRPr="00D920BB" w:rsidRDefault="00AC6FD5" w:rsidP="00713031">
            <w:pPr>
              <w:jc w:val="center"/>
            </w:pPr>
          </w:p>
        </w:tc>
        <w:tc>
          <w:tcPr>
            <w:tcW w:w="1096" w:type="dxa"/>
            <w:noWrap/>
            <w:vAlign w:val="center"/>
          </w:tcPr>
          <w:p w14:paraId="4A169EDD" w14:textId="77777777" w:rsidR="00AC6FD5" w:rsidRPr="00D920BB" w:rsidRDefault="00AC6FD5" w:rsidP="00713031">
            <w:pPr>
              <w:jc w:val="center"/>
            </w:pPr>
            <w:r w:rsidRPr="00D920BB">
              <w:t>373</w:t>
            </w:r>
          </w:p>
        </w:tc>
        <w:tc>
          <w:tcPr>
            <w:tcW w:w="1029" w:type="dxa"/>
            <w:noWrap/>
            <w:vAlign w:val="center"/>
          </w:tcPr>
          <w:p w14:paraId="60D958CD" w14:textId="77777777" w:rsidR="00AC6FD5" w:rsidRPr="00D920BB" w:rsidRDefault="00AC6FD5" w:rsidP="00713031">
            <w:pPr>
              <w:jc w:val="center"/>
              <w:rPr>
                <w:rStyle w:val="CommentReference"/>
                <w:rFonts w:eastAsia="Times New Roman"/>
                <w:spacing w:val="-5"/>
                <w:sz w:val="24"/>
                <w:szCs w:val="24"/>
              </w:rPr>
            </w:pPr>
            <w:r w:rsidRPr="00D920BB">
              <w:rPr>
                <w:rStyle w:val="CommentReference"/>
                <w:rFonts w:eastAsia="Times New Roman"/>
                <w:spacing w:val="-5"/>
                <w:sz w:val="24"/>
                <w:szCs w:val="24"/>
              </w:rPr>
              <w:t>100%</w:t>
            </w:r>
          </w:p>
        </w:tc>
        <w:tc>
          <w:tcPr>
            <w:tcW w:w="2160" w:type="dxa"/>
            <w:noWrap/>
            <w:vAlign w:val="center"/>
          </w:tcPr>
          <w:p w14:paraId="0D30AC7B" w14:textId="77777777" w:rsidR="00AC6FD5" w:rsidRPr="00D920BB" w:rsidRDefault="00AC6FD5" w:rsidP="00D45548">
            <w:r w:rsidRPr="00D920BB">
              <w:t>New in FY2013</w:t>
            </w:r>
          </w:p>
        </w:tc>
      </w:tr>
    </w:tbl>
    <w:p w14:paraId="362AD3D4" w14:textId="77777777" w:rsidR="008D6F39" w:rsidRDefault="008D6F39" w:rsidP="00D45548"/>
    <w:p w14:paraId="240D4BA0" w14:textId="77777777" w:rsidR="006C6EE5" w:rsidRDefault="00702669" w:rsidP="009E236C">
      <w:pPr>
        <w:jc w:val="both"/>
      </w:pPr>
      <w:r>
        <w:t xml:space="preserve">One less Pre-certification Workshop was held in FY2014 </w:t>
      </w:r>
      <w:r w:rsidR="00E35147">
        <w:t xml:space="preserve">than </w:t>
      </w:r>
      <w:r w:rsidR="00C054A6">
        <w:t>d</w:t>
      </w:r>
      <w:r w:rsidR="006E6663" w:rsidRPr="00B51493">
        <w:t>uring FY2013</w:t>
      </w:r>
      <w:r w:rsidR="000D286A">
        <w:t xml:space="preserve">. </w:t>
      </w:r>
      <w:r w:rsidR="00C054A6">
        <w:t>A</w:t>
      </w:r>
      <w:r w:rsidR="00EB5403">
        <w:t xml:space="preserve"> </w:t>
      </w:r>
      <w:r>
        <w:t xml:space="preserve">webcast </w:t>
      </w:r>
      <w:r w:rsidR="00EB5403">
        <w:t xml:space="preserve">was developed </w:t>
      </w:r>
      <w:r>
        <w:t xml:space="preserve">to make attending a Pre-Certification Workshop easier for the </w:t>
      </w:r>
      <w:r w:rsidR="00EB5403">
        <w:t xml:space="preserve">vendor </w:t>
      </w:r>
      <w:r>
        <w:t>community. In FY2014, the webcast’s popularity continue</w:t>
      </w:r>
      <w:r w:rsidR="00EB5403">
        <w:t>s</w:t>
      </w:r>
      <w:r>
        <w:t xml:space="preserve"> to increase, receiving a total 1541 views. With the webcast attendance, the overall outreach for Pre-Certification for FY2014 touched 2,123 individuals, exceeding FY201</w:t>
      </w:r>
      <w:r w:rsidR="00EB5403">
        <w:t>3</w:t>
      </w:r>
      <w:r>
        <w:t xml:space="preserve"> by 1,023. </w:t>
      </w:r>
    </w:p>
    <w:p w14:paraId="2D1B0A46" w14:textId="77777777" w:rsidR="00E50A1C" w:rsidRPr="00EB2A34" w:rsidRDefault="00E50A1C" w:rsidP="00D45548">
      <w:pPr>
        <w:pStyle w:val="Heading2"/>
      </w:pPr>
      <w:bookmarkStart w:id="7" w:name="_Toc405372671"/>
      <w:r w:rsidRPr="00EB2A34">
        <w:t>UNIFIED CERTIFICATION PROGRAM</w:t>
      </w:r>
      <w:bookmarkEnd w:id="7"/>
    </w:p>
    <w:p w14:paraId="0165EE69" w14:textId="77777777" w:rsidR="00E50A1C" w:rsidRPr="00EB2A34" w:rsidRDefault="00E50A1C" w:rsidP="009857BB">
      <w:pPr>
        <w:jc w:val="center"/>
      </w:pPr>
      <w:r w:rsidRPr="00EB2A34">
        <w:t>Disadvantaged Business Enterprises</w:t>
      </w:r>
    </w:p>
    <w:p w14:paraId="3E77D07E" w14:textId="77777777" w:rsidR="00E50A1C" w:rsidRPr="00EC1CE5" w:rsidRDefault="00E50A1C" w:rsidP="009E236C">
      <w:pPr>
        <w:jc w:val="both"/>
      </w:pPr>
      <w:r w:rsidRPr="00EC1CE5">
        <w:t>The public agencies and authorities of the Commonwealth of Massachusetts, as direct recipients of US DOT funding or as managers of federally funded projects, have established Disadvantaged Business Enterprise (DBE) programs in accordance with federal regulations, 49 CFR Part 26</w:t>
      </w:r>
      <w:r>
        <w:rPr>
          <w:rStyle w:val="FootnoteReference"/>
          <w:rFonts w:eastAsia="Times New Roman"/>
        </w:rPr>
        <w:footnoteReference w:id="3"/>
      </w:r>
      <w:r w:rsidRPr="00EC1CE5">
        <w:t xml:space="preserve">. </w:t>
      </w:r>
    </w:p>
    <w:p w14:paraId="15863AE8" w14:textId="77777777" w:rsidR="00E50A1C" w:rsidRPr="00EC1CE5" w:rsidRDefault="00E50A1C" w:rsidP="009E236C">
      <w:pPr>
        <w:jc w:val="both"/>
      </w:pPr>
      <w:r w:rsidRPr="00EC1CE5">
        <w:t>It is the goal of the these public entities, through the Massachusetts Unified Certification Program (</w:t>
      </w:r>
      <w:proofErr w:type="spellStart"/>
      <w:r w:rsidRPr="00EC1CE5">
        <w:t>MassUCP</w:t>
      </w:r>
      <w:proofErr w:type="spellEnd"/>
      <w:r w:rsidRPr="00EC1CE5">
        <w:t xml:space="preserve">) and its other DBE program components to ensure that DBE firms have an equal opportunity to receive and participate in DOT assisted contracts. </w:t>
      </w:r>
    </w:p>
    <w:p w14:paraId="598EA002" w14:textId="77777777" w:rsidR="00E50A1C" w:rsidRDefault="00E50A1C" w:rsidP="009E236C">
      <w:pPr>
        <w:jc w:val="both"/>
      </w:pPr>
      <w:r w:rsidRPr="00EC1CE5">
        <w:t xml:space="preserve">At the end of </w:t>
      </w:r>
      <w:r w:rsidR="00D920BB">
        <w:t>FY2014</w:t>
      </w:r>
      <w:r w:rsidRPr="00EC1CE5">
        <w:t xml:space="preserve"> there were a total of </w:t>
      </w:r>
      <w:r w:rsidR="00D920BB">
        <w:t>1023</w:t>
      </w:r>
      <w:r>
        <w:t xml:space="preserve"> </w:t>
      </w:r>
      <w:r w:rsidRPr="00EC1CE5">
        <w:t xml:space="preserve">certified businesses at the </w:t>
      </w:r>
      <w:r>
        <w:t xml:space="preserve">federal </w:t>
      </w:r>
      <w:r w:rsidRPr="00EC1CE5">
        <w:t>level</w:t>
      </w:r>
      <w:r>
        <w:t xml:space="preserve"> as DBEs</w:t>
      </w:r>
      <w:r w:rsidRPr="00EC1CE5">
        <w:t xml:space="preserve">.  Each week new businesses are certified, </w:t>
      </w:r>
      <w:r w:rsidR="00EB5403">
        <w:t xml:space="preserve">and </w:t>
      </w:r>
      <w:r w:rsidRPr="00EC1CE5">
        <w:t xml:space="preserve">some are decertified, and </w:t>
      </w:r>
      <w:r w:rsidR="00EB5403">
        <w:t>others</w:t>
      </w:r>
      <w:r w:rsidR="00EB5403" w:rsidRPr="00EC1CE5">
        <w:t xml:space="preserve"> </w:t>
      </w:r>
      <w:r w:rsidRPr="00EC1CE5">
        <w:t xml:space="preserve">withdraw their applications, therefore the total number of certified </w:t>
      </w:r>
      <w:r>
        <w:t xml:space="preserve">DBE </w:t>
      </w:r>
      <w:r w:rsidRPr="00EC1CE5">
        <w:t>busine</w:t>
      </w:r>
      <w:r>
        <w:t>sses within the Commonwealth is a</w:t>
      </w:r>
      <w:r w:rsidRPr="00EC1CE5">
        <w:t xml:space="preserve"> fluctuating number.  </w:t>
      </w:r>
      <w:r w:rsidR="00EB5403">
        <w:t>The breakdown of the DBE firms can be viewed in the following chart.</w:t>
      </w:r>
    </w:p>
    <w:tbl>
      <w:tblPr>
        <w:tblStyle w:val="TableGrid1"/>
        <w:tblW w:w="6028" w:type="dxa"/>
        <w:tblInd w:w="1278" w:type="dxa"/>
        <w:tblLook w:val="04A0" w:firstRow="1" w:lastRow="0" w:firstColumn="1" w:lastColumn="0" w:noHBand="0" w:noVBand="1"/>
        <w:tblCaption w:val="table number of DBE certified Businesses for FY2014"/>
        <w:tblDescription w:val="FY2014 there were a total of 1023 certified DBE Businesses "/>
      </w:tblPr>
      <w:tblGrid>
        <w:gridCol w:w="4950"/>
        <w:gridCol w:w="1078"/>
      </w:tblGrid>
      <w:tr w:rsidR="00E50A1C" w:rsidRPr="0043096F" w14:paraId="6804889C" w14:textId="77777777" w:rsidTr="00A06414">
        <w:trPr>
          <w:trHeight w:val="302"/>
          <w:tblHeader/>
        </w:trPr>
        <w:tc>
          <w:tcPr>
            <w:tcW w:w="4950" w:type="dxa"/>
            <w:noWrap/>
            <w:vAlign w:val="center"/>
            <w:hideMark/>
          </w:tcPr>
          <w:p w14:paraId="4F9D62BD" w14:textId="77777777" w:rsidR="00E50A1C" w:rsidRPr="00F33C20" w:rsidRDefault="00E50A1C" w:rsidP="00D45548">
            <w:r w:rsidRPr="00F33C20">
              <w:t>DBE firms</w:t>
            </w:r>
          </w:p>
        </w:tc>
        <w:tc>
          <w:tcPr>
            <w:tcW w:w="1078" w:type="dxa"/>
            <w:noWrap/>
            <w:vAlign w:val="center"/>
            <w:hideMark/>
          </w:tcPr>
          <w:p w14:paraId="63E1C9B8" w14:textId="77777777" w:rsidR="00E50A1C" w:rsidRPr="00F33C20" w:rsidRDefault="00E50A1C" w:rsidP="00D45548">
            <w:r w:rsidRPr="00F33C20">
              <w:t>Total</w:t>
            </w:r>
          </w:p>
        </w:tc>
      </w:tr>
      <w:tr w:rsidR="00E50A1C" w:rsidRPr="0043096F" w14:paraId="2F890A11" w14:textId="77777777" w:rsidTr="00A06414">
        <w:trPr>
          <w:trHeight w:val="302"/>
        </w:trPr>
        <w:tc>
          <w:tcPr>
            <w:tcW w:w="4950" w:type="dxa"/>
            <w:noWrap/>
            <w:vAlign w:val="center"/>
          </w:tcPr>
          <w:p w14:paraId="10F9B0AD" w14:textId="77777777" w:rsidR="00E50A1C" w:rsidRPr="00E50A1C" w:rsidRDefault="00E50A1C" w:rsidP="00D45548">
            <w:r w:rsidRPr="00E50A1C">
              <w:t>DBE/M</w:t>
            </w:r>
          </w:p>
        </w:tc>
        <w:tc>
          <w:tcPr>
            <w:tcW w:w="1078" w:type="dxa"/>
            <w:noWrap/>
            <w:vAlign w:val="center"/>
          </w:tcPr>
          <w:p w14:paraId="55FB94D1" w14:textId="77777777" w:rsidR="00E50A1C" w:rsidRPr="00E50A1C" w:rsidRDefault="00D920BB" w:rsidP="00693D4E">
            <w:pPr>
              <w:jc w:val="center"/>
            </w:pPr>
            <w:r>
              <w:t>375</w:t>
            </w:r>
          </w:p>
        </w:tc>
      </w:tr>
      <w:tr w:rsidR="00E50A1C" w:rsidRPr="0043096F" w14:paraId="1359019A" w14:textId="77777777" w:rsidTr="00A06414">
        <w:trPr>
          <w:trHeight w:val="302"/>
        </w:trPr>
        <w:tc>
          <w:tcPr>
            <w:tcW w:w="4950" w:type="dxa"/>
            <w:noWrap/>
            <w:vAlign w:val="center"/>
          </w:tcPr>
          <w:p w14:paraId="3753F67C" w14:textId="77777777" w:rsidR="00E50A1C" w:rsidRPr="00E50A1C" w:rsidRDefault="00E50A1C" w:rsidP="00D45548">
            <w:r w:rsidRPr="00E50A1C">
              <w:t>DBE/W</w:t>
            </w:r>
          </w:p>
        </w:tc>
        <w:tc>
          <w:tcPr>
            <w:tcW w:w="1078" w:type="dxa"/>
            <w:noWrap/>
            <w:vAlign w:val="center"/>
          </w:tcPr>
          <w:p w14:paraId="2B23B164" w14:textId="77777777" w:rsidR="00E50A1C" w:rsidRPr="00E50A1C" w:rsidRDefault="00D920BB" w:rsidP="00693D4E">
            <w:pPr>
              <w:jc w:val="center"/>
            </w:pPr>
            <w:r>
              <w:t>527</w:t>
            </w:r>
          </w:p>
        </w:tc>
      </w:tr>
      <w:tr w:rsidR="00E50A1C" w:rsidRPr="0043096F" w14:paraId="1549289B" w14:textId="77777777" w:rsidTr="00A06414">
        <w:trPr>
          <w:trHeight w:val="302"/>
        </w:trPr>
        <w:tc>
          <w:tcPr>
            <w:tcW w:w="4950" w:type="dxa"/>
            <w:noWrap/>
            <w:vAlign w:val="center"/>
            <w:hideMark/>
          </w:tcPr>
          <w:p w14:paraId="589F343B" w14:textId="77777777" w:rsidR="00E50A1C" w:rsidRPr="00E50A1C" w:rsidRDefault="00E50A1C" w:rsidP="00D45548">
            <w:r w:rsidRPr="00E50A1C">
              <w:t>DBE/M/W</w:t>
            </w:r>
          </w:p>
        </w:tc>
        <w:tc>
          <w:tcPr>
            <w:tcW w:w="1078" w:type="dxa"/>
            <w:noWrap/>
            <w:vAlign w:val="center"/>
          </w:tcPr>
          <w:p w14:paraId="6EA3999E" w14:textId="77777777" w:rsidR="00E50A1C" w:rsidRPr="00E50A1C" w:rsidRDefault="00E50A1C" w:rsidP="00693D4E">
            <w:pPr>
              <w:jc w:val="center"/>
            </w:pPr>
            <w:r w:rsidRPr="00E50A1C">
              <w:t>1</w:t>
            </w:r>
            <w:r w:rsidR="00D920BB">
              <w:t>21</w:t>
            </w:r>
          </w:p>
        </w:tc>
      </w:tr>
      <w:tr w:rsidR="00E50A1C" w:rsidRPr="0043096F" w14:paraId="21212240" w14:textId="77777777" w:rsidTr="00A06414">
        <w:trPr>
          <w:trHeight w:val="302"/>
        </w:trPr>
        <w:tc>
          <w:tcPr>
            <w:tcW w:w="4950" w:type="dxa"/>
            <w:noWrap/>
            <w:vAlign w:val="center"/>
            <w:hideMark/>
          </w:tcPr>
          <w:p w14:paraId="32A76C7F" w14:textId="77777777" w:rsidR="00E50A1C" w:rsidRPr="00F33C20" w:rsidRDefault="00E50A1C" w:rsidP="00D45548">
            <w:r w:rsidRPr="00F33C20">
              <w:t>Total</w:t>
            </w:r>
          </w:p>
        </w:tc>
        <w:tc>
          <w:tcPr>
            <w:tcW w:w="1078" w:type="dxa"/>
            <w:noWrap/>
            <w:vAlign w:val="center"/>
          </w:tcPr>
          <w:p w14:paraId="5BFA01BA" w14:textId="77777777" w:rsidR="00E50A1C" w:rsidRPr="00F33C20" w:rsidRDefault="00D920BB" w:rsidP="00693D4E">
            <w:pPr>
              <w:jc w:val="center"/>
            </w:pPr>
            <w:r>
              <w:t>1023</w:t>
            </w:r>
          </w:p>
        </w:tc>
      </w:tr>
    </w:tbl>
    <w:p w14:paraId="0F2BB763" w14:textId="77777777" w:rsidR="009857BB" w:rsidRDefault="009857BB" w:rsidP="00D45548"/>
    <w:p w14:paraId="1B27050B" w14:textId="77777777" w:rsidR="00E50A1C" w:rsidRDefault="00E50A1C" w:rsidP="00D45548">
      <w:r w:rsidRPr="00EC1CE5">
        <w:t xml:space="preserve">The breakdown of those businesses, by </w:t>
      </w:r>
      <w:r>
        <w:t>ethnicity</w:t>
      </w:r>
      <w:r w:rsidRPr="00EC1CE5">
        <w:t>, is as follows:</w:t>
      </w:r>
    </w:p>
    <w:tbl>
      <w:tblPr>
        <w:tblStyle w:val="TableGrid1"/>
        <w:tblW w:w="5997" w:type="dxa"/>
        <w:tblInd w:w="1278" w:type="dxa"/>
        <w:tblLook w:val="04A0" w:firstRow="1" w:lastRow="0" w:firstColumn="1" w:lastColumn="0" w:noHBand="0" w:noVBand="1"/>
        <w:tblCaption w:val="table of ethinic and racial breakdown of DBE certified businesses"/>
        <w:tblDescription w:val="shows a total of 1023 DBE certified businesses and their ethnic and racial breakdown, including by gender"/>
      </w:tblPr>
      <w:tblGrid>
        <w:gridCol w:w="4950"/>
        <w:gridCol w:w="1047"/>
      </w:tblGrid>
      <w:tr w:rsidR="00E50A1C" w:rsidRPr="0043096F" w14:paraId="68EE1B6D" w14:textId="77777777" w:rsidTr="006145D1">
        <w:trPr>
          <w:trHeight w:val="302"/>
          <w:tblHeader/>
        </w:trPr>
        <w:tc>
          <w:tcPr>
            <w:tcW w:w="4950" w:type="dxa"/>
            <w:noWrap/>
            <w:vAlign w:val="center"/>
            <w:hideMark/>
          </w:tcPr>
          <w:p w14:paraId="42F933B0" w14:textId="77777777" w:rsidR="00E50A1C" w:rsidRPr="00F33C20" w:rsidRDefault="00E50A1C" w:rsidP="00D45548">
            <w:r w:rsidRPr="00F33C20">
              <w:t>DBE firms by Ethnicity</w:t>
            </w:r>
          </w:p>
        </w:tc>
        <w:tc>
          <w:tcPr>
            <w:tcW w:w="1047" w:type="dxa"/>
            <w:noWrap/>
            <w:vAlign w:val="center"/>
            <w:hideMark/>
          </w:tcPr>
          <w:p w14:paraId="6D40C5B8" w14:textId="77777777" w:rsidR="00E50A1C" w:rsidRPr="00F33C20" w:rsidRDefault="00E50A1C" w:rsidP="00D45548">
            <w:r w:rsidRPr="00F33C20">
              <w:t>Total</w:t>
            </w:r>
          </w:p>
        </w:tc>
      </w:tr>
      <w:tr w:rsidR="00E50A1C" w:rsidRPr="0043096F" w14:paraId="39994884" w14:textId="77777777" w:rsidTr="006145D1">
        <w:trPr>
          <w:trHeight w:val="302"/>
        </w:trPr>
        <w:tc>
          <w:tcPr>
            <w:tcW w:w="4950" w:type="dxa"/>
            <w:noWrap/>
            <w:vAlign w:val="center"/>
            <w:hideMark/>
          </w:tcPr>
          <w:p w14:paraId="119F20E8" w14:textId="77777777" w:rsidR="00E50A1C" w:rsidRPr="00E50A1C" w:rsidRDefault="00E50A1C" w:rsidP="00D45548">
            <w:r w:rsidRPr="00E50A1C">
              <w:t>African American, Black</w:t>
            </w:r>
          </w:p>
        </w:tc>
        <w:tc>
          <w:tcPr>
            <w:tcW w:w="1047" w:type="dxa"/>
            <w:noWrap/>
            <w:vAlign w:val="center"/>
          </w:tcPr>
          <w:p w14:paraId="20BE24DF" w14:textId="77777777" w:rsidR="00E50A1C" w:rsidRPr="00E50A1C" w:rsidRDefault="00D920BB" w:rsidP="00693D4E">
            <w:pPr>
              <w:jc w:val="center"/>
            </w:pPr>
            <w:r>
              <w:t>216</w:t>
            </w:r>
          </w:p>
        </w:tc>
      </w:tr>
      <w:tr w:rsidR="00E50A1C" w:rsidRPr="0043096F" w14:paraId="6847FBA7" w14:textId="77777777" w:rsidTr="006145D1">
        <w:trPr>
          <w:trHeight w:val="302"/>
        </w:trPr>
        <w:tc>
          <w:tcPr>
            <w:tcW w:w="4950" w:type="dxa"/>
            <w:noWrap/>
            <w:vAlign w:val="center"/>
            <w:hideMark/>
          </w:tcPr>
          <w:p w14:paraId="487FD10F" w14:textId="77777777" w:rsidR="00E50A1C" w:rsidRPr="00E50A1C" w:rsidRDefault="00E50A1C" w:rsidP="00D45548">
            <w:r w:rsidRPr="00E50A1C">
              <w:t>Hispanic</w:t>
            </w:r>
          </w:p>
        </w:tc>
        <w:tc>
          <w:tcPr>
            <w:tcW w:w="1047" w:type="dxa"/>
            <w:noWrap/>
            <w:vAlign w:val="center"/>
          </w:tcPr>
          <w:p w14:paraId="6A8415DF" w14:textId="77777777" w:rsidR="00E50A1C" w:rsidRPr="00E50A1C" w:rsidRDefault="00D920BB" w:rsidP="00693D4E">
            <w:pPr>
              <w:jc w:val="center"/>
            </w:pPr>
            <w:r>
              <w:t>85</w:t>
            </w:r>
          </w:p>
        </w:tc>
      </w:tr>
      <w:tr w:rsidR="00E50A1C" w:rsidRPr="0043096F" w14:paraId="759433DC" w14:textId="77777777" w:rsidTr="006145D1">
        <w:trPr>
          <w:trHeight w:val="302"/>
        </w:trPr>
        <w:tc>
          <w:tcPr>
            <w:tcW w:w="4950" w:type="dxa"/>
            <w:noWrap/>
            <w:vAlign w:val="center"/>
            <w:hideMark/>
          </w:tcPr>
          <w:p w14:paraId="2C8E283C" w14:textId="77777777" w:rsidR="00E50A1C" w:rsidRPr="00E50A1C" w:rsidRDefault="00E50A1C" w:rsidP="00D45548">
            <w:r w:rsidRPr="00E50A1C">
              <w:t>Asian American (Pacific)</w:t>
            </w:r>
          </w:p>
        </w:tc>
        <w:tc>
          <w:tcPr>
            <w:tcW w:w="1047" w:type="dxa"/>
            <w:noWrap/>
            <w:vAlign w:val="center"/>
          </w:tcPr>
          <w:p w14:paraId="64AA5538" w14:textId="77777777" w:rsidR="00E50A1C" w:rsidRPr="00E50A1C" w:rsidRDefault="00D920BB" w:rsidP="00693D4E">
            <w:pPr>
              <w:jc w:val="center"/>
            </w:pPr>
            <w:r>
              <w:t>74</w:t>
            </w:r>
          </w:p>
        </w:tc>
      </w:tr>
      <w:tr w:rsidR="00E50A1C" w:rsidRPr="0043096F" w14:paraId="5077C739" w14:textId="77777777" w:rsidTr="006145D1">
        <w:trPr>
          <w:trHeight w:val="302"/>
        </w:trPr>
        <w:tc>
          <w:tcPr>
            <w:tcW w:w="4950" w:type="dxa"/>
            <w:noWrap/>
            <w:vAlign w:val="center"/>
            <w:hideMark/>
          </w:tcPr>
          <w:p w14:paraId="51967C0D" w14:textId="77777777" w:rsidR="00E50A1C" w:rsidRPr="00E50A1C" w:rsidRDefault="00E50A1C" w:rsidP="00D45548">
            <w:r w:rsidRPr="00E50A1C">
              <w:t>Asian American (Subcontinent)</w:t>
            </w:r>
          </w:p>
        </w:tc>
        <w:tc>
          <w:tcPr>
            <w:tcW w:w="1047" w:type="dxa"/>
            <w:noWrap/>
            <w:vAlign w:val="center"/>
          </w:tcPr>
          <w:p w14:paraId="1521E5C1" w14:textId="77777777" w:rsidR="00E50A1C" w:rsidRPr="00E50A1C" w:rsidRDefault="00D920BB" w:rsidP="00693D4E">
            <w:pPr>
              <w:jc w:val="center"/>
            </w:pPr>
            <w:r>
              <w:t>44</w:t>
            </w:r>
          </w:p>
        </w:tc>
      </w:tr>
      <w:tr w:rsidR="00E50A1C" w:rsidRPr="0043096F" w14:paraId="67AC1D34" w14:textId="77777777" w:rsidTr="006145D1">
        <w:trPr>
          <w:trHeight w:val="302"/>
        </w:trPr>
        <w:tc>
          <w:tcPr>
            <w:tcW w:w="4950" w:type="dxa"/>
            <w:noWrap/>
            <w:vAlign w:val="center"/>
            <w:hideMark/>
          </w:tcPr>
          <w:p w14:paraId="1E22B2B2" w14:textId="77777777" w:rsidR="00E50A1C" w:rsidRPr="00E50A1C" w:rsidRDefault="00E50A1C" w:rsidP="00D45548">
            <w:r w:rsidRPr="00E50A1C">
              <w:t>Cape Verdean</w:t>
            </w:r>
          </w:p>
        </w:tc>
        <w:tc>
          <w:tcPr>
            <w:tcW w:w="1047" w:type="dxa"/>
            <w:noWrap/>
            <w:vAlign w:val="center"/>
          </w:tcPr>
          <w:p w14:paraId="342E1A1A" w14:textId="77777777" w:rsidR="00E50A1C" w:rsidRPr="00E50A1C" w:rsidRDefault="00D920BB" w:rsidP="00693D4E">
            <w:pPr>
              <w:jc w:val="center"/>
            </w:pPr>
            <w:r>
              <w:t>18</w:t>
            </w:r>
          </w:p>
        </w:tc>
      </w:tr>
      <w:tr w:rsidR="00E50A1C" w:rsidRPr="0043096F" w14:paraId="7A5243AE" w14:textId="77777777" w:rsidTr="006145D1">
        <w:trPr>
          <w:trHeight w:val="302"/>
        </w:trPr>
        <w:tc>
          <w:tcPr>
            <w:tcW w:w="4950" w:type="dxa"/>
            <w:noWrap/>
            <w:vAlign w:val="center"/>
            <w:hideMark/>
          </w:tcPr>
          <w:p w14:paraId="50E931DA" w14:textId="77777777" w:rsidR="00E50A1C" w:rsidRPr="00E50A1C" w:rsidRDefault="00E50A1C" w:rsidP="00D45548">
            <w:r w:rsidRPr="00E50A1C">
              <w:lastRenderedPageBreak/>
              <w:t>Caucasian (includes women)</w:t>
            </w:r>
          </w:p>
        </w:tc>
        <w:tc>
          <w:tcPr>
            <w:tcW w:w="1047" w:type="dxa"/>
            <w:noWrap/>
            <w:vAlign w:val="center"/>
          </w:tcPr>
          <w:p w14:paraId="1D2A497F" w14:textId="77777777" w:rsidR="00E50A1C" w:rsidRPr="00E50A1C" w:rsidRDefault="00D920BB" w:rsidP="00693D4E">
            <w:pPr>
              <w:jc w:val="center"/>
            </w:pPr>
            <w:r>
              <w:t>526</w:t>
            </w:r>
          </w:p>
        </w:tc>
      </w:tr>
      <w:tr w:rsidR="00E50A1C" w:rsidRPr="0043096F" w14:paraId="20E5DEDA" w14:textId="77777777" w:rsidTr="006145D1">
        <w:trPr>
          <w:trHeight w:val="302"/>
        </w:trPr>
        <w:tc>
          <w:tcPr>
            <w:tcW w:w="4950" w:type="dxa"/>
            <w:noWrap/>
            <w:vAlign w:val="center"/>
            <w:hideMark/>
          </w:tcPr>
          <w:p w14:paraId="40FB7368" w14:textId="77777777" w:rsidR="00E50A1C" w:rsidRPr="00E50A1C" w:rsidRDefault="00E50A1C" w:rsidP="00D45548">
            <w:r w:rsidRPr="00E50A1C">
              <w:t>Native American</w:t>
            </w:r>
          </w:p>
        </w:tc>
        <w:tc>
          <w:tcPr>
            <w:tcW w:w="1047" w:type="dxa"/>
            <w:noWrap/>
            <w:vAlign w:val="center"/>
          </w:tcPr>
          <w:p w14:paraId="098726BD" w14:textId="77777777" w:rsidR="00E50A1C" w:rsidRPr="00E50A1C" w:rsidRDefault="00D920BB" w:rsidP="00693D4E">
            <w:pPr>
              <w:jc w:val="center"/>
            </w:pPr>
            <w:r>
              <w:t>9</w:t>
            </w:r>
          </w:p>
        </w:tc>
      </w:tr>
      <w:tr w:rsidR="00E50A1C" w:rsidRPr="0043096F" w14:paraId="5CDF8547" w14:textId="77777777" w:rsidTr="006145D1">
        <w:trPr>
          <w:trHeight w:val="302"/>
        </w:trPr>
        <w:tc>
          <w:tcPr>
            <w:tcW w:w="4950" w:type="dxa"/>
            <w:noWrap/>
            <w:vAlign w:val="center"/>
          </w:tcPr>
          <w:p w14:paraId="2DA321E5" w14:textId="77777777" w:rsidR="00E50A1C" w:rsidRPr="00E50A1C" w:rsidRDefault="00EB5403" w:rsidP="00D45548">
            <w:r>
              <w:t xml:space="preserve">Socially/Economic </w:t>
            </w:r>
            <w:r w:rsidR="00F40BEC">
              <w:t>Disadvantaged</w:t>
            </w:r>
            <w:r>
              <w:t xml:space="preserve"> (White Male)</w:t>
            </w:r>
          </w:p>
        </w:tc>
        <w:tc>
          <w:tcPr>
            <w:tcW w:w="1047" w:type="dxa"/>
            <w:noWrap/>
            <w:vAlign w:val="center"/>
          </w:tcPr>
          <w:p w14:paraId="665819B8" w14:textId="77777777" w:rsidR="00E50A1C" w:rsidRPr="00E50A1C" w:rsidRDefault="00D920BB" w:rsidP="00693D4E">
            <w:pPr>
              <w:jc w:val="center"/>
            </w:pPr>
            <w:r>
              <w:t>1</w:t>
            </w:r>
          </w:p>
        </w:tc>
      </w:tr>
      <w:tr w:rsidR="00E50A1C" w:rsidRPr="0043096F" w14:paraId="796785BF" w14:textId="77777777" w:rsidTr="006145D1">
        <w:trPr>
          <w:trHeight w:val="302"/>
        </w:trPr>
        <w:tc>
          <w:tcPr>
            <w:tcW w:w="4950" w:type="dxa"/>
            <w:noWrap/>
            <w:vAlign w:val="center"/>
          </w:tcPr>
          <w:p w14:paraId="0608E20B" w14:textId="77777777" w:rsidR="00E50A1C" w:rsidRPr="00E50A1C" w:rsidRDefault="00E50A1C" w:rsidP="00D45548">
            <w:r w:rsidRPr="00E50A1C">
              <w:t>Portuguese</w:t>
            </w:r>
          </w:p>
        </w:tc>
        <w:tc>
          <w:tcPr>
            <w:tcW w:w="1047" w:type="dxa"/>
            <w:noWrap/>
            <w:vAlign w:val="center"/>
          </w:tcPr>
          <w:p w14:paraId="1DD46D08" w14:textId="77777777" w:rsidR="00E50A1C" w:rsidRPr="00E50A1C" w:rsidRDefault="00D920BB" w:rsidP="00693D4E">
            <w:pPr>
              <w:jc w:val="center"/>
            </w:pPr>
            <w:r>
              <w:t>50</w:t>
            </w:r>
          </w:p>
        </w:tc>
      </w:tr>
      <w:tr w:rsidR="00E50A1C" w:rsidRPr="0043096F" w14:paraId="3ED6C99F" w14:textId="77777777" w:rsidTr="006145D1">
        <w:trPr>
          <w:trHeight w:val="302"/>
        </w:trPr>
        <w:tc>
          <w:tcPr>
            <w:tcW w:w="4950" w:type="dxa"/>
            <w:noWrap/>
            <w:vAlign w:val="center"/>
            <w:hideMark/>
          </w:tcPr>
          <w:p w14:paraId="1382F949" w14:textId="77777777" w:rsidR="00E50A1C" w:rsidRPr="00E50A1C" w:rsidRDefault="00E50A1C" w:rsidP="00D45548">
            <w:r w:rsidRPr="00E50A1C">
              <w:t>Eskimo/Aleut</w:t>
            </w:r>
          </w:p>
        </w:tc>
        <w:tc>
          <w:tcPr>
            <w:tcW w:w="1047" w:type="dxa"/>
            <w:noWrap/>
            <w:vAlign w:val="center"/>
          </w:tcPr>
          <w:p w14:paraId="22A2139A" w14:textId="77777777" w:rsidR="00E50A1C" w:rsidRPr="00E50A1C" w:rsidRDefault="00E50A1C" w:rsidP="00693D4E">
            <w:pPr>
              <w:jc w:val="center"/>
            </w:pPr>
            <w:r w:rsidRPr="00E50A1C">
              <w:t>0</w:t>
            </w:r>
          </w:p>
        </w:tc>
      </w:tr>
      <w:tr w:rsidR="00E50A1C" w:rsidRPr="0043096F" w14:paraId="48DCBD50" w14:textId="77777777" w:rsidTr="006145D1">
        <w:trPr>
          <w:trHeight w:val="302"/>
        </w:trPr>
        <w:tc>
          <w:tcPr>
            <w:tcW w:w="4950" w:type="dxa"/>
            <w:noWrap/>
            <w:vAlign w:val="center"/>
            <w:hideMark/>
          </w:tcPr>
          <w:p w14:paraId="5101A7F6" w14:textId="77777777" w:rsidR="00E50A1C" w:rsidRPr="00F33C20" w:rsidRDefault="00E50A1C" w:rsidP="00D45548">
            <w:r w:rsidRPr="00F33C20">
              <w:t>Total</w:t>
            </w:r>
          </w:p>
        </w:tc>
        <w:tc>
          <w:tcPr>
            <w:tcW w:w="1047" w:type="dxa"/>
            <w:noWrap/>
            <w:vAlign w:val="center"/>
          </w:tcPr>
          <w:p w14:paraId="479561FB" w14:textId="77777777" w:rsidR="00E50A1C" w:rsidRPr="00F33C20" w:rsidRDefault="00D920BB" w:rsidP="00693D4E">
            <w:pPr>
              <w:jc w:val="center"/>
            </w:pPr>
            <w:r>
              <w:t>1023</w:t>
            </w:r>
          </w:p>
        </w:tc>
      </w:tr>
    </w:tbl>
    <w:p w14:paraId="57578BD0" w14:textId="77777777" w:rsidR="009A5FEB" w:rsidRDefault="009A5FEB" w:rsidP="00D45548">
      <w:pPr>
        <w:pStyle w:val="Heading2"/>
      </w:pPr>
    </w:p>
    <w:p w14:paraId="549B9E07" w14:textId="77777777" w:rsidR="009848FD" w:rsidRPr="00837297" w:rsidRDefault="009848FD" w:rsidP="009857BB">
      <w:pPr>
        <w:jc w:val="center"/>
      </w:pPr>
      <w:r w:rsidRPr="00837297">
        <w:t>Unified Certification Program (UCP)</w:t>
      </w:r>
      <w:r w:rsidR="000245A9">
        <w:t>:</w:t>
      </w:r>
    </w:p>
    <w:p w14:paraId="710A48DC" w14:textId="77777777" w:rsidR="009848FD" w:rsidRDefault="009848FD" w:rsidP="009E236C">
      <w:pPr>
        <w:jc w:val="both"/>
      </w:pPr>
      <w:r w:rsidRPr="00EC1CE5">
        <w:t xml:space="preserve">The </w:t>
      </w:r>
      <w:proofErr w:type="spellStart"/>
      <w:r w:rsidRPr="00EC1CE5">
        <w:t>MassUCP</w:t>
      </w:r>
      <w:proofErr w:type="spellEnd"/>
      <w:r w:rsidRPr="00EC1CE5">
        <w:t xml:space="preserve"> reviews and investigates applications by entities seeking certification as a Disadvantage Business Enterprise (DBE) with the U.S. government.  DBE certification is a Federal designation used in conjunction with US Department of Transportation (US DOT) funded projects and contracts.  </w:t>
      </w:r>
    </w:p>
    <w:p w14:paraId="329A035A" w14:textId="77777777" w:rsidR="009848FD" w:rsidRPr="00837297" w:rsidRDefault="009848FD" w:rsidP="00ED0952">
      <w:pPr>
        <w:jc w:val="center"/>
      </w:pPr>
      <w:r w:rsidRPr="00837297">
        <w:t>Disadvantaged Business Enterprise (DBE)</w:t>
      </w:r>
      <w:r w:rsidR="000245A9">
        <w:t>:</w:t>
      </w:r>
    </w:p>
    <w:p w14:paraId="597F6F08" w14:textId="77777777" w:rsidR="009848FD" w:rsidRDefault="00EE3420" w:rsidP="00352A9A">
      <w:pPr>
        <w:pStyle w:val="NormalWeb"/>
        <w:spacing w:line="276" w:lineRule="auto"/>
        <w:jc w:val="both"/>
      </w:pPr>
      <w:r>
        <w:t>By definition a DBE is</w:t>
      </w:r>
      <w:r w:rsidR="009848FD" w:rsidRPr="00EC1CE5">
        <w:t xml:space="preserve"> for-profit small business concern, at least 51% owned by one or more individuals who are socially and economically disadvantaged, or, in the case of a corporation, at least 51 % of the stock of which is owned by one or more such individuals; and the management and daily business operations of such business are controlled by one or more of the socially and economically disadvantaged individuals who own it.</w:t>
      </w:r>
    </w:p>
    <w:p w14:paraId="08D36FDC" w14:textId="77777777" w:rsidR="00CC58D4" w:rsidRPr="008D6F39" w:rsidRDefault="007C6321" w:rsidP="00ED0952">
      <w:pPr>
        <w:pStyle w:val="Heading2"/>
      </w:pPr>
      <w:bookmarkStart w:id="8" w:name="_Toc405372672"/>
      <w:r w:rsidRPr="008D6F39">
        <w:t>COMBINED</w:t>
      </w:r>
      <w:r w:rsidR="00846355" w:rsidRPr="008D6F39">
        <w:t xml:space="preserve"> FEDERAL and STATE</w:t>
      </w:r>
      <w:r w:rsidRPr="008D6F39">
        <w:t xml:space="preserve"> RESULTS</w:t>
      </w:r>
      <w:bookmarkEnd w:id="8"/>
    </w:p>
    <w:p w14:paraId="3276F841" w14:textId="77777777" w:rsidR="007C6321" w:rsidRPr="001138DB" w:rsidRDefault="0072051C" w:rsidP="00352A9A">
      <w:pPr>
        <w:pStyle w:val="NormalWeb"/>
        <w:spacing w:line="276" w:lineRule="auto"/>
        <w:jc w:val="both"/>
      </w:pPr>
      <w:r w:rsidRPr="00EC1CE5">
        <w:t xml:space="preserve">The Commonwealth of Massachusetts spends </w:t>
      </w:r>
      <w:r w:rsidR="00CD2534" w:rsidRPr="00EC1CE5">
        <w:t>approximately</w:t>
      </w:r>
      <w:r w:rsidRPr="00EC1CE5">
        <w:t xml:space="preserve"> $4 billion each year doing business with firms.  Becoming SDO certified can help firms seeking contracts with the government.</w:t>
      </w:r>
      <w:r w:rsidR="001138DB">
        <w:t xml:space="preserve"> </w:t>
      </w:r>
      <w:r w:rsidR="007C6321" w:rsidRPr="00EC1CE5">
        <w:t xml:space="preserve">In </w:t>
      </w:r>
      <w:r w:rsidR="00AA595C">
        <w:t>FY2014</w:t>
      </w:r>
      <w:r w:rsidR="007C6321" w:rsidRPr="00EC1CE5">
        <w:t xml:space="preserve"> the state certification unit </w:t>
      </w:r>
      <w:r w:rsidR="00577349" w:rsidRPr="00EC1CE5">
        <w:t xml:space="preserve">(MBE, </w:t>
      </w:r>
      <w:r w:rsidR="00577349" w:rsidRPr="00EC1CE5">
        <w:rPr>
          <w:rFonts w:eastAsia="SymbolMT"/>
        </w:rPr>
        <w:t>M/NPO, W/NPO, WBE, M/WBE)</w:t>
      </w:r>
      <w:r w:rsidR="00577349" w:rsidRPr="00EC1CE5">
        <w:t xml:space="preserve"> </w:t>
      </w:r>
      <w:r w:rsidR="007C6321" w:rsidRPr="00EC1CE5">
        <w:t xml:space="preserve">and the Unified </w:t>
      </w:r>
      <w:r w:rsidR="007C6321" w:rsidRPr="00EC1CE5">
        <w:rPr>
          <w:rFonts w:eastAsia="SymbolMT"/>
        </w:rPr>
        <w:t xml:space="preserve">Certification Program </w:t>
      </w:r>
      <w:r w:rsidR="00577349" w:rsidRPr="00EC1CE5">
        <w:rPr>
          <w:rFonts w:eastAsia="SymbolMT"/>
        </w:rPr>
        <w:t xml:space="preserve">(DBE) </w:t>
      </w:r>
      <w:r w:rsidR="007C6321" w:rsidRPr="00EC1CE5">
        <w:t>processed new applications</w:t>
      </w:r>
      <w:r w:rsidR="00F03503" w:rsidRPr="00EC1CE5">
        <w:t xml:space="preserve"> and conducted </w:t>
      </w:r>
      <w:r w:rsidR="007C6321" w:rsidRPr="00EC1CE5">
        <w:t xml:space="preserve">Annual </w:t>
      </w:r>
      <w:r w:rsidR="00577349" w:rsidRPr="00EC1CE5">
        <w:t xml:space="preserve">Updates </w:t>
      </w:r>
      <w:r w:rsidR="007C6321" w:rsidRPr="00EC1CE5">
        <w:t>and Biennial Renewals</w:t>
      </w:r>
      <w:r w:rsidR="00EE3420">
        <w:t>,</w:t>
      </w:r>
      <w:r w:rsidR="00F03503" w:rsidRPr="00EC1CE5">
        <w:t xml:space="preserve"> including </w:t>
      </w:r>
      <w:r w:rsidR="007C6321" w:rsidRPr="00EC1CE5">
        <w:t>conduct</w:t>
      </w:r>
      <w:r w:rsidR="00F03503" w:rsidRPr="00EC1CE5">
        <w:t>ing</w:t>
      </w:r>
      <w:r w:rsidR="007C6321" w:rsidRPr="00EC1CE5">
        <w:t xml:space="preserve"> Administrati</w:t>
      </w:r>
      <w:r w:rsidR="00577349" w:rsidRPr="00EC1CE5">
        <w:t>ve</w:t>
      </w:r>
      <w:r w:rsidR="007C6321" w:rsidRPr="00EC1CE5">
        <w:t xml:space="preserve"> and Recertification reviews.</w:t>
      </w:r>
    </w:p>
    <w:p w14:paraId="191EAB55" w14:textId="77777777" w:rsidR="00394925" w:rsidRPr="00837297" w:rsidRDefault="00582F22" w:rsidP="00ED0952">
      <w:pPr>
        <w:jc w:val="center"/>
      </w:pPr>
      <w:r w:rsidRPr="00837297">
        <w:t>New A</w:t>
      </w:r>
      <w:r w:rsidR="00394925" w:rsidRPr="00837297">
        <w:t>pplications</w:t>
      </w:r>
      <w:r w:rsidR="000245A9">
        <w:t>:</w:t>
      </w:r>
    </w:p>
    <w:p w14:paraId="489FADED" w14:textId="77777777" w:rsidR="00A2647F" w:rsidRDefault="00394925" w:rsidP="00352A9A">
      <w:pPr>
        <w:jc w:val="both"/>
        <w:rPr>
          <w:u w:val="single"/>
        </w:rPr>
      </w:pPr>
      <w:r w:rsidRPr="00D361A1">
        <w:t xml:space="preserve">The SDO saw a </w:t>
      </w:r>
      <w:r w:rsidR="00E9229D" w:rsidRPr="00D361A1">
        <w:t xml:space="preserve">total of </w:t>
      </w:r>
      <w:r w:rsidR="001A07D5" w:rsidRPr="00D361A1">
        <w:t>3</w:t>
      </w:r>
      <w:r w:rsidR="00D46FD9">
        <w:t>48</w:t>
      </w:r>
      <w:r w:rsidR="00856753" w:rsidRPr="00D361A1">
        <w:t xml:space="preserve"> </w:t>
      </w:r>
      <w:r w:rsidR="00F41DAC" w:rsidRPr="00D361A1">
        <w:t>state and</w:t>
      </w:r>
      <w:r w:rsidR="00856753" w:rsidRPr="00D361A1">
        <w:t xml:space="preserve"> 1</w:t>
      </w:r>
      <w:r w:rsidR="00D46FD9">
        <w:t>71</w:t>
      </w:r>
      <w:r w:rsidR="00F41DAC" w:rsidRPr="00D361A1">
        <w:t xml:space="preserve"> federal</w:t>
      </w:r>
      <w:r w:rsidRPr="00D361A1">
        <w:t xml:space="preserve"> new applications </w:t>
      </w:r>
      <w:r w:rsidR="00AC0BF7" w:rsidRPr="00D361A1">
        <w:t xml:space="preserve">arrive for review </w:t>
      </w:r>
      <w:r w:rsidRPr="00D361A1">
        <w:t xml:space="preserve">in </w:t>
      </w:r>
      <w:r w:rsidR="00AA595C">
        <w:t>FY2014</w:t>
      </w:r>
      <w:r w:rsidR="00E9229D" w:rsidRPr="00D361A1">
        <w:t xml:space="preserve">; this is </w:t>
      </w:r>
      <w:proofErr w:type="gramStart"/>
      <w:r w:rsidR="00E9229D" w:rsidRPr="00D361A1">
        <w:t>a</w:t>
      </w:r>
      <w:r w:rsidR="001A07D5" w:rsidRPr="00D361A1">
        <w:t>n</w:t>
      </w:r>
      <w:proofErr w:type="gramEnd"/>
      <w:r w:rsidR="00F41DAC" w:rsidRPr="00D361A1">
        <w:t xml:space="preserve"> </w:t>
      </w:r>
      <w:r w:rsidR="00A712C2">
        <w:t>decrease</w:t>
      </w:r>
      <w:r w:rsidR="00F41DAC" w:rsidRPr="00D361A1">
        <w:t xml:space="preserve"> </w:t>
      </w:r>
      <w:r w:rsidRPr="00D361A1">
        <w:t xml:space="preserve">as compared with </w:t>
      </w:r>
      <w:r w:rsidR="00E9229D" w:rsidRPr="00D361A1">
        <w:t>the</w:t>
      </w:r>
      <w:r w:rsidR="00F41DAC" w:rsidRPr="00D361A1">
        <w:t xml:space="preserve"> 3</w:t>
      </w:r>
      <w:r w:rsidR="00AA595C">
        <w:t>76</w:t>
      </w:r>
      <w:r w:rsidR="00F41DAC" w:rsidRPr="00D361A1">
        <w:t xml:space="preserve"> state and </w:t>
      </w:r>
      <w:r w:rsidR="00D46FD9">
        <w:t>inc</w:t>
      </w:r>
      <w:r w:rsidR="001A07D5" w:rsidRPr="00D361A1">
        <w:t xml:space="preserve">rease with </w:t>
      </w:r>
      <w:r w:rsidR="00F41DAC" w:rsidRPr="00D361A1">
        <w:t>1</w:t>
      </w:r>
      <w:r w:rsidR="00AA595C">
        <w:t>68</w:t>
      </w:r>
      <w:r w:rsidR="00F41DAC" w:rsidRPr="00D361A1">
        <w:t xml:space="preserve"> federal</w:t>
      </w:r>
      <w:r w:rsidR="00E9229D" w:rsidRPr="00D361A1">
        <w:t xml:space="preserve"> applications </w:t>
      </w:r>
      <w:r w:rsidR="00E9229D" w:rsidRPr="000245A9">
        <w:t xml:space="preserve">received in </w:t>
      </w:r>
      <w:r w:rsidR="00AA595C">
        <w:t>FY2013</w:t>
      </w:r>
      <w:r w:rsidRPr="000245A9">
        <w:t>.</w:t>
      </w:r>
      <w:r w:rsidRPr="009848FD">
        <w:rPr>
          <w:u w:val="single"/>
        </w:rPr>
        <w:t xml:space="preserve"> </w:t>
      </w:r>
    </w:p>
    <w:p w14:paraId="30E032F7" w14:textId="77777777" w:rsidR="00553A3D" w:rsidRPr="00837297" w:rsidRDefault="00577349" w:rsidP="00352A9A">
      <w:pPr>
        <w:jc w:val="center"/>
      </w:pPr>
      <w:r w:rsidRPr="00837297">
        <w:t>Annual Updates</w:t>
      </w:r>
      <w:r w:rsidR="00582F22" w:rsidRPr="00837297">
        <w:t xml:space="preserve"> and Biennial Re</w:t>
      </w:r>
      <w:r w:rsidR="006E2D5D" w:rsidRPr="00837297">
        <w:t>newals</w:t>
      </w:r>
      <w:r w:rsidR="000245A9">
        <w:t>:</w:t>
      </w:r>
    </w:p>
    <w:p w14:paraId="24100DB7" w14:textId="77777777" w:rsidR="00861CEC" w:rsidRDefault="00553A3D" w:rsidP="00352A9A">
      <w:pPr>
        <w:jc w:val="both"/>
      </w:pPr>
      <w:r w:rsidRPr="00EC1CE5">
        <w:t>SDO sends out reminder letters to companies whose time for renewal is approaching</w:t>
      </w:r>
      <w:r w:rsidR="007C6321" w:rsidRPr="00EC1CE5">
        <w:t xml:space="preserve">.  </w:t>
      </w:r>
      <w:r w:rsidRPr="00EC1CE5">
        <w:t>These letters detail the documentation the company is required to submit in order to retain their certified status</w:t>
      </w:r>
      <w:r w:rsidR="007C6321" w:rsidRPr="00EC1CE5">
        <w:t xml:space="preserve">.  </w:t>
      </w:r>
      <w:r w:rsidRPr="00EC1CE5">
        <w:t>Certifications come up for renewal according to the following schedule</w:t>
      </w:r>
      <w:r w:rsidR="005812A6" w:rsidRPr="00EC1CE5">
        <w:t>:</w:t>
      </w:r>
      <w:r w:rsidR="007C6321" w:rsidRPr="00EC1CE5">
        <w:t xml:space="preserve"> </w:t>
      </w:r>
    </w:p>
    <w:p w14:paraId="16EAF31C" w14:textId="77777777" w:rsidR="00553A3D" w:rsidRPr="005738B4" w:rsidRDefault="00861CEC" w:rsidP="00352A9A">
      <w:pPr>
        <w:pStyle w:val="ListParagraph"/>
        <w:numPr>
          <w:ilvl w:val="0"/>
          <w:numId w:val="44"/>
        </w:numPr>
        <w:spacing w:line="276" w:lineRule="auto"/>
        <w:rPr>
          <w:rFonts w:ascii="Times New Roman" w:hAnsi="Times New Roman" w:cs="Times New Roman"/>
        </w:rPr>
      </w:pPr>
      <w:r w:rsidRPr="005738B4">
        <w:rPr>
          <w:rFonts w:ascii="Times New Roman" w:hAnsi="Times New Roman" w:cs="Times New Roman"/>
        </w:rPr>
        <w:t>State</w:t>
      </w:r>
      <w:r w:rsidR="00841DD3">
        <w:rPr>
          <w:rFonts w:ascii="Times New Roman" w:hAnsi="Times New Roman" w:cs="Times New Roman"/>
        </w:rPr>
        <w:t xml:space="preserve"> </w:t>
      </w:r>
      <w:r w:rsidRPr="005738B4">
        <w:rPr>
          <w:rFonts w:ascii="Times New Roman" w:hAnsi="Times New Roman" w:cs="Times New Roman"/>
        </w:rPr>
        <w:t>(MBE/WBE and Non-profit) Every two years (Biennial Renewal)</w:t>
      </w:r>
    </w:p>
    <w:p w14:paraId="4E7D338A" w14:textId="77777777" w:rsidR="00861CEC" w:rsidRPr="00861CEC" w:rsidRDefault="00861CEC" w:rsidP="00352A9A">
      <w:pPr>
        <w:pStyle w:val="ListParagraph"/>
        <w:numPr>
          <w:ilvl w:val="0"/>
          <w:numId w:val="44"/>
        </w:numPr>
        <w:spacing w:after="120" w:line="276" w:lineRule="auto"/>
      </w:pPr>
      <w:r w:rsidRPr="005738B4">
        <w:rPr>
          <w:rFonts w:ascii="Times New Roman" w:hAnsi="Times New Roman" w:cs="Times New Roman"/>
        </w:rPr>
        <w:t>Federal</w:t>
      </w:r>
      <w:r w:rsidR="00841DD3">
        <w:rPr>
          <w:rFonts w:ascii="Times New Roman" w:hAnsi="Times New Roman" w:cs="Times New Roman"/>
        </w:rPr>
        <w:t xml:space="preserve"> </w:t>
      </w:r>
      <w:r w:rsidRPr="005738B4">
        <w:rPr>
          <w:rFonts w:ascii="Times New Roman" w:hAnsi="Times New Roman" w:cs="Times New Roman"/>
        </w:rPr>
        <w:t>(DBE) Every year (Annual Update)</w:t>
      </w:r>
    </w:p>
    <w:p w14:paraId="342F2214" w14:textId="77777777" w:rsidR="00CA6B08" w:rsidRDefault="008448E7" w:rsidP="00ED0952">
      <w:pPr>
        <w:jc w:val="both"/>
      </w:pPr>
      <w:r w:rsidRPr="00EC1CE5">
        <w:lastRenderedPageBreak/>
        <w:t>Review of certified entities for Annual Updates and Biennial Renewals result in</w:t>
      </w:r>
      <w:r w:rsidR="00B65187" w:rsidRPr="00EC1CE5">
        <w:t xml:space="preserve"> the following possible actions</w:t>
      </w:r>
      <w:r w:rsidRPr="00EC1CE5">
        <w:t xml:space="preserve">: continued certification, decertification, withdrawal of a certification by the business entity, or for DBE certified entities it could mean a graduation from the program if the three-year average revenues exceed the disadvantaged size cap or if the </w:t>
      </w:r>
      <w:r w:rsidR="00C339F5" w:rsidRPr="00EC1CE5">
        <w:t>P</w:t>
      </w:r>
      <w:r w:rsidRPr="00EC1CE5">
        <w:t xml:space="preserve">ersonal </w:t>
      </w:r>
      <w:r w:rsidR="00C339F5" w:rsidRPr="00EC1CE5">
        <w:t>N</w:t>
      </w:r>
      <w:r w:rsidRPr="00EC1CE5">
        <w:t xml:space="preserve">et </w:t>
      </w:r>
      <w:r w:rsidR="00C339F5" w:rsidRPr="00EC1CE5">
        <w:t>W</w:t>
      </w:r>
      <w:r w:rsidRPr="00EC1CE5">
        <w:t>orth of the eligible owner exceeds the size cap of $1.32</w:t>
      </w:r>
      <w:r w:rsidR="00841DD3">
        <w:t xml:space="preserve"> </w:t>
      </w:r>
      <w:r w:rsidRPr="00EC1CE5">
        <w:t xml:space="preserve">M.  </w:t>
      </w:r>
    </w:p>
    <w:p w14:paraId="0F3B3727" w14:textId="77777777" w:rsidR="0031227D" w:rsidRPr="00EC1CE5" w:rsidRDefault="001F379D" w:rsidP="00352A9A">
      <w:pPr>
        <w:jc w:val="both"/>
        <w:rPr>
          <w:rFonts w:eastAsiaTheme="majorEastAsia"/>
          <w:b/>
          <w:bCs/>
          <w:sz w:val="26"/>
          <w:szCs w:val="26"/>
        </w:rPr>
      </w:pPr>
      <w:r w:rsidRPr="00EC1CE5">
        <w:t xml:space="preserve">The SDO saw </w:t>
      </w:r>
      <w:r w:rsidRPr="00BF099E">
        <w:t>a</w:t>
      </w:r>
      <w:r w:rsidR="00A2005D">
        <w:t>n</w:t>
      </w:r>
      <w:r w:rsidRPr="00BF099E">
        <w:t xml:space="preserve"> </w:t>
      </w:r>
      <w:r w:rsidR="00E25559">
        <w:t>in</w:t>
      </w:r>
      <w:r w:rsidRPr="00BF099E">
        <w:t xml:space="preserve">crease in state administrative reviews in </w:t>
      </w:r>
      <w:r w:rsidR="00FB6CC3" w:rsidRPr="00BF099E">
        <w:t>FY201</w:t>
      </w:r>
      <w:r w:rsidR="00E25559">
        <w:t>4</w:t>
      </w:r>
      <w:r w:rsidRPr="00BF099E">
        <w:t xml:space="preserve"> over FY201</w:t>
      </w:r>
      <w:r w:rsidR="00E25559">
        <w:t>3</w:t>
      </w:r>
      <w:r w:rsidRPr="00BF099E">
        <w:t xml:space="preserve"> and an increase in administrative reviews for the Federal program in </w:t>
      </w:r>
      <w:r w:rsidR="00FB6CC3" w:rsidRPr="00BF099E">
        <w:t>FY201</w:t>
      </w:r>
      <w:r w:rsidR="00E25559">
        <w:t>4</w:t>
      </w:r>
      <w:r w:rsidRPr="00BF099E">
        <w:t xml:space="preserve"> over FY201</w:t>
      </w:r>
      <w:r w:rsidR="00E25559">
        <w:t>3</w:t>
      </w:r>
      <w:r w:rsidRPr="00BF099E">
        <w:t>.</w:t>
      </w:r>
      <w:r w:rsidRPr="00EC1CE5">
        <w:t xml:space="preserve">  </w:t>
      </w:r>
    </w:p>
    <w:p w14:paraId="6DBF9D7F" w14:textId="77777777" w:rsidR="003553BC" w:rsidRPr="009A5FEB" w:rsidRDefault="00F6628B" w:rsidP="00352A9A">
      <w:pPr>
        <w:pStyle w:val="Heading2"/>
      </w:pPr>
      <w:bookmarkStart w:id="9" w:name="_Toc405372673"/>
      <w:r w:rsidRPr="009A5FEB">
        <w:t>APPEALS</w:t>
      </w:r>
      <w:bookmarkEnd w:id="9"/>
    </w:p>
    <w:p w14:paraId="6B09F22B" w14:textId="77777777" w:rsidR="00C83F14" w:rsidRPr="00EC1CE5" w:rsidRDefault="009774FA" w:rsidP="00352A9A">
      <w:pPr>
        <w:jc w:val="both"/>
      </w:pPr>
      <w:r w:rsidRPr="00EC1CE5">
        <w:t>Applicants,</w:t>
      </w:r>
      <w:r w:rsidR="00A21254" w:rsidRPr="00EC1CE5">
        <w:t xml:space="preserve"> who recei</w:t>
      </w:r>
      <w:r w:rsidR="000260DB" w:rsidRPr="00EC1CE5">
        <w:t>v</w:t>
      </w:r>
      <w:r w:rsidR="00A21254" w:rsidRPr="00EC1CE5">
        <w:t xml:space="preserve">e </w:t>
      </w:r>
      <w:r w:rsidR="00F6628B" w:rsidRPr="00EC1CE5">
        <w:t xml:space="preserve">letters of </w:t>
      </w:r>
      <w:r w:rsidR="00A21254" w:rsidRPr="00EC1CE5">
        <w:t>denial</w:t>
      </w:r>
      <w:r w:rsidR="00B170F0">
        <w:t>,</w:t>
      </w:r>
      <w:r w:rsidR="00A21254" w:rsidRPr="00EC1CE5">
        <w:t xml:space="preserve"> or decert</w:t>
      </w:r>
      <w:r w:rsidR="000260DB" w:rsidRPr="00EC1CE5">
        <w:t>ification</w:t>
      </w:r>
      <w:r w:rsidR="00B170F0">
        <w:t>,</w:t>
      </w:r>
      <w:r w:rsidR="00F6628B" w:rsidRPr="00EC1CE5">
        <w:t xml:space="preserve"> have the opportunity to appeal the Certification Committee decision</w:t>
      </w:r>
      <w:r w:rsidR="004D387A" w:rsidRPr="00EC1CE5">
        <w:t>s</w:t>
      </w:r>
      <w:r w:rsidR="00F6628B" w:rsidRPr="00EC1CE5">
        <w:t xml:space="preserve">.  </w:t>
      </w:r>
      <w:r w:rsidR="004D387A" w:rsidRPr="00EC1CE5">
        <w:t>Fiscal year 201</w:t>
      </w:r>
      <w:r w:rsidR="00776481">
        <w:t>4</w:t>
      </w:r>
      <w:r w:rsidR="004D387A" w:rsidRPr="00EC1CE5">
        <w:t xml:space="preserve"> saw</w:t>
      </w:r>
      <w:r w:rsidR="00776481">
        <w:t xml:space="preserve"> 44</w:t>
      </w:r>
      <w:r w:rsidR="00F6628B" w:rsidRPr="00EC1CE5">
        <w:t xml:space="preserve"> new applications denied</w:t>
      </w:r>
      <w:r w:rsidR="004D387A" w:rsidRPr="00EC1CE5">
        <w:t>;</w:t>
      </w:r>
      <w:r w:rsidR="00742FE5">
        <w:t xml:space="preserve"> </w:t>
      </w:r>
      <w:r w:rsidR="00776481">
        <w:t>30</w:t>
      </w:r>
      <w:r w:rsidR="00742FE5">
        <w:t xml:space="preserve"> </w:t>
      </w:r>
      <w:r w:rsidR="00F6628B" w:rsidRPr="00EC1CE5">
        <w:t xml:space="preserve">were state and </w:t>
      </w:r>
      <w:r w:rsidR="00776481">
        <w:t>14</w:t>
      </w:r>
      <w:r w:rsidR="00F6628B" w:rsidRPr="00EC1CE5">
        <w:t xml:space="preserve"> were federal.  </w:t>
      </w:r>
    </w:p>
    <w:p w14:paraId="779C3E26" w14:textId="77777777" w:rsidR="003173F9" w:rsidRPr="009857BB" w:rsidRDefault="003173F9" w:rsidP="009857BB">
      <w:pPr>
        <w:pStyle w:val="Heading3"/>
      </w:pPr>
      <w:r w:rsidRPr="009857BB">
        <w:t>Report of Certifica</w:t>
      </w:r>
      <w:r w:rsidR="009774FA" w:rsidRPr="009857BB">
        <w:t>tion Denial Decisions for FY2014</w:t>
      </w:r>
    </w:p>
    <w:tbl>
      <w:tblPr>
        <w:tblStyle w:val="TableGrid1"/>
        <w:tblW w:w="9300" w:type="dxa"/>
        <w:tblLook w:val="04A0" w:firstRow="1" w:lastRow="0" w:firstColumn="1" w:lastColumn="0" w:noHBand="0" w:noVBand="1"/>
        <w:tblCaption w:val="State and Federal Report of Certification Denial Decisions for FY2014"/>
      </w:tblPr>
      <w:tblGrid>
        <w:gridCol w:w="973"/>
        <w:gridCol w:w="1922"/>
        <w:gridCol w:w="2250"/>
        <w:gridCol w:w="1440"/>
        <w:gridCol w:w="1226"/>
        <w:gridCol w:w="1489"/>
      </w:tblGrid>
      <w:tr w:rsidR="003173F9" w:rsidRPr="004650E0" w14:paraId="45D5584D" w14:textId="77777777" w:rsidTr="00217258">
        <w:trPr>
          <w:trHeight w:val="418"/>
          <w:tblHeader/>
        </w:trPr>
        <w:tc>
          <w:tcPr>
            <w:tcW w:w="973" w:type="dxa"/>
            <w:noWrap/>
            <w:vAlign w:val="center"/>
            <w:hideMark/>
          </w:tcPr>
          <w:p w14:paraId="4009329D" w14:textId="77777777" w:rsidR="003173F9" w:rsidRPr="004650E0" w:rsidRDefault="003173F9" w:rsidP="00D45548">
            <w:r w:rsidRPr="004650E0">
              <w:t> </w:t>
            </w:r>
          </w:p>
        </w:tc>
        <w:tc>
          <w:tcPr>
            <w:tcW w:w="1922" w:type="dxa"/>
            <w:vAlign w:val="center"/>
            <w:hideMark/>
          </w:tcPr>
          <w:p w14:paraId="3BE77FC9" w14:textId="77777777" w:rsidR="003173F9" w:rsidRPr="003173F9" w:rsidRDefault="003173F9" w:rsidP="00EF4C42">
            <w:r w:rsidRPr="003173F9">
              <w:t xml:space="preserve">Tentative Initial </w:t>
            </w:r>
            <w:r w:rsidRPr="003173F9">
              <w:br/>
              <w:t>Denial</w:t>
            </w:r>
            <w:r w:rsidRPr="003173F9">
              <w:rPr>
                <w:rStyle w:val="FootnoteReference"/>
                <w:rFonts w:eastAsia="Times New Roman"/>
                <w:bCs/>
                <w:color w:val="000000" w:themeColor="text1"/>
              </w:rPr>
              <w:footnoteReference w:id="4"/>
            </w:r>
          </w:p>
        </w:tc>
        <w:tc>
          <w:tcPr>
            <w:tcW w:w="2250" w:type="dxa"/>
            <w:vAlign w:val="center"/>
            <w:hideMark/>
          </w:tcPr>
          <w:p w14:paraId="3B1E1830" w14:textId="77777777" w:rsidR="003173F9" w:rsidRPr="003173F9" w:rsidRDefault="003B7622" w:rsidP="00EF4C42">
            <w:r>
              <w:t>Waiting For ID letter write-up/Pending</w:t>
            </w:r>
          </w:p>
        </w:tc>
        <w:tc>
          <w:tcPr>
            <w:tcW w:w="1440" w:type="dxa"/>
            <w:vAlign w:val="center"/>
            <w:hideMark/>
          </w:tcPr>
          <w:p w14:paraId="0C92BEEF" w14:textId="77777777" w:rsidR="003173F9" w:rsidRPr="003173F9" w:rsidRDefault="003173F9" w:rsidP="00EF4C42">
            <w:r w:rsidRPr="003173F9">
              <w:t>No Appeal/</w:t>
            </w:r>
            <w:r w:rsidRPr="003173F9">
              <w:br/>
              <w:t>Inactive</w:t>
            </w:r>
          </w:p>
        </w:tc>
        <w:tc>
          <w:tcPr>
            <w:tcW w:w="1226" w:type="dxa"/>
            <w:noWrap/>
            <w:vAlign w:val="center"/>
            <w:hideMark/>
          </w:tcPr>
          <w:p w14:paraId="74B393F6" w14:textId="77777777" w:rsidR="003173F9" w:rsidRPr="003173F9" w:rsidRDefault="003173F9" w:rsidP="00EF4C42">
            <w:r w:rsidRPr="003173F9">
              <w:t>Re-Open</w:t>
            </w:r>
          </w:p>
        </w:tc>
        <w:tc>
          <w:tcPr>
            <w:tcW w:w="1489" w:type="dxa"/>
            <w:vAlign w:val="center"/>
            <w:hideMark/>
          </w:tcPr>
          <w:p w14:paraId="28404CF7" w14:textId="77777777" w:rsidR="003173F9" w:rsidRPr="003173F9" w:rsidRDefault="003173F9" w:rsidP="00EF4C42">
            <w:r w:rsidRPr="003173F9">
              <w:t xml:space="preserve">Requested </w:t>
            </w:r>
            <w:r w:rsidRPr="003173F9">
              <w:br/>
              <w:t>Hearing</w:t>
            </w:r>
          </w:p>
        </w:tc>
      </w:tr>
      <w:tr w:rsidR="003173F9" w:rsidRPr="004650E0" w14:paraId="70C74A99" w14:textId="77777777" w:rsidTr="00EF4C42">
        <w:trPr>
          <w:trHeight w:val="233"/>
        </w:trPr>
        <w:tc>
          <w:tcPr>
            <w:tcW w:w="973" w:type="dxa"/>
            <w:noWrap/>
            <w:vAlign w:val="center"/>
            <w:hideMark/>
          </w:tcPr>
          <w:p w14:paraId="24A96122" w14:textId="77777777" w:rsidR="003173F9" w:rsidRPr="004650E0" w:rsidRDefault="003173F9" w:rsidP="00D45548">
            <w:r w:rsidRPr="004650E0">
              <w:t>State</w:t>
            </w:r>
          </w:p>
        </w:tc>
        <w:tc>
          <w:tcPr>
            <w:tcW w:w="1922" w:type="dxa"/>
            <w:noWrap/>
            <w:vAlign w:val="center"/>
            <w:hideMark/>
          </w:tcPr>
          <w:p w14:paraId="1100230E" w14:textId="77777777" w:rsidR="003173F9" w:rsidRPr="004650E0" w:rsidRDefault="00776481" w:rsidP="00E549AD">
            <w:pPr>
              <w:jc w:val="center"/>
            </w:pPr>
            <w:r>
              <w:t>30</w:t>
            </w:r>
          </w:p>
        </w:tc>
        <w:tc>
          <w:tcPr>
            <w:tcW w:w="2250" w:type="dxa"/>
            <w:noWrap/>
            <w:vAlign w:val="center"/>
            <w:hideMark/>
          </w:tcPr>
          <w:p w14:paraId="4D4D916C" w14:textId="77777777" w:rsidR="003173F9" w:rsidRPr="004650E0" w:rsidRDefault="003173F9" w:rsidP="00E549AD">
            <w:pPr>
              <w:jc w:val="center"/>
            </w:pPr>
            <w:r w:rsidRPr="004650E0">
              <w:t>5</w:t>
            </w:r>
          </w:p>
        </w:tc>
        <w:tc>
          <w:tcPr>
            <w:tcW w:w="1440" w:type="dxa"/>
            <w:noWrap/>
            <w:vAlign w:val="center"/>
            <w:hideMark/>
          </w:tcPr>
          <w:p w14:paraId="33D0C50F" w14:textId="77777777" w:rsidR="003173F9" w:rsidRPr="004650E0" w:rsidRDefault="00776481" w:rsidP="00E549AD">
            <w:pPr>
              <w:jc w:val="center"/>
            </w:pPr>
            <w:r>
              <w:t>12</w:t>
            </w:r>
          </w:p>
        </w:tc>
        <w:tc>
          <w:tcPr>
            <w:tcW w:w="1226" w:type="dxa"/>
            <w:noWrap/>
            <w:vAlign w:val="center"/>
            <w:hideMark/>
          </w:tcPr>
          <w:p w14:paraId="6B24AEB5" w14:textId="77777777" w:rsidR="003173F9" w:rsidRPr="004650E0" w:rsidRDefault="003173F9" w:rsidP="00E549AD">
            <w:pPr>
              <w:jc w:val="center"/>
            </w:pPr>
            <w:r w:rsidRPr="004650E0">
              <w:t>1</w:t>
            </w:r>
          </w:p>
        </w:tc>
        <w:tc>
          <w:tcPr>
            <w:tcW w:w="1489" w:type="dxa"/>
            <w:noWrap/>
            <w:vAlign w:val="center"/>
            <w:hideMark/>
          </w:tcPr>
          <w:p w14:paraId="794F42EC" w14:textId="77777777" w:rsidR="003173F9" w:rsidRPr="004650E0" w:rsidRDefault="00776481" w:rsidP="00E549AD">
            <w:pPr>
              <w:jc w:val="center"/>
            </w:pPr>
            <w:r>
              <w:t>12</w:t>
            </w:r>
          </w:p>
        </w:tc>
      </w:tr>
      <w:tr w:rsidR="003173F9" w:rsidRPr="004650E0" w14:paraId="19023AD8" w14:textId="77777777" w:rsidTr="00EF4C42">
        <w:trPr>
          <w:trHeight w:val="224"/>
        </w:trPr>
        <w:tc>
          <w:tcPr>
            <w:tcW w:w="973" w:type="dxa"/>
            <w:noWrap/>
            <w:vAlign w:val="center"/>
            <w:hideMark/>
          </w:tcPr>
          <w:p w14:paraId="2885BAF5" w14:textId="77777777" w:rsidR="003173F9" w:rsidRPr="004650E0" w:rsidRDefault="003173F9" w:rsidP="00D45548">
            <w:r w:rsidRPr="004650E0">
              <w:t>Federal</w:t>
            </w:r>
          </w:p>
        </w:tc>
        <w:tc>
          <w:tcPr>
            <w:tcW w:w="1922" w:type="dxa"/>
            <w:noWrap/>
            <w:vAlign w:val="center"/>
            <w:hideMark/>
          </w:tcPr>
          <w:p w14:paraId="2D6207B8" w14:textId="77777777" w:rsidR="003173F9" w:rsidRPr="004650E0" w:rsidRDefault="00776481" w:rsidP="00E549AD">
            <w:pPr>
              <w:jc w:val="center"/>
            </w:pPr>
            <w:r>
              <w:t>14</w:t>
            </w:r>
          </w:p>
        </w:tc>
        <w:tc>
          <w:tcPr>
            <w:tcW w:w="2250" w:type="dxa"/>
            <w:noWrap/>
            <w:vAlign w:val="center"/>
            <w:hideMark/>
          </w:tcPr>
          <w:p w14:paraId="24CEF8F5" w14:textId="77777777" w:rsidR="003173F9" w:rsidRPr="004650E0" w:rsidRDefault="00776481" w:rsidP="00E549AD">
            <w:pPr>
              <w:jc w:val="center"/>
            </w:pPr>
            <w:r>
              <w:t>7</w:t>
            </w:r>
          </w:p>
        </w:tc>
        <w:tc>
          <w:tcPr>
            <w:tcW w:w="1440" w:type="dxa"/>
            <w:noWrap/>
            <w:vAlign w:val="center"/>
            <w:hideMark/>
          </w:tcPr>
          <w:p w14:paraId="3331A40C" w14:textId="77777777" w:rsidR="003173F9" w:rsidRPr="004650E0" w:rsidRDefault="00776481" w:rsidP="00E549AD">
            <w:pPr>
              <w:jc w:val="center"/>
            </w:pPr>
            <w:r>
              <w:t>6</w:t>
            </w:r>
          </w:p>
        </w:tc>
        <w:tc>
          <w:tcPr>
            <w:tcW w:w="1226" w:type="dxa"/>
            <w:noWrap/>
            <w:vAlign w:val="center"/>
            <w:hideMark/>
          </w:tcPr>
          <w:p w14:paraId="126F406C" w14:textId="77777777" w:rsidR="003173F9" w:rsidRPr="004650E0" w:rsidRDefault="003173F9" w:rsidP="00E549AD">
            <w:pPr>
              <w:jc w:val="center"/>
            </w:pPr>
            <w:r w:rsidRPr="004650E0">
              <w:t>0</w:t>
            </w:r>
          </w:p>
        </w:tc>
        <w:tc>
          <w:tcPr>
            <w:tcW w:w="1489" w:type="dxa"/>
            <w:noWrap/>
            <w:vAlign w:val="center"/>
            <w:hideMark/>
          </w:tcPr>
          <w:p w14:paraId="51071D77" w14:textId="77777777" w:rsidR="003173F9" w:rsidRPr="004650E0" w:rsidRDefault="00776481" w:rsidP="00E549AD">
            <w:pPr>
              <w:jc w:val="center"/>
            </w:pPr>
            <w:r>
              <w:t>1</w:t>
            </w:r>
          </w:p>
        </w:tc>
      </w:tr>
      <w:tr w:rsidR="003173F9" w:rsidRPr="004650E0" w14:paraId="5AB05309" w14:textId="77777777" w:rsidTr="00EB5799">
        <w:trPr>
          <w:trHeight w:val="302"/>
        </w:trPr>
        <w:tc>
          <w:tcPr>
            <w:tcW w:w="973" w:type="dxa"/>
            <w:noWrap/>
            <w:vAlign w:val="center"/>
            <w:hideMark/>
          </w:tcPr>
          <w:p w14:paraId="0598376E" w14:textId="77777777" w:rsidR="003173F9" w:rsidRPr="004650E0" w:rsidRDefault="003173F9" w:rsidP="00D45548">
            <w:r w:rsidRPr="004650E0">
              <w:t>Total</w:t>
            </w:r>
          </w:p>
        </w:tc>
        <w:tc>
          <w:tcPr>
            <w:tcW w:w="1922" w:type="dxa"/>
            <w:noWrap/>
            <w:vAlign w:val="center"/>
            <w:hideMark/>
          </w:tcPr>
          <w:p w14:paraId="3B932AF6" w14:textId="77777777" w:rsidR="003173F9" w:rsidRPr="004650E0" w:rsidRDefault="00776481" w:rsidP="00E549AD">
            <w:pPr>
              <w:jc w:val="center"/>
            </w:pPr>
            <w:r>
              <w:t>44</w:t>
            </w:r>
          </w:p>
        </w:tc>
        <w:tc>
          <w:tcPr>
            <w:tcW w:w="2250" w:type="dxa"/>
            <w:noWrap/>
            <w:vAlign w:val="center"/>
            <w:hideMark/>
          </w:tcPr>
          <w:p w14:paraId="17E3FB75" w14:textId="77777777" w:rsidR="003173F9" w:rsidRPr="004650E0" w:rsidRDefault="00776481" w:rsidP="00E549AD">
            <w:pPr>
              <w:jc w:val="center"/>
            </w:pPr>
            <w:r>
              <w:t>12</w:t>
            </w:r>
          </w:p>
        </w:tc>
        <w:tc>
          <w:tcPr>
            <w:tcW w:w="1440" w:type="dxa"/>
            <w:noWrap/>
            <w:vAlign w:val="center"/>
            <w:hideMark/>
          </w:tcPr>
          <w:p w14:paraId="2032740C" w14:textId="77777777" w:rsidR="003173F9" w:rsidRPr="004650E0" w:rsidRDefault="00776481" w:rsidP="00E549AD">
            <w:pPr>
              <w:jc w:val="center"/>
            </w:pPr>
            <w:r>
              <w:t>18</w:t>
            </w:r>
          </w:p>
        </w:tc>
        <w:tc>
          <w:tcPr>
            <w:tcW w:w="1226" w:type="dxa"/>
            <w:noWrap/>
            <w:vAlign w:val="center"/>
            <w:hideMark/>
          </w:tcPr>
          <w:p w14:paraId="4A9AC135" w14:textId="77777777" w:rsidR="003173F9" w:rsidRPr="004650E0" w:rsidRDefault="003173F9" w:rsidP="00E549AD">
            <w:pPr>
              <w:jc w:val="center"/>
            </w:pPr>
            <w:r w:rsidRPr="004650E0">
              <w:t>1</w:t>
            </w:r>
          </w:p>
        </w:tc>
        <w:tc>
          <w:tcPr>
            <w:tcW w:w="1489" w:type="dxa"/>
            <w:noWrap/>
            <w:vAlign w:val="center"/>
            <w:hideMark/>
          </w:tcPr>
          <w:p w14:paraId="2DF2E7B8" w14:textId="77777777" w:rsidR="003173F9" w:rsidRPr="004650E0" w:rsidRDefault="00776481" w:rsidP="00E549AD">
            <w:pPr>
              <w:jc w:val="center"/>
            </w:pPr>
            <w:r>
              <w:t>13</w:t>
            </w:r>
          </w:p>
        </w:tc>
      </w:tr>
    </w:tbl>
    <w:p w14:paraId="396E6E44" w14:textId="77777777" w:rsidR="003173F9" w:rsidRDefault="003173F9" w:rsidP="00D45548"/>
    <w:tbl>
      <w:tblPr>
        <w:tblStyle w:val="TableGrid1"/>
        <w:tblW w:w="9566" w:type="dxa"/>
        <w:tblLayout w:type="fixed"/>
        <w:tblLook w:val="04A0" w:firstRow="1" w:lastRow="0" w:firstColumn="1" w:lastColumn="0" w:noHBand="0" w:noVBand="1"/>
        <w:tblCaption w:val="State and Federal Report of Certification Denial Decisions for FY2014"/>
      </w:tblPr>
      <w:tblGrid>
        <w:gridCol w:w="936"/>
        <w:gridCol w:w="1872"/>
        <w:gridCol w:w="1170"/>
        <w:gridCol w:w="1053"/>
        <w:gridCol w:w="1197"/>
        <w:gridCol w:w="1081"/>
        <w:gridCol w:w="1040"/>
        <w:gridCol w:w="1217"/>
      </w:tblGrid>
      <w:tr w:rsidR="003B7622" w:rsidRPr="003173F9" w14:paraId="4818A43F" w14:textId="77777777" w:rsidTr="00EF4C42">
        <w:trPr>
          <w:trHeight w:val="584"/>
          <w:tblHeader/>
        </w:trPr>
        <w:tc>
          <w:tcPr>
            <w:tcW w:w="936" w:type="dxa"/>
            <w:vAlign w:val="center"/>
          </w:tcPr>
          <w:p w14:paraId="5C88F30E" w14:textId="77777777" w:rsidR="009B60AB" w:rsidRPr="003173F9" w:rsidRDefault="009B60AB" w:rsidP="00D45548"/>
        </w:tc>
        <w:tc>
          <w:tcPr>
            <w:tcW w:w="1872" w:type="dxa"/>
            <w:vAlign w:val="center"/>
            <w:hideMark/>
          </w:tcPr>
          <w:p w14:paraId="0CE13D73" w14:textId="77777777" w:rsidR="00B0552F" w:rsidRDefault="003B7622" w:rsidP="00EF4C42">
            <w:pPr>
              <w:jc w:val="center"/>
            </w:pPr>
            <w:r>
              <w:t>To be scheduled</w:t>
            </w:r>
          </w:p>
          <w:p w14:paraId="37FF24B1" w14:textId="77777777" w:rsidR="009B60AB" w:rsidRPr="003173F9" w:rsidRDefault="00B0552F" w:rsidP="00EF4C42">
            <w:pPr>
              <w:jc w:val="center"/>
            </w:pPr>
            <w:r>
              <w:t>Hearing</w:t>
            </w:r>
          </w:p>
        </w:tc>
        <w:tc>
          <w:tcPr>
            <w:tcW w:w="1170" w:type="dxa"/>
            <w:vAlign w:val="center"/>
            <w:hideMark/>
          </w:tcPr>
          <w:p w14:paraId="522F71D1" w14:textId="77777777" w:rsidR="009B60AB" w:rsidRPr="003173F9" w:rsidRDefault="009B60AB" w:rsidP="00EF4C42">
            <w:pPr>
              <w:ind w:left="-108" w:right="-198"/>
              <w:jc w:val="center"/>
            </w:pPr>
            <w:r w:rsidRPr="003173F9">
              <w:t>Withdrew</w:t>
            </w:r>
            <w:r w:rsidRPr="003173F9">
              <w:br/>
              <w:t xml:space="preserve"> Hearing</w:t>
            </w:r>
          </w:p>
        </w:tc>
        <w:tc>
          <w:tcPr>
            <w:tcW w:w="1053" w:type="dxa"/>
            <w:vAlign w:val="center"/>
            <w:hideMark/>
          </w:tcPr>
          <w:p w14:paraId="012E3EC3" w14:textId="77777777" w:rsidR="009B60AB" w:rsidRPr="003173F9" w:rsidRDefault="009B60AB" w:rsidP="00EF4C42">
            <w:pPr>
              <w:jc w:val="center"/>
            </w:pPr>
            <w:r w:rsidRPr="003173F9">
              <w:t>Hearing Held</w:t>
            </w:r>
          </w:p>
        </w:tc>
        <w:tc>
          <w:tcPr>
            <w:tcW w:w="1197" w:type="dxa"/>
            <w:vAlign w:val="center"/>
            <w:hideMark/>
          </w:tcPr>
          <w:p w14:paraId="662A7E87" w14:textId="77777777" w:rsidR="009B60AB" w:rsidRPr="003173F9" w:rsidRDefault="009B60AB" w:rsidP="00EF4C42">
            <w:pPr>
              <w:jc w:val="center"/>
            </w:pPr>
            <w:r w:rsidRPr="003173F9">
              <w:t>Reversed-</w:t>
            </w:r>
            <w:r w:rsidRPr="003173F9">
              <w:br/>
              <w:t>Certified</w:t>
            </w:r>
          </w:p>
        </w:tc>
        <w:tc>
          <w:tcPr>
            <w:tcW w:w="1081" w:type="dxa"/>
            <w:vAlign w:val="center"/>
            <w:hideMark/>
          </w:tcPr>
          <w:p w14:paraId="0744EA06" w14:textId="77777777" w:rsidR="009B60AB" w:rsidRPr="003173F9" w:rsidRDefault="009B60AB" w:rsidP="00EF4C42">
            <w:pPr>
              <w:jc w:val="center"/>
            </w:pPr>
            <w:r w:rsidRPr="003173F9">
              <w:t xml:space="preserve">Upheld- </w:t>
            </w:r>
            <w:r w:rsidRPr="003173F9">
              <w:br/>
              <w:t>Denial</w:t>
            </w:r>
          </w:p>
        </w:tc>
        <w:tc>
          <w:tcPr>
            <w:tcW w:w="1040" w:type="dxa"/>
            <w:vAlign w:val="center"/>
            <w:hideMark/>
          </w:tcPr>
          <w:p w14:paraId="79D2931C" w14:textId="77777777" w:rsidR="009B60AB" w:rsidRPr="003173F9" w:rsidRDefault="009B60AB" w:rsidP="00EF4C42">
            <w:pPr>
              <w:jc w:val="center"/>
            </w:pPr>
            <w:r w:rsidRPr="003173F9">
              <w:t>SAB-Remand</w:t>
            </w:r>
          </w:p>
        </w:tc>
        <w:tc>
          <w:tcPr>
            <w:tcW w:w="1217" w:type="dxa"/>
            <w:vAlign w:val="center"/>
          </w:tcPr>
          <w:p w14:paraId="1E629C73" w14:textId="77777777" w:rsidR="009B60AB" w:rsidRPr="003173F9" w:rsidRDefault="009B60AB" w:rsidP="00EF4C42">
            <w:pPr>
              <w:jc w:val="center"/>
            </w:pPr>
            <w:r w:rsidRPr="003173F9">
              <w:t>SAB/UCP pending</w:t>
            </w:r>
          </w:p>
        </w:tc>
      </w:tr>
      <w:tr w:rsidR="003B7622" w:rsidRPr="004650E0" w14:paraId="5DF8549E" w14:textId="77777777" w:rsidTr="00EF4C42">
        <w:trPr>
          <w:trHeight w:val="251"/>
        </w:trPr>
        <w:tc>
          <w:tcPr>
            <w:tcW w:w="936" w:type="dxa"/>
            <w:vAlign w:val="center"/>
          </w:tcPr>
          <w:p w14:paraId="7461CEC3" w14:textId="77777777" w:rsidR="009B60AB" w:rsidRPr="004650E0" w:rsidRDefault="009B60AB" w:rsidP="00D45548">
            <w:r w:rsidRPr="004650E0">
              <w:t>State</w:t>
            </w:r>
          </w:p>
        </w:tc>
        <w:tc>
          <w:tcPr>
            <w:tcW w:w="1872" w:type="dxa"/>
            <w:noWrap/>
            <w:vAlign w:val="center"/>
            <w:hideMark/>
          </w:tcPr>
          <w:p w14:paraId="674612C9" w14:textId="77777777" w:rsidR="009B60AB" w:rsidRPr="004650E0" w:rsidRDefault="00776481" w:rsidP="00E549AD">
            <w:pPr>
              <w:jc w:val="center"/>
            </w:pPr>
            <w:r>
              <w:t>6</w:t>
            </w:r>
          </w:p>
        </w:tc>
        <w:tc>
          <w:tcPr>
            <w:tcW w:w="1170" w:type="dxa"/>
            <w:noWrap/>
            <w:vAlign w:val="center"/>
            <w:hideMark/>
          </w:tcPr>
          <w:p w14:paraId="064BA448" w14:textId="77777777" w:rsidR="009B60AB" w:rsidRPr="004650E0" w:rsidRDefault="00776481" w:rsidP="00E549AD">
            <w:pPr>
              <w:jc w:val="center"/>
            </w:pPr>
            <w:r>
              <w:t>0</w:t>
            </w:r>
          </w:p>
        </w:tc>
        <w:tc>
          <w:tcPr>
            <w:tcW w:w="1053" w:type="dxa"/>
            <w:noWrap/>
            <w:vAlign w:val="center"/>
            <w:hideMark/>
          </w:tcPr>
          <w:p w14:paraId="1EEA09EB" w14:textId="77777777" w:rsidR="009B60AB" w:rsidRPr="004650E0" w:rsidRDefault="00776481" w:rsidP="00E549AD">
            <w:pPr>
              <w:jc w:val="center"/>
            </w:pPr>
            <w:r>
              <w:t>6</w:t>
            </w:r>
          </w:p>
        </w:tc>
        <w:tc>
          <w:tcPr>
            <w:tcW w:w="1197" w:type="dxa"/>
            <w:noWrap/>
            <w:vAlign w:val="center"/>
            <w:hideMark/>
          </w:tcPr>
          <w:p w14:paraId="138B32D9" w14:textId="77777777" w:rsidR="009B60AB" w:rsidRPr="004650E0" w:rsidRDefault="009B60AB" w:rsidP="00E549AD">
            <w:pPr>
              <w:jc w:val="center"/>
            </w:pPr>
            <w:r w:rsidRPr="004650E0">
              <w:t>2</w:t>
            </w:r>
          </w:p>
        </w:tc>
        <w:tc>
          <w:tcPr>
            <w:tcW w:w="1081" w:type="dxa"/>
            <w:noWrap/>
            <w:vAlign w:val="center"/>
            <w:hideMark/>
          </w:tcPr>
          <w:p w14:paraId="5E2A6454" w14:textId="77777777" w:rsidR="009B60AB" w:rsidRPr="004650E0" w:rsidRDefault="00776481" w:rsidP="00E549AD">
            <w:pPr>
              <w:jc w:val="center"/>
            </w:pPr>
            <w:r>
              <w:t>1</w:t>
            </w:r>
          </w:p>
        </w:tc>
        <w:tc>
          <w:tcPr>
            <w:tcW w:w="1040" w:type="dxa"/>
            <w:noWrap/>
            <w:vAlign w:val="center"/>
            <w:hideMark/>
          </w:tcPr>
          <w:p w14:paraId="1B57DEE2" w14:textId="77777777" w:rsidR="009B60AB" w:rsidRPr="004650E0" w:rsidRDefault="00776481" w:rsidP="00E549AD">
            <w:pPr>
              <w:jc w:val="center"/>
            </w:pPr>
            <w:r>
              <w:t>1</w:t>
            </w:r>
          </w:p>
        </w:tc>
        <w:tc>
          <w:tcPr>
            <w:tcW w:w="1217" w:type="dxa"/>
            <w:vAlign w:val="center"/>
          </w:tcPr>
          <w:p w14:paraId="150E3AF4" w14:textId="77777777" w:rsidR="009B60AB" w:rsidRPr="004650E0" w:rsidRDefault="00776481" w:rsidP="00E549AD">
            <w:pPr>
              <w:jc w:val="center"/>
            </w:pPr>
            <w:r>
              <w:t>3</w:t>
            </w:r>
          </w:p>
        </w:tc>
      </w:tr>
      <w:tr w:rsidR="003B7622" w:rsidRPr="004650E0" w14:paraId="2E2037D1" w14:textId="77777777" w:rsidTr="00EF4C42">
        <w:trPr>
          <w:trHeight w:val="233"/>
        </w:trPr>
        <w:tc>
          <w:tcPr>
            <w:tcW w:w="936" w:type="dxa"/>
            <w:vAlign w:val="center"/>
          </w:tcPr>
          <w:p w14:paraId="1AD31129" w14:textId="77777777" w:rsidR="009B60AB" w:rsidRPr="004650E0" w:rsidRDefault="009B60AB" w:rsidP="00D45548">
            <w:r w:rsidRPr="004650E0">
              <w:t>Federal</w:t>
            </w:r>
          </w:p>
        </w:tc>
        <w:tc>
          <w:tcPr>
            <w:tcW w:w="1872" w:type="dxa"/>
            <w:noWrap/>
            <w:vAlign w:val="center"/>
            <w:hideMark/>
          </w:tcPr>
          <w:p w14:paraId="2E460A9E" w14:textId="77777777" w:rsidR="009B60AB" w:rsidRPr="004650E0" w:rsidRDefault="009B60AB" w:rsidP="00E549AD">
            <w:pPr>
              <w:jc w:val="center"/>
            </w:pPr>
            <w:r w:rsidRPr="004650E0">
              <w:t>0</w:t>
            </w:r>
          </w:p>
        </w:tc>
        <w:tc>
          <w:tcPr>
            <w:tcW w:w="1170" w:type="dxa"/>
            <w:noWrap/>
            <w:vAlign w:val="center"/>
            <w:hideMark/>
          </w:tcPr>
          <w:p w14:paraId="50121621" w14:textId="77777777" w:rsidR="009B60AB" w:rsidRPr="004650E0" w:rsidRDefault="009B60AB" w:rsidP="00E549AD">
            <w:pPr>
              <w:jc w:val="center"/>
            </w:pPr>
            <w:r w:rsidRPr="004650E0">
              <w:t>0</w:t>
            </w:r>
          </w:p>
        </w:tc>
        <w:tc>
          <w:tcPr>
            <w:tcW w:w="1053" w:type="dxa"/>
            <w:noWrap/>
            <w:vAlign w:val="center"/>
            <w:hideMark/>
          </w:tcPr>
          <w:p w14:paraId="60E7DBCF" w14:textId="77777777" w:rsidR="009B60AB" w:rsidRPr="004650E0" w:rsidRDefault="00776481" w:rsidP="00E549AD">
            <w:pPr>
              <w:jc w:val="center"/>
            </w:pPr>
            <w:r>
              <w:t>0</w:t>
            </w:r>
          </w:p>
        </w:tc>
        <w:tc>
          <w:tcPr>
            <w:tcW w:w="1197" w:type="dxa"/>
            <w:noWrap/>
            <w:vAlign w:val="center"/>
            <w:hideMark/>
          </w:tcPr>
          <w:p w14:paraId="39E87CA6" w14:textId="77777777" w:rsidR="009B60AB" w:rsidRPr="004650E0" w:rsidRDefault="009B60AB" w:rsidP="00E549AD">
            <w:pPr>
              <w:jc w:val="center"/>
            </w:pPr>
            <w:r w:rsidRPr="004650E0">
              <w:t>0</w:t>
            </w:r>
          </w:p>
        </w:tc>
        <w:tc>
          <w:tcPr>
            <w:tcW w:w="1081" w:type="dxa"/>
            <w:noWrap/>
            <w:vAlign w:val="center"/>
            <w:hideMark/>
          </w:tcPr>
          <w:p w14:paraId="2702CE17" w14:textId="77777777" w:rsidR="009B60AB" w:rsidRPr="004650E0" w:rsidRDefault="00776481" w:rsidP="00E549AD">
            <w:pPr>
              <w:jc w:val="center"/>
            </w:pPr>
            <w:r>
              <w:t>0</w:t>
            </w:r>
          </w:p>
        </w:tc>
        <w:tc>
          <w:tcPr>
            <w:tcW w:w="1040" w:type="dxa"/>
            <w:noWrap/>
            <w:vAlign w:val="center"/>
            <w:hideMark/>
          </w:tcPr>
          <w:p w14:paraId="31A8FD68" w14:textId="77777777" w:rsidR="009B60AB" w:rsidRPr="004650E0" w:rsidRDefault="00776481" w:rsidP="00E549AD">
            <w:pPr>
              <w:jc w:val="center"/>
            </w:pPr>
            <w:r>
              <w:t>0</w:t>
            </w:r>
          </w:p>
        </w:tc>
        <w:tc>
          <w:tcPr>
            <w:tcW w:w="1217" w:type="dxa"/>
            <w:vAlign w:val="center"/>
          </w:tcPr>
          <w:p w14:paraId="3B0E4956" w14:textId="77777777" w:rsidR="009B60AB" w:rsidRPr="004650E0" w:rsidRDefault="009B60AB" w:rsidP="00E549AD">
            <w:pPr>
              <w:jc w:val="center"/>
            </w:pPr>
            <w:r w:rsidRPr="004650E0">
              <w:t>0</w:t>
            </w:r>
          </w:p>
        </w:tc>
      </w:tr>
      <w:tr w:rsidR="003B7622" w:rsidRPr="004650E0" w14:paraId="416DF400" w14:textId="77777777" w:rsidTr="00EF4C42">
        <w:trPr>
          <w:trHeight w:val="260"/>
        </w:trPr>
        <w:tc>
          <w:tcPr>
            <w:tcW w:w="936" w:type="dxa"/>
            <w:vAlign w:val="center"/>
          </w:tcPr>
          <w:p w14:paraId="250A2305" w14:textId="77777777" w:rsidR="009B60AB" w:rsidRPr="004650E0" w:rsidRDefault="009B60AB" w:rsidP="00D45548">
            <w:r w:rsidRPr="004650E0">
              <w:t>Total</w:t>
            </w:r>
          </w:p>
        </w:tc>
        <w:tc>
          <w:tcPr>
            <w:tcW w:w="1872" w:type="dxa"/>
            <w:noWrap/>
            <w:vAlign w:val="center"/>
            <w:hideMark/>
          </w:tcPr>
          <w:p w14:paraId="10EE4558" w14:textId="77777777" w:rsidR="009B60AB" w:rsidRPr="004650E0" w:rsidRDefault="00776481" w:rsidP="00E549AD">
            <w:pPr>
              <w:jc w:val="center"/>
            </w:pPr>
            <w:r>
              <w:t>6</w:t>
            </w:r>
          </w:p>
        </w:tc>
        <w:tc>
          <w:tcPr>
            <w:tcW w:w="1170" w:type="dxa"/>
            <w:noWrap/>
            <w:vAlign w:val="center"/>
            <w:hideMark/>
          </w:tcPr>
          <w:p w14:paraId="1FE7023C" w14:textId="77777777" w:rsidR="009B60AB" w:rsidRPr="004650E0" w:rsidRDefault="00776481" w:rsidP="00E549AD">
            <w:pPr>
              <w:jc w:val="center"/>
            </w:pPr>
            <w:r>
              <w:t>0</w:t>
            </w:r>
          </w:p>
        </w:tc>
        <w:tc>
          <w:tcPr>
            <w:tcW w:w="1053" w:type="dxa"/>
            <w:noWrap/>
            <w:vAlign w:val="center"/>
            <w:hideMark/>
          </w:tcPr>
          <w:p w14:paraId="7C4D7349" w14:textId="77777777" w:rsidR="009B60AB" w:rsidRPr="004650E0" w:rsidRDefault="00776481" w:rsidP="00E549AD">
            <w:pPr>
              <w:jc w:val="center"/>
            </w:pPr>
            <w:r>
              <w:t>6</w:t>
            </w:r>
          </w:p>
        </w:tc>
        <w:tc>
          <w:tcPr>
            <w:tcW w:w="1197" w:type="dxa"/>
            <w:noWrap/>
            <w:vAlign w:val="center"/>
            <w:hideMark/>
          </w:tcPr>
          <w:p w14:paraId="424CC044" w14:textId="77777777" w:rsidR="009B60AB" w:rsidRPr="004650E0" w:rsidRDefault="009B60AB" w:rsidP="00E549AD">
            <w:pPr>
              <w:jc w:val="center"/>
            </w:pPr>
            <w:r w:rsidRPr="004650E0">
              <w:t>2</w:t>
            </w:r>
          </w:p>
        </w:tc>
        <w:tc>
          <w:tcPr>
            <w:tcW w:w="1081" w:type="dxa"/>
            <w:noWrap/>
            <w:vAlign w:val="center"/>
            <w:hideMark/>
          </w:tcPr>
          <w:p w14:paraId="1578B737" w14:textId="77777777" w:rsidR="009B60AB" w:rsidRPr="004650E0" w:rsidRDefault="009B60AB" w:rsidP="00E549AD">
            <w:pPr>
              <w:jc w:val="center"/>
            </w:pPr>
            <w:r w:rsidRPr="004650E0">
              <w:t>1</w:t>
            </w:r>
          </w:p>
        </w:tc>
        <w:tc>
          <w:tcPr>
            <w:tcW w:w="1040" w:type="dxa"/>
            <w:noWrap/>
            <w:vAlign w:val="center"/>
            <w:hideMark/>
          </w:tcPr>
          <w:p w14:paraId="53196988" w14:textId="77777777" w:rsidR="009B60AB" w:rsidRPr="004650E0" w:rsidRDefault="009B60AB" w:rsidP="00E549AD">
            <w:pPr>
              <w:jc w:val="center"/>
            </w:pPr>
            <w:r w:rsidRPr="004650E0">
              <w:t>1</w:t>
            </w:r>
          </w:p>
        </w:tc>
        <w:tc>
          <w:tcPr>
            <w:tcW w:w="1217" w:type="dxa"/>
            <w:vAlign w:val="center"/>
          </w:tcPr>
          <w:p w14:paraId="10F27B39" w14:textId="77777777" w:rsidR="009B60AB" w:rsidRPr="004650E0" w:rsidRDefault="00776481" w:rsidP="00E549AD">
            <w:pPr>
              <w:jc w:val="center"/>
            </w:pPr>
            <w:r>
              <w:t>3</w:t>
            </w:r>
          </w:p>
        </w:tc>
      </w:tr>
    </w:tbl>
    <w:p w14:paraId="323689FB" w14:textId="77777777" w:rsidR="004C28C7" w:rsidRPr="003173F9" w:rsidRDefault="004C28C7" w:rsidP="00D45548"/>
    <w:tbl>
      <w:tblPr>
        <w:tblStyle w:val="TableGrid1"/>
        <w:tblW w:w="9378" w:type="dxa"/>
        <w:tblLook w:val="04A0" w:firstRow="1" w:lastRow="0" w:firstColumn="1" w:lastColumn="0" w:noHBand="0" w:noVBand="1"/>
        <w:tblCaption w:val="State and Federal Report of Certification Denial Decisions for FY2014"/>
      </w:tblPr>
      <w:tblGrid>
        <w:gridCol w:w="973"/>
        <w:gridCol w:w="1745"/>
        <w:gridCol w:w="1710"/>
        <w:gridCol w:w="1368"/>
        <w:gridCol w:w="1512"/>
        <w:gridCol w:w="2070"/>
      </w:tblGrid>
      <w:tr w:rsidR="00206570" w:rsidRPr="004650E0" w14:paraId="2A4A1DF5" w14:textId="77777777" w:rsidTr="00206570">
        <w:trPr>
          <w:trHeight w:val="418"/>
          <w:tblHeader/>
        </w:trPr>
        <w:tc>
          <w:tcPr>
            <w:tcW w:w="973" w:type="dxa"/>
            <w:noWrap/>
            <w:vAlign w:val="center"/>
            <w:hideMark/>
          </w:tcPr>
          <w:p w14:paraId="71581DD3" w14:textId="77777777" w:rsidR="00206570" w:rsidRPr="004650E0" w:rsidRDefault="00206570" w:rsidP="00D45548">
            <w:r w:rsidRPr="004650E0">
              <w:t> </w:t>
            </w:r>
          </w:p>
        </w:tc>
        <w:tc>
          <w:tcPr>
            <w:tcW w:w="1745" w:type="dxa"/>
            <w:vAlign w:val="center"/>
            <w:hideMark/>
          </w:tcPr>
          <w:p w14:paraId="5C7D17F8" w14:textId="77777777" w:rsidR="00206570" w:rsidRPr="003173F9" w:rsidRDefault="00206570" w:rsidP="00EF4C42">
            <w:r>
              <w:t>Show Cause</w:t>
            </w:r>
            <w:r w:rsidRPr="003173F9">
              <w:rPr>
                <w:rStyle w:val="FootnoteReference"/>
                <w:rFonts w:eastAsia="Times New Roman"/>
                <w:bCs/>
                <w:color w:val="000000" w:themeColor="text1"/>
              </w:rPr>
              <w:footnoteReference w:id="5"/>
            </w:r>
          </w:p>
        </w:tc>
        <w:tc>
          <w:tcPr>
            <w:tcW w:w="1710" w:type="dxa"/>
            <w:vAlign w:val="center"/>
            <w:hideMark/>
          </w:tcPr>
          <w:p w14:paraId="460D69B9" w14:textId="77777777" w:rsidR="00206570" w:rsidRPr="003173F9" w:rsidRDefault="00206570" w:rsidP="00EF4C42">
            <w:r>
              <w:t>PNW Graduated</w:t>
            </w:r>
            <w:r>
              <w:rPr>
                <w:rStyle w:val="FootnoteReference"/>
                <w:rFonts w:eastAsia="Times New Roman"/>
                <w:bCs/>
                <w:color w:val="000000" w:themeColor="text1"/>
              </w:rPr>
              <w:footnoteReference w:id="6"/>
            </w:r>
          </w:p>
        </w:tc>
        <w:tc>
          <w:tcPr>
            <w:tcW w:w="1368" w:type="dxa"/>
          </w:tcPr>
          <w:p w14:paraId="0B9DB5E0" w14:textId="77777777" w:rsidR="00206570" w:rsidRDefault="00206570" w:rsidP="00EF4C42">
            <w:r>
              <w:t>OSS Graduated</w:t>
            </w:r>
          </w:p>
        </w:tc>
        <w:tc>
          <w:tcPr>
            <w:tcW w:w="1512" w:type="dxa"/>
            <w:vAlign w:val="center"/>
            <w:hideMark/>
          </w:tcPr>
          <w:p w14:paraId="3C5719C8" w14:textId="77777777" w:rsidR="00206570" w:rsidRPr="003173F9" w:rsidRDefault="00206570" w:rsidP="00EF4C42">
            <w:r>
              <w:t>Decertified</w:t>
            </w:r>
            <w:r>
              <w:rPr>
                <w:rStyle w:val="FootnoteReference"/>
                <w:rFonts w:eastAsia="Times New Roman"/>
                <w:bCs/>
                <w:color w:val="000000" w:themeColor="text1"/>
              </w:rPr>
              <w:footnoteReference w:id="7"/>
            </w:r>
          </w:p>
        </w:tc>
        <w:tc>
          <w:tcPr>
            <w:tcW w:w="2070" w:type="dxa"/>
            <w:noWrap/>
            <w:vAlign w:val="center"/>
            <w:hideMark/>
          </w:tcPr>
          <w:p w14:paraId="7484EB77" w14:textId="77777777" w:rsidR="00206570" w:rsidRPr="003173F9" w:rsidRDefault="00206570" w:rsidP="00EF4C42">
            <w:r w:rsidRPr="003173F9">
              <w:t>Re</w:t>
            </w:r>
            <w:r>
              <w:t>quested Hearing</w:t>
            </w:r>
          </w:p>
        </w:tc>
      </w:tr>
      <w:tr w:rsidR="00206570" w:rsidRPr="004650E0" w14:paraId="48AF6558" w14:textId="77777777" w:rsidTr="00EF4C42">
        <w:trPr>
          <w:trHeight w:val="197"/>
        </w:trPr>
        <w:tc>
          <w:tcPr>
            <w:tcW w:w="973" w:type="dxa"/>
            <w:noWrap/>
            <w:vAlign w:val="center"/>
            <w:hideMark/>
          </w:tcPr>
          <w:p w14:paraId="786BFEDE" w14:textId="77777777" w:rsidR="00206570" w:rsidRPr="004650E0" w:rsidRDefault="00206570" w:rsidP="00D45548">
            <w:r w:rsidRPr="004650E0">
              <w:t>State</w:t>
            </w:r>
          </w:p>
        </w:tc>
        <w:tc>
          <w:tcPr>
            <w:tcW w:w="1745" w:type="dxa"/>
            <w:noWrap/>
            <w:vAlign w:val="center"/>
            <w:hideMark/>
          </w:tcPr>
          <w:p w14:paraId="621D73B2" w14:textId="77777777" w:rsidR="00206570" w:rsidRPr="004650E0" w:rsidRDefault="00206570" w:rsidP="00E549AD">
            <w:pPr>
              <w:jc w:val="center"/>
            </w:pPr>
            <w:r>
              <w:t>6</w:t>
            </w:r>
          </w:p>
        </w:tc>
        <w:tc>
          <w:tcPr>
            <w:tcW w:w="1710" w:type="dxa"/>
            <w:noWrap/>
            <w:vAlign w:val="center"/>
            <w:hideMark/>
          </w:tcPr>
          <w:p w14:paraId="1EEC66FB" w14:textId="77777777" w:rsidR="00206570" w:rsidRPr="004650E0" w:rsidRDefault="00206570" w:rsidP="00E549AD">
            <w:pPr>
              <w:jc w:val="center"/>
            </w:pPr>
            <w:r>
              <w:t>0</w:t>
            </w:r>
          </w:p>
        </w:tc>
        <w:tc>
          <w:tcPr>
            <w:tcW w:w="1368" w:type="dxa"/>
          </w:tcPr>
          <w:p w14:paraId="6E377390" w14:textId="77777777" w:rsidR="00206570" w:rsidRDefault="00206570" w:rsidP="00E549AD">
            <w:pPr>
              <w:jc w:val="center"/>
            </w:pPr>
            <w:r>
              <w:t>0</w:t>
            </w:r>
          </w:p>
        </w:tc>
        <w:tc>
          <w:tcPr>
            <w:tcW w:w="1512" w:type="dxa"/>
            <w:noWrap/>
            <w:vAlign w:val="center"/>
            <w:hideMark/>
          </w:tcPr>
          <w:p w14:paraId="605946FC" w14:textId="77777777" w:rsidR="00206570" w:rsidRPr="004650E0" w:rsidRDefault="00206570" w:rsidP="00E549AD">
            <w:pPr>
              <w:jc w:val="center"/>
            </w:pPr>
            <w:r>
              <w:t>1</w:t>
            </w:r>
          </w:p>
        </w:tc>
        <w:tc>
          <w:tcPr>
            <w:tcW w:w="2070" w:type="dxa"/>
            <w:noWrap/>
            <w:vAlign w:val="center"/>
            <w:hideMark/>
          </w:tcPr>
          <w:p w14:paraId="5C050C22" w14:textId="77777777" w:rsidR="00206570" w:rsidRPr="004650E0" w:rsidRDefault="00206570" w:rsidP="00E549AD">
            <w:pPr>
              <w:jc w:val="center"/>
            </w:pPr>
            <w:r>
              <w:t>7</w:t>
            </w:r>
          </w:p>
        </w:tc>
      </w:tr>
      <w:tr w:rsidR="00206570" w:rsidRPr="004650E0" w14:paraId="74E14F88" w14:textId="77777777" w:rsidTr="00206570">
        <w:trPr>
          <w:trHeight w:val="260"/>
        </w:trPr>
        <w:tc>
          <w:tcPr>
            <w:tcW w:w="973" w:type="dxa"/>
            <w:noWrap/>
            <w:vAlign w:val="center"/>
            <w:hideMark/>
          </w:tcPr>
          <w:p w14:paraId="0BCFB784" w14:textId="77777777" w:rsidR="00206570" w:rsidRPr="004650E0" w:rsidRDefault="00206570" w:rsidP="00D45548">
            <w:r w:rsidRPr="004650E0">
              <w:t>Federal</w:t>
            </w:r>
          </w:p>
        </w:tc>
        <w:tc>
          <w:tcPr>
            <w:tcW w:w="1745" w:type="dxa"/>
            <w:noWrap/>
            <w:vAlign w:val="center"/>
            <w:hideMark/>
          </w:tcPr>
          <w:p w14:paraId="3ABFEE90" w14:textId="77777777" w:rsidR="00206570" w:rsidRPr="004650E0" w:rsidRDefault="00206570" w:rsidP="00E549AD">
            <w:pPr>
              <w:jc w:val="center"/>
            </w:pPr>
            <w:r>
              <w:t>5</w:t>
            </w:r>
          </w:p>
        </w:tc>
        <w:tc>
          <w:tcPr>
            <w:tcW w:w="1710" w:type="dxa"/>
            <w:noWrap/>
            <w:vAlign w:val="center"/>
            <w:hideMark/>
          </w:tcPr>
          <w:p w14:paraId="702FD936" w14:textId="77777777" w:rsidR="00206570" w:rsidRPr="004650E0" w:rsidRDefault="00206570" w:rsidP="00E549AD">
            <w:pPr>
              <w:jc w:val="center"/>
            </w:pPr>
            <w:r>
              <w:t>2</w:t>
            </w:r>
          </w:p>
        </w:tc>
        <w:tc>
          <w:tcPr>
            <w:tcW w:w="1368" w:type="dxa"/>
          </w:tcPr>
          <w:p w14:paraId="76ACD0B8" w14:textId="77777777" w:rsidR="00206570" w:rsidRDefault="00206570" w:rsidP="00E549AD">
            <w:pPr>
              <w:jc w:val="center"/>
            </w:pPr>
            <w:r>
              <w:t>1</w:t>
            </w:r>
          </w:p>
        </w:tc>
        <w:tc>
          <w:tcPr>
            <w:tcW w:w="1512" w:type="dxa"/>
            <w:noWrap/>
            <w:vAlign w:val="center"/>
            <w:hideMark/>
          </w:tcPr>
          <w:p w14:paraId="5ED01675" w14:textId="77777777" w:rsidR="00206570" w:rsidRPr="004650E0" w:rsidRDefault="00206570" w:rsidP="00E549AD">
            <w:pPr>
              <w:jc w:val="center"/>
            </w:pPr>
            <w:r>
              <w:t>0</w:t>
            </w:r>
          </w:p>
        </w:tc>
        <w:tc>
          <w:tcPr>
            <w:tcW w:w="2070" w:type="dxa"/>
            <w:noWrap/>
            <w:vAlign w:val="center"/>
            <w:hideMark/>
          </w:tcPr>
          <w:p w14:paraId="6FFA6AD5" w14:textId="77777777" w:rsidR="00206570" w:rsidRPr="004650E0" w:rsidRDefault="00206570" w:rsidP="00E549AD">
            <w:pPr>
              <w:jc w:val="center"/>
            </w:pPr>
            <w:r>
              <w:t>8</w:t>
            </w:r>
          </w:p>
        </w:tc>
      </w:tr>
      <w:tr w:rsidR="00206570" w:rsidRPr="004650E0" w14:paraId="4B918922" w14:textId="77777777" w:rsidTr="00EF4C42">
        <w:trPr>
          <w:trHeight w:val="251"/>
        </w:trPr>
        <w:tc>
          <w:tcPr>
            <w:tcW w:w="973" w:type="dxa"/>
            <w:noWrap/>
            <w:vAlign w:val="center"/>
            <w:hideMark/>
          </w:tcPr>
          <w:p w14:paraId="02B512D0" w14:textId="77777777" w:rsidR="00206570" w:rsidRPr="004650E0" w:rsidRDefault="00206570" w:rsidP="00D45548">
            <w:r w:rsidRPr="004650E0">
              <w:t>Total</w:t>
            </w:r>
          </w:p>
        </w:tc>
        <w:tc>
          <w:tcPr>
            <w:tcW w:w="1745" w:type="dxa"/>
            <w:noWrap/>
            <w:vAlign w:val="center"/>
            <w:hideMark/>
          </w:tcPr>
          <w:p w14:paraId="779F7985" w14:textId="77777777" w:rsidR="00206570" w:rsidRPr="004650E0" w:rsidRDefault="00206570" w:rsidP="00E549AD">
            <w:pPr>
              <w:jc w:val="center"/>
            </w:pPr>
            <w:r>
              <w:t>11</w:t>
            </w:r>
          </w:p>
        </w:tc>
        <w:tc>
          <w:tcPr>
            <w:tcW w:w="1710" w:type="dxa"/>
            <w:noWrap/>
            <w:vAlign w:val="center"/>
            <w:hideMark/>
          </w:tcPr>
          <w:p w14:paraId="3C05D9DB" w14:textId="77777777" w:rsidR="00206570" w:rsidRPr="004650E0" w:rsidRDefault="00206570" w:rsidP="00EB5799">
            <w:pPr>
              <w:jc w:val="center"/>
            </w:pPr>
            <w:r>
              <w:t xml:space="preserve"> 2</w:t>
            </w:r>
          </w:p>
        </w:tc>
        <w:tc>
          <w:tcPr>
            <w:tcW w:w="1368" w:type="dxa"/>
          </w:tcPr>
          <w:p w14:paraId="47837EC0" w14:textId="77777777" w:rsidR="00206570" w:rsidRDefault="00206570" w:rsidP="00E549AD">
            <w:pPr>
              <w:jc w:val="center"/>
            </w:pPr>
            <w:r>
              <w:t>1</w:t>
            </w:r>
          </w:p>
        </w:tc>
        <w:tc>
          <w:tcPr>
            <w:tcW w:w="1512" w:type="dxa"/>
            <w:noWrap/>
            <w:vAlign w:val="center"/>
            <w:hideMark/>
          </w:tcPr>
          <w:p w14:paraId="1AA25D93" w14:textId="77777777" w:rsidR="00206570" w:rsidRPr="004650E0" w:rsidRDefault="00206570" w:rsidP="00E549AD">
            <w:pPr>
              <w:jc w:val="center"/>
            </w:pPr>
            <w:r>
              <w:t>1</w:t>
            </w:r>
          </w:p>
        </w:tc>
        <w:tc>
          <w:tcPr>
            <w:tcW w:w="2070" w:type="dxa"/>
            <w:noWrap/>
            <w:vAlign w:val="center"/>
            <w:hideMark/>
          </w:tcPr>
          <w:p w14:paraId="61EC915D" w14:textId="77777777" w:rsidR="00206570" w:rsidRPr="004650E0" w:rsidRDefault="00206570" w:rsidP="00E549AD">
            <w:pPr>
              <w:jc w:val="center"/>
            </w:pPr>
            <w:r w:rsidRPr="004650E0">
              <w:t>1</w:t>
            </w:r>
            <w:r>
              <w:t>5</w:t>
            </w:r>
          </w:p>
        </w:tc>
      </w:tr>
    </w:tbl>
    <w:p w14:paraId="2946A9DB" w14:textId="77777777" w:rsidR="004F5811" w:rsidRPr="003173F9" w:rsidRDefault="004F5811" w:rsidP="00D45548"/>
    <w:tbl>
      <w:tblPr>
        <w:tblStyle w:val="TableGrid1"/>
        <w:tblW w:w="10458" w:type="dxa"/>
        <w:tblLayout w:type="fixed"/>
        <w:tblLook w:val="04A0" w:firstRow="1" w:lastRow="0" w:firstColumn="1" w:lastColumn="0" w:noHBand="0" w:noVBand="1"/>
        <w:tblCaption w:val="State and Federal Report of Certification Denial Decisions for FY2014"/>
      </w:tblPr>
      <w:tblGrid>
        <w:gridCol w:w="936"/>
        <w:gridCol w:w="1782"/>
        <w:gridCol w:w="810"/>
        <w:gridCol w:w="990"/>
        <w:gridCol w:w="1170"/>
        <w:gridCol w:w="1260"/>
        <w:gridCol w:w="1170"/>
        <w:gridCol w:w="1170"/>
        <w:gridCol w:w="1170"/>
      </w:tblGrid>
      <w:tr w:rsidR="00C05CE9" w:rsidRPr="004650E0" w14:paraId="4C3E1C8D" w14:textId="77777777" w:rsidTr="00EF4C42">
        <w:trPr>
          <w:trHeight w:val="418"/>
          <w:tblHeader/>
        </w:trPr>
        <w:tc>
          <w:tcPr>
            <w:tcW w:w="936" w:type="dxa"/>
            <w:noWrap/>
            <w:vAlign w:val="center"/>
            <w:hideMark/>
          </w:tcPr>
          <w:p w14:paraId="16EEFB7F" w14:textId="77777777" w:rsidR="00C05CE9" w:rsidRPr="004650E0" w:rsidRDefault="00C05CE9" w:rsidP="00EF4C42">
            <w:pPr>
              <w:jc w:val="center"/>
            </w:pPr>
          </w:p>
        </w:tc>
        <w:tc>
          <w:tcPr>
            <w:tcW w:w="1782" w:type="dxa"/>
            <w:vAlign w:val="center"/>
            <w:hideMark/>
          </w:tcPr>
          <w:p w14:paraId="6932EECE" w14:textId="77777777" w:rsidR="00C05CE9" w:rsidRPr="003173F9" w:rsidRDefault="00C05CE9" w:rsidP="00EF4C42">
            <w:pPr>
              <w:ind w:hanging="126"/>
              <w:jc w:val="center"/>
            </w:pPr>
            <w:r>
              <w:t>To be Scheduled</w:t>
            </w:r>
            <w:r w:rsidRPr="003173F9">
              <w:br/>
              <w:t>Hearing</w:t>
            </w:r>
          </w:p>
        </w:tc>
        <w:tc>
          <w:tcPr>
            <w:tcW w:w="810" w:type="dxa"/>
            <w:vAlign w:val="center"/>
            <w:hideMark/>
          </w:tcPr>
          <w:p w14:paraId="62005377" w14:textId="77777777" w:rsidR="00C05CE9" w:rsidRPr="003173F9" w:rsidRDefault="00C05CE9" w:rsidP="00EF4C42">
            <w:pPr>
              <w:jc w:val="center"/>
            </w:pPr>
            <w:r>
              <w:t>Re-open</w:t>
            </w:r>
          </w:p>
        </w:tc>
        <w:tc>
          <w:tcPr>
            <w:tcW w:w="990" w:type="dxa"/>
            <w:vAlign w:val="center"/>
            <w:hideMark/>
          </w:tcPr>
          <w:p w14:paraId="418ED505" w14:textId="77777777" w:rsidR="00C05CE9" w:rsidRDefault="00C05CE9" w:rsidP="00EF4C42">
            <w:pPr>
              <w:jc w:val="center"/>
            </w:pPr>
            <w:r>
              <w:t>Hearing</w:t>
            </w:r>
          </w:p>
          <w:p w14:paraId="1F8F0406" w14:textId="77777777" w:rsidR="00C05CE9" w:rsidRPr="003173F9" w:rsidRDefault="00C05CE9" w:rsidP="00EF4C42">
            <w:pPr>
              <w:jc w:val="center"/>
            </w:pPr>
            <w:r>
              <w:t>Held</w:t>
            </w:r>
          </w:p>
        </w:tc>
        <w:tc>
          <w:tcPr>
            <w:tcW w:w="1170" w:type="dxa"/>
            <w:noWrap/>
            <w:vAlign w:val="center"/>
            <w:hideMark/>
          </w:tcPr>
          <w:p w14:paraId="4C9A2089" w14:textId="77777777" w:rsidR="00C05CE9" w:rsidRPr="003173F9" w:rsidRDefault="00C05CE9" w:rsidP="00EF4C42">
            <w:pPr>
              <w:ind w:left="-108" w:hanging="108"/>
              <w:jc w:val="center"/>
            </w:pPr>
            <w:r w:rsidRPr="003173F9">
              <w:t>R</w:t>
            </w:r>
            <w:r>
              <w:t>eversed-Certified</w:t>
            </w:r>
          </w:p>
        </w:tc>
        <w:tc>
          <w:tcPr>
            <w:tcW w:w="1260" w:type="dxa"/>
            <w:vAlign w:val="center"/>
            <w:hideMark/>
          </w:tcPr>
          <w:p w14:paraId="4FDF171D" w14:textId="77777777" w:rsidR="00C05CE9" w:rsidRPr="003173F9" w:rsidRDefault="00C05CE9" w:rsidP="00EF4C42">
            <w:pPr>
              <w:jc w:val="center"/>
            </w:pPr>
            <w:r>
              <w:t>Reversed-Renewal</w:t>
            </w:r>
          </w:p>
        </w:tc>
        <w:tc>
          <w:tcPr>
            <w:tcW w:w="1170" w:type="dxa"/>
            <w:vAlign w:val="center"/>
          </w:tcPr>
          <w:p w14:paraId="3C868A3A" w14:textId="77777777" w:rsidR="00C05CE9" w:rsidRPr="003173F9" w:rsidRDefault="00C05CE9" w:rsidP="00EF4C42">
            <w:pPr>
              <w:ind w:left="-108" w:right="-108"/>
              <w:jc w:val="center"/>
            </w:pPr>
            <w:r>
              <w:t>SAB-Decertified</w:t>
            </w:r>
          </w:p>
        </w:tc>
        <w:tc>
          <w:tcPr>
            <w:tcW w:w="1170" w:type="dxa"/>
            <w:vAlign w:val="center"/>
          </w:tcPr>
          <w:p w14:paraId="1071B2FB" w14:textId="77777777" w:rsidR="00C05CE9" w:rsidRDefault="00C05CE9" w:rsidP="00EF4C42">
            <w:pPr>
              <w:ind w:left="-108"/>
              <w:jc w:val="center"/>
            </w:pPr>
            <w:r>
              <w:t>SAB/UCP</w:t>
            </w:r>
          </w:p>
          <w:p w14:paraId="74EC0DD7" w14:textId="77777777" w:rsidR="00C05CE9" w:rsidRPr="003173F9" w:rsidRDefault="00C05CE9" w:rsidP="00EF4C42">
            <w:pPr>
              <w:jc w:val="center"/>
            </w:pPr>
            <w:r>
              <w:t>Pending</w:t>
            </w:r>
          </w:p>
        </w:tc>
        <w:tc>
          <w:tcPr>
            <w:tcW w:w="1170" w:type="dxa"/>
            <w:vAlign w:val="center"/>
          </w:tcPr>
          <w:p w14:paraId="1EDBD5F6" w14:textId="77777777" w:rsidR="00C05CE9" w:rsidRDefault="00C05CE9" w:rsidP="00EF4C42">
            <w:pPr>
              <w:jc w:val="center"/>
            </w:pPr>
            <w:r>
              <w:t>Remand/</w:t>
            </w:r>
          </w:p>
          <w:p w14:paraId="72AC04B9" w14:textId="77777777" w:rsidR="00C05CE9" w:rsidRPr="003173F9" w:rsidRDefault="00C05CE9" w:rsidP="00EF4C42">
            <w:pPr>
              <w:jc w:val="center"/>
            </w:pPr>
            <w:r>
              <w:t>Renewal</w:t>
            </w:r>
          </w:p>
        </w:tc>
      </w:tr>
      <w:tr w:rsidR="00C05CE9" w:rsidRPr="004650E0" w14:paraId="002CF47A" w14:textId="77777777" w:rsidTr="00EF4C42">
        <w:trPr>
          <w:trHeight w:val="287"/>
        </w:trPr>
        <w:tc>
          <w:tcPr>
            <w:tcW w:w="936" w:type="dxa"/>
            <w:noWrap/>
            <w:vAlign w:val="center"/>
            <w:hideMark/>
          </w:tcPr>
          <w:p w14:paraId="05DA2412" w14:textId="77777777" w:rsidR="00C05CE9" w:rsidRPr="004650E0" w:rsidRDefault="00C05CE9" w:rsidP="00D45548">
            <w:r w:rsidRPr="004650E0">
              <w:t>State</w:t>
            </w:r>
          </w:p>
        </w:tc>
        <w:tc>
          <w:tcPr>
            <w:tcW w:w="1782" w:type="dxa"/>
            <w:noWrap/>
            <w:vAlign w:val="center"/>
            <w:hideMark/>
          </w:tcPr>
          <w:p w14:paraId="1CA667A9" w14:textId="77777777" w:rsidR="00C05CE9" w:rsidRPr="004650E0" w:rsidRDefault="00C05CE9" w:rsidP="00E549AD">
            <w:pPr>
              <w:jc w:val="center"/>
            </w:pPr>
            <w:r>
              <w:t>0</w:t>
            </w:r>
          </w:p>
        </w:tc>
        <w:tc>
          <w:tcPr>
            <w:tcW w:w="810" w:type="dxa"/>
            <w:noWrap/>
            <w:vAlign w:val="center"/>
            <w:hideMark/>
          </w:tcPr>
          <w:p w14:paraId="36E37CD0" w14:textId="77777777" w:rsidR="00C05CE9" w:rsidRPr="004650E0" w:rsidRDefault="00C66118" w:rsidP="00E549AD">
            <w:pPr>
              <w:jc w:val="center"/>
            </w:pPr>
            <w:r>
              <w:t>0</w:t>
            </w:r>
          </w:p>
        </w:tc>
        <w:tc>
          <w:tcPr>
            <w:tcW w:w="990" w:type="dxa"/>
            <w:noWrap/>
            <w:vAlign w:val="center"/>
            <w:hideMark/>
          </w:tcPr>
          <w:p w14:paraId="5037F6CD" w14:textId="77777777" w:rsidR="00C05CE9" w:rsidRPr="004650E0" w:rsidRDefault="00C05CE9" w:rsidP="00E549AD">
            <w:pPr>
              <w:jc w:val="center"/>
            </w:pPr>
            <w:r>
              <w:t>7</w:t>
            </w:r>
          </w:p>
        </w:tc>
        <w:tc>
          <w:tcPr>
            <w:tcW w:w="1170" w:type="dxa"/>
            <w:noWrap/>
            <w:vAlign w:val="center"/>
            <w:hideMark/>
          </w:tcPr>
          <w:p w14:paraId="0E03FC01" w14:textId="77777777" w:rsidR="00C05CE9" w:rsidRPr="004650E0" w:rsidRDefault="00C05CE9" w:rsidP="00E549AD">
            <w:pPr>
              <w:jc w:val="center"/>
            </w:pPr>
            <w:r w:rsidRPr="004650E0">
              <w:t>1</w:t>
            </w:r>
          </w:p>
        </w:tc>
        <w:tc>
          <w:tcPr>
            <w:tcW w:w="1260" w:type="dxa"/>
            <w:noWrap/>
            <w:vAlign w:val="center"/>
            <w:hideMark/>
          </w:tcPr>
          <w:p w14:paraId="49E76A8F" w14:textId="77777777" w:rsidR="00C05CE9" w:rsidRPr="004650E0" w:rsidRDefault="00C05CE9" w:rsidP="00E549AD">
            <w:pPr>
              <w:jc w:val="center"/>
            </w:pPr>
            <w:r>
              <w:t>2</w:t>
            </w:r>
          </w:p>
        </w:tc>
        <w:tc>
          <w:tcPr>
            <w:tcW w:w="1170" w:type="dxa"/>
            <w:vAlign w:val="center"/>
          </w:tcPr>
          <w:p w14:paraId="4DEFD2A1" w14:textId="77777777" w:rsidR="00C05CE9" w:rsidRPr="004650E0" w:rsidRDefault="00C05CE9" w:rsidP="00E549AD">
            <w:pPr>
              <w:jc w:val="center"/>
            </w:pPr>
            <w:r>
              <w:t>1</w:t>
            </w:r>
          </w:p>
        </w:tc>
        <w:tc>
          <w:tcPr>
            <w:tcW w:w="1170" w:type="dxa"/>
            <w:vAlign w:val="center"/>
          </w:tcPr>
          <w:p w14:paraId="04704CCC" w14:textId="77777777" w:rsidR="00C05CE9" w:rsidRPr="004650E0" w:rsidRDefault="00C66118" w:rsidP="00E549AD">
            <w:pPr>
              <w:jc w:val="center"/>
            </w:pPr>
            <w:r>
              <w:t>3</w:t>
            </w:r>
          </w:p>
        </w:tc>
        <w:tc>
          <w:tcPr>
            <w:tcW w:w="1170" w:type="dxa"/>
            <w:vAlign w:val="center"/>
          </w:tcPr>
          <w:p w14:paraId="633EED92" w14:textId="77777777" w:rsidR="00C05CE9" w:rsidRPr="004650E0" w:rsidRDefault="00C66118" w:rsidP="00E549AD">
            <w:pPr>
              <w:jc w:val="center"/>
            </w:pPr>
            <w:r>
              <w:t>0</w:t>
            </w:r>
          </w:p>
        </w:tc>
      </w:tr>
      <w:tr w:rsidR="00C05CE9" w:rsidRPr="004650E0" w14:paraId="03D37456" w14:textId="77777777" w:rsidTr="00EF4C42">
        <w:trPr>
          <w:trHeight w:val="350"/>
        </w:trPr>
        <w:tc>
          <w:tcPr>
            <w:tcW w:w="936" w:type="dxa"/>
            <w:noWrap/>
            <w:vAlign w:val="center"/>
            <w:hideMark/>
          </w:tcPr>
          <w:p w14:paraId="57AB9827" w14:textId="77777777" w:rsidR="00C05CE9" w:rsidRPr="004650E0" w:rsidRDefault="00C05CE9" w:rsidP="00D45548">
            <w:r w:rsidRPr="004650E0">
              <w:t>Federal</w:t>
            </w:r>
          </w:p>
        </w:tc>
        <w:tc>
          <w:tcPr>
            <w:tcW w:w="1782" w:type="dxa"/>
            <w:noWrap/>
            <w:vAlign w:val="center"/>
            <w:hideMark/>
          </w:tcPr>
          <w:p w14:paraId="6CF8F3F9" w14:textId="77777777" w:rsidR="00C05CE9" w:rsidRPr="004650E0" w:rsidRDefault="00C05CE9" w:rsidP="00E549AD">
            <w:pPr>
              <w:jc w:val="center"/>
            </w:pPr>
            <w:r>
              <w:t>6</w:t>
            </w:r>
          </w:p>
        </w:tc>
        <w:tc>
          <w:tcPr>
            <w:tcW w:w="810" w:type="dxa"/>
            <w:noWrap/>
            <w:vAlign w:val="center"/>
            <w:hideMark/>
          </w:tcPr>
          <w:p w14:paraId="25B47D96" w14:textId="77777777" w:rsidR="00C05CE9" w:rsidRPr="004650E0" w:rsidRDefault="00C05CE9" w:rsidP="00E549AD">
            <w:pPr>
              <w:jc w:val="center"/>
            </w:pPr>
            <w:r>
              <w:t>1</w:t>
            </w:r>
          </w:p>
        </w:tc>
        <w:tc>
          <w:tcPr>
            <w:tcW w:w="990" w:type="dxa"/>
            <w:noWrap/>
            <w:vAlign w:val="center"/>
            <w:hideMark/>
          </w:tcPr>
          <w:p w14:paraId="1842AD26" w14:textId="77777777" w:rsidR="00C05CE9" w:rsidRPr="004650E0" w:rsidRDefault="00C05CE9" w:rsidP="00E549AD">
            <w:pPr>
              <w:jc w:val="center"/>
            </w:pPr>
            <w:r>
              <w:t>1</w:t>
            </w:r>
          </w:p>
        </w:tc>
        <w:tc>
          <w:tcPr>
            <w:tcW w:w="1170" w:type="dxa"/>
            <w:noWrap/>
            <w:vAlign w:val="center"/>
            <w:hideMark/>
          </w:tcPr>
          <w:p w14:paraId="50F9537C" w14:textId="77777777" w:rsidR="00C05CE9" w:rsidRPr="004650E0" w:rsidRDefault="00C05CE9" w:rsidP="00E549AD">
            <w:pPr>
              <w:jc w:val="center"/>
            </w:pPr>
            <w:r w:rsidRPr="004650E0">
              <w:t>0</w:t>
            </w:r>
          </w:p>
        </w:tc>
        <w:tc>
          <w:tcPr>
            <w:tcW w:w="1260" w:type="dxa"/>
            <w:noWrap/>
            <w:vAlign w:val="center"/>
            <w:hideMark/>
          </w:tcPr>
          <w:p w14:paraId="08049D3C" w14:textId="77777777" w:rsidR="00C05CE9" w:rsidRPr="004650E0" w:rsidRDefault="00C05CE9" w:rsidP="00E549AD">
            <w:pPr>
              <w:jc w:val="center"/>
            </w:pPr>
            <w:r>
              <w:t>1</w:t>
            </w:r>
          </w:p>
        </w:tc>
        <w:tc>
          <w:tcPr>
            <w:tcW w:w="1170" w:type="dxa"/>
            <w:vAlign w:val="center"/>
          </w:tcPr>
          <w:p w14:paraId="3410AA77" w14:textId="77777777" w:rsidR="00C05CE9" w:rsidRPr="004650E0" w:rsidRDefault="00C05CE9" w:rsidP="00E549AD">
            <w:pPr>
              <w:jc w:val="center"/>
            </w:pPr>
            <w:r>
              <w:t>0</w:t>
            </w:r>
          </w:p>
        </w:tc>
        <w:tc>
          <w:tcPr>
            <w:tcW w:w="1170" w:type="dxa"/>
            <w:vAlign w:val="center"/>
          </w:tcPr>
          <w:p w14:paraId="7E685C63" w14:textId="77777777" w:rsidR="00C05CE9" w:rsidRPr="004650E0" w:rsidRDefault="00C05CE9" w:rsidP="00E549AD">
            <w:pPr>
              <w:jc w:val="center"/>
            </w:pPr>
            <w:r>
              <w:t>0</w:t>
            </w:r>
          </w:p>
        </w:tc>
        <w:tc>
          <w:tcPr>
            <w:tcW w:w="1170" w:type="dxa"/>
            <w:vAlign w:val="center"/>
          </w:tcPr>
          <w:p w14:paraId="04AD34E9" w14:textId="77777777" w:rsidR="00C05CE9" w:rsidRPr="004650E0" w:rsidRDefault="00C66118" w:rsidP="00E549AD">
            <w:pPr>
              <w:jc w:val="center"/>
            </w:pPr>
            <w:r>
              <w:t>1</w:t>
            </w:r>
          </w:p>
        </w:tc>
      </w:tr>
      <w:tr w:rsidR="00C05CE9" w:rsidRPr="004650E0" w14:paraId="78413CA1" w14:textId="77777777" w:rsidTr="00EF4C42">
        <w:trPr>
          <w:trHeight w:val="260"/>
        </w:trPr>
        <w:tc>
          <w:tcPr>
            <w:tcW w:w="936" w:type="dxa"/>
            <w:noWrap/>
            <w:vAlign w:val="center"/>
            <w:hideMark/>
          </w:tcPr>
          <w:p w14:paraId="6222C8BA" w14:textId="77777777" w:rsidR="00C05CE9" w:rsidRPr="004650E0" w:rsidRDefault="00C05CE9" w:rsidP="00D45548">
            <w:r w:rsidRPr="004650E0">
              <w:t>Total</w:t>
            </w:r>
          </w:p>
        </w:tc>
        <w:tc>
          <w:tcPr>
            <w:tcW w:w="1782" w:type="dxa"/>
            <w:noWrap/>
            <w:vAlign w:val="center"/>
            <w:hideMark/>
          </w:tcPr>
          <w:p w14:paraId="6B7B7E54" w14:textId="77777777" w:rsidR="00C05CE9" w:rsidRPr="004650E0" w:rsidRDefault="00C05CE9" w:rsidP="00E549AD">
            <w:pPr>
              <w:jc w:val="center"/>
            </w:pPr>
            <w:r>
              <w:t>6</w:t>
            </w:r>
          </w:p>
        </w:tc>
        <w:tc>
          <w:tcPr>
            <w:tcW w:w="810" w:type="dxa"/>
            <w:noWrap/>
            <w:vAlign w:val="center"/>
            <w:hideMark/>
          </w:tcPr>
          <w:p w14:paraId="7BAA58E5" w14:textId="77777777" w:rsidR="00C05CE9" w:rsidRPr="004650E0" w:rsidRDefault="00C66118" w:rsidP="00E549AD">
            <w:pPr>
              <w:jc w:val="center"/>
            </w:pPr>
            <w:r>
              <w:t>1</w:t>
            </w:r>
          </w:p>
        </w:tc>
        <w:tc>
          <w:tcPr>
            <w:tcW w:w="990" w:type="dxa"/>
            <w:noWrap/>
            <w:vAlign w:val="center"/>
            <w:hideMark/>
          </w:tcPr>
          <w:p w14:paraId="5121371C" w14:textId="77777777" w:rsidR="00C05CE9" w:rsidRPr="004650E0" w:rsidRDefault="00C05CE9" w:rsidP="00E549AD">
            <w:pPr>
              <w:jc w:val="center"/>
            </w:pPr>
            <w:r>
              <w:t>8</w:t>
            </w:r>
          </w:p>
        </w:tc>
        <w:tc>
          <w:tcPr>
            <w:tcW w:w="1170" w:type="dxa"/>
            <w:noWrap/>
            <w:vAlign w:val="center"/>
            <w:hideMark/>
          </w:tcPr>
          <w:p w14:paraId="024C18FF" w14:textId="77777777" w:rsidR="00C05CE9" w:rsidRPr="004650E0" w:rsidRDefault="00C05CE9" w:rsidP="00E549AD">
            <w:pPr>
              <w:jc w:val="center"/>
            </w:pPr>
            <w:r w:rsidRPr="004650E0">
              <w:t>1</w:t>
            </w:r>
          </w:p>
        </w:tc>
        <w:tc>
          <w:tcPr>
            <w:tcW w:w="1260" w:type="dxa"/>
            <w:noWrap/>
            <w:vAlign w:val="center"/>
            <w:hideMark/>
          </w:tcPr>
          <w:p w14:paraId="3C67B0B9" w14:textId="77777777" w:rsidR="00C05CE9" w:rsidRPr="004650E0" w:rsidRDefault="00C05CE9" w:rsidP="00E549AD">
            <w:pPr>
              <w:jc w:val="center"/>
            </w:pPr>
            <w:r>
              <w:t>3</w:t>
            </w:r>
          </w:p>
        </w:tc>
        <w:tc>
          <w:tcPr>
            <w:tcW w:w="1170" w:type="dxa"/>
            <w:vAlign w:val="center"/>
          </w:tcPr>
          <w:p w14:paraId="70F38AFD" w14:textId="77777777" w:rsidR="00C05CE9" w:rsidRPr="004650E0" w:rsidRDefault="00C05CE9" w:rsidP="00E549AD">
            <w:pPr>
              <w:jc w:val="center"/>
            </w:pPr>
            <w:r>
              <w:t>1</w:t>
            </w:r>
          </w:p>
        </w:tc>
        <w:tc>
          <w:tcPr>
            <w:tcW w:w="1170" w:type="dxa"/>
            <w:vAlign w:val="center"/>
          </w:tcPr>
          <w:p w14:paraId="4A27FE53" w14:textId="77777777" w:rsidR="00C05CE9" w:rsidRPr="004650E0" w:rsidRDefault="00C66118" w:rsidP="00E549AD">
            <w:pPr>
              <w:jc w:val="center"/>
            </w:pPr>
            <w:r>
              <w:t>3</w:t>
            </w:r>
          </w:p>
        </w:tc>
        <w:tc>
          <w:tcPr>
            <w:tcW w:w="1170" w:type="dxa"/>
            <w:vAlign w:val="center"/>
          </w:tcPr>
          <w:p w14:paraId="7B549E13" w14:textId="77777777" w:rsidR="00C05CE9" w:rsidRPr="004650E0" w:rsidRDefault="00C05CE9" w:rsidP="00E549AD">
            <w:pPr>
              <w:jc w:val="center"/>
            </w:pPr>
            <w:r>
              <w:t>1</w:t>
            </w:r>
          </w:p>
        </w:tc>
      </w:tr>
    </w:tbl>
    <w:p w14:paraId="79BFE4E5" w14:textId="77777777" w:rsidR="00866A40" w:rsidRDefault="00866A40">
      <w:pPr>
        <w:rPr>
          <w:rFonts w:eastAsia="Times New Roman"/>
          <w:sz w:val="28"/>
          <w:szCs w:val="28"/>
        </w:rPr>
      </w:pPr>
    </w:p>
    <w:p w14:paraId="51BD217F" w14:textId="77777777" w:rsidR="00977E30" w:rsidRPr="009857BB" w:rsidRDefault="00977E30" w:rsidP="00352A9A">
      <w:pPr>
        <w:pStyle w:val="Heading1"/>
        <w:spacing w:line="276" w:lineRule="auto"/>
      </w:pPr>
      <w:bookmarkStart w:id="10" w:name="_Toc405372674"/>
      <w:r w:rsidRPr="009857BB">
        <w:t>SUPPLIER DIVERSITY PROGRAM</w:t>
      </w:r>
      <w:r w:rsidR="000C3B4A" w:rsidRPr="009857BB">
        <w:t xml:space="preserve"> (SDP)</w:t>
      </w:r>
      <w:bookmarkEnd w:id="10"/>
    </w:p>
    <w:p w14:paraId="5FBAEC29" w14:textId="77777777" w:rsidR="005736EE" w:rsidRDefault="00945959" w:rsidP="00ED0952">
      <w:pPr>
        <w:jc w:val="both"/>
      </w:pPr>
      <w:r w:rsidRPr="00EC1CE5">
        <w:t>The Supplier Diversity Program (SDP) was established through Executive Order 524 to promote supplier diversity in public contracting</w:t>
      </w:r>
      <w:r w:rsidR="00CC5D8E">
        <w:t xml:space="preserve"> for Goods and Services</w:t>
      </w:r>
      <w:r w:rsidR="007C6321" w:rsidRPr="00EC1CE5">
        <w:t xml:space="preserve">.  </w:t>
      </w:r>
      <w:r w:rsidRPr="00EC1CE5">
        <w:t xml:space="preserve">The SDP is housed </w:t>
      </w:r>
      <w:r w:rsidR="009770AB" w:rsidRPr="00EC1CE5">
        <w:t>within</w:t>
      </w:r>
      <w:r w:rsidRPr="00EC1CE5">
        <w:t xml:space="preserve"> the Massachusetts Supplier Diversity Office (SDO) within the Operational Services Division</w:t>
      </w:r>
      <w:r w:rsidR="00227156" w:rsidRPr="00EC1CE5">
        <w:t xml:space="preserve"> (OSD)</w:t>
      </w:r>
      <w:r w:rsidR="007C6321" w:rsidRPr="00EC1CE5">
        <w:t xml:space="preserve">.  </w:t>
      </w:r>
      <w:r w:rsidRPr="00EC1CE5">
        <w:t>The program institutes policies to encourage the award of state contracts in a manner that develops and strengthens certified Minority and Women Business Enterprises (M/WBEs)</w:t>
      </w:r>
      <w:r w:rsidR="007C6321" w:rsidRPr="00EC1CE5">
        <w:t xml:space="preserve">.  </w:t>
      </w:r>
      <w:r w:rsidRPr="00EC1CE5">
        <w:t xml:space="preserve">Our mission is to increase </w:t>
      </w:r>
      <w:r w:rsidR="00CC5D8E">
        <w:t xml:space="preserve">access to </w:t>
      </w:r>
      <w:r w:rsidRPr="00EC1CE5">
        <w:t>business opportunities for M/WBEs.</w:t>
      </w:r>
      <w:r w:rsidR="00227156" w:rsidRPr="00EC1CE5">
        <w:t xml:space="preserve"> </w:t>
      </w:r>
    </w:p>
    <w:p w14:paraId="2102D7BC" w14:textId="77777777" w:rsidR="004D7C16" w:rsidRDefault="004D7C16" w:rsidP="00352A9A">
      <w:pPr>
        <w:jc w:val="both"/>
      </w:pPr>
      <w:r w:rsidRPr="00FD463D">
        <w:t xml:space="preserve">In </w:t>
      </w:r>
      <w:r w:rsidR="00FB6CC3" w:rsidRPr="00FD463D">
        <w:t>FY201</w:t>
      </w:r>
      <w:r w:rsidR="00856BBB">
        <w:t>4</w:t>
      </w:r>
      <w:r w:rsidRPr="00FD463D">
        <w:t xml:space="preserve">, </w:t>
      </w:r>
      <w:r w:rsidR="0087715E" w:rsidRPr="00FD463D">
        <w:t xml:space="preserve">state </w:t>
      </w:r>
      <w:r w:rsidRPr="00FD463D">
        <w:t>expenditures</w:t>
      </w:r>
      <w:r w:rsidR="00E55C22" w:rsidRPr="00FD463D">
        <w:t xml:space="preserve"> in goods and services totaled</w:t>
      </w:r>
      <w:r w:rsidR="005337D0" w:rsidRPr="00FD463D">
        <w:t xml:space="preserve"> </w:t>
      </w:r>
      <w:r w:rsidR="00856BBB" w:rsidRPr="00FD463D">
        <w:t>$</w:t>
      </w:r>
      <w:r w:rsidR="00856BBB">
        <w:t>821,968,966</w:t>
      </w:r>
      <w:r w:rsidR="00427FC3" w:rsidRPr="00FD463D">
        <w:t xml:space="preserve">; </w:t>
      </w:r>
      <w:r w:rsidR="0087715E" w:rsidRPr="00FD463D">
        <w:t xml:space="preserve">this represents an overall annual </w:t>
      </w:r>
      <w:r w:rsidR="00877B01">
        <w:t>in</w:t>
      </w:r>
      <w:r w:rsidR="00E55C22" w:rsidRPr="00FD463D">
        <w:t>crease of</w:t>
      </w:r>
      <w:r w:rsidRPr="00FD463D">
        <w:t xml:space="preserve"> $</w:t>
      </w:r>
      <w:r w:rsidR="00856BBB">
        <w:t xml:space="preserve">38,622,224 </w:t>
      </w:r>
      <w:r w:rsidR="00E55C22" w:rsidRPr="00FD463D">
        <w:t>or</w:t>
      </w:r>
      <w:r w:rsidR="00742FE5" w:rsidRPr="00FD463D">
        <w:t xml:space="preserve"> </w:t>
      </w:r>
      <w:r w:rsidR="00E55C22" w:rsidRPr="00FD463D">
        <w:t>5</w:t>
      </w:r>
      <w:r w:rsidR="00C54B96" w:rsidRPr="00FD463D">
        <w:t xml:space="preserve">% </w:t>
      </w:r>
      <w:r w:rsidR="00E55C22" w:rsidRPr="00FD463D">
        <w:t>from</w:t>
      </w:r>
      <w:r w:rsidRPr="00FD463D">
        <w:t xml:space="preserve"> FY201</w:t>
      </w:r>
      <w:r w:rsidR="00856BBB">
        <w:t>3</w:t>
      </w:r>
      <w:r w:rsidRPr="00FD463D">
        <w:t>.</w:t>
      </w:r>
      <w:r w:rsidR="008C434C" w:rsidRPr="00FD463D">
        <w:t xml:space="preserve"> </w:t>
      </w:r>
      <w:r w:rsidR="00422E95">
        <w:t>(See Appendix G)</w:t>
      </w:r>
    </w:p>
    <w:tbl>
      <w:tblPr>
        <w:tblStyle w:val="TableGrid1"/>
        <w:tblW w:w="7758" w:type="dxa"/>
        <w:tblLook w:val="04A0" w:firstRow="1" w:lastRow="0" w:firstColumn="1" w:lastColumn="0" w:noHBand="0" w:noVBand="1"/>
        <w:tblCaption w:val="this represents an overall annual decrease of $38,846,608 or 5 % from FY2012"/>
      </w:tblPr>
      <w:tblGrid>
        <w:gridCol w:w="870"/>
        <w:gridCol w:w="1668"/>
        <w:gridCol w:w="1710"/>
        <w:gridCol w:w="1620"/>
        <w:gridCol w:w="1890"/>
      </w:tblGrid>
      <w:tr w:rsidR="00E365D5" w:rsidRPr="003173F9" w14:paraId="6F20EA45" w14:textId="77777777" w:rsidTr="00686FFC">
        <w:trPr>
          <w:trHeight w:val="350"/>
          <w:tblHeader/>
        </w:trPr>
        <w:tc>
          <w:tcPr>
            <w:tcW w:w="870" w:type="dxa"/>
          </w:tcPr>
          <w:p w14:paraId="051AFDEC" w14:textId="77777777" w:rsidR="00E365D5" w:rsidRPr="003173F9" w:rsidRDefault="00E365D5" w:rsidP="00D45548">
            <w:r w:rsidRPr="003173F9">
              <w:t> </w:t>
            </w:r>
          </w:p>
        </w:tc>
        <w:tc>
          <w:tcPr>
            <w:tcW w:w="1668" w:type="dxa"/>
            <w:vAlign w:val="center"/>
            <w:hideMark/>
          </w:tcPr>
          <w:p w14:paraId="778C0A2B" w14:textId="77777777" w:rsidR="00E365D5" w:rsidRPr="00EB2A34" w:rsidRDefault="00E365D5" w:rsidP="00A2005D">
            <w:pPr>
              <w:jc w:val="center"/>
              <w:rPr>
                <w:rFonts w:eastAsia="Times New Roman"/>
                <w:bCs/>
              </w:rPr>
            </w:pPr>
            <w:r w:rsidRPr="00EB2A34">
              <w:t>FY2012</w:t>
            </w:r>
          </w:p>
        </w:tc>
        <w:tc>
          <w:tcPr>
            <w:tcW w:w="1710" w:type="dxa"/>
            <w:vAlign w:val="center"/>
            <w:hideMark/>
          </w:tcPr>
          <w:p w14:paraId="526EFFBE" w14:textId="77777777" w:rsidR="00E365D5" w:rsidRPr="00EB2A34" w:rsidRDefault="00E365D5" w:rsidP="00A2005D">
            <w:pPr>
              <w:jc w:val="center"/>
              <w:rPr>
                <w:rFonts w:eastAsia="Times New Roman"/>
                <w:bCs/>
              </w:rPr>
            </w:pPr>
            <w:r w:rsidRPr="00EB2A34">
              <w:t>FY2013</w:t>
            </w:r>
          </w:p>
        </w:tc>
        <w:tc>
          <w:tcPr>
            <w:tcW w:w="1620" w:type="dxa"/>
            <w:vAlign w:val="center"/>
          </w:tcPr>
          <w:p w14:paraId="0755FA10" w14:textId="77777777" w:rsidR="00E365D5" w:rsidRPr="00E365D5" w:rsidRDefault="00E365D5" w:rsidP="00A2005D">
            <w:pPr>
              <w:jc w:val="center"/>
              <w:rPr>
                <w:color w:val="000000" w:themeColor="text1"/>
              </w:rPr>
            </w:pPr>
            <w:r w:rsidRPr="00E365D5">
              <w:rPr>
                <w:color w:val="000000" w:themeColor="text1"/>
              </w:rPr>
              <w:t>FY2014</w:t>
            </w:r>
          </w:p>
        </w:tc>
        <w:tc>
          <w:tcPr>
            <w:tcW w:w="1890" w:type="dxa"/>
            <w:vAlign w:val="center"/>
            <w:hideMark/>
          </w:tcPr>
          <w:p w14:paraId="0866E9B8" w14:textId="77777777" w:rsidR="00E365D5" w:rsidRPr="00E365D5" w:rsidRDefault="00E365D5" w:rsidP="00A2005D">
            <w:pPr>
              <w:jc w:val="center"/>
              <w:rPr>
                <w:rFonts w:eastAsia="Times New Roman"/>
                <w:bCs/>
              </w:rPr>
            </w:pPr>
            <w:r w:rsidRPr="00E365D5">
              <w:t>FY2014 Increase from FY2013</w:t>
            </w:r>
          </w:p>
        </w:tc>
      </w:tr>
      <w:tr w:rsidR="00E365D5" w:rsidRPr="004650E0" w14:paraId="23B42118" w14:textId="77777777" w:rsidTr="00686FFC">
        <w:trPr>
          <w:trHeight w:val="314"/>
        </w:trPr>
        <w:tc>
          <w:tcPr>
            <w:tcW w:w="870" w:type="dxa"/>
          </w:tcPr>
          <w:p w14:paraId="5CC83C45" w14:textId="77777777" w:rsidR="00E365D5" w:rsidRPr="004650E0" w:rsidRDefault="00E365D5" w:rsidP="00D45548">
            <w:r>
              <w:t>MBE</w:t>
            </w:r>
          </w:p>
        </w:tc>
        <w:tc>
          <w:tcPr>
            <w:tcW w:w="1668" w:type="dxa"/>
            <w:noWrap/>
            <w:hideMark/>
          </w:tcPr>
          <w:p w14:paraId="08BD0FCB" w14:textId="77777777" w:rsidR="00E365D5" w:rsidRPr="004650E0" w:rsidRDefault="00E365D5" w:rsidP="00EB5799">
            <w:pPr>
              <w:jc w:val="right"/>
            </w:pPr>
            <w:r>
              <w:t>$243,338,712</w:t>
            </w:r>
          </w:p>
        </w:tc>
        <w:tc>
          <w:tcPr>
            <w:tcW w:w="1710" w:type="dxa"/>
            <w:noWrap/>
            <w:hideMark/>
          </w:tcPr>
          <w:p w14:paraId="5813815D" w14:textId="77777777" w:rsidR="00E365D5" w:rsidRPr="004650E0" w:rsidRDefault="00E365D5" w:rsidP="00EB5799">
            <w:pPr>
              <w:jc w:val="right"/>
            </w:pPr>
            <w:r>
              <w:t>$229,169,152</w:t>
            </w:r>
          </w:p>
        </w:tc>
        <w:tc>
          <w:tcPr>
            <w:tcW w:w="1620" w:type="dxa"/>
          </w:tcPr>
          <w:p w14:paraId="7F56A379" w14:textId="77777777" w:rsidR="00E365D5" w:rsidRPr="00E365D5" w:rsidRDefault="00E365D5" w:rsidP="00E365D5">
            <w:pPr>
              <w:jc w:val="right"/>
              <w:rPr>
                <w:bCs/>
              </w:rPr>
            </w:pPr>
            <w:r w:rsidRPr="00E365D5">
              <w:rPr>
                <w:bCs/>
              </w:rPr>
              <w:t>$247,150,817</w:t>
            </w:r>
          </w:p>
        </w:tc>
        <w:tc>
          <w:tcPr>
            <w:tcW w:w="1890" w:type="dxa"/>
            <w:noWrap/>
            <w:hideMark/>
          </w:tcPr>
          <w:p w14:paraId="39CA5F3B" w14:textId="77777777" w:rsidR="00E365D5" w:rsidRPr="00E365D5" w:rsidRDefault="00E365D5" w:rsidP="00EB5799">
            <w:pPr>
              <w:jc w:val="right"/>
            </w:pPr>
            <w:r w:rsidRPr="00E365D5">
              <w:rPr>
                <w:bCs/>
              </w:rPr>
              <w:t>$17,981,665</w:t>
            </w:r>
          </w:p>
        </w:tc>
      </w:tr>
      <w:tr w:rsidR="00E365D5" w:rsidRPr="004650E0" w14:paraId="703AA7C0" w14:textId="77777777" w:rsidTr="00686FFC">
        <w:trPr>
          <w:trHeight w:val="372"/>
        </w:trPr>
        <w:tc>
          <w:tcPr>
            <w:tcW w:w="870" w:type="dxa"/>
          </w:tcPr>
          <w:p w14:paraId="50665435" w14:textId="77777777" w:rsidR="00E365D5" w:rsidRPr="004650E0" w:rsidRDefault="00E365D5" w:rsidP="00D45548">
            <w:r>
              <w:t>WBE</w:t>
            </w:r>
          </w:p>
        </w:tc>
        <w:tc>
          <w:tcPr>
            <w:tcW w:w="1668" w:type="dxa"/>
            <w:noWrap/>
            <w:hideMark/>
          </w:tcPr>
          <w:p w14:paraId="00B961D4" w14:textId="77777777" w:rsidR="00E365D5" w:rsidRPr="004650E0" w:rsidRDefault="00E365D5" w:rsidP="00EB5799">
            <w:pPr>
              <w:jc w:val="right"/>
            </w:pPr>
            <w:r>
              <w:t>$578,854,638</w:t>
            </w:r>
          </w:p>
        </w:tc>
        <w:tc>
          <w:tcPr>
            <w:tcW w:w="1710" w:type="dxa"/>
            <w:noWrap/>
            <w:hideMark/>
          </w:tcPr>
          <w:p w14:paraId="62EABD0F" w14:textId="77777777" w:rsidR="00E365D5" w:rsidRPr="004650E0" w:rsidRDefault="00E365D5" w:rsidP="00EB5799">
            <w:pPr>
              <w:jc w:val="right"/>
            </w:pPr>
            <w:r>
              <w:t>$554,177,590</w:t>
            </w:r>
          </w:p>
        </w:tc>
        <w:tc>
          <w:tcPr>
            <w:tcW w:w="1620" w:type="dxa"/>
          </w:tcPr>
          <w:p w14:paraId="6263C762" w14:textId="77777777" w:rsidR="00E365D5" w:rsidRPr="00E365D5" w:rsidRDefault="00E365D5" w:rsidP="00E365D5">
            <w:pPr>
              <w:jc w:val="right"/>
              <w:rPr>
                <w:bCs/>
                <w:color w:val="000000"/>
              </w:rPr>
            </w:pPr>
            <w:r w:rsidRPr="00E365D5">
              <w:rPr>
                <w:bCs/>
                <w:color w:val="000000"/>
              </w:rPr>
              <w:t>$574,818,148</w:t>
            </w:r>
          </w:p>
        </w:tc>
        <w:tc>
          <w:tcPr>
            <w:tcW w:w="1890" w:type="dxa"/>
            <w:noWrap/>
            <w:hideMark/>
          </w:tcPr>
          <w:p w14:paraId="28E4E53A" w14:textId="77777777" w:rsidR="00E365D5" w:rsidRPr="00E365D5" w:rsidRDefault="00E365D5" w:rsidP="00EB5799">
            <w:pPr>
              <w:jc w:val="right"/>
            </w:pPr>
            <w:r w:rsidRPr="00E365D5">
              <w:rPr>
                <w:bCs/>
                <w:color w:val="000000"/>
              </w:rPr>
              <w:t>$20,640,558</w:t>
            </w:r>
          </w:p>
        </w:tc>
      </w:tr>
    </w:tbl>
    <w:p w14:paraId="15426E1C" w14:textId="77777777" w:rsidR="00427FC3" w:rsidRPr="00EC1CE5" w:rsidRDefault="00427FC3" w:rsidP="00D45548"/>
    <w:p w14:paraId="3086D74E" w14:textId="77777777" w:rsidR="00C0192D" w:rsidRPr="00EC1CE5" w:rsidRDefault="00C0192D" w:rsidP="00D45548">
      <w:r w:rsidRPr="00EC1CE5">
        <w:t>The program’s total spending</w:t>
      </w:r>
      <w:r w:rsidR="00FE2B6B" w:rsidRPr="00EC1CE5">
        <w:t>, along with spending in the Small Business Purchasing Program (SBPP),</w:t>
      </w:r>
      <w:r w:rsidRPr="00EC1CE5">
        <w:t xml:space="preserve"> was tracked and reported on a quarterly basis</w:t>
      </w:r>
      <w:r w:rsidR="00FE2B6B" w:rsidRPr="00EC1CE5">
        <w:t xml:space="preserve"> as illustrated in the graph below</w:t>
      </w:r>
      <w:r w:rsidR="00F05DF8">
        <w:t xml:space="preserve">.  More detail about the </w:t>
      </w:r>
      <w:r w:rsidR="00CC5D8E">
        <w:t xml:space="preserve">SBPP participants </w:t>
      </w:r>
      <w:r w:rsidR="00F05DF8">
        <w:t xml:space="preserve">can be found </w:t>
      </w:r>
      <w:r w:rsidR="00CC5D8E">
        <w:t xml:space="preserve">in </w:t>
      </w:r>
      <w:r w:rsidR="00B170F0">
        <w:t>the next</w:t>
      </w:r>
      <w:r w:rsidR="00CC5D8E">
        <w:t xml:space="preserve"> section </w:t>
      </w:r>
      <w:r w:rsidR="00B170F0">
        <w:t>of this</w:t>
      </w:r>
      <w:r w:rsidR="00CC5D8E">
        <w:t xml:space="preserve"> Annual Report.</w:t>
      </w:r>
      <w:r w:rsidRPr="00EC1CE5">
        <w:t xml:space="preserve">  </w:t>
      </w:r>
    </w:p>
    <w:p w14:paraId="3FFE887A" w14:textId="77777777" w:rsidR="0084040F" w:rsidRDefault="0084040F" w:rsidP="00D45548">
      <w:r>
        <w:rPr>
          <w:noProof/>
          <w:lang w:val="en-US"/>
        </w:rPr>
        <w:drawing>
          <wp:inline distT="0" distB="0" distL="0" distR="0" wp14:anchorId="27AEFC67" wp14:editId="7F15B81B">
            <wp:extent cx="5943600" cy="2495550"/>
            <wp:effectExtent l="0" t="0" r="19050" b="19050"/>
            <wp:docPr id="1" name="Chart 1" descr="fy14 $821,968,966&#10;FY13 $783,346,742&#10;FY12 $822,193,350&#10;FY11 $768,029,358&#10;FY10 $757,117,964&#10;FY09 $583,508,843&#10;FY08 $548,937,703&#10;FY07 $488,672,661&#10;FY06 $426,256,135&#10;FY05 $391,672,667&#10;FY04 $367,725,700" title="Combined M/WBE goods &amp; Services Spend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2C6928E" w14:textId="77777777" w:rsidR="004F44F3" w:rsidRDefault="00945959" w:rsidP="009E236C">
      <w:pPr>
        <w:jc w:val="both"/>
      </w:pPr>
      <w:r w:rsidRPr="00EC1CE5">
        <w:t>All contractors interested in doing business with the State are strongly encouraged to develop creative initiatives to help foster business relationships with certified M</w:t>
      </w:r>
      <w:r w:rsidR="00366949" w:rsidRPr="00EC1CE5">
        <w:t xml:space="preserve">BEs and </w:t>
      </w:r>
      <w:r w:rsidRPr="00EC1CE5">
        <w:t>WBEs in the public marketplace</w:t>
      </w:r>
      <w:r w:rsidR="00F05DF8">
        <w:t xml:space="preserve"> as well as to bid as a prime vendor on statewide and department contracts.</w:t>
      </w:r>
      <w:r w:rsidR="007C6321" w:rsidRPr="00EC1CE5">
        <w:t xml:space="preserve">  </w:t>
      </w:r>
      <w:r w:rsidRPr="00EC1CE5">
        <w:t>A vendor’s certification status serves as a marketing tool and is valuable in the contracting process for all</w:t>
      </w:r>
      <w:r w:rsidR="007C6321" w:rsidRPr="00EC1CE5">
        <w:t xml:space="preserve">.  </w:t>
      </w:r>
      <w:r w:rsidRPr="00EC1CE5">
        <w:t xml:space="preserve">The SDP provides ongoing training and marketing opportunities for certified Minority and Women-Owned </w:t>
      </w:r>
      <w:r w:rsidR="00C93F4E">
        <w:t xml:space="preserve">Business </w:t>
      </w:r>
      <w:r w:rsidRPr="00EC1CE5">
        <w:t>Enterprises</w:t>
      </w:r>
      <w:r w:rsidR="005A74C6">
        <w:t xml:space="preserve">. </w:t>
      </w:r>
    </w:p>
    <w:p w14:paraId="36F10A15" w14:textId="77777777" w:rsidR="00F05DF8" w:rsidRPr="00EC3876" w:rsidRDefault="00F05DF8" w:rsidP="009E236C">
      <w:pPr>
        <w:jc w:val="both"/>
      </w:pPr>
      <w:r w:rsidRPr="00EC3876">
        <w:lastRenderedPageBreak/>
        <w:t xml:space="preserve">Vendors who wish to bid as a prime vendor on a statewide or departmental contract should keep their business best informed about current and upcoming opportunities by creating or updating their free account on </w:t>
      </w:r>
      <w:r w:rsidR="00FD463D">
        <w:t>COMMBUYS</w:t>
      </w:r>
      <w:r w:rsidRPr="00EC3876">
        <w:t>, the Commonwealth’s current e-procurement system.  All vendors</w:t>
      </w:r>
      <w:r w:rsidR="00536051">
        <w:t xml:space="preserve"> </w:t>
      </w:r>
      <w:r w:rsidRPr="00EC3876">
        <w:t xml:space="preserve">may do so at: </w:t>
      </w:r>
      <w:hyperlink r:id="rId23" w:tooltip="www.COMMBUYS.com" w:history="1">
        <w:r w:rsidR="00686FFC">
          <w:rPr>
            <w:rStyle w:val="Hyperlink"/>
            <w:bCs/>
          </w:rPr>
          <w:t>www.COMMBUYS.com</w:t>
        </w:r>
      </w:hyperlink>
      <w:r w:rsidRPr="00EC3876">
        <w:t>.</w:t>
      </w:r>
      <w:r w:rsidR="00EC3876" w:rsidRPr="00EC3876">
        <w:t xml:space="preserve"> </w:t>
      </w:r>
      <w:r w:rsidRPr="00EC3876">
        <w:t xml:space="preserve"> If you desire assistance with your </w:t>
      </w:r>
      <w:r w:rsidR="00FD463D">
        <w:t>COMMBUYS</w:t>
      </w:r>
      <w:r w:rsidRPr="00EC3876">
        <w:t xml:space="preserve"> account please contact the </w:t>
      </w:r>
      <w:r w:rsidR="00FD463D">
        <w:t>COMMBUYS</w:t>
      </w:r>
      <w:r w:rsidRPr="00EC3876">
        <w:t xml:space="preserve"> Helpdesk at 1-888-MA-STATE</w:t>
      </w:r>
      <w:r w:rsidR="00EC3876">
        <w:t xml:space="preserve"> (1-888-627-8283)</w:t>
      </w:r>
      <w:r w:rsidRPr="00EC3876">
        <w:t>.</w:t>
      </w:r>
    </w:p>
    <w:p w14:paraId="581C9FD2" w14:textId="77777777" w:rsidR="00B55C30" w:rsidRDefault="00B55C30" w:rsidP="00367F2C">
      <w:pPr>
        <w:pStyle w:val="Heading3"/>
      </w:pPr>
      <w:bookmarkStart w:id="11" w:name="_Toc405372675"/>
      <w:r w:rsidRPr="00713031">
        <w:rPr>
          <w:rStyle w:val="Heading2Char"/>
        </w:rPr>
        <w:t>Three year trend of spending at the Secretariat level</w:t>
      </w:r>
      <w:bookmarkEnd w:id="11"/>
      <w:r w:rsidRPr="00C5124F">
        <w:t>:</w:t>
      </w:r>
    </w:p>
    <w:p w14:paraId="5D2C0D1C" w14:textId="77777777" w:rsidR="00F57650" w:rsidRDefault="00FE2B6B" w:rsidP="009E236C">
      <w:pPr>
        <w:jc w:val="both"/>
      </w:pPr>
      <w:r w:rsidRPr="00EC1CE5">
        <w:t xml:space="preserve">As illustrated in the table below, the </w:t>
      </w:r>
      <w:r w:rsidR="00F53661" w:rsidRPr="00EC1CE5">
        <w:t>three</w:t>
      </w:r>
      <w:r w:rsidR="00565C67" w:rsidRPr="00EC1CE5">
        <w:t>-</w:t>
      </w:r>
      <w:r w:rsidR="00F53661" w:rsidRPr="00EC1CE5">
        <w:t>year trend in spending at the Secretariat level show</w:t>
      </w:r>
      <w:r w:rsidR="00565C67" w:rsidRPr="00EC1CE5">
        <w:t>s</w:t>
      </w:r>
      <w:r w:rsidR="00F53661" w:rsidRPr="00EC1CE5">
        <w:t xml:space="preserve"> a</w:t>
      </w:r>
      <w:r w:rsidR="00EC3876">
        <w:t xml:space="preserve">n overall </w:t>
      </w:r>
      <w:r w:rsidR="00E365D5">
        <w:t>inc</w:t>
      </w:r>
      <w:r w:rsidR="00D71BB1">
        <w:t>rease</w:t>
      </w:r>
      <w:r w:rsidR="00F53661" w:rsidRPr="00EC1CE5">
        <w:t xml:space="preserve"> </w:t>
      </w:r>
      <w:r w:rsidR="00EC3876">
        <w:t xml:space="preserve">with MBE </w:t>
      </w:r>
      <w:r w:rsidR="00B170F0">
        <w:t xml:space="preserve">and WBE </w:t>
      </w:r>
      <w:r w:rsidR="00EC3876">
        <w:t xml:space="preserve">firms </w:t>
      </w:r>
      <w:r w:rsidR="00F53661" w:rsidRPr="00EC1CE5">
        <w:t xml:space="preserve">during </w:t>
      </w:r>
      <w:r w:rsidR="00FB6CC3">
        <w:t>FY201</w:t>
      </w:r>
      <w:r w:rsidR="00E365D5">
        <w:t>4</w:t>
      </w:r>
      <w:r w:rsidR="00D71BB1">
        <w:t xml:space="preserve"> from FY201</w:t>
      </w:r>
      <w:r w:rsidR="00E365D5">
        <w:t>3</w:t>
      </w:r>
      <w:r w:rsidR="00D71BB1">
        <w:t xml:space="preserve">. </w:t>
      </w:r>
    </w:p>
    <w:p w14:paraId="17A8CA23" w14:textId="078E5357" w:rsidR="0092617E" w:rsidRDefault="00EB04DE" w:rsidP="00EB04DE">
      <w:pPr>
        <w:jc w:val="both"/>
      </w:pPr>
      <w:r w:rsidRPr="00EB04DE">
        <w:rPr>
          <w:snapToGrid w:val="0"/>
        </w:rPr>
        <w:t>MINORITY BUSINESS ENTERPRISES (MBE) EXPENDITURES</w:t>
      </w:r>
      <w:r>
        <w:rPr>
          <w:snapToGrid w:val="0"/>
        </w:rPr>
        <w:t xml:space="preserve"> </w:t>
      </w:r>
      <w:r w:rsidRPr="00CE1D2B">
        <w:rPr>
          <w:snapToGrid w:val="0"/>
        </w:rPr>
        <w:t xml:space="preserve">STATEWIDE </w:t>
      </w:r>
    </w:p>
    <w:tbl>
      <w:tblPr>
        <w:tblStyle w:val="TableGrid1"/>
        <w:tblpPr w:leftFromText="180" w:rightFromText="180" w:vertAnchor="text" w:horzAnchor="margin" w:tblpXSpec="center" w:tblpY="177"/>
        <w:tblW w:w="9674" w:type="dxa"/>
        <w:tblLayout w:type="fixed"/>
        <w:tblLook w:val="0020" w:firstRow="1" w:lastRow="0" w:firstColumn="0" w:lastColumn="0" w:noHBand="0" w:noVBand="0"/>
        <w:tblCaption w:val="table showing MBE spend by secretariat for FY2010, FY2011, and FY2012"/>
        <w:tblDescription w:val="this table shows MBE spend by secretariat for FY2010, FY2011, and FY2012 - where total FY2012 is $250,031,260, FY2011 is $239,459,450, and FY2012 is $243,338,712."/>
      </w:tblPr>
      <w:tblGrid>
        <w:gridCol w:w="5117"/>
        <w:gridCol w:w="1519"/>
        <w:gridCol w:w="1519"/>
        <w:gridCol w:w="1519"/>
      </w:tblGrid>
      <w:tr w:rsidR="00EB04DE" w:rsidRPr="00236176" w14:paraId="604FC983" w14:textId="78878175" w:rsidTr="00EB04DE">
        <w:trPr>
          <w:trHeight w:val="255"/>
        </w:trPr>
        <w:tc>
          <w:tcPr>
            <w:tcW w:w="5117" w:type="dxa"/>
          </w:tcPr>
          <w:p w14:paraId="753D90E5" w14:textId="5AC53831" w:rsidR="00EB04DE" w:rsidRPr="00CE1D2B" w:rsidRDefault="00EB04DE" w:rsidP="0092617E">
            <w:pPr>
              <w:rPr>
                <w:snapToGrid w:val="0"/>
                <w:sz w:val="22"/>
                <w:szCs w:val="22"/>
              </w:rPr>
            </w:pPr>
            <w:r>
              <w:t>Secretariat / Entity Name</w:t>
            </w:r>
          </w:p>
        </w:tc>
        <w:tc>
          <w:tcPr>
            <w:tcW w:w="1519" w:type="dxa"/>
          </w:tcPr>
          <w:p w14:paraId="55EC9D59" w14:textId="77777777" w:rsidR="00EB04DE" w:rsidRPr="00CE1D2B" w:rsidRDefault="00EB04DE" w:rsidP="00CE1D2B">
            <w:pPr>
              <w:jc w:val="center"/>
              <w:rPr>
                <w:snapToGrid w:val="0"/>
                <w:sz w:val="22"/>
                <w:szCs w:val="22"/>
              </w:rPr>
            </w:pPr>
            <w:r w:rsidRPr="00CE1D2B">
              <w:rPr>
                <w:snapToGrid w:val="0"/>
                <w:sz w:val="22"/>
                <w:szCs w:val="22"/>
              </w:rPr>
              <w:t>FY2012</w:t>
            </w:r>
          </w:p>
        </w:tc>
        <w:tc>
          <w:tcPr>
            <w:tcW w:w="1519" w:type="dxa"/>
          </w:tcPr>
          <w:p w14:paraId="715D386B" w14:textId="77777777" w:rsidR="00EB04DE" w:rsidRPr="00CE1D2B" w:rsidRDefault="00EB04DE" w:rsidP="00CE1D2B">
            <w:pPr>
              <w:jc w:val="center"/>
              <w:rPr>
                <w:snapToGrid w:val="0"/>
                <w:sz w:val="22"/>
                <w:szCs w:val="22"/>
              </w:rPr>
            </w:pPr>
            <w:r w:rsidRPr="00CE1D2B">
              <w:rPr>
                <w:snapToGrid w:val="0"/>
                <w:sz w:val="22"/>
                <w:szCs w:val="22"/>
              </w:rPr>
              <w:t>FY2013</w:t>
            </w:r>
          </w:p>
        </w:tc>
        <w:tc>
          <w:tcPr>
            <w:tcW w:w="1519" w:type="dxa"/>
          </w:tcPr>
          <w:p w14:paraId="204A5FF4" w14:textId="77777777" w:rsidR="00EB04DE" w:rsidRPr="00CE1D2B" w:rsidRDefault="00EB04DE" w:rsidP="00CE1D2B">
            <w:pPr>
              <w:jc w:val="center"/>
              <w:rPr>
                <w:snapToGrid w:val="0"/>
                <w:sz w:val="22"/>
                <w:szCs w:val="22"/>
              </w:rPr>
            </w:pPr>
            <w:r>
              <w:rPr>
                <w:snapToGrid w:val="0"/>
                <w:sz w:val="22"/>
                <w:szCs w:val="22"/>
              </w:rPr>
              <w:t>FY2014</w:t>
            </w:r>
          </w:p>
        </w:tc>
      </w:tr>
      <w:tr w:rsidR="00EB04DE" w:rsidRPr="00236176" w14:paraId="0CE41AAE" w14:textId="6713D977" w:rsidTr="00EB04DE">
        <w:trPr>
          <w:trHeight w:val="175"/>
        </w:trPr>
        <w:tc>
          <w:tcPr>
            <w:tcW w:w="5117" w:type="dxa"/>
          </w:tcPr>
          <w:p w14:paraId="6FF2976E" w14:textId="77777777" w:rsidR="00EB04DE" w:rsidRPr="00E07DCF" w:rsidRDefault="00EB04DE" w:rsidP="000E73B5">
            <w:pPr>
              <w:rPr>
                <w:snapToGrid w:val="0"/>
                <w:sz w:val="22"/>
                <w:szCs w:val="22"/>
              </w:rPr>
            </w:pPr>
            <w:r w:rsidRPr="00E07DCF">
              <w:rPr>
                <w:snapToGrid w:val="0"/>
                <w:sz w:val="22"/>
                <w:szCs w:val="22"/>
              </w:rPr>
              <w:t>Office of the Governor</w:t>
            </w:r>
          </w:p>
        </w:tc>
        <w:tc>
          <w:tcPr>
            <w:tcW w:w="1519" w:type="dxa"/>
          </w:tcPr>
          <w:p w14:paraId="48A845EE" w14:textId="77777777" w:rsidR="00EB04DE" w:rsidRPr="000004BE" w:rsidRDefault="00EB04DE" w:rsidP="0014292E">
            <w:pPr>
              <w:jc w:val="right"/>
              <w:rPr>
                <w:sz w:val="22"/>
                <w:szCs w:val="22"/>
              </w:rPr>
            </w:pPr>
            <w:r w:rsidRPr="000004BE">
              <w:rPr>
                <w:sz w:val="22"/>
                <w:szCs w:val="22"/>
              </w:rPr>
              <w:t>$26,866</w:t>
            </w:r>
          </w:p>
        </w:tc>
        <w:tc>
          <w:tcPr>
            <w:tcW w:w="1519" w:type="dxa"/>
          </w:tcPr>
          <w:p w14:paraId="7A8F95BF" w14:textId="77777777" w:rsidR="00EB04DE" w:rsidRPr="000004BE" w:rsidRDefault="00EB04DE" w:rsidP="0014292E">
            <w:pPr>
              <w:jc w:val="right"/>
              <w:rPr>
                <w:sz w:val="22"/>
                <w:szCs w:val="22"/>
              </w:rPr>
            </w:pPr>
            <w:r w:rsidRPr="000004BE">
              <w:rPr>
                <w:sz w:val="22"/>
                <w:szCs w:val="22"/>
              </w:rPr>
              <w:t>$25,493</w:t>
            </w:r>
          </w:p>
        </w:tc>
        <w:tc>
          <w:tcPr>
            <w:tcW w:w="1519" w:type="dxa"/>
          </w:tcPr>
          <w:p w14:paraId="7170BBDE" w14:textId="77777777" w:rsidR="00EB04DE" w:rsidRPr="000004BE" w:rsidRDefault="00EB04DE" w:rsidP="0014292E">
            <w:pPr>
              <w:jc w:val="right"/>
              <w:rPr>
                <w:sz w:val="22"/>
                <w:szCs w:val="22"/>
              </w:rPr>
            </w:pPr>
            <w:r w:rsidRPr="000004BE">
              <w:rPr>
                <w:rFonts w:eastAsia="Calibri"/>
                <w:sz w:val="22"/>
                <w:szCs w:val="22"/>
              </w:rPr>
              <w:t>$35,641</w:t>
            </w:r>
          </w:p>
        </w:tc>
      </w:tr>
      <w:tr w:rsidR="00EB04DE" w:rsidRPr="00236176" w14:paraId="7B4914A0" w14:textId="02130B7F" w:rsidTr="00EB04DE">
        <w:trPr>
          <w:trHeight w:val="194"/>
        </w:trPr>
        <w:tc>
          <w:tcPr>
            <w:tcW w:w="5117" w:type="dxa"/>
          </w:tcPr>
          <w:p w14:paraId="25E02F66" w14:textId="77777777" w:rsidR="00EB04DE" w:rsidRPr="00E07DCF" w:rsidRDefault="00EB04DE" w:rsidP="000E73B5">
            <w:pPr>
              <w:rPr>
                <w:snapToGrid w:val="0"/>
                <w:sz w:val="22"/>
                <w:szCs w:val="22"/>
              </w:rPr>
            </w:pPr>
            <w:r w:rsidRPr="00E07DCF">
              <w:rPr>
                <w:snapToGrid w:val="0"/>
                <w:sz w:val="22"/>
                <w:szCs w:val="22"/>
              </w:rPr>
              <w:t>Executive Office for Administration and Finance</w:t>
            </w:r>
          </w:p>
        </w:tc>
        <w:tc>
          <w:tcPr>
            <w:tcW w:w="1519" w:type="dxa"/>
          </w:tcPr>
          <w:p w14:paraId="248719A6" w14:textId="77777777" w:rsidR="00EB04DE" w:rsidRPr="000004BE" w:rsidRDefault="00EB04DE" w:rsidP="0014292E">
            <w:pPr>
              <w:jc w:val="right"/>
              <w:rPr>
                <w:sz w:val="22"/>
                <w:szCs w:val="22"/>
              </w:rPr>
            </w:pPr>
            <w:r w:rsidRPr="000004BE">
              <w:rPr>
                <w:sz w:val="22"/>
                <w:szCs w:val="22"/>
              </w:rPr>
              <w:t>$5,420,386</w:t>
            </w:r>
          </w:p>
        </w:tc>
        <w:tc>
          <w:tcPr>
            <w:tcW w:w="1519" w:type="dxa"/>
          </w:tcPr>
          <w:p w14:paraId="6DEFB49E" w14:textId="77777777" w:rsidR="00EB04DE" w:rsidRPr="000004BE" w:rsidRDefault="00EB04DE" w:rsidP="0014292E">
            <w:pPr>
              <w:jc w:val="right"/>
              <w:rPr>
                <w:sz w:val="22"/>
                <w:szCs w:val="22"/>
              </w:rPr>
            </w:pPr>
            <w:r w:rsidRPr="000004BE">
              <w:rPr>
                <w:sz w:val="22"/>
                <w:szCs w:val="22"/>
              </w:rPr>
              <w:t>$5,809,200</w:t>
            </w:r>
          </w:p>
        </w:tc>
        <w:tc>
          <w:tcPr>
            <w:tcW w:w="1519" w:type="dxa"/>
          </w:tcPr>
          <w:p w14:paraId="1FF0FDE6" w14:textId="77777777" w:rsidR="00EB04DE" w:rsidRPr="000004BE" w:rsidRDefault="00EB04DE" w:rsidP="0014292E">
            <w:pPr>
              <w:jc w:val="right"/>
              <w:rPr>
                <w:sz w:val="22"/>
                <w:szCs w:val="22"/>
              </w:rPr>
            </w:pPr>
            <w:r w:rsidRPr="000004BE">
              <w:rPr>
                <w:rFonts w:eastAsia="Calibri"/>
                <w:sz w:val="22"/>
                <w:szCs w:val="22"/>
              </w:rPr>
              <w:t>$11,275,405</w:t>
            </w:r>
          </w:p>
        </w:tc>
      </w:tr>
      <w:tr w:rsidR="00EB04DE" w:rsidRPr="00236176" w14:paraId="19F41812" w14:textId="0EBF7EE3" w:rsidTr="00EB04DE">
        <w:trPr>
          <w:trHeight w:val="223"/>
        </w:trPr>
        <w:tc>
          <w:tcPr>
            <w:tcW w:w="5117" w:type="dxa"/>
          </w:tcPr>
          <w:p w14:paraId="3DA9478B" w14:textId="77777777" w:rsidR="00EB04DE" w:rsidRPr="00E07DCF" w:rsidRDefault="00EB04DE" w:rsidP="000E73B5">
            <w:pPr>
              <w:rPr>
                <w:snapToGrid w:val="0"/>
                <w:sz w:val="22"/>
                <w:szCs w:val="22"/>
              </w:rPr>
            </w:pPr>
            <w:r w:rsidRPr="00E07DCF">
              <w:rPr>
                <w:snapToGrid w:val="0"/>
                <w:sz w:val="22"/>
                <w:szCs w:val="22"/>
              </w:rPr>
              <w:t>Comptroller of the Commonwealth</w:t>
            </w:r>
          </w:p>
        </w:tc>
        <w:tc>
          <w:tcPr>
            <w:tcW w:w="1519" w:type="dxa"/>
          </w:tcPr>
          <w:p w14:paraId="222A7E6F" w14:textId="77777777" w:rsidR="00EB04DE" w:rsidRPr="000004BE" w:rsidRDefault="00EB04DE" w:rsidP="0014292E">
            <w:pPr>
              <w:jc w:val="right"/>
              <w:rPr>
                <w:sz w:val="22"/>
                <w:szCs w:val="22"/>
              </w:rPr>
            </w:pPr>
            <w:r w:rsidRPr="000004BE">
              <w:rPr>
                <w:sz w:val="22"/>
                <w:szCs w:val="22"/>
              </w:rPr>
              <w:t>$21,541</w:t>
            </w:r>
          </w:p>
        </w:tc>
        <w:tc>
          <w:tcPr>
            <w:tcW w:w="1519" w:type="dxa"/>
          </w:tcPr>
          <w:p w14:paraId="5341211E" w14:textId="77777777" w:rsidR="00EB04DE" w:rsidRPr="000004BE" w:rsidRDefault="00EB04DE" w:rsidP="0014292E">
            <w:pPr>
              <w:jc w:val="right"/>
              <w:rPr>
                <w:sz w:val="22"/>
                <w:szCs w:val="22"/>
              </w:rPr>
            </w:pPr>
            <w:r w:rsidRPr="000004BE">
              <w:rPr>
                <w:sz w:val="22"/>
                <w:szCs w:val="22"/>
              </w:rPr>
              <w:t>$18,383</w:t>
            </w:r>
          </w:p>
        </w:tc>
        <w:tc>
          <w:tcPr>
            <w:tcW w:w="1519" w:type="dxa"/>
          </w:tcPr>
          <w:p w14:paraId="04A06FF7" w14:textId="77777777" w:rsidR="00EB04DE" w:rsidRPr="000004BE" w:rsidRDefault="00EB04DE" w:rsidP="0014292E">
            <w:pPr>
              <w:jc w:val="right"/>
              <w:rPr>
                <w:sz w:val="22"/>
                <w:szCs w:val="22"/>
              </w:rPr>
            </w:pPr>
            <w:r w:rsidRPr="000004BE">
              <w:rPr>
                <w:rFonts w:eastAsia="Calibri"/>
                <w:sz w:val="22"/>
                <w:szCs w:val="22"/>
              </w:rPr>
              <w:t>$100,462</w:t>
            </w:r>
          </w:p>
        </w:tc>
      </w:tr>
      <w:tr w:rsidR="00EB04DE" w:rsidRPr="00236176" w14:paraId="52B4ADC3" w14:textId="62B02155" w:rsidTr="00EB04DE">
        <w:trPr>
          <w:trHeight w:val="252"/>
        </w:trPr>
        <w:tc>
          <w:tcPr>
            <w:tcW w:w="5117" w:type="dxa"/>
          </w:tcPr>
          <w:p w14:paraId="444C2D00" w14:textId="77777777" w:rsidR="00EB04DE" w:rsidRPr="00E07DCF" w:rsidRDefault="00EB04DE" w:rsidP="000E73B5">
            <w:pPr>
              <w:rPr>
                <w:snapToGrid w:val="0"/>
                <w:sz w:val="22"/>
                <w:szCs w:val="22"/>
              </w:rPr>
            </w:pPr>
            <w:r w:rsidRPr="00E07DCF">
              <w:rPr>
                <w:snapToGrid w:val="0"/>
                <w:sz w:val="22"/>
                <w:szCs w:val="22"/>
              </w:rPr>
              <w:t>Commission Against Discrimination</w:t>
            </w:r>
          </w:p>
        </w:tc>
        <w:tc>
          <w:tcPr>
            <w:tcW w:w="1519" w:type="dxa"/>
          </w:tcPr>
          <w:p w14:paraId="39673743" w14:textId="77777777" w:rsidR="00EB04DE" w:rsidRPr="000004BE" w:rsidRDefault="00EB04DE" w:rsidP="0014292E">
            <w:pPr>
              <w:jc w:val="right"/>
              <w:rPr>
                <w:sz w:val="22"/>
                <w:szCs w:val="22"/>
              </w:rPr>
            </w:pPr>
            <w:r w:rsidRPr="000004BE">
              <w:rPr>
                <w:sz w:val="22"/>
                <w:szCs w:val="22"/>
              </w:rPr>
              <w:t>$46,146</w:t>
            </w:r>
          </w:p>
        </w:tc>
        <w:tc>
          <w:tcPr>
            <w:tcW w:w="1519" w:type="dxa"/>
          </w:tcPr>
          <w:p w14:paraId="47BFCC26" w14:textId="77777777" w:rsidR="00EB04DE" w:rsidRPr="000004BE" w:rsidRDefault="00EB04DE" w:rsidP="0014292E">
            <w:pPr>
              <w:jc w:val="right"/>
              <w:rPr>
                <w:sz w:val="22"/>
                <w:szCs w:val="22"/>
              </w:rPr>
            </w:pPr>
            <w:r w:rsidRPr="000004BE">
              <w:rPr>
                <w:sz w:val="22"/>
                <w:szCs w:val="22"/>
              </w:rPr>
              <w:t>$45,693</w:t>
            </w:r>
          </w:p>
        </w:tc>
        <w:tc>
          <w:tcPr>
            <w:tcW w:w="1519" w:type="dxa"/>
          </w:tcPr>
          <w:p w14:paraId="24079A3C" w14:textId="77777777" w:rsidR="00EB04DE" w:rsidRPr="000004BE" w:rsidRDefault="00EB04DE" w:rsidP="0014292E">
            <w:pPr>
              <w:jc w:val="right"/>
              <w:rPr>
                <w:sz w:val="22"/>
                <w:szCs w:val="22"/>
              </w:rPr>
            </w:pPr>
            <w:r w:rsidRPr="000004BE">
              <w:rPr>
                <w:rFonts w:eastAsia="Calibri"/>
                <w:sz w:val="22"/>
                <w:szCs w:val="22"/>
              </w:rPr>
              <w:t>$21,282</w:t>
            </w:r>
          </w:p>
        </w:tc>
      </w:tr>
      <w:tr w:rsidR="00EB04DE" w:rsidRPr="00236176" w14:paraId="5C45859A" w14:textId="63396D32" w:rsidTr="00EB04DE">
        <w:trPr>
          <w:trHeight w:val="252"/>
        </w:trPr>
        <w:tc>
          <w:tcPr>
            <w:tcW w:w="5117" w:type="dxa"/>
          </w:tcPr>
          <w:p w14:paraId="787AF3FE" w14:textId="77777777" w:rsidR="00EB04DE" w:rsidRPr="00E07DCF" w:rsidRDefault="00EB04DE" w:rsidP="000E73B5">
            <w:pPr>
              <w:rPr>
                <w:snapToGrid w:val="0"/>
                <w:sz w:val="22"/>
                <w:szCs w:val="22"/>
              </w:rPr>
            </w:pPr>
            <w:r w:rsidRPr="00E07DCF">
              <w:rPr>
                <w:snapToGrid w:val="0"/>
                <w:sz w:val="22"/>
                <w:szCs w:val="22"/>
              </w:rPr>
              <w:t>Disabled Persons Protection Commission</w:t>
            </w:r>
          </w:p>
        </w:tc>
        <w:tc>
          <w:tcPr>
            <w:tcW w:w="1519" w:type="dxa"/>
          </w:tcPr>
          <w:p w14:paraId="1FEF5588" w14:textId="77777777" w:rsidR="00EB04DE" w:rsidRPr="000004BE" w:rsidRDefault="00EB04DE" w:rsidP="0014292E">
            <w:pPr>
              <w:jc w:val="right"/>
              <w:rPr>
                <w:sz w:val="22"/>
                <w:szCs w:val="22"/>
              </w:rPr>
            </w:pPr>
            <w:r w:rsidRPr="000004BE">
              <w:rPr>
                <w:sz w:val="22"/>
                <w:szCs w:val="22"/>
              </w:rPr>
              <w:t>$29,650</w:t>
            </w:r>
          </w:p>
        </w:tc>
        <w:tc>
          <w:tcPr>
            <w:tcW w:w="1519" w:type="dxa"/>
          </w:tcPr>
          <w:p w14:paraId="3BB0F86E" w14:textId="77777777" w:rsidR="00EB04DE" w:rsidRPr="000004BE" w:rsidRDefault="00EB04DE" w:rsidP="0014292E">
            <w:pPr>
              <w:jc w:val="right"/>
              <w:rPr>
                <w:sz w:val="22"/>
                <w:szCs w:val="22"/>
              </w:rPr>
            </w:pPr>
            <w:r w:rsidRPr="000004BE">
              <w:rPr>
                <w:sz w:val="22"/>
                <w:szCs w:val="22"/>
              </w:rPr>
              <w:t>$25,705</w:t>
            </w:r>
          </w:p>
        </w:tc>
        <w:tc>
          <w:tcPr>
            <w:tcW w:w="1519" w:type="dxa"/>
          </w:tcPr>
          <w:p w14:paraId="0F376C61" w14:textId="77777777" w:rsidR="00EB04DE" w:rsidRPr="000004BE" w:rsidRDefault="00EB04DE" w:rsidP="0014292E">
            <w:pPr>
              <w:jc w:val="right"/>
              <w:rPr>
                <w:sz w:val="22"/>
                <w:szCs w:val="22"/>
              </w:rPr>
            </w:pPr>
            <w:r w:rsidRPr="000004BE">
              <w:rPr>
                <w:rFonts w:eastAsia="Calibri"/>
                <w:sz w:val="22"/>
                <w:szCs w:val="22"/>
              </w:rPr>
              <w:t>$34,541</w:t>
            </w:r>
          </w:p>
        </w:tc>
      </w:tr>
      <w:tr w:rsidR="00EB04DE" w:rsidRPr="00236176" w14:paraId="64B07838" w14:textId="1946CB90" w:rsidTr="00EB04DE">
        <w:trPr>
          <w:trHeight w:val="271"/>
        </w:trPr>
        <w:tc>
          <w:tcPr>
            <w:tcW w:w="5117" w:type="dxa"/>
          </w:tcPr>
          <w:p w14:paraId="72233FE8" w14:textId="77777777" w:rsidR="00EB04DE" w:rsidRPr="00E07DCF" w:rsidRDefault="00EB04DE" w:rsidP="000E73B5">
            <w:pPr>
              <w:rPr>
                <w:snapToGrid w:val="0"/>
                <w:sz w:val="22"/>
                <w:szCs w:val="22"/>
              </w:rPr>
            </w:pPr>
            <w:r w:rsidRPr="00E07DCF">
              <w:rPr>
                <w:snapToGrid w:val="0"/>
                <w:sz w:val="22"/>
                <w:szCs w:val="22"/>
              </w:rPr>
              <w:t>Executive Office of Energy and Environmental Affairs</w:t>
            </w:r>
          </w:p>
        </w:tc>
        <w:tc>
          <w:tcPr>
            <w:tcW w:w="1519" w:type="dxa"/>
          </w:tcPr>
          <w:p w14:paraId="4D5794C0" w14:textId="77777777" w:rsidR="00EB04DE" w:rsidRPr="000004BE" w:rsidRDefault="00EB04DE" w:rsidP="0014292E">
            <w:pPr>
              <w:jc w:val="right"/>
              <w:rPr>
                <w:sz w:val="22"/>
                <w:szCs w:val="22"/>
              </w:rPr>
            </w:pPr>
            <w:r w:rsidRPr="000004BE">
              <w:rPr>
                <w:sz w:val="22"/>
                <w:szCs w:val="22"/>
              </w:rPr>
              <w:t>$3,152,002</w:t>
            </w:r>
          </w:p>
        </w:tc>
        <w:tc>
          <w:tcPr>
            <w:tcW w:w="1519" w:type="dxa"/>
          </w:tcPr>
          <w:p w14:paraId="33F27220" w14:textId="77777777" w:rsidR="00EB04DE" w:rsidRPr="000004BE" w:rsidRDefault="00EB04DE" w:rsidP="0014292E">
            <w:pPr>
              <w:ind w:left="-108"/>
              <w:jc w:val="right"/>
              <w:rPr>
                <w:sz w:val="22"/>
                <w:szCs w:val="22"/>
              </w:rPr>
            </w:pPr>
            <w:r w:rsidRPr="000004BE">
              <w:rPr>
                <w:sz w:val="22"/>
                <w:szCs w:val="22"/>
              </w:rPr>
              <w:t>$2,524,210</w:t>
            </w:r>
          </w:p>
        </w:tc>
        <w:tc>
          <w:tcPr>
            <w:tcW w:w="1519" w:type="dxa"/>
          </w:tcPr>
          <w:p w14:paraId="7711106F" w14:textId="77777777" w:rsidR="00EB04DE" w:rsidRPr="000004BE" w:rsidRDefault="00EB04DE" w:rsidP="0014292E">
            <w:pPr>
              <w:jc w:val="right"/>
              <w:rPr>
                <w:sz w:val="22"/>
                <w:szCs w:val="22"/>
              </w:rPr>
            </w:pPr>
            <w:r w:rsidRPr="000004BE">
              <w:rPr>
                <w:rFonts w:eastAsia="Calibri"/>
                <w:sz w:val="22"/>
                <w:szCs w:val="22"/>
              </w:rPr>
              <w:t>$2,159,593</w:t>
            </w:r>
          </w:p>
        </w:tc>
      </w:tr>
      <w:tr w:rsidR="00EB04DE" w:rsidRPr="00236176" w14:paraId="4C92B41D" w14:textId="1D9D7091" w:rsidTr="00EB04DE">
        <w:trPr>
          <w:trHeight w:val="271"/>
        </w:trPr>
        <w:tc>
          <w:tcPr>
            <w:tcW w:w="5117" w:type="dxa"/>
          </w:tcPr>
          <w:p w14:paraId="6100ECF6" w14:textId="77777777" w:rsidR="00EB04DE" w:rsidRPr="00E07DCF" w:rsidRDefault="00EB04DE" w:rsidP="000E73B5">
            <w:pPr>
              <w:rPr>
                <w:snapToGrid w:val="0"/>
                <w:sz w:val="22"/>
                <w:szCs w:val="22"/>
              </w:rPr>
            </w:pPr>
            <w:r w:rsidRPr="00E07DCF">
              <w:rPr>
                <w:snapToGrid w:val="0"/>
                <w:sz w:val="22"/>
                <w:szCs w:val="22"/>
              </w:rPr>
              <w:t>Executive Office of Health and Human Services</w:t>
            </w:r>
          </w:p>
        </w:tc>
        <w:tc>
          <w:tcPr>
            <w:tcW w:w="1519" w:type="dxa"/>
          </w:tcPr>
          <w:p w14:paraId="7B8F736D" w14:textId="77777777" w:rsidR="00EB04DE" w:rsidRPr="000004BE" w:rsidRDefault="00EB04DE" w:rsidP="0014292E">
            <w:pPr>
              <w:jc w:val="right"/>
              <w:rPr>
                <w:sz w:val="22"/>
                <w:szCs w:val="22"/>
              </w:rPr>
            </w:pPr>
            <w:r w:rsidRPr="000004BE">
              <w:rPr>
                <w:sz w:val="22"/>
                <w:szCs w:val="22"/>
              </w:rPr>
              <w:t>$150,713,999</w:t>
            </w:r>
          </w:p>
        </w:tc>
        <w:tc>
          <w:tcPr>
            <w:tcW w:w="1519" w:type="dxa"/>
          </w:tcPr>
          <w:p w14:paraId="494C298A" w14:textId="77777777" w:rsidR="00EB04DE" w:rsidRPr="000004BE" w:rsidRDefault="00EB04DE" w:rsidP="0014292E">
            <w:pPr>
              <w:jc w:val="right"/>
              <w:rPr>
                <w:sz w:val="22"/>
                <w:szCs w:val="22"/>
              </w:rPr>
            </w:pPr>
            <w:r w:rsidRPr="000004BE">
              <w:rPr>
                <w:sz w:val="22"/>
                <w:szCs w:val="22"/>
              </w:rPr>
              <w:t>$144,895,767</w:t>
            </w:r>
          </w:p>
        </w:tc>
        <w:tc>
          <w:tcPr>
            <w:tcW w:w="1519" w:type="dxa"/>
          </w:tcPr>
          <w:p w14:paraId="09E2603D" w14:textId="77777777" w:rsidR="00EB04DE" w:rsidRPr="000004BE" w:rsidRDefault="00EB04DE" w:rsidP="0014292E">
            <w:pPr>
              <w:jc w:val="right"/>
              <w:rPr>
                <w:sz w:val="22"/>
                <w:szCs w:val="22"/>
              </w:rPr>
            </w:pPr>
            <w:r w:rsidRPr="000004BE">
              <w:rPr>
                <w:rFonts w:eastAsia="Calibri"/>
                <w:sz w:val="22"/>
                <w:szCs w:val="22"/>
              </w:rPr>
              <w:t>$135,903,099</w:t>
            </w:r>
          </w:p>
        </w:tc>
      </w:tr>
      <w:tr w:rsidR="00EB04DE" w:rsidRPr="00236176" w14:paraId="690F624D" w14:textId="225D4B80" w:rsidTr="00EB04DE">
        <w:trPr>
          <w:trHeight w:val="271"/>
        </w:trPr>
        <w:tc>
          <w:tcPr>
            <w:tcW w:w="5117" w:type="dxa"/>
          </w:tcPr>
          <w:p w14:paraId="33149FF7" w14:textId="77777777" w:rsidR="00EB04DE" w:rsidRPr="00E07DCF" w:rsidRDefault="00EB04DE" w:rsidP="000E73B5">
            <w:pPr>
              <w:rPr>
                <w:snapToGrid w:val="0"/>
                <w:sz w:val="22"/>
                <w:szCs w:val="22"/>
              </w:rPr>
            </w:pPr>
            <w:r w:rsidRPr="00E07DCF">
              <w:rPr>
                <w:snapToGrid w:val="0"/>
                <w:sz w:val="22"/>
                <w:szCs w:val="22"/>
              </w:rPr>
              <w:t>Executive Office of Public Safety and Security</w:t>
            </w:r>
          </w:p>
        </w:tc>
        <w:tc>
          <w:tcPr>
            <w:tcW w:w="1519" w:type="dxa"/>
          </w:tcPr>
          <w:p w14:paraId="3949A1FE" w14:textId="77777777" w:rsidR="00EB04DE" w:rsidRPr="000004BE" w:rsidRDefault="00EB04DE" w:rsidP="0014292E">
            <w:pPr>
              <w:jc w:val="right"/>
              <w:rPr>
                <w:sz w:val="22"/>
                <w:szCs w:val="22"/>
              </w:rPr>
            </w:pPr>
            <w:r w:rsidRPr="000004BE">
              <w:rPr>
                <w:sz w:val="22"/>
                <w:szCs w:val="22"/>
              </w:rPr>
              <w:t>$2,437,108</w:t>
            </w:r>
          </w:p>
        </w:tc>
        <w:tc>
          <w:tcPr>
            <w:tcW w:w="1519" w:type="dxa"/>
          </w:tcPr>
          <w:p w14:paraId="58D87041" w14:textId="77777777" w:rsidR="00EB04DE" w:rsidRPr="000004BE" w:rsidRDefault="00EB04DE" w:rsidP="0014292E">
            <w:pPr>
              <w:jc w:val="right"/>
              <w:rPr>
                <w:sz w:val="22"/>
                <w:szCs w:val="22"/>
              </w:rPr>
            </w:pPr>
            <w:r w:rsidRPr="000004BE">
              <w:rPr>
                <w:sz w:val="22"/>
                <w:szCs w:val="22"/>
              </w:rPr>
              <w:t>$4,202,416</w:t>
            </w:r>
          </w:p>
        </w:tc>
        <w:tc>
          <w:tcPr>
            <w:tcW w:w="1519" w:type="dxa"/>
          </w:tcPr>
          <w:p w14:paraId="0257456F" w14:textId="77777777" w:rsidR="00EB04DE" w:rsidRPr="000004BE" w:rsidRDefault="00EB04DE" w:rsidP="0014292E">
            <w:pPr>
              <w:jc w:val="right"/>
              <w:rPr>
                <w:sz w:val="22"/>
                <w:szCs w:val="22"/>
              </w:rPr>
            </w:pPr>
            <w:r w:rsidRPr="000004BE">
              <w:rPr>
                <w:rFonts w:eastAsia="Calibri"/>
                <w:sz w:val="22"/>
                <w:szCs w:val="22"/>
              </w:rPr>
              <w:t>$8,606,418</w:t>
            </w:r>
          </w:p>
        </w:tc>
      </w:tr>
      <w:tr w:rsidR="00EB04DE" w:rsidRPr="00236176" w14:paraId="58FF2CA7" w14:textId="06695358" w:rsidTr="00EB04DE">
        <w:trPr>
          <w:trHeight w:val="175"/>
        </w:trPr>
        <w:tc>
          <w:tcPr>
            <w:tcW w:w="5117" w:type="dxa"/>
          </w:tcPr>
          <w:p w14:paraId="0E3B1FE9" w14:textId="77777777" w:rsidR="00EB04DE" w:rsidRPr="00E07DCF" w:rsidRDefault="00EB04DE" w:rsidP="000E73B5">
            <w:pPr>
              <w:rPr>
                <w:snapToGrid w:val="0"/>
                <w:sz w:val="22"/>
                <w:szCs w:val="22"/>
              </w:rPr>
            </w:pPr>
            <w:r w:rsidRPr="00E07DCF">
              <w:rPr>
                <w:snapToGrid w:val="0"/>
                <w:sz w:val="22"/>
                <w:szCs w:val="22"/>
              </w:rPr>
              <w:t>MassDOT</w:t>
            </w:r>
          </w:p>
        </w:tc>
        <w:tc>
          <w:tcPr>
            <w:tcW w:w="1519" w:type="dxa"/>
          </w:tcPr>
          <w:p w14:paraId="0D43E266" w14:textId="77777777" w:rsidR="00EB04DE" w:rsidRPr="000004BE" w:rsidRDefault="00EB04DE" w:rsidP="0014292E">
            <w:pPr>
              <w:jc w:val="right"/>
              <w:rPr>
                <w:sz w:val="22"/>
                <w:szCs w:val="22"/>
              </w:rPr>
            </w:pPr>
            <w:r w:rsidRPr="000004BE">
              <w:rPr>
                <w:sz w:val="22"/>
                <w:szCs w:val="22"/>
              </w:rPr>
              <w:t>$30,615,833</w:t>
            </w:r>
          </w:p>
        </w:tc>
        <w:tc>
          <w:tcPr>
            <w:tcW w:w="1519" w:type="dxa"/>
          </w:tcPr>
          <w:p w14:paraId="005111BD" w14:textId="77777777" w:rsidR="00EB04DE" w:rsidRPr="000004BE" w:rsidRDefault="00EB04DE" w:rsidP="0014292E">
            <w:pPr>
              <w:jc w:val="right"/>
              <w:rPr>
                <w:sz w:val="22"/>
                <w:szCs w:val="22"/>
              </w:rPr>
            </w:pPr>
            <w:r w:rsidRPr="000004BE">
              <w:rPr>
                <w:sz w:val="22"/>
                <w:szCs w:val="22"/>
              </w:rPr>
              <w:t>$29,582,566</w:t>
            </w:r>
          </w:p>
        </w:tc>
        <w:tc>
          <w:tcPr>
            <w:tcW w:w="1519" w:type="dxa"/>
          </w:tcPr>
          <w:p w14:paraId="4122395B" w14:textId="77777777" w:rsidR="00EB04DE" w:rsidRPr="000004BE" w:rsidRDefault="00EB04DE" w:rsidP="0014292E">
            <w:pPr>
              <w:jc w:val="right"/>
              <w:rPr>
                <w:sz w:val="22"/>
                <w:szCs w:val="22"/>
              </w:rPr>
            </w:pPr>
            <w:r w:rsidRPr="000004BE">
              <w:rPr>
                <w:rFonts w:eastAsia="Calibri"/>
                <w:sz w:val="22"/>
                <w:szCs w:val="22"/>
              </w:rPr>
              <w:t>$40,180,688</w:t>
            </w:r>
          </w:p>
        </w:tc>
      </w:tr>
      <w:tr w:rsidR="00EB04DE" w:rsidRPr="00236176" w14:paraId="27414A55" w14:textId="0244D3B2" w:rsidTr="00EB04DE">
        <w:trPr>
          <w:trHeight w:val="204"/>
        </w:trPr>
        <w:tc>
          <w:tcPr>
            <w:tcW w:w="5117" w:type="dxa"/>
          </w:tcPr>
          <w:p w14:paraId="5060EDAA" w14:textId="77777777" w:rsidR="00EB04DE" w:rsidRPr="00E07DCF" w:rsidRDefault="00EB04DE" w:rsidP="000E73B5">
            <w:pPr>
              <w:rPr>
                <w:i/>
                <w:snapToGrid w:val="0"/>
                <w:sz w:val="22"/>
                <w:szCs w:val="22"/>
              </w:rPr>
            </w:pPr>
            <w:r w:rsidRPr="00E07DCF">
              <w:rPr>
                <w:snapToGrid w:val="0"/>
                <w:sz w:val="22"/>
                <w:szCs w:val="22"/>
              </w:rPr>
              <w:t>Department of Labor and Workforce Development</w:t>
            </w:r>
          </w:p>
        </w:tc>
        <w:tc>
          <w:tcPr>
            <w:tcW w:w="1519" w:type="dxa"/>
          </w:tcPr>
          <w:p w14:paraId="318A7B49" w14:textId="77777777" w:rsidR="00EB04DE" w:rsidRPr="000004BE" w:rsidRDefault="00EB04DE" w:rsidP="0014292E">
            <w:pPr>
              <w:jc w:val="right"/>
              <w:rPr>
                <w:sz w:val="22"/>
                <w:szCs w:val="22"/>
              </w:rPr>
            </w:pPr>
            <w:r w:rsidRPr="000004BE">
              <w:rPr>
                <w:sz w:val="22"/>
                <w:szCs w:val="22"/>
              </w:rPr>
              <w:t>$1,133,580</w:t>
            </w:r>
          </w:p>
        </w:tc>
        <w:tc>
          <w:tcPr>
            <w:tcW w:w="1519" w:type="dxa"/>
          </w:tcPr>
          <w:p w14:paraId="28A861E8" w14:textId="77777777" w:rsidR="00EB04DE" w:rsidRPr="000004BE" w:rsidRDefault="00EB04DE" w:rsidP="0014292E">
            <w:pPr>
              <w:jc w:val="right"/>
              <w:rPr>
                <w:sz w:val="22"/>
                <w:szCs w:val="22"/>
              </w:rPr>
            </w:pPr>
            <w:r w:rsidRPr="000004BE">
              <w:rPr>
                <w:sz w:val="22"/>
                <w:szCs w:val="22"/>
              </w:rPr>
              <w:t>$1,365,705</w:t>
            </w:r>
          </w:p>
        </w:tc>
        <w:tc>
          <w:tcPr>
            <w:tcW w:w="1519" w:type="dxa"/>
          </w:tcPr>
          <w:p w14:paraId="5EC0D892" w14:textId="77777777" w:rsidR="00EB04DE" w:rsidRPr="000004BE" w:rsidRDefault="00EB04DE" w:rsidP="0014292E">
            <w:pPr>
              <w:jc w:val="right"/>
              <w:rPr>
                <w:sz w:val="22"/>
                <w:szCs w:val="22"/>
              </w:rPr>
            </w:pPr>
            <w:r w:rsidRPr="000004BE">
              <w:rPr>
                <w:rFonts w:eastAsia="Calibri"/>
                <w:sz w:val="22"/>
                <w:szCs w:val="22"/>
              </w:rPr>
              <w:t>$1,878,522</w:t>
            </w:r>
          </w:p>
        </w:tc>
      </w:tr>
      <w:tr w:rsidR="00EB04DE" w:rsidRPr="00236176" w14:paraId="510DF8E4" w14:textId="5445CF34" w:rsidTr="00EB04DE">
        <w:trPr>
          <w:trHeight w:val="261"/>
        </w:trPr>
        <w:tc>
          <w:tcPr>
            <w:tcW w:w="5117" w:type="dxa"/>
          </w:tcPr>
          <w:p w14:paraId="0ECD6AEF" w14:textId="77777777" w:rsidR="00EB04DE" w:rsidRPr="00E07DCF" w:rsidRDefault="00EB04DE" w:rsidP="000E73B5">
            <w:pPr>
              <w:rPr>
                <w:snapToGrid w:val="0"/>
                <w:sz w:val="22"/>
                <w:szCs w:val="22"/>
              </w:rPr>
            </w:pPr>
            <w:r w:rsidRPr="00E07DCF">
              <w:rPr>
                <w:snapToGrid w:val="0"/>
                <w:sz w:val="22"/>
                <w:szCs w:val="22"/>
              </w:rPr>
              <w:t>Executive Office of Housing and Economic</w:t>
            </w:r>
            <w:r w:rsidRPr="00E07DCF">
              <w:rPr>
                <w:sz w:val="22"/>
                <w:szCs w:val="22"/>
              </w:rPr>
              <w:t xml:space="preserve"> </w:t>
            </w:r>
            <w:r w:rsidRPr="00E07DCF">
              <w:rPr>
                <w:snapToGrid w:val="0"/>
                <w:sz w:val="22"/>
                <w:szCs w:val="22"/>
              </w:rPr>
              <w:t>Development</w:t>
            </w:r>
          </w:p>
        </w:tc>
        <w:tc>
          <w:tcPr>
            <w:tcW w:w="1519" w:type="dxa"/>
          </w:tcPr>
          <w:p w14:paraId="798C144F" w14:textId="77777777" w:rsidR="00EB04DE" w:rsidRPr="000004BE" w:rsidRDefault="00EB04DE" w:rsidP="0014292E">
            <w:pPr>
              <w:jc w:val="right"/>
              <w:rPr>
                <w:sz w:val="22"/>
                <w:szCs w:val="22"/>
              </w:rPr>
            </w:pPr>
            <w:r w:rsidRPr="000004BE">
              <w:rPr>
                <w:sz w:val="22"/>
                <w:szCs w:val="22"/>
              </w:rPr>
              <w:t>$13,161,194</w:t>
            </w:r>
          </w:p>
        </w:tc>
        <w:tc>
          <w:tcPr>
            <w:tcW w:w="1519" w:type="dxa"/>
          </w:tcPr>
          <w:p w14:paraId="0DF41177" w14:textId="77777777" w:rsidR="00EB04DE" w:rsidRPr="000004BE" w:rsidRDefault="00EB04DE" w:rsidP="0014292E">
            <w:pPr>
              <w:jc w:val="right"/>
              <w:rPr>
                <w:sz w:val="22"/>
                <w:szCs w:val="22"/>
              </w:rPr>
            </w:pPr>
            <w:r w:rsidRPr="000004BE">
              <w:rPr>
                <w:sz w:val="22"/>
                <w:szCs w:val="22"/>
              </w:rPr>
              <w:t>$12,419,752</w:t>
            </w:r>
          </w:p>
        </w:tc>
        <w:tc>
          <w:tcPr>
            <w:tcW w:w="1519" w:type="dxa"/>
          </w:tcPr>
          <w:p w14:paraId="674EB1F5" w14:textId="77777777" w:rsidR="00EB04DE" w:rsidRPr="000004BE" w:rsidRDefault="00EB04DE" w:rsidP="0014292E">
            <w:pPr>
              <w:jc w:val="right"/>
              <w:rPr>
                <w:sz w:val="22"/>
                <w:szCs w:val="22"/>
              </w:rPr>
            </w:pPr>
            <w:r w:rsidRPr="000004BE">
              <w:rPr>
                <w:rFonts w:eastAsia="Calibri"/>
                <w:sz w:val="22"/>
                <w:szCs w:val="22"/>
              </w:rPr>
              <w:t>$14,385,170</w:t>
            </w:r>
          </w:p>
        </w:tc>
      </w:tr>
      <w:tr w:rsidR="00EB04DE" w:rsidRPr="00236176" w14:paraId="4F242F12" w14:textId="26416284" w:rsidTr="00EB04DE">
        <w:trPr>
          <w:trHeight w:val="242"/>
        </w:trPr>
        <w:tc>
          <w:tcPr>
            <w:tcW w:w="5117" w:type="dxa"/>
          </w:tcPr>
          <w:p w14:paraId="20122A75" w14:textId="77777777" w:rsidR="00EB04DE" w:rsidRPr="00E07DCF" w:rsidRDefault="00EB04DE" w:rsidP="000E73B5">
            <w:pPr>
              <w:rPr>
                <w:snapToGrid w:val="0"/>
                <w:sz w:val="22"/>
                <w:szCs w:val="22"/>
              </w:rPr>
            </w:pPr>
            <w:r w:rsidRPr="00E07DCF">
              <w:rPr>
                <w:snapToGrid w:val="0"/>
                <w:sz w:val="22"/>
                <w:szCs w:val="22"/>
              </w:rPr>
              <w:t>Executive Office of Education</w:t>
            </w:r>
          </w:p>
        </w:tc>
        <w:tc>
          <w:tcPr>
            <w:tcW w:w="1519" w:type="dxa"/>
          </w:tcPr>
          <w:p w14:paraId="73F385FE" w14:textId="77777777" w:rsidR="00EB04DE" w:rsidRPr="000004BE" w:rsidRDefault="00EB04DE" w:rsidP="0014292E">
            <w:pPr>
              <w:jc w:val="right"/>
              <w:rPr>
                <w:sz w:val="22"/>
                <w:szCs w:val="22"/>
              </w:rPr>
            </w:pPr>
            <w:r w:rsidRPr="000004BE">
              <w:rPr>
                <w:sz w:val="22"/>
                <w:szCs w:val="22"/>
              </w:rPr>
              <w:t>$35,912,018</w:t>
            </w:r>
          </w:p>
        </w:tc>
        <w:tc>
          <w:tcPr>
            <w:tcW w:w="1519" w:type="dxa"/>
          </w:tcPr>
          <w:p w14:paraId="60686A04" w14:textId="77777777" w:rsidR="00EB04DE" w:rsidRPr="000004BE" w:rsidRDefault="00EB04DE" w:rsidP="0014292E">
            <w:pPr>
              <w:jc w:val="right"/>
              <w:rPr>
                <w:sz w:val="22"/>
                <w:szCs w:val="22"/>
              </w:rPr>
            </w:pPr>
            <w:r w:rsidRPr="000004BE">
              <w:rPr>
                <w:sz w:val="22"/>
                <w:szCs w:val="22"/>
              </w:rPr>
              <w:t>$27,388,512</w:t>
            </w:r>
          </w:p>
        </w:tc>
        <w:tc>
          <w:tcPr>
            <w:tcW w:w="1519" w:type="dxa"/>
          </w:tcPr>
          <w:p w14:paraId="20B80853" w14:textId="77777777" w:rsidR="00EB04DE" w:rsidRPr="000004BE" w:rsidRDefault="00EB04DE" w:rsidP="0014292E">
            <w:pPr>
              <w:jc w:val="right"/>
              <w:rPr>
                <w:sz w:val="22"/>
                <w:szCs w:val="22"/>
              </w:rPr>
            </w:pPr>
            <w:r w:rsidRPr="000004BE">
              <w:rPr>
                <w:rFonts w:eastAsia="Calibri"/>
                <w:sz w:val="22"/>
                <w:szCs w:val="22"/>
              </w:rPr>
              <w:t>$30,178,938</w:t>
            </w:r>
          </w:p>
        </w:tc>
      </w:tr>
      <w:tr w:rsidR="00EB04DE" w:rsidRPr="00236176" w14:paraId="27A493CE" w14:textId="36040150" w:rsidTr="00EB04DE">
        <w:trPr>
          <w:trHeight w:val="334"/>
        </w:trPr>
        <w:tc>
          <w:tcPr>
            <w:tcW w:w="5117" w:type="dxa"/>
          </w:tcPr>
          <w:p w14:paraId="3A2E93FD" w14:textId="77777777" w:rsidR="00EB04DE" w:rsidRPr="00E07DCF" w:rsidRDefault="00EB04DE" w:rsidP="000E73B5">
            <w:pPr>
              <w:rPr>
                <w:snapToGrid w:val="0"/>
                <w:sz w:val="22"/>
                <w:szCs w:val="22"/>
              </w:rPr>
            </w:pPr>
            <w:proofErr w:type="spellStart"/>
            <w:r w:rsidRPr="00E07DCF">
              <w:rPr>
                <w:snapToGrid w:val="0"/>
                <w:sz w:val="22"/>
                <w:szCs w:val="22"/>
              </w:rPr>
              <w:t>MassHousing</w:t>
            </w:r>
            <w:proofErr w:type="spellEnd"/>
          </w:p>
        </w:tc>
        <w:tc>
          <w:tcPr>
            <w:tcW w:w="1519" w:type="dxa"/>
          </w:tcPr>
          <w:p w14:paraId="27F03192" w14:textId="77777777" w:rsidR="00EB04DE" w:rsidRPr="000004BE" w:rsidRDefault="00EB04DE" w:rsidP="0014292E">
            <w:pPr>
              <w:jc w:val="right"/>
              <w:rPr>
                <w:sz w:val="22"/>
                <w:szCs w:val="22"/>
              </w:rPr>
            </w:pPr>
            <w:r w:rsidRPr="000004BE">
              <w:rPr>
                <w:sz w:val="22"/>
                <w:szCs w:val="22"/>
              </w:rPr>
              <w:t>$668,389</w:t>
            </w:r>
          </w:p>
        </w:tc>
        <w:tc>
          <w:tcPr>
            <w:tcW w:w="1519" w:type="dxa"/>
          </w:tcPr>
          <w:p w14:paraId="44AA6DA7" w14:textId="77777777" w:rsidR="00EB04DE" w:rsidRPr="000004BE" w:rsidRDefault="00EB04DE" w:rsidP="0014292E">
            <w:pPr>
              <w:jc w:val="right"/>
              <w:rPr>
                <w:sz w:val="22"/>
                <w:szCs w:val="22"/>
              </w:rPr>
            </w:pPr>
            <w:r w:rsidRPr="000004BE">
              <w:rPr>
                <w:sz w:val="22"/>
                <w:szCs w:val="22"/>
              </w:rPr>
              <w:t>$641,682</w:t>
            </w:r>
          </w:p>
        </w:tc>
        <w:tc>
          <w:tcPr>
            <w:tcW w:w="1519" w:type="dxa"/>
          </w:tcPr>
          <w:p w14:paraId="593D81AC" w14:textId="77777777" w:rsidR="00EB04DE" w:rsidRPr="000004BE" w:rsidRDefault="00EB04DE" w:rsidP="0014292E">
            <w:pPr>
              <w:jc w:val="right"/>
              <w:rPr>
                <w:sz w:val="22"/>
                <w:szCs w:val="22"/>
              </w:rPr>
            </w:pPr>
            <w:r w:rsidRPr="000004BE">
              <w:rPr>
                <w:rFonts w:eastAsia="Calibri"/>
                <w:sz w:val="22"/>
                <w:szCs w:val="22"/>
              </w:rPr>
              <w:t>$877,398</w:t>
            </w:r>
          </w:p>
        </w:tc>
      </w:tr>
      <w:tr w:rsidR="00EB04DE" w:rsidRPr="00236176" w14:paraId="6433C0AA" w14:textId="3F6ADBA2" w:rsidTr="00EB04DE">
        <w:trPr>
          <w:trHeight w:val="175"/>
        </w:trPr>
        <w:tc>
          <w:tcPr>
            <w:tcW w:w="5117" w:type="dxa"/>
          </w:tcPr>
          <w:p w14:paraId="6FC70406" w14:textId="77777777" w:rsidR="00EB04DE" w:rsidRPr="00E07DCF" w:rsidRDefault="00EB04DE" w:rsidP="000E73B5">
            <w:pPr>
              <w:rPr>
                <w:snapToGrid w:val="0"/>
                <w:sz w:val="22"/>
                <w:szCs w:val="22"/>
              </w:rPr>
            </w:pPr>
            <w:r w:rsidRPr="00E07DCF">
              <w:rPr>
                <w:snapToGrid w:val="0"/>
                <w:sz w:val="22"/>
                <w:szCs w:val="22"/>
              </w:rPr>
              <w:t>Center for Health Information and Analysis</w:t>
            </w:r>
          </w:p>
        </w:tc>
        <w:tc>
          <w:tcPr>
            <w:tcW w:w="1519" w:type="dxa"/>
          </w:tcPr>
          <w:p w14:paraId="40F2513E" w14:textId="77777777" w:rsidR="00EB04DE" w:rsidRPr="000004BE" w:rsidRDefault="00EB04DE" w:rsidP="0014292E">
            <w:pPr>
              <w:jc w:val="right"/>
              <w:rPr>
                <w:sz w:val="22"/>
                <w:szCs w:val="22"/>
              </w:rPr>
            </w:pPr>
          </w:p>
        </w:tc>
        <w:tc>
          <w:tcPr>
            <w:tcW w:w="1519" w:type="dxa"/>
          </w:tcPr>
          <w:p w14:paraId="2B238321" w14:textId="77777777" w:rsidR="00EB04DE" w:rsidRPr="000004BE" w:rsidRDefault="00EB04DE" w:rsidP="0014292E">
            <w:pPr>
              <w:jc w:val="right"/>
              <w:rPr>
                <w:sz w:val="22"/>
                <w:szCs w:val="22"/>
              </w:rPr>
            </w:pPr>
            <w:r w:rsidRPr="000004BE">
              <w:rPr>
                <w:sz w:val="22"/>
                <w:szCs w:val="22"/>
              </w:rPr>
              <w:t>$22,408</w:t>
            </w:r>
          </w:p>
        </w:tc>
        <w:tc>
          <w:tcPr>
            <w:tcW w:w="1519" w:type="dxa"/>
          </w:tcPr>
          <w:p w14:paraId="0C6A4708" w14:textId="77777777" w:rsidR="00EB04DE" w:rsidRPr="000004BE" w:rsidRDefault="00EB04DE" w:rsidP="0014292E">
            <w:pPr>
              <w:jc w:val="right"/>
              <w:rPr>
                <w:sz w:val="22"/>
                <w:szCs w:val="22"/>
              </w:rPr>
            </w:pPr>
            <w:r w:rsidRPr="000004BE">
              <w:rPr>
                <w:rFonts w:eastAsia="Calibri"/>
                <w:sz w:val="22"/>
                <w:szCs w:val="22"/>
              </w:rPr>
              <w:t>$1,513,660</w:t>
            </w:r>
          </w:p>
        </w:tc>
      </w:tr>
      <w:tr w:rsidR="00EB04DE" w:rsidRPr="00236176" w14:paraId="3B9475A5" w14:textId="0EFE7F35" w:rsidTr="00EB04DE">
        <w:trPr>
          <w:trHeight w:val="194"/>
        </w:trPr>
        <w:tc>
          <w:tcPr>
            <w:tcW w:w="5117" w:type="dxa"/>
          </w:tcPr>
          <w:p w14:paraId="307333E4" w14:textId="77777777" w:rsidR="00EB04DE" w:rsidRPr="00E07DCF" w:rsidRDefault="00EB04DE" w:rsidP="000E73B5">
            <w:pPr>
              <w:rPr>
                <w:snapToGrid w:val="0"/>
                <w:sz w:val="22"/>
                <w:szCs w:val="22"/>
              </w:rPr>
            </w:pPr>
            <w:r w:rsidRPr="00E07DCF">
              <w:rPr>
                <w:snapToGrid w:val="0"/>
                <w:sz w:val="22"/>
                <w:szCs w:val="22"/>
              </w:rPr>
              <w:t>STATEWIDE TOTAL</w:t>
            </w:r>
          </w:p>
        </w:tc>
        <w:tc>
          <w:tcPr>
            <w:tcW w:w="1519" w:type="dxa"/>
          </w:tcPr>
          <w:p w14:paraId="4E9A8E84" w14:textId="77777777" w:rsidR="00EB04DE" w:rsidRPr="000004BE" w:rsidRDefault="00EB04DE" w:rsidP="0014292E">
            <w:pPr>
              <w:jc w:val="right"/>
              <w:rPr>
                <w:snapToGrid w:val="0"/>
                <w:sz w:val="22"/>
                <w:szCs w:val="22"/>
              </w:rPr>
            </w:pPr>
            <w:r w:rsidRPr="000004BE">
              <w:rPr>
                <w:snapToGrid w:val="0"/>
                <w:sz w:val="22"/>
                <w:szCs w:val="22"/>
              </w:rPr>
              <w:t>$243,338,712</w:t>
            </w:r>
          </w:p>
        </w:tc>
        <w:tc>
          <w:tcPr>
            <w:tcW w:w="1519" w:type="dxa"/>
          </w:tcPr>
          <w:p w14:paraId="1A5A2BE2" w14:textId="77777777" w:rsidR="00EB04DE" w:rsidRPr="000004BE" w:rsidRDefault="00EB04DE" w:rsidP="0014292E">
            <w:pPr>
              <w:jc w:val="right"/>
              <w:rPr>
                <w:snapToGrid w:val="0"/>
                <w:sz w:val="22"/>
                <w:szCs w:val="22"/>
              </w:rPr>
            </w:pPr>
            <w:r w:rsidRPr="000004BE">
              <w:rPr>
                <w:snapToGrid w:val="0"/>
                <w:sz w:val="22"/>
                <w:szCs w:val="22"/>
              </w:rPr>
              <w:t>$229,169,152</w:t>
            </w:r>
          </w:p>
        </w:tc>
        <w:tc>
          <w:tcPr>
            <w:tcW w:w="1519" w:type="dxa"/>
          </w:tcPr>
          <w:p w14:paraId="10522CFC" w14:textId="77777777" w:rsidR="00EB04DE" w:rsidRPr="000004BE" w:rsidRDefault="00EB04DE" w:rsidP="0014292E">
            <w:pPr>
              <w:jc w:val="right"/>
              <w:rPr>
                <w:snapToGrid w:val="0"/>
                <w:sz w:val="22"/>
                <w:szCs w:val="22"/>
              </w:rPr>
            </w:pPr>
            <w:r w:rsidRPr="000004BE">
              <w:rPr>
                <w:snapToGrid w:val="0"/>
                <w:sz w:val="22"/>
                <w:szCs w:val="22"/>
              </w:rPr>
              <w:t>$</w:t>
            </w:r>
            <w:r w:rsidRPr="000004BE">
              <w:rPr>
                <w:rFonts w:eastAsia="Calibri"/>
                <w:snapToGrid w:val="0"/>
                <w:color w:val="000000"/>
                <w:sz w:val="22"/>
                <w:szCs w:val="22"/>
              </w:rPr>
              <w:t>247,150,817</w:t>
            </w:r>
          </w:p>
        </w:tc>
      </w:tr>
    </w:tbl>
    <w:p w14:paraId="1B8819EB" w14:textId="77777777" w:rsidR="00EB04DE" w:rsidRDefault="00EB04DE" w:rsidP="00EB04DE">
      <w:pPr>
        <w:rPr>
          <w:snapToGrid w:val="0"/>
        </w:rPr>
      </w:pPr>
    </w:p>
    <w:p w14:paraId="49721A53" w14:textId="3839C6B0" w:rsidR="00F96690" w:rsidRDefault="00EB04DE" w:rsidP="00EB04DE">
      <w:pPr>
        <w:rPr>
          <w:snapToGrid w:val="0"/>
        </w:rPr>
      </w:pPr>
      <w:r w:rsidRPr="00EB04DE">
        <w:rPr>
          <w:snapToGrid w:val="0"/>
        </w:rPr>
        <w:t>WOMEN BUSINESS ENTERPRISES (WBE)</w:t>
      </w:r>
      <w:r>
        <w:rPr>
          <w:snapToGrid w:val="0"/>
        </w:rPr>
        <w:t xml:space="preserve"> </w:t>
      </w:r>
      <w:r w:rsidRPr="00EB04DE">
        <w:rPr>
          <w:snapToGrid w:val="0"/>
        </w:rPr>
        <w:t>STATEWIDE EXPENDITURES</w:t>
      </w:r>
    </w:p>
    <w:tbl>
      <w:tblPr>
        <w:tblStyle w:val="TableGrid1"/>
        <w:tblpPr w:leftFromText="180" w:rightFromText="180" w:vertAnchor="text" w:horzAnchor="margin" w:tblpX="-48" w:tblpY="163"/>
        <w:tblW w:w="9667" w:type="dxa"/>
        <w:tblLayout w:type="fixed"/>
        <w:tblLook w:val="0020" w:firstRow="1" w:lastRow="0" w:firstColumn="0" w:lastColumn="0" w:noHBand="0" w:noVBand="0"/>
        <w:tblCaption w:val="table shows WBE spend by secretariat for FY2010, FY2011, and FY2012"/>
        <w:tblDescription w:val="this table shows WBE spend by secretariat for FY2010, FY2011, and FY2012 - where total FY2012 is $507,086,704, FY2011 is $528,569,763, and FY2012 is $578,854,638."/>
      </w:tblPr>
      <w:tblGrid>
        <w:gridCol w:w="5152"/>
        <w:gridCol w:w="1439"/>
        <w:gridCol w:w="1586"/>
        <w:gridCol w:w="1490"/>
      </w:tblGrid>
      <w:tr w:rsidR="00EB04DE" w:rsidRPr="00236176" w14:paraId="513EF13C" w14:textId="1309F395" w:rsidTr="00EB04DE">
        <w:trPr>
          <w:trHeight w:val="308"/>
        </w:trPr>
        <w:tc>
          <w:tcPr>
            <w:tcW w:w="5152" w:type="dxa"/>
          </w:tcPr>
          <w:p w14:paraId="2451FF4A" w14:textId="5F6B6299" w:rsidR="00EB04DE" w:rsidRPr="00FF6230" w:rsidRDefault="00EB04DE" w:rsidP="0092617E">
            <w:pPr>
              <w:rPr>
                <w:snapToGrid w:val="0"/>
              </w:rPr>
            </w:pPr>
            <w:r>
              <w:t>Secretariat / Entity Name</w:t>
            </w:r>
          </w:p>
        </w:tc>
        <w:tc>
          <w:tcPr>
            <w:tcW w:w="1439" w:type="dxa"/>
          </w:tcPr>
          <w:p w14:paraId="78BB803D" w14:textId="77777777" w:rsidR="00EB04DE" w:rsidRPr="00FF6230" w:rsidRDefault="00EB04DE" w:rsidP="0014292E">
            <w:pPr>
              <w:rPr>
                <w:snapToGrid w:val="0"/>
              </w:rPr>
            </w:pPr>
            <w:r w:rsidRPr="00FF6230">
              <w:rPr>
                <w:snapToGrid w:val="0"/>
              </w:rPr>
              <w:t>FY2012</w:t>
            </w:r>
          </w:p>
        </w:tc>
        <w:tc>
          <w:tcPr>
            <w:tcW w:w="1586" w:type="dxa"/>
          </w:tcPr>
          <w:p w14:paraId="4C339381" w14:textId="77777777" w:rsidR="00EB04DE" w:rsidRPr="00FF6230" w:rsidRDefault="00EB04DE" w:rsidP="0014292E">
            <w:pPr>
              <w:rPr>
                <w:snapToGrid w:val="0"/>
              </w:rPr>
            </w:pPr>
            <w:r w:rsidRPr="00FF6230">
              <w:rPr>
                <w:snapToGrid w:val="0"/>
              </w:rPr>
              <w:t>FY2013</w:t>
            </w:r>
          </w:p>
        </w:tc>
        <w:tc>
          <w:tcPr>
            <w:tcW w:w="1490" w:type="dxa"/>
          </w:tcPr>
          <w:p w14:paraId="71AE92B4" w14:textId="77777777" w:rsidR="00EB04DE" w:rsidRPr="00FF6230" w:rsidRDefault="00EB04DE" w:rsidP="0014292E">
            <w:pPr>
              <w:rPr>
                <w:snapToGrid w:val="0"/>
              </w:rPr>
            </w:pPr>
            <w:r>
              <w:rPr>
                <w:snapToGrid w:val="0"/>
              </w:rPr>
              <w:t>FY2014</w:t>
            </w:r>
          </w:p>
        </w:tc>
      </w:tr>
      <w:tr w:rsidR="00EB04DE" w:rsidRPr="00236176" w14:paraId="04966352" w14:textId="45EFB602" w:rsidTr="00EB04DE">
        <w:trPr>
          <w:trHeight w:val="187"/>
        </w:trPr>
        <w:tc>
          <w:tcPr>
            <w:tcW w:w="5152" w:type="dxa"/>
          </w:tcPr>
          <w:p w14:paraId="76B96FB9" w14:textId="77777777" w:rsidR="00EB04DE" w:rsidRPr="008560B7" w:rsidRDefault="00EB04DE" w:rsidP="0014292E">
            <w:pPr>
              <w:rPr>
                <w:snapToGrid w:val="0"/>
                <w:sz w:val="22"/>
                <w:szCs w:val="22"/>
              </w:rPr>
            </w:pPr>
            <w:r w:rsidRPr="008560B7">
              <w:rPr>
                <w:snapToGrid w:val="0"/>
                <w:sz w:val="22"/>
                <w:szCs w:val="22"/>
              </w:rPr>
              <w:t>Office of the Governor</w:t>
            </w:r>
          </w:p>
        </w:tc>
        <w:tc>
          <w:tcPr>
            <w:tcW w:w="1439" w:type="dxa"/>
          </w:tcPr>
          <w:p w14:paraId="42FFFFBF" w14:textId="77777777" w:rsidR="00EB04DE" w:rsidRPr="008560B7" w:rsidRDefault="00EB04DE" w:rsidP="0014292E">
            <w:pPr>
              <w:jc w:val="right"/>
              <w:rPr>
                <w:snapToGrid w:val="0"/>
                <w:sz w:val="22"/>
                <w:szCs w:val="22"/>
              </w:rPr>
            </w:pPr>
            <w:r w:rsidRPr="008560B7">
              <w:rPr>
                <w:snapToGrid w:val="0"/>
                <w:sz w:val="22"/>
                <w:szCs w:val="22"/>
              </w:rPr>
              <w:t>$15,917</w:t>
            </w:r>
          </w:p>
        </w:tc>
        <w:tc>
          <w:tcPr>
            <w:tcW w:w="1586" w:type="dxa"/>
          </w:tcPr>
          <w:p w14:paraId="72031FD2" w14:textId="77777777" w:rsidR="00EB04DE" w:rsidRPr="008560B7" w:rsidRDefault="00EB04DE" w:rsidP="0014292E">
            <w:pPr>
              <w:jc w:val="right"/>
              <w:rPr>
                <w:snapToGrid w:val="0"/>
                <w:sz w:val="22"/>
                <w:szCs w:val="22"/>
              </w:rPr>
            </w:pPr>
            <w:r w:rsidRPr="008560B7">
              <w:rPr>
                <w:snapToGrid w:val="0"/>
                <w:sz w:val="22"/>
                <w:szCs w:val="22"/>
              </w:rPr>
              <w:t>$13,018</w:t>
            </w:r>
          </w:p>
        </w:tc>
        <w:tc>
          <w:tcPr>
            <w:tcW w:w="1490" w:type="dxa"/>
          </w:tcPr>
          <w:p w14:paraId="7CE8A888" w14:textId="77777777" w:rsidR="00EB04DE" w:rsidRPr="0036798A" w:rsidRDefault="00EB04DE" w:rsidP="0014292E">
            <w:pPr>
              <w:jc w:val="right"/>
              <w:rPr>
                <w:snapToGrid w:val="0"/>
                <w:sz w:val="22"/>
                <w:szCs w:val="22"/>
              </w:rPr>
            </w:pPr>
            <w:r w:rsidRPr="0036798A">
              <w:rPr>
                <w:rFonts w:eastAsia="Calibri"/>
                <w:snapToGrid w:val="0"/>
                <w:color w:val="000000"/>
                <w:sz w:val="22"/>
                <w:szCs w:val="22"/>
              </w:rPr>
              <w:t>$14,469</w:t>
            </w:r>
          </w:p>
        </w:tc>
      </w:tr>
      <w:tr w:rsidR="00EB04DE" w:rsidRPr="00236176" w14:paraId="3B452DA8" w14:textId="11D32150" w:rsidTr="00EB04DE">
        <w:trPr>
          <w:trHeight w:val="215"/>
        </w:trPr>
        <w:tc>
          <w:tcPr>
            <w:tcW w:w="5152" w:type="dxa"/>
          </w:tcPr>
          <w:p w14:paraId="186CE249" w14:textId="77777777" w:rsidR="00EB04DE" w:rsidRPr="008560B7" w:rsidRDefault="00EB04DE" w:rsidP="0014292E">
            <w:pPr>
              <w:rPr>
                <w:snapToGrid w:val="0"/>
                <w:sz w:val="22"/>
                <w:szCs w:val="22"/>
              </w:rPr>
            </w:pPr>
            <w:r w:rsidRPr="008560B7">
              <w:rPr>
                <w:snapToGrid w:val="0"/>
                <w:sz w:val="22"/>
                <w:szCs w:val="22"/>
              </w:rPr>
              <w:t>Executive Office for Administration and Finance</w:t>
            </w:r>
          </w:p>
        </w:tc>
        <w:tc>
          <w:tcPr>
            <w:tcW w:w="1439" w:type="dxa"/>
          </w:tcPr>
          <w:p w14:paraId="2431C56A" w14:textId="77777777" w:rsidR="00EB04DE" w:rsidRPr="008560B7" w:rsidRDefault="00EB04DE" w:rsidP="0014292E">
            <w:pPr>
              <w:jc w:val="right"/>
              <w:rPr>
                <w:snapToGrid w:val="0"/>
                <w:sz w:val="22"/>
                <w:szCs w:val="22"/>
              </w:rPr>
            </w:pPr>
            <w:r w:rsidRPr="008560B7">
              <w:rPr>
                <w:snapToGrid w:val="0"/>
                <w:sz w:val="22"/>
                <w:szCs w:val="22"/>
              </w:rPr>
              <w:t>$8,559,535</w:t>
            </w:r>
          </w:p>
        </w:tc>
        <w:tc>
          <w:tcPr>
            <w:tcW w:w="1586" w:type="dxa"/>
          </w:tcPr>
          <w:p w14:paraId="246F4482" w14:textId="77777777" w:rsidR="00EB04DE" w:rsidRPr="008560B7" w:rsidRDefault="00EB04DE" w:rsidP="0014292E">
            <w:pPr>
              <w:jc w:val="right"/>
              <w:rPr>
                <w:snapToGrid w:val="0"/>
                <w:sz w:val="22"/>
                <w:szCs w:val="22"/>
              </w:rPr>
            </w:pPr>
            <w:r w:rsidRPr="008560B7">
              <w:rPr>
                <w:snapToGrid w:val="0"/>
                <w:sz w:val="22"/>
                <w:szCs w:val="22"/>
              </w:rPr>
              <w:t>$13,635,504</w:t>
            </w:r>
          </w:p>
        </w:tc>
        <w:tc>
          <w:tcPr>
            <w:tcW w:w="1490" w:type="dxa"/>
          </w:tcPr>
          <w:p w14:paraId="5BA3F043" w14:textId="77777777" w:rsidR="00EB04DE" w:rsidRPr="0036798A" w:rsidRDefault="00EB04DE" w:rsidP="0014292E">
            <w:pPr>
              <w:jc w:val="right"/>
              <w:rPr>
                <w:snapToGrid w:val="0"/>
                <w:sz w:val="22"/>
                <w:szCs w:val="22"/>
              </w:rPr>
            </w:pPr>
            <w:r w:rsidRPr="0036798A">
              <w:rPr>
                <w:rFonts w:eastAsia="Calibri"/>
                <w:snapToGrid w:val="0"/>
                <w:color w:val="000000"/>
                <w:sz w:val="22"/>
                <w:szCs w:val="22"/>
              </w:rPr>
              <w:t>$13,807,880</w:t>
            </w:r>
          </w:p>
        </w:tc>
      </w:tr>
      <w:tr w:rsidR="00EB04DE" w:rsidRPr="00236176" w14:paraId="043647C9" w14:textId="1B8C0B19" w:rsidTr="00EB04DE">
        <w:trPr>
          <w:trHeight w:val="243"/>
        </w:trPr>
        <w:tc>
          <w:tcPr>
            <w:tcW w:w="5152" w:type="dxa"/>
          </w:tcPr>
          <w:p w14:paraId="67F54E69" w14:textId="77777777" w:rsidR="00EB04DE" w:rsidRPr="008560B7" w:rsidRDefault="00EB04DE" w:rsidP="0014292E">
            <w:pPr>
              <w:rPr>
                <w:snapToGrid w:val="0"/>
                <w:sz w:val="22"/>
                <w:szCs w:val="22"/>
              </w:rPr>
            </w:pPr>
            <w:r w:rsidRPr="008560B7">
              <w:rPr>
                <w:snapToGrid w:val="0"/>
                <w:sz w:val="22"/>
                <w:szCs w:val="22"/>
              </w:rPr>
              <w:t>Comptroller of the Commonwealth</w:t>
            </w:r>
          </w:p>
        </w:tc>
        <w:tc>
          <w:tcPr>
            <w:tcW w:w="1439" w:type="dxa"/>
          </w:tcPr>
          <w:p w14:paraId="48CDFDD1" w14:textId="77777777" w:rsidR="00EB04DE" w:rsidRPr="008560B7" w:rsidRDefault="00EB04DE" w:rsidP="0014292E">
            <w:pPr>
              <w:jc w:val="right"/>
              <w:rPr>
                <w:sz w:val="22"/>
                <w:szCs w:val="22"/>
              </w:rPr>
            </w:pPr>
            <w:r w:rsidRPr="008560B7">
              <w:rPr>
                <w:sz w:val="22"/>
                <w:szCs w:val="22"/>
              </w:rPr>
              <w:t>$94,587</w:t>
            </w:r>
          </w:p>
        </w:tc>
        <w:tc>
          <w:tcPr>
            <w:tcW w:w="1586" w:type="dxa"/>
          </w:tcPr>
          <w:p w14:paraId="218F1571" w14:textId="77777777" w:rsidR="00EB04DE" w:rsidRPr="008560B7" w:rsidRDefault="00EB04DE" w:rsidP="0014292E">
            <w:pPr>
              <w:jc w:val="right"/>
              <w:rPr>
                <w:sz w:val="22"/>
                <w:szCs w:val="22"/>
              </w:rPr>
            </w:pPr>
            <w:r w:rsidRPr="008560B7">
              <w:rPr>
                <w:sz w:val="22"/>
                <w:szCs w:val="22"/>
              </w:rPr>
              <w:t>$385,042</w:t>
            </w:r>
          </w:p>
        </w:tc>
        <w:tc>
          <w:tcPr>
            <w:tcW w:w="1490" w:type="dxa"/>
          </w:tcPr>
          <w:p w14:paraId="093653B7" w14:textId="77777777" w:rsidR="00EB04DE" w:rsidRPr="0036798A" w:rsidRDefault="00EB04DE" w:rsidP="0014292E">
            <w:pPr>
              <w:jc w:val="right"/>
              <w:rPr>
                <w:sz w:val="22"/>
                <w:szCs w:val="22"/>
              </w:rPr>
            </w:pPr>
            <w:r w:rsidRPr="0036798A">
              <w:rPr>
                <w:rFonts w:eastAsia="Calibri"/>
                <w:sz w:val="22"/>
                <w:szCs w:val="22"/>
              </w:rPr>
              <w:t>$354,071</w:t>
            </w:r>
          </w:p>
        </w:tc>
      </w:tr>
      <w:tr w:rsidR="00EB04DE" w:rsidRPr="00236176" w14:paraId="2BA271F1" w14:textId="1E90A4CB" w:rsidTr="00EB04DE">
        <w:trPr>
          <w:trHeight w:val="262"/>
        </w:trPr>
        <w:tc>
          <w:tcPr>
            <w:tcW w:w="5152" w:type="dxa"/>
          </w:tcPr>
          <w:p w14:paraId="316C9541" w14:textId="77777777" w:rsidR="00EB04DE" w:rsidRPr="008560B7" w:rsidRDefault="00EB04DE" w:rsidP="0014292E">
            <w:pPr>
              <w:rPr>
                <w:snapToGrid w:val="0"/>
                <w:sz w:val="22"/>
                <w:szCs w:val="22"/>
              </w:rPr>
            </w:pPr>
            <w:r w:rsidRPr="008560B7">
              <w:rPr>
                <w:snapToGrid w:val="0"/>
                <w:sz w:val="22"/>
                <w:szCs w:val="22"/>
              </w:rPr>
              <w:t>Commission Against Discrimination</w:t>
            </w:r>
          </w:p>
        </w:tc>
        <w:tc>
          <w:tcPr>
            <w:tcW w:w="1439" w:type="dxa"/>
          </w:tcPr>
          <w:p w14:paraId="2DA6B109" w14:textId="77777777" w:rsidR="00EB04DE" w:rsidRPr="008560B7" w:rsidRDefault="00EB04DE" w:rsidP="0014292E">
            <w:pPr>
              <w:jc w:val="right"/>
              <w:rPr>
                <w:sz w:val="22"/>
                <w:szCs w:val="22"/>
              </w:rPr>
            </w:pPr>
            <w:r w:rsidRPr="008560B7">
              <w:rPr>
                <w:sz w:val="22"/>
                <w:szCs w:val="22"/>
              </w:rPr>
              <w:t>$41,791</w:t>
            </w:r>
          </w:p>
        </w:tc>
        <w:tc>
          <w:tcPr>
            <w:tcW w:w="1586" w:type="dxa"/>
          </w:tcPr>
          <w:p w14:paraId="6EE2789D" w14:textId="77777777" w:rsidR="00EB04DE" w:rsidRPr="008560B7" w:rsidRDefault="00EB04DE" w:rsidP="0014292E">
            <w:pPr>
              <w:jc w:val="right"/>
              <w:rPr>
                <w:sz w:val="22"/>
                <w:szCs w:val="22"/>
              </w:rPr>
            </w:pPr>
            <w:r w:rsidRPr="008560B7">
              <w:rPr>
                <w:sz w:val="22"/>
                <w:szCs w:val="22"/>
              </w:rPr>
              <w:t>$63,777</w:t>
            </w:r>
          </w:p>
        </w:tc>
        <w:tc>
          <w:tcPr>
            <w:tcW w:w="1490" w:type="dxa"/>
          </w:tcPr>
          <w:p w14:paraId="013A10C8" w14:textId="77777777" w:rsidR="00EB04DE" w:rsidRPr="0036798A" w:rsidRDefault="00EB04DE" w:rsidP="0014292E">
            <w:pPr>
              <w:jc w:val="right"/>
              <w:rPr>
                <w:sz w:val="22"/>
                <w:szCs w:val="22"/>
              </w:rPr>
            </w:pPr>
            <w:r w:rsidRPr="0036798A">
              <w:rPr>
                <w:rFonts w:eastAsia="Calibri"/>
                <w:sz w:val="22"/>
                <w:szCs w:val="22"/>
              </w:rPr>
              <w:t>$83,572</w:t>
            </w:r>
          </w:p>
        </w:tc>
      </w:tr>
      <w:tr w:rsidR="00EB04DE" w:rsidRPr="00236176" w14:paraId="5AFAF465" w14:textId="046EA9D9" w:rsidTr="00EB04DE">
        <w:trPr>
          <w:trHeight w:val="262"/>
        </w:trPr>
        <w:tc>
          <w:tcPr>
            <w:tcW w:w="5152" w:type="dxa"/>
          </w:tcPr>
          <w:p w14:paraId="11FA079E" w14:textId="77777777" w:rsidR="00EB04DE" w:rsidRPr="008560B7" w:rsidRDefault="00EB04DE" w:rsidP="0014292E">
            <w:pPr>
              <w:rPr>
                <w:snapToGrid w:val="0"/>
                <w:sz w:val="22"/>
                <w:szCs w:val="22"/>
              </w:rPr>
            </w:pPr>
            <w:r w:rsidRPr="008560B7">
              <w:rPr>
                <w:snapToGrid w:val="0"/>
                <w:sz w:val="22"/>
                <w:szCs w:val="22"/>
              </w:rPr>
              <w:t>Disabled Persons Protection Commission</w:t>
            </w:r>
          </w:p>
        </w:tc>
        <w:tc>
          <w:tcPr>
            <w:tcW w:w="1439" w:type="dxa"/>
          </w:tcPr>
          <w:p w14:paraId="4002E7F1" w14:textId="77777777" w:rsidR="00EB04DE" w:rsidRPr="008560B7" w:rsidRDefault="00EB04DE" w:rsidP="0014292E">
            <w:pPr>
              <w:jc w:val="right"/>
              <w:rPr>
                <w:sz w:val="22"/>
                <w:szCs w:val="22"/>
              </w:rPr>
            </w:pPr>
            <w:r w:rsidRPr="008560B7">
              <w:rPr>
                <w:sz w:val="22"/>
                <w:szCs w:val="22"/>
              </w:rPr>
              <w:t>$29,846</w:t>
            </w:r>
          </w:p>
        </w:tc>
        <w:tc>
          <w:tcPr>
            <w:tcW w:w="1586" w:type="dxa"/>
          </w:tcPr>
          <w:p w14:paraId="4A88D8D6" w14:textId="77777777" w:rsidR="00EB04DE" w:rsidRPr="008560B7" w:rsidRDefault="00EB04DE" w:rsidP="0014292E">
            <w:pPr>
              <w:jc w:val="right"/>
              <w:rPr>
                <w:sz w:val="22"/>
                <w:szCs w:val="22"/>
              </w:rPr>
            </w:pPr>
            <w:r w:rsidRPr="008560B7">
              <w:rPr>
                <w:sz w:val="22"/>
                <w:szCs w:val="22"/>
              </w:rPr>
              <w:t>$23,407</w:t>
            </w:r>
          </w:p>
        </w:tc>
        <w:tc>
          <w:tcPr>
            <w:tcW w:w="1490" w:type="dxa"/>
          </w:tcPr>
          <w:p w14:paraId="7EF36873" w14:textId="77777777" w:rsidR="00EB04DE" w:rsidRPr="0036798A" w:rsidRDefault="00EB04DE" w:rsidP="0014292E">
            <w:pPr>
              <w:jc w:val="right"/>
              <w:rPr>
                <w:sz w:val="22"/>
                <w:szCs w:val="22"/>
              </w:rPr>
            </w:pPr>
            <w:r w:rsidRPr="0036798A">
              <w:rPr>
                <w:rFonts w:eastAsia="Calibri"/>
                <w:sz w:val="22"/>
                <w:szCs w:val="22"/>
              </w:rPr>
              <w:t>$35,419</w:t>
            </w:r>
          </w:p>
        </w:tc>
      </w:tr>
      <w:tr w:rsidR="00EB04DE" w:rsidRPr="00236176" w14:paraId="11CF7335" w14:textId="778E9992" w:rsidTr="00EB04DE">
        <w:trPr>
          <w:trHeight w:val="262"/>
        </w:trPr>
        <w:tc>
          <w:tcPr>
            <w:tcW w:w="5152" w:type="dxa"/>
          </w:tcPr>
          <w:p w14:paraId="687EA0D4" w14:textId="77777777" w:rsidR="00EB04DE" w:rsidRPr="008560B7" w:rsidRDefault="00EB04DE" w:rsidP="0014292E">
            <w:pPr>
              <w:rPr>
                <w:snapToGrid w:val="0"/>
                <w:sz w:val="22"/>
                <w:szCs w:val="22"/>
              </w:rPr>
            </w:pPr>
            <w:r w:rsidRPr="008560B7">
              <w:rPr>
                <w:snapToGrid w:val="0"/>
                <w:sz w:val="22"/>
                <w:szCs w:val="22"/>
              </w:rPr>
              <w:t>Executive Office of Energy and Environmental Affairs</w:t>
            </w:r>
          </w:p>
        </w:tc>
        <w:tc>
          <w:tcPr>
            <w:tcW w:w="1439" w:type="dxa"/>
          </w:tcPr>
          <w:p w14:paraId="5CECD28F" w14:textId="77777777" w:rsidR="00EB04DE" w:rsidRPr="008560B7" w:rsidRDefault="00EB04DE" w:rsidP="0014292E">
            <w:pPr>
              <w:jc w:val="right"/>
              <w:rPr>
                <w:sz w:val="22"/>
                <w:szCs w:val="22"/>
              </w:rPr>
            </w:pPr>
            <w:r w:rsidRPr="008560B7">
              <w:rPr>
                <w:sz w:val="22"/>
                <w:szCs w:val="22"/>
              </w:rPr>
              <w:t>$6,671,910</w:t>
            </w:r>
          </w:p>
        </w:tc>
        <w:tc>
          <w:tcPr>
            <w:tcW w:w="1586" w:type="dxa"/>
          </w:tcPr>
          <w:p w14:paraId="0456A739" w14:textId="77777777" w:rsidR="00EB04DE" w:rsidRPr="008560B7" w:rsidRDefault="00EB04DE" w:rsidP="0014292E">
            <w:pPr>
              <w:jc w:val="right"/>
              <w:rPr>
                <w:sz w:val="22"/>
                <w:szCs w:val="22"/>
              </w:rPr>
            </w:pPr>
            <w:r w:rsidRPr="008560B7">
              <w:rPr>
                <w:sz w:val="22"/>
                <w:szCs w:val="22"/>
              </w:rPr>
              <w:t>$6,553,444</w:t>
            </w:r>
          </w:p>
        </w:tc>
        <w:tc>
          <w:tcPr>
            <w:tcW w:w="1490" w:type="dxa"/>
          </w:tcPr>
          <w:p w14:paraId="0B59DF12" w14:textId="77777777" w:rsidR="00EB04DE" w:rsidRPr="0036798A" w:rsidRDefault="00EB04DE" w:rsidP="0014292E">
            <w:pPr>
              <w:jc w:val="right"/>
              <w:rPr>
                <w:sz w:val="22"/>
                <w:szCs w:val="22"/>
              </w:rPr>
            </w:pPr>
            <w:r w:rsidRPr="0036798A">
              <w:rPr>
                <w:rFonts w:eastAsia="Calibri"/>
                <w:sz w:val="22"/>
                <w:szCs w:val="22"/>
              </w:rPr>
              <w:t>$6,659,832</w:t>
            </w:r>
          </w:p>
        </w:tc>
      </w:tr>
      <w:tr w:rsidR="00EB04DE" w:rsidRPr="00236176" w14:paraId="068AA8FD" w14:textId="725AAB86" w:rsidTr="00EB04DE">
        <w:trPr>
          <w:trHeight w:val="177"/>
        </w:trPr>
        <w:tc>
          <w:tcPr>
            <w:tcW w:w="5152" w:type="dxa"/>
          </w:tcPr>
          <w:p w14:paraId="5E837E89" w14:textId="77777777" w:rsidR="00EB04DE" w:rsidRPr="008560B7" w:rsidRDefault="00EB04DE" w:rsidP="0014292E">
            <w:pPr>
              <w:rPr>
                <w:snapToGrid w:val="0"/>
                <w:sz w:val="22"/>
                <w:szCs w:val="22"/>
              </w:rPr>
            </w:pPr>
            <w:r w:rsidRPr="008560B7">
              <w:rPr>
                <w:snapToGrid w:val="0"/>
                <w:sz w:val="22"/>
                <w:szCs w:val="22"/>
              </w:rPr>
              <w:t>Executive Office of Health and Human Services</w:t>
            </w:r>
          </w:p>
        </w:tc>
        <w:tc>
          <w:tcPr>
            <w:tcW w:w="1439" w:type="dxa"/>
          </w:tcPr>
          <w:p w14:paraId="759A3624" w14:textId="77777777" w:rsidR="00EB04DE" w:rsidRPr="008560B7" w:rsidRDefault="00EB04DE" w:rsidP="0014292E">
            <w:pPr>
              <w:jc w:val="right"/>
              <w:rPr>
                <w:sz w:val="22"/>
                <w:szCs w:val="22"/>
              </w:rPr>
            </w:pPr>
            <w:r w:rsidRPr="008560B7">
              <w:rPr>
                <w:sz w:val="22"/>
                <w:szCs w:val="22"/>
              </w:rPr>
              <w:t>$337,629,282</w:t>
            </w:r>
          </w:p>
        </w:tc>
        <w:tc>
          <w:tcPr>
            <w:tcW w:w="1586" w:type="dxa"/>
          </w:tcPr>
          <w:p w14:paraId="381C0441" w14:textId="77777777" w:rsidR="00EB04DE" w:rsidRPr="008560B7" w:rsidRDefault="00EB04DE" w:rsidP="0014292E">
            <w:pPr>
              <w:jc w:val="right"/>
              <w:rPr>
                <w:sz w:val="22"/>
                <w:szCs w:val="22"/>
              </w:rPr>
            </w:pPr>
            <w:r w:rsidRPr="008560B7">
              <w:rPr>
                <w:sz w:val="22"/>
                <w:szCs w:val="22"/>
              </w:rPr>
              <w:t>$363,784,053</w:t>
            </w:r>
          </w:p>
        </w:tc>
        <w:tc>
          <w:tcPr>
            <w:tcW w:w="1490" w:type="dxa"/>
          </w:tcPr>
          <w:p w14:paraId="25DC1126" w14:textId="77777777" w:rsidR="00EB04DE" w:rsidRPr="0036798A" w:rsidRDefault="00EB04DE" w:rsidP="0014292E">
            <w:pPr>
              <w:jc w:val="right"/>
              <w:rPr>
                <w:sz w:val="22"/>
                <w:szCs w:val="22"/>
              </w:rPr>
            </w:pPr>
            <w:r w:rsidRPr="0036798A">
              <w:rPr>
                <w:rFonts w:eastAsia="Calibri"/>
                <w:sz w:val="22"/>
                <w:szCs w:val="22"/>
              </w:rPr>
              <w:t>$372,679,006</w:t>
            </w:r>
          </w:p>
        </w:tc>
      </w:tr>
      <w:tr w:rsidR="00EB04DE" w:rsidRPr="00236176" w14:paraId="150B7251" w14:textId="2D2A1BD2" w:rsidTr="00EB04DE">
        <w:trPr>
          <w:trHeight w:val="355"/>
        </w:trPr>
        <w:tc>
          <w:tcPr>
            <w:tcW w:w="5152" w:type="dxa"/>
          </w:tcPr>
          <w:p w14:paraId="10819EA5" w14:textId="77777777" w:rsidR="00EB04DE" w:rsidRPr="008560B7" w:rsidRDefault="00EB04DE" w:rsidP="0014292E">
            <w:pPr>
              <w:rPr>
                <w:snapToGrid w:val="0"/>
                <w:sz w:val="22"/>
                <w:szCs w:val="22"/>
              </w:rPr>
            </w:pPr>
            <w:r w:rsidRPr="008560B7">
              <w:rPr>
                <w:snapToGrid w:val="0"/>
                <w:sz w:val="22"/>
                <w:szCs w:val="22"/>
              </w:rPr>
              <w:t>Executive Office of Public Safety and Security</w:t>
            </w:r>
          </w:p>
        </w:tc>
        <w:tc>
          <w:tcPr>
            <w:tcW w:w="1439" w:type="dxa"/>
          </w:tcPr>
          <w:p w14:paraId="57AFE446" w14:textId="77777777" w:rsidR="00EB04DE" w:rsidRPr="008560B7" w:rsidRDefault="00EB04DE" w:rsidP="0014292E">
            <w:pPr>
              <w:jc w:val="right"/>
              <w:rPr>
                <w:sz w:val="22"/>
                <w:szCs w:val="22"/>
              </w:rPr>
            </w:pPr>
            <w:r w:rsidRPr="008560B7">
              <w:rPr>
                <w:sz w:val="22"/>
                <w:szCs w:val="22"/>
              </w:rPr>
              <w:t>$6,514,495</w:t>
            </w:r>
          </w:p>
        </w:tc>
        <w:tc>
          <w:tcPr>
            <w:tcW w:w="1586" w:type="dxa"/>
          </w:tcPr>
          <w:p w14:paraId="11D54473" w14:textId="77777777" w:rsidR="00EB04DE" w:rsidRPr="008560B7" w:rsidRDefault="00EB04DE" w:rsidP="0014292E">
            <w:pPr>
              <w:jc w:val="right"/>
              <w:rPr>
                <w:sz w:val="22"/>
                <w:szCs w:val="22"/>
              </w:rPr>
            </w:pPr>
            <w:r w:rsidRPr="008560B7">
              <w:rPr>
                <w:sz w:val="22"/>
                <w:szCs w:val="22"/>
              </w:rPr>
              <w:t>$5,732,856</w:t>
            </w:r>
          </w:p>
        </w:tc>
        <w:tc>
          <w:tcPr>
            <w:tcW w:w="1490" w:type="dxa"/>
          </w:tcPr>
          <w:p w14:paraId="3DAF9C49" w14:textId="77777777" w:rsidR="00EB04DE" w:rsidRPr="0036798A" w:rsidRDefault="00EB04DE" w:rsidP="0014292E">
            <w:pPr>
              <w:jc w:val="right"/>
              <w:rPr>
                <w:sz w:val="22"/>
                <w:szCs w:val="22"/>
              </w:rPr>
            </w:pPr>
            <w:r w:rsidRPr="0036798A">
              <w:rPr>
                <w:rFonts w:eastAsia="Calibri"/>
                <w:sz w:val="22"/>
                <w:szCs w:val="22"/>
              </w:rPr>
              <w:t>$10,629,884</w:t>
            </w:r>
          </w:p>
        </w:tc>
      </w:tr>
      <w:tr w:rsidR="00EB04DE" w:rsidRPr="00236176" w14:paraId="3B20651F" w14:textId="3A9B971B" w:rsidTr="00EB04DE">
        <w:trPr>
          <w:trHeight w:val="177"/>
        </w:trPr>
        <w:tc>
          <w:tcPr>
            <w:tcW w:w="5152" w:type="dxa"/>
          </w:tcPr>
          <w:p w14:paraId="732D4013" w14:textId="77777777" w:rsidR="00EB04DE" w:rsidRPr="008560B7" w:rsidRDefault="00EB04DE" w:rsidP="0014292E">
            <w:pPr>
              <w:rPr>
                <w:snapToGrid w:val="0"/>
                <w:sz w:val="22"/>
                <w:szCs w:val="22"/>
              </w:rPr>
            </w:pPr>
            <w:r w:rsidRPr="008560B7">
              <w:rPr>
                <w:snapToGrid w:val="0"/>
                <w:sz w:val="22"/>
                <w:szCs w:val="22"/>
              </w:rPr>
              <w:t>MassDOT</w:t>
            </w:r>
          </w:p>
        </w:tc>
        <w:tc>
          <w:tcPr>
            <w:tcW w:w="1439" w:type="dxa"/>
          </w:tcPr>
          <w:p w14:paraId="2A001104" w14:textId="77777777" w:rsidR="00EB04DE" w:rsidRPr="008560B7" w:rsidRDefault="00EB04DE" w:rsidP="0014292E">
            <w:pPr>
              <w:jc w:val="right"/>
              <w:rPr>
                <w:sz w:val="22"/>
                <w:szCs w:val="22"/>
              </w:rPr>
            </w:pPr>
            <w:r w:rsidRPr="008560B7">
              <w:rPr>
                <w:sz w:val="22"/>
                <w:szCs w:val="22"/>
              </w:rPr>
              <w:t>$69,626,484</w:t>
            </w:r>
          </w:p>
        </w:tc>
        <w:tc>
          <w:tcPr>
            <w:tcW w:w="1586" w:type="dxa"/>
          </w:tcPr>
          <w:p w14:paraId="5F998085" w14:textId="77777777" w:rsidR="00EB04DE" w:rsidRPr="008560B7" w:rsidRDefault="00EB04DE" w:rsidP="0014292E">
            <w:pPr>
              <w:jc w:val="right"/>
              <w:rPr>
                <w:sz w:val="22"/>
                <w:szCs w:val="22"/>
              </w:rPr>
            </w:pPr>
            <w:r w:rsidRPr="008560B7">
              <w:rPr>
                <w:sz w:val="22"/>
                <w:szCs w:val="22"/>
              </w:rPr>
              <w:t>$51,849,772</w:t>
            </w:r>
          </w:p>
        </w:tc>
        <w:tc>
          <w:tcPr>
            <w:tcW w:w="1490" w:type="dxa"/>
          </w:tcPr>
          <w:p w14:paraId="1EE465C1" w14:textId="77777777" w:rsidR="00EB04DE" w:rsidRPr="0036798A" w:rsidRDefault="00EB04DE" w:rsidP="0014292E">
            <w:pPr>
              <w:jc w:val="right"/>
              <w:rPr>
                <w:sz w:val="22"/>
                <w:szCs w:val="22"/>
              </w:rPr>
            </w:pPr>
            <w:r w:rsidRPr="0036798A">
              <w:rPr>
                <w:rFonts w:eastAsia="Calibri"/>
                <w:sz w:val="22"/>
                <w:szCs w:val="22"/>
              </w:rPr>
              <w:t>$36,923,960</w:t>
            </w:r>
          </w:p>
        </w:tc>
      </w:tr>
      <w:tr w:rsidR="00EB04DE" w:rsidRPr="00236176" w14:paraId="708B1129" w14:textId="7F24C3E0" w:rsidTr="00EB04DE">
        <w:trPr>
          <w:trHeight w:val="196"/>
        </w:trPr>
        <w:tc>
          <w:tcPr>
            <w:tcW w:w="5152" w:type="dxa"/>
          </w:tcPr>
          <w:p w14:paraId="64D41F17" w14:textId="77777777" w:rsidR="00EB04DE" w:rsidRPr="008560B7" w:rsidRDefault="00EB04DE" w:rsidP="0014292E">
            <w:pPr>
              <w:rPr>
                <w:i/>
                <w:snapToGrid w:val="0"/>
                <w:sz w:val="22"/>
                <w:szCs w:val="22"/>
              </w:rPr>
            </w:pPr>
            <w:r w:rsidRPr="008560B7">
              <w:rPr>
                <w:snapToGrid w:val="0"/>
                <w:sz w:val="22"/>
                <w:szCs w:val="22"/>
              </w:rPr>
              <w:t>Department of Labor and Workforce Development</w:t>
            </w:r>
          </w:p>
        </w:tc>
        <w:tc>
          <w:tcPr>
            <w:tcW w:w="1439" w:type="dxa"/>
          </w:tcPr>
          <w:p w14:paraId="38B9A47A" w14:textId="77777777" w:rsidR="00EB04DE" w:rsidRPr="008560B7" w:rsidRDefault="00EB04DE" w:rsidP="0014292E">
            <w:pPr>
              <w:jc w:val="right"/>
              <w:rPr>
                <w:sz w:val="22"/>
                <w:szCs w:val="22"/>
              </w:rPr>
            </w:pPr>
            <w:r w:rsidRPr="008560B7">
              <w:rPr>
                <w:sz w:val="22"/>
                <w:szCs w:val="22"/>
              </w:rPr>
              <w:t>$3,357,298</w:t>
            </w:r>
          </w:p>
        </w:tc>
        <w:tc>
          <w:tcPr>
            <w:tcW w:w="1586" w:type="dxa"/>
          </w:tcPr>
          <w:p w14:paraId="44E79E1B" w14:textId="77777777" w:rsidR="00EB04DE" w:rsidRPr="008560B7" w:rsidRDefault="00EB04DE" w:rsidP="0014292E">
            <w:pPr>
              <w:jc w:val="right"/>
              <w:rPr>
                <w:sz w:val="22"/>
                <w:szCs w:val="22"/>
              </w:rPr>
            </w:pPr>
            <w:r w:rsidRPr="008560B7">
              <w:rPr>
                <w:sz w:val="22"/>
                <w:szCs w:val="22"/>
              </w:rPr>
              <w:t>$1,585,167</w:t>
            </w:r>
          </w:p>
        </w:tc>
        <w:tc>
          <w:tcPr>
            <w:tcW w:w="1490" w:type="dxa"/>
          </w:tcPr>
          <w:p w14:paraId="04A95E15" w14:textId="77777777" w:rsidR="00EB04DE" w:rsidRPr="0036798A" w:rsidRDefault="00EB04DE" w:rsidP="0014292E">
            <w:pPr>
              <w:jc w:val="right"/>
              <w:rPr>
                <w:sz w:val="22"/>
                <w:szCs w:val="22"/>
              </w:rPr>
            </w:pPr>
            <w:r w:rsidRPr="0036798A">
              <w:rPr>
                <w:rFonts w:eastAsia="Calibri"/>
                <w:sz w:val="22"/>
                <w:szCs w:val="22"/>
              </w:rPr>
              <w:t>$2,236,951</w:t>
            </w:r>
          </w:p>
        </w:tc>
      </w:tr>
      <w:tr w:rsidR="00EB04DE" w:rsidRPr="00236176" w14:paraId="0C530167" w14:textId="5B05B4E3" w:rsidTr="00EB04DE">
        <w:trPr>
          <w:trHeight w:val="349"/>
        </w:trPr>
        <w:tc>
          <w:tcPr>
            <w:tcW w:w="5152" w:type="dxa"/>
          </w:tcPr>
          <w:p w14:paraId="221E4151" w14:textId="77777777" w:rsidR="00EB04DE" w:rsidRPr="008560B7" w:rsidRDefault="00EB04DE" w:rsidP="0014292E">
            <w:pPr>
              <w:rPr>
                <w:snapToGrid w:val="0"/>
                <w:sz w:val="22"/>
                <w:szCs w:val="22"/>
              </w:rPr>
            </w:pPr>
            <w:r w:rsidRPr="008560B7">
              <w:rPr>
                <w:snapToGrid w:val="0"/>
                <w:sz w:val="22"/>
                <w:szCs w:val="22"/>
              </w:rPr>
              <w:t>Executive Office of Housing and Economic</w:t>
            </w:r>
            <w:r w:rsidRPr="008560B7">
              <w:rPr>
                <w:sz w:val="22"/>
                <w:szCs w:val="22"/>
              </w:rPr>
              <w:t xml:space="preserve"> </w:t>
            </w:r>
            <w:r w:rsidRPr="008560B7">
              <w:rPr>
                <w:snapToGrid w:val="0"/>
                <w:sz w:val="22"/>
                <w:szCs w:val="22"/>
              </w:rPr>
              <w:t>Development</w:t>
            </w:r>
          </w:p>
        </w:tc>
        <w:tc>
          <w:tcPr>
            <w:tcW w:w="1439" w:type="dxa"/>
          </w:tcPr>
          <w:p w14:paraId="7DBC77CB" w14:textId="77777777" w:rsidR="00EB04DE" w:rsidRPr="008560B7" w:rsidRDefault="00EB04DE" w:rsidP="0014292E">
            <w:pPr>
              <w:jc w:val="right"/>
              <w:rPr>
                <w:sz w:val="22"/>
                <w:szCs w:val="22"/>
              </w:rPr>
            </w:pPr>
            <w:r w:rsidRPr="008560B7">
              <w:rPr>
                <w:sz w:val="22"/>
                <w:szCs w:val="22"/>
              </w:rPr>
              <w:t>$60,990,233</w:t>
            </w:r>
          </w:p>
        </w:tc>
        <w:tc>
          <w:tcPr>
            <w:tcW w:w="1586" w:type="dxa"/>
          </w:tcPr>
          <w:p w14:paraId="424CAFDD" w14:textId="77777777" w:rsidR="00EB04DE" w:rsidRPr="008560B7" w:rsidRDefault="00EB04DE" w:rsidP="0014292E">
            <w:pPr>
              <w:jc w:val="right"/>
              <w:rPr>
                <w:sz w:val="22"/>
                <w:szCs w:val="22"/>
              </w:rPr>
            </w:pPr>
            <w:r w:rsidRPr="008560B7">
              <w:rPr>
                <w:sz w:val="22"/>
                <w:szCs w:val="22"/>
              </w:rPr>
              <w:t>$63,388,731</w:t>
            </w:r>
          </w:p>
        </w:tc>
        <w:tc>
          <w:tcPr>
            <w:tcW w:w="1490" w:type="dxa"/>
          </w:tcPr>
          <w:p w14:paraId="13039AB6" w14:textId="77777777" w:rsidR="00EB04DE" w:rsidRPr="0036798A" w:rsidRDefault="00EB04DE" w:rsidP="0014292E">
            <w:pPr>
              <w:jc w:val="right"/>
              <w:rPr>
                <w:sz w:val="22"/>
                <w:szCs w:val="22"/>
              </w:rPr>
            </w:pPr>
            <w:r w:rsidRPr="0036798A">
              <w:rPr>
                <w:rFonts w:eastAsia="Calibri"/>
                <w:sz w:val="22"/>
                <w:szCs w:val="22"/>
              </w:rPr>
              <w:t>$79,230,353</w:t>
            </w:r>
          </w:p>
        </w:tc>
      </w:tr>
      <w:tr w:rsidR="00EB04DE" w:rsidRPr="00236176" w14:paraId="30B1BE80" w14:textId="6D796D94" w:rsidTr="00EB04DE">
        <w:trPr>
          <w:trHeight w:val="196"/>
        </w:trPr>
        <w:tc>
          <w:tcPr>
            <w:tcW w:w="5152" w:type="dxa"/>
          </w:tcPr>
          <w:p w14:paraId="67697241" w14:textId="77777777" w:rsidR="00EB04DE" w:rsidRPr="008560B7" w:rsidRDefault="00EB04DE" w:rsidP="0014292E">
            <w:pPr>
              <w:rPr>
                <w:snapToGrid w:val="0"/>
                <w:sz w:val="22"/>
                <w:szCs w:val="22"/>
              </w:rPr>
            </w:pPr>
            <w:r w:rsidRPr="008560B7">
              <w:rPr>
                <w:snapToGrid w:val="0"/>
                <w:sz w:val="22"/>
                <w:szCs w:val="22"/>
              </w:rPr>
              <w:lastRenderedPageBreak/>
              <w:t>Executive Office of Education</w:t>
            </w:r>
          </w:p>
        </w:tc>
        <w:tc>
          <w:tcPr>
            <w:tcW w:w="1439" w:type="dxa"/>
          </w:tcPr>
          <w:p w14:paraId="53511D66" w14:textId="77777777" w:rsidR="00EB04DE" w:rsidRPr="008560B7" w:rsidRDefault="00EB04DE" w:rsidP="0014292E">
            <w:pPr>
              <w:jc w:val="right"/>
              <w:rPr>
                <w:sz w:val="22"/>
                <w:szCs w:val="22"/>
              </w:rPr>
            </w:pPr>
            <w:r w:rsidRPr="008560B7">
              <w:rPr>
                <w:sz w:val="22"/>
                <w:szCs w:val="22"/>
              </w:rPr>
              <w:t>$44,868,497</w:t>
            </w:r>
          </w:p>
        </w:tc>
        <w:tc>
          <w:tcPr>
            <w:tcW w:w="1586" w:type="dxa"/>
          </w:tcPr>
          <w:p w14:paraId="69E1C092" w14:textId="77777777" w:rsidR="00EB04DE" w:rsidRPr="008560B7" w:rsidRDefault="00EB04DE" w:rsidP="0014292E">
            <w:pPr>
              <w:jc w:val="right"/>
              <w:rPr>
                <w:sz w:val="22"/>
                <w:szCs w:val="22"/>
              </w:rPr>
            </w:pPr>
            <w:r w:rsidRPr="008560B7">
              <w:rPr>
                <w:sz w:val="22"/>
                <w:szCs w:val="22"/>
              </w:rPr>
              <w:t>$46,414,391</w:t>
            </w:r>
          </w:p>
        </w:tc>
        <w:tc>
          <w:tcPr>
            <w:tcW w:w="1490" w:type="dxa"/>
          </w:tcPr>
          <w:p w14:paraId="14A59E2C" w14:textId="77777777" w:rsidR="00EB04DE" w:rsidRPr="0036798A" w:rsidRDefault="00EB04DE" w:rsidP="0014292E">
            <w:pPr>
              <w:jc w:val="right"/>
              <w:rPr>
                <w:sz w:val="22"/>
                <w:szCs w:val="22"/>
              </w:rPr>
            </w:pPr>
            <w:r w:rsidRPr="0036798A">
              <w:rPr>
                <w:rFonts w:eastAsia="Calibri"/>
                <w:sz w:val="22"/>
                <w:szCs w:val="22"/>
              </w:rPr>
              <w:t>$49,796,743</w:t>
            </w:r>
          </w:p>
        </w:tc>
      </w:tr>
      <w:tr w:rsidR="00EB04DE" w:rsidRPr="00236176" w14:paraId="39E560F8" w14:textId="1926EFEB" w:rsidTr="00EB04DE">
        <w:trPr>
          <w:trHeight w:val="224"/>
        </w:trPr>
        <w:tc>
          <w:tcPr>
            <w:tcW w:w="5152" w:type="dxa"/>
          </w:tcPr>
          <w:p w14:paraId="2DE5F70A" w14:textId="77777777" w:rsidR="00EB04DE" w:rsidRPr="008560B7" w:rsidRDefault="00EB04DE" w:rsidP="0014292E">
            <w:pPr>
              <w:rPr>
                <w:snapToGrid w:val="0"/>
                <w:sz w:val="22"/>
                <w:szCs w:val="22"/>
              </w:rPr>
            </w:pPr>
            <w:proofErr w:type="spellStart"/>
            <w:r w:rsidRPr="008560B7">
              <w:rPr>
                <w:snapToGrid w:val="0"/>
                <w:sz w:val="22"/>
                <w:szCs w:val="22"/>
              </w:rPr>
              <w:t>MassHousing</w:t>
            </w:r>
            <w:proofErr w:type="spellEnd"/>
          </w:p>
        </w:tc>
        <w:tc>
          <w:tcPr>
            <w:tcW w:w="1439" w:type="dxa"/>
          </w:tcPr>
          <w:p w14:paraId="6A42F97F" w14:textId="77777777" w:rsidR="00EB04DE" w:rsidRPr="008560B7" w:rsidRDefault="00EB04DE" w:rsidP="0014292E">
            <w:pPr>
              <w:jc w:val="right"/>
              <w:rPr>
                <w:sz w:val="22"/>
                <w:szCs w:val="22"/>
              </w:rPr>
            </w:pPr>
            <w:r w:rsidRPr="008560B7">
              <w:rPr>
                <w:sz w:val="22"/>
                <w:szCs w:val="22"/>
              </w:rPr>
              <w:t>$392,750</w:t>
            </w:r>
          </w:p>
        </w:tc>
        <w:tc>
          <w:tcPr>
            <w:tcW w:w="1586" w:type="dxa"/>
          </w:tcPr>
          <w:p w14:paraId="266A6630" w14:textId="77777777" w:rsidR="00EB04DE" w:rsidRPr="008560B7" w:rsidRDefault="00EB04DE" w:rsidP="0014292E">
            <w:pPr>
              <w:jc w:val="right"/>
              <w:rPr>
                <w:sz w:val="22"/>
                <w:szCs w:val="22"/>
              </w:rPr>
            </w:pPr>
            <w:r w:rsidRPr="008560B7">
              <w:rPr>
                <w:sz w:val="22"/>
                <w:szCs w:val="22"/>
              </w:rPr>
              <w:t>$150,664</w:t>
            </w:r>
          </w:p>
        </w:tc>
        <w:tc>
          <w:tcPr>
            <w:tcW w:w="1490" w:type="dxa"/>
          </w:tcPr>
          <w:p w14:paraId="5ADF0C3D" w14:textId="77777777" w:rsidR="00EB04DE" w:rsidRPr="0036798A" w:rsidRDefault="00EB04DE" w:rsidP="0014292E">
            <w:pPr>
              <w:jc w:val="right"/>
              <w:rPr>
                <w:sz w:val="22"/>
                <w:szCs w:val="22"/>
              </w:rPr>
            </w:pPr>
            <w:r w:rsidRPr="0036798A">
              <w:rPr>
                <w:rFonts w:eastAsia="Calibri"/>
                <w:sz w:val="22"/>
                <w:szCs w:val="22"/>
              </w:rPr>
              <w:t>$1,349,562</w:t>
            </w:r>
          </w:p>
        </w:tc>
      </w:tr>
      <w:tr w:rsidR="00EB04DE" w:rsidRPr="00236176" w14:paraId="5DEE954D" w14:textId="6B3B72A0" w:rsidTr="00EB04DE">
        <w:trPr>
          <w:trHeight w:val="224"/>
        </w:trPr>
        <w:tc>
          <w:tcPr>
            <w:tcW w:w="5152" w:type="dxa"/>
          </w:tcPr>
          <w:p w14:paraId="2FC5D7A5" w14:textId="77777777" w:rsidR="00EB04DE" w:rsidRPr="008560B7" w:rsidRDefault="00EB04DE" w:rsidP="0014292E">
            <w:pPr>
              <w:rPr>
                <w:snapToGrid w:val="0"/>
                <w:sz w:val="22"/>
                <w:szCs w:val="22"/>
              </w:rPr>
            </w:pPr>
            <w:r w:rsidRPr="008560B7">
              <w:rPr>
                <w:snapToGrid w:val="0"/>
                <w:sz w:val="22"/>
                <w:szCs w:val="22"/>
              </w:rPr>
              <w:t>Center for Health Information and Analysis</w:t>
            </w:r>
          </w:p>
        </w:tc>
        <w:tc>
          <w:tcPr>
            <w:tcW w:w="1439" w:type="dxa"/>
          </w:tcPr>
          <w:p w14:paraId="53EEAEB4" w14:textId="77777777" w:rsidR="00EB04DE" w:rsidRPr="008560B7" w:rsidRDefault="00EB04DE" w:rsidP="0014292E">
            <w:pPr>
              <w:jc w:val="right"/>
              <w:rPr>
                <w:sz w:val="22"/>
                <w:szCs w:val="22"/>
              </w:rPr>
            </w:pPr>
          </w:p>
        </w:tc>
        <w:tc>
          <w:tcPr>
            <w:tcW w:w="1586" w:type="dxa"/>
          </w:tcPr>
          <w:p w14:paraId="06B12076" w14:textId="77777777" w:rsidR="00EB04DE" w:rsidRPr="008560B7" w:rsidRDefault="00EB04DE" w:rsidP="0014292E">
            <w:pPr>
              <w:jc w:val="right"/>
              <w:rPr>
                <w:sz w:val="22"/>
                <w:szCs w:val="22"/>
              </w:rPr>
            </w:pPr>
            <w:r w:rsidRPr="008560B7">
              <w:rPr>
                <w:sz w:val="22"/>
                <w:szCs w:val="22"/>
              </w:rPr>
              <w:t>$234,764</w:t>
            </w:r>
          </w:p>
        </w:tc>
        <w:tc>
          <w:tcPr>
            <w:tcW w:w="1490" w:type="dxa"/>
          </w:tcPr>
          <w:p w14:paraId="54370603" w14:textId="77777777" w:rsidR="00EB04DE" w:rsidRPr="0036798A" w:rsidRDefault="00EB04DE" w:rsidP="0014292E">
            <w:pPr>
              <w:jc w:val="right"/>
              <w:rPr>
                <w:sz w:val="22"/>
                <w:szCs w:val="22"/>
              </w:rPr>
            </w:pPr>
            <w:r w:rsidRPr="0036798A">
              <w:rPr>
                <w:rFonts w:eastAsia="Calibri"/>
                <w:sz w:val="22"/>
                <w:szCs w:val="22"/>
              </w:rPr>
              <w:t>$1,016,449</w:t>
            </w:r>
          </w:p>
        </w:tc>
      </w:tr>
      <w:tr w:rsidR="00EB04DE" w:rsidRPr="00236176" w14:paraId="7DCA8A7B" w14:textId="15D42F34" w:rsidTr="00EB04DE">
        <w:trPr>
          <w:trHeight w:val="243"/>
        </w:trPr>
        <w:tc>
          <w:tcPr>
            <w:tcW w:w="5152" w:type="dxa"/>
          </w:tcPr>
          <w:p w14:paraId="24E2A09D" w14:textId="77777777" w:rsidR="00EB04DE" w:rsidRPr="008560B7" w:rsidRDefault="00EB04DE" w:rsidP="0014292E">
            <w:pPr>
              <w:rPr>
                <w:snapToGrid w:val="0"/>
                <w:sz w:val="22"/>
                <w:szCs w:val="22"/>
              </w:rPr>
            </w:pPr>
            <w:r w:rsidRPr="008560B7">
              <w:rPr>
                <w:snapToGrid w:val="0"/>
                <w:sz w:val="22"/>
                <w:szCs w:val="22"/>
              </w:rPr>
              <w:t>STATEWIDE TOTAL</w:t>
            </w:r>
          </w:p>
        </w:tc>
        <w:tc>
          <w:tcPr>
            <w:tcW w:w="1439" w:type="dxa"/>
          </w:tcPr>
          <w:p w14:paraId="25386142" w14:textId="77777777" w:rsidR="00EB04DE" w:rsidRPr="008560B7" w:rsidRDefault="00EB04DE" w:rsidP="0014292E">
            <w:pPr>
              <w:jc w:val="right"/>
              <w:rPr>
                <w:snapToGrid w:val="0"/>
                <w:sz w:val="22"/>
                <w:szCs w:val="22"/>
              </w:rPr>
            </w:pPr>
            <w:r w:rsidRPr="008560B7">
              <w:rPr>
                <w:snapToGrid w:val="0"/>
                <w:sz w:val="22"/>
                <w:szCs w:val="22"/>
              </w:rPr>
              <w:t>$578,854,638</w:t>
            </w:r>
          </w:p>
        </w:tc>
        <w:tc>
          <w:tcPr>
            <w:tcW w:w="1586" w:type="dxa"/>
          </w:tcPr>
          <w:p w14:paraId="7EF7D99E" w14:textId="77777777" w:rsidR="00EB04DE" w:rsidRPr="008560B7" w:rsidRDefault="00EB04DE" w:rsidP="0014292E">
            <w:pPr>
              <w:jc w:val="right"/>
              <w:rPr>
                <w:snapToGrid w:val="0"/>
                <w:sz w:val="22"/>
                <w:szCs w:val="22"/>
              </w:rPr>
            </w:pPr>
            <w:r w:rsidRPr="008560B7">
              <w:rPr>
                <w:snapToGrid w:val="0"/>
                <w:sz w:val="22"/>
                <w:szCs w:val="22"/>
              </w:rPr>
              <w:t>$554,177,590</w:t>
            </w:r>
          </w:p>
        </w:tc>
        <w:tc>
          <w:tcPr>
            <w:tcW w:w="1490" w:type="dxa"/>
          </w:tcPr>
          <w:p w14:paraId="05648EE5" w14:textId="77777777" w:rsidR="00EB04DE" w:rsidRPr="008560B7" w:rsidRDefault="00EB04DE" w:rsidP="0014292E">
            <w:pPr>
              <w:jc w:val="right"/>
              <w:rPr>
                <w:snapToGrid w:val="0"/>
                <w:sz w:val="22"/>
                <w:szCs w:val="22"/>
              </w:rPr>
            </w:pPr>
            <w:r>
              <w:rPr>
                <w:snapToGrid w:val="0"/>
                <w:sz w:val="22"/>
                <w:szCs w:val="22"/>
              </w:rPr>
              <w:t>$57</w:t>
            </w:r>
            <w:r w:rsidRPr="008560B7">
              <w:rPr>
                <w:snapToGrid w:val="0"/>
                <w:sz w:val="22"/>
                <w:szCs w:val="22"/>
              </w:rPr>
              <w:t>4,</w:t>
            </w:r>
            <w:r>
              <w:rPr>
                <w:snapToGrid w:val="0"/>
                <w:sz w:val="22"/>
                <w:szCs w:val="22"/>
              </w:rPr>
              <w:t>818</w:t>
            </w:r>
            <w:r w:rsidRPr="008560B7">
              <w:rPr>
                <w:snapToGrid w:val="0"/>
                <w:sz w:val="22"/>
                <w:szCs w:val="22"/>
              </w:rPr>
              <w:t>,</w:t>
            </w:r>
            <w:r>
              <w:rPr>
                <w:snapToGrid w:val="0"/>
                <w:sz w:val="22"/>
                <w:szCs w:val="22"/>
              </w:rPr>
              <w:t>148</w:t>
            </w:r>
          </w:p>
        </w:tc>
      </w:tr>
    </w:tbl>
    <w:p w14:paraId="5E2F7FBA" w14:textId="77777777" w:rsidR="00F96690" w:rsidRDefault="00F96690" w:rsidP="00367F2C">
      <w:pPr>
        <w:pStyle w:val="Heading3"/>
      </w:pPr>
    </w:p>
    <w:p w14:paraId="5F43E3E7" w14:textId="77777777" w:rsidR="003E2E97" w:rsidRPr="00B170F0" w:rsidRDefault="003E2E97" w:rsidP="00367F2C">
      <w:pPr>
        <w:pStyle w:val="Heading3"/>
      </w:pPr>
      <w:r w:rsidRPr="00B170F0">
        <w:t xml:space="preserve">Executive Branch spending in </w:t>
      </w:r>
      <w:r w:rsidR="00FB6CC3" w:rsidRPr="00B170F0">
        <w:t>FY201</w:t>
      </w:r>
      <w:r w:rsidR="008A541A">
        <w:t>4</w:t>
      </w:r>
      <w:r w:rsidR="00EB2A34">
        <w:t xml:space="preserve"> for benchmark attainment</w:t>
      </w:r>
      <w:r w:rsidRPr="00B170F0">
        <w:t xml:space="preserve"> by Secretariat:</w:t>
      </w:r>
    </w:p>
    <w:p w14:paraId="4A8AECE2" w14:textId="77777777" w:rsidR="004F44F3" w:rsidRDefault="003E2E97" w:rsidP="009F05DD">
      <w:pPr>
        <w:jc w:val="both"/>
      </w:pPr>
      <w:r w:rsidRPr="00EC1CE5">
        <w:t>The SDP Program tracks spending by each of the 72 agencies and departments within the Executive Branch and of participating agencies outside of the Executive Branch</w:t>
      </w:r>
      <w:r w:rsidR="00D81721">
        <w:t xml:space="preserve">, and </w:t>
      </w:r>
      <w:proofErr w:type="spellStart"/>
      <w:r w:rsidR="00D81721">
        <w:t>MassHousing</w:t>
      </w:r>
      <w:proofErr w:type="spellEnd"/>
      <w:r w:rsidR="00D81721">
        <w:t xml:space="preserve"> Authority</w:t>
      </w:r>
      <w:r w:rsidRPr="00EC1CE5">
        <w:t xml:space="preserve">.  The SDP program provides </w:t>
      </w:r>
      <w:r w:rsidR="00FE2B6B" w:rsidRPr="00EC1CE5">
        <w:t xml:space="preserve">a </w:t>
      </w:r>
      <w:r w:rsidR="00A242B5" w:rsidRPr="00EC1CE5">
        <w:t>q</w:t>
      </w:r>
      <w:r w:rsidRPr="00EC1CE5">
        <w:t xml:space="preserve">uarterly and </w:t>
      </w:r>
      <w:r w:rsidR="00A242B5" w:rsidRPr="00EC1CE5">
        <w:t xml:space="preserve">an </w:t>
      </w:r>
      <w:r w:rsidRPr="00EC1CE5">
        <w:t>annual report to all participants showing the</w:t>
      </w:r>
      <w:r w:rsidR="00FE2B6B" w:rsidRPr="00EC1CE5">
        <w:t>ir</w:t>
      </w:r>
      <w:r w:rsidRPr="00EC1CE5">
        <w:t xml:space="preserve"> spending and tracking against the</w:t>
      </w:r>
      <w:r w:rsidR="00FE2B6B" w:rsidRPr="00EC1CE5">
        <w:t>ir</w:t>
      </w:r>
      <w:r w:rsidRPr="00EC1CE5">
        <w:t xml:space="preserve"> benchmarks.  </w:t>
      </w:r>
    </w:p>
    <w:p w14:paraId="4EAE7D62" w14:textId="77777777" w:rsidR="003E2E97" w:rsidRPr="00EC1CE5" w:rsidRDefault="005738B4" w:rsidP="009F05DD">
      <w:pPr>
        <w:jc w:val="both"/>
        <w:rPr>
          <w:color w:val="000000" w:themeColor="text1"/>
        </w:rPr>
      </w:pPr>
      <w:r>
        <w:t xml:space="preserve">The </w:t>
      </w:r>
      <w:r w:rsidR="004F44F3">
        <w:t>FY201</w:t>
      </w:r>
      <w:r w:rsidR="008A541A">
        <w:t>4</w:t>
      </w:r>
      <w:r w:rsidR="004F44F3" w:rsidRPr="00EC1CE5">
        <w:t xml:space="preserve"> Goods and Services Spending with MBE and WBE firms</w:t>
      </w:r>
      <w:r w:rsidR="004F44F3" w:rsidRPr="00EC1CE5">
        <w:rPr>
          <w:rStyle w:val="FootnoteReference"/>
          <w:rFonts w:eastAsia="Times New Roman"/>
          <w:color w:val="000000"/>
        </w:rPr>
        <w:footnoteReference w:id="8"/>
      </w:r>
      <w:r w:rsidR="004F44F3">
        <w:t xml:space="preserve"> </w:t>
      </w:r>
      <w:r w:rsidR="00686FFC">
        <w:t>totaled</w:t>
      </w:r>
      <w:r>
        <w:t xml:space="preserve"> </w:t>
      </w:r>
      <w:r w:rsidR="004F44F3" w:rsidRPr="00EC1CE5">
        <w:t xml:space="preserve">$ </w:t>
      </w:r>
      <w:r w:rsidR="008A541A">
        <w:rPr>
          <w:color w:val="000000"/>
        </w:rPr>
        <w:t>821,968,966</w:t>
      </w:r>
    </w:p>
    <w:p w14:paraId="170CE5EE" w14:textId="77777777" w:rsidR="0053166D" w:rsidRDefault="003E2E97" w:rsidP="009F05DD">
      <w:pPr>
        <w:jc w:val="both"/>
      </w:pPr>
      <w:r w:rsidRPr="00EC1CE5">
        <w:t xml:space="preserve">Benchmarks for spending with MBE and WBE </w:t>
      </w:r>
      <w:r w:rsidR="006E4326">
        <w:t>firms are measured against the discretionary b</w:t>
      </w:r>
      <w:r w:rsidRPr="00EC1CE5">
        <w:t>udgets</w:t>
      </w:r>
      <w:r w:rsidR="006E4326">
        <w:t xml:space="preserve"> of each agency or department</w:t>
      </w:r>
      <w:r w:rsidRPr="00EC1CE5">
        <w:t xml:space="preserve">.  At the beginning of </w:t>
      </w:r>
      <w:r w:rsidR="008A541A">
        <w:t>FY2014</w:t>
      </w:r>
      <w:r w:rsidR="00FE2B6B" w:rsidRPr="00EC1CE5">
        <w:t>,</w:t>
      </w:r>
      <w:r w:rsidRPr="00EC1CE5">
        <w:t xml:space="preserve"> the overall discretionary budget was $</w:t>
      </w:r>
      <w:r w:rsidR="008A541A">
        <w:t>3.99</w:t>
      </w:r>
      <w:r w:rsidR="00D81721">
        <w:t xml:space="preserve"> </w:t>
      </w:r>
      <w:r w:rsidRPr="00EC1CE5">
        <w:t>Billion</w:t>
      </w:r>
      <w:r w:rsidR="00F33C20">
        <w:t xml:space="preserve">. </w:t>
      </w:r>
      <w:r w:rsidR="00040A55">
        <w:t xml:space="preserve">Some </w:t>
      </w:r>
      <w:r w:rsidRPr="00EC1CE5">
        <w:t xml:space="preserve">participating agencies’ Supplier Diversity Officer </w:t>
      </w:r>
      <w:r w:rsidR="00FE2B6B" w:rsidRPr="00EC1CE5">
        <w:t>and/</w:t>
      </w:r>
      <w:r w:rsidRPr="00EC1CE5">
        <w:t>or the Chief Procurement Officer</w:t>
      </w:r>
      <w:r w:rsidR="0071325D">
        <w:t>s reviewed their</w:t>
      </w:r>
      <w:r w:rsidRPr="00EC1CE5">
        <w:t xml:space="preserve"> discretionary budgets </w:t>
      </w:r>
      <w:r w:rsidR="00040A55">
        <w:t xml:space="preserve">to consider </w:t>
      </w:r>
      <w:r w:rsidRPr="00EC1CE5">
        <w:t>modify</w:t>
      </w:r>
      <w:r w:rsidR="00040A55">
        <w:t>ing</w:t>
      </w:r>
      <w:r w:rsidRPr="00EC1CE5">
        <w:t xml:space="preserve"> them to reflect true limits; by the fourth quarter the overall discretionary budget </w:t>
      </w:r>
      <w:r w:rsidR="00060056">
        <w:t xml:space="preserve">was adjusted </w:t>
      </w:r>
      <w:r w:rsidRPr="00EC1CE5">
        <w:t>to $</w:t>
      </w:r>
      <w:r w:rsidR="008A541A">
        <w:t xml:space="preserve">3.98 </w:t>
      </w:r>
      <w:r w:rsidRPr="00EC1CE5">
        <w:t xml:space="preserve">Billion.  The </w:t>
      </w:r>
      <w:r w:rsidR="00FB6CC3">
        <w:t>FY201</w:t>
      </w:r>
      <w:r w:rsidR="008A541A">
        <w:t>4</w:t>
      </w:r>
      <w:r w:rsidRPr="00EC1CE5">
        <w:t xml:space="preserve"> benchmarks were 6% for MBE and 12% for WBE.  </w:t>
      </w:r>
    </w:p>
    <w:p w14:paraId="64DDA051" w14:textId="77777777" w:rsidR="003E2E97" w:rsidRPr="00EC1CE5" w:rsidRDefault="003E2E97" w:rsidP="009F05DD">
      <w:pPr>
        <w:jc w:val="both"/>
      </w:pPr>
      <w:r w:rsidRPr="00EC1CE5">
        <w:t xml:space="preserve">The </w:t>
      </w:r>
      <w:r w:rsidR="00FB6CC3">
        <w:t>FY201</w:t>
      </w:r>
      <w:r w:rsidR="00640947">
        <w:t>4</w:t>
      </w:r>
      <w:r w:rsidRPr="00EC1CE5">
        <w:t xml:space="preserve"> </w:t>
      </w:r>
      <w:r w:rsidR="0053166D">
        <w:t xml:space="preserve">overall </w:t>
      </w:r>
      <w:r w:rsidRPr="00EC1CE5">
        <w:t>spending for MBE</w:t>
      </w:r>
      <w:r w:rsidR="00F21F94">
        <w:t xml:space="preserve"> </w:t>
      </w:r>
      <w:r w:rsidR="00742C76">
        <w:t xml:space="preserve">exceeded the </w:t>
      </w:r>
      <w:r w:rsidR="00F21F94">
        <w:t>6</w:t>
      </w:r>
      <w:r w:rsidR="00D81721">
        <w:t>% benchmark</w:t>
      </w:r>
      <w:r w:rsidR="00F21F94">
        <w:t xml:space="preserve"> by </w:t>
      </w:r>
      <w:r w:rsidR="008A541A">
        <w:t>0.19</w:t>
      </w:r>
      <w:r w:rsidR="00F21F94">
        <w:t xml:space="preserve">% </w:t>
      </w:r>
      <w:r w:rsidR="00C5124F">
        <w:t>for a total of</w:t>
      </w:r>
      <w:r w:rsidR="008A541A">
        <w:t xml:space="preserve"> </w:t>
      </w:r>
      <w:r w:rsidR="00F21F94">
        <w:t>6</w:t>
      </w:r>
      <w:r w:rsidR="008A541A">
        <w:t>.</w:t>
      </w:r>
      <w:r w:rsidR="00F21F94">
        <w:t>1</w:t>
      </w:r>
      <w:r w:rsidR="008A541A">
        <w:t>9</w:t>
      </w:r>
      <w:r w:rsidR="00F21F94">
        <w:t>%</w:t>
      </w:r>
      <w:r w:rsidR="00D81721">
        <w:t xml:space="preserve">, </w:t>
      </w:r>
      <w:r w:rsidRPr="00EC1CE5">
        <w:t xml:space="preserve">WBE </w:t>
      </w:r>
      <w:r w:rsidR="00D81721">
        <w:t xml:space="preserve">spending </w:t>
      </w:r>
      <w:r w:rsidRPr="00EC1CE5">
        <w:t xml:space="preserve">exceeded the </w:t>
      </w:r>
      <w:r w:rsidR="00F21F94">
        <w:t xml:space="preserve">12% </w:t>
      </w:r>
      <w:r w:rsidRPr="00EC1CE5">
        <w:t>benchmarks established by the program</w:t>
      </w:r>
      <w:r w:rsidR="00F21F94">
        <w:t xml:space="preserve"> </w:t>
      </w:r>
      <w:r w:rsidR="008063DD">
        <w:t xml:space="preserve">as well </w:t>
      </w:r>
      <w:r w:rsidR="00F21F94">
        <w:t xml:space="preserve">by </w:t>
      </w:r>
      <w:r w:rsidR="008A541A">
        <w:t>2.40</w:t>
      </w:r>
      <w:r w:rsidR="00F21F94">
        <w:t xml:space="preserve">% for a total of </w:t>
      </w:r>
      <w:r w:rsidR="008A541A">
        <w:t>14.40</w:t>
      </w:r>
      <w:r w:rsidR="00F21F94">
        <w:t>%</w:t>
      </w:r>
      <w:r w:rsidRPr="00EC1CE5">
        <w:t xml:space="preserve">.  </w:t>
      </w:r>
    </w:p>
    <w:tbl>
      <w:tblPr>
        <w:tblStyle w:val="TableGrid1"/>
        <w:tblW w:w="10458" w:type="dxa"/>
        <w:jc w:val="center"/>
        <w:tblLayout w:type="fixed"/>
        <w:tblLook w:val="04A0" w:firstRow="1" w:lastRow="0" w:firstColumn="1" w:lastColumn="0" w:noHBand="0" w:noVBand="1"/>
        <w:tblCaption w:val="table shows MBE and WBE benchmark attainment data"/>
        <w:tblDescription w:val="this table shows MBE and WBE benchmark attainment data for the Executive Branch and Mass Housing (not part of the Executive Branch) and a combined total.  MBE achievement was 6.14% and the benchmark was 6%; WBE achievement was 14.66% and the benchmark was 12%."/>
      </w:tblPr>
      <w:tblGrid>
        <w:gridCol w:w="1458"/>
        <w:gridCol w:w="1530"/>
        <w:gridCol w:w="1350"/>
        <w:gridCol w:w="1350"/>
        <w:gridCol w:w="990"/>
        <w:gridCol w:w="1350"/>
        <w:gridCol w:w="1440"/>
        <w:gridCol w:w="990"/>
      </w:tblGrid>
      <w:tr w:rsidR="00951ACD" w:rsidRPr="00EF1E36" w14:paraId="4E407EF9" w14:textId="77777777" w:rsidTr="00F96690">
        <w:trPr>
          <w:trHeight w:val="962"/>
          <w:tblHeader/>
          <w:jc w:val="center"/>
        </w:trPr>
        <w:tc>
          <w:tcPr>
            <w:tcW w:w="1458" w:type="dxa"/>
            <w:vAlign w:val="center"/>
            <w:hideMark/>
          </w:tcPr>
          <w:p w14:paraId="255C40DC" w14:textId="77777777" w:rsidR="003E2E97" w:rsidRPr="00367F2C" w:rsidRDefault="003E2E97" w:rsidP="00D45548">
            <w:pPr>
              <w:rPr>
                <w:sz w:val="20"/>
                <w:szCs w:val="20"/>
              </w:rPr>
            </w:pPr>
          </w:p>
        </w:tc>
        <w:tc>
          <w:tcPr>
            <w:tcW w:w="1530" w:type="dxa"/>
            <w:vAlign w:val="center"/>
            <w:hideMark/>
          </w:tcPr>
          <w:p w14:paraId="5F30EDF2" w14:textId="77777777" w:rsidR="003E2E97" w:rsidRPr="00367F2C" w:rsidRDefault="008A541A" w:rsidP="00D45548">
            <w:pPr>
              <w:rPr>
                <w:sz w:val="20"/>
                <w:szCs w:val="20"/>
              </w:rPr>
            </w:pPr>
            <w:r>
              <w:rPr>
                <w:sz w:val="20"/>
                <w:szCs w:val="20"/>
              </w:rPr>
              <w:t>FY2014</w:t>
            </w:r>
            <w:r w:rsidR="003E2E97" w:rsidRPr="00367F2C">
              <w:rPr>
                <w:sz w:val="20"/>
                <w:szCs w:val="20"/>
              </w:rPr>
              <w:t xml:space="preserve"> Discretionary Budget</w:t>
            </w:r>
          </w:p>
        </w:tc>
        <w:tc>
          <w:tcPr>
            <w:tcW w:w="1350" w:type="dxa"/>
            <w:noWrap/>
            <w:vAlign w:val="center"/>
            <w:hideMark/>
          </w:tcPr>
          <w:p w14:paraId="73253554" w14:textId="77777777" w:rsidR="003E2E97" w:rsidRPr="00367F2C" w:rsidRDefault="003E2E97" w:rsidP="00D45548">
            <w:pPr>
              <w:rPr>
                <w:sz w:val="20"/>
                <w:szCs w:val="20"/>
              </w:rPr>
            </w:pPr>
            <w:r w:rsidRPr="00367F2C">
              <w:rPr>
                <w:sz w:val="20"/>
                <w:szCs w:val="20"/>
              </w:rPr>
              <w:t>MBE Benchmark</w:t>
            </w:r>
          </w:p>
          <w:p w14:paraId="757BBE3D" w14:textId="77777777" w:rsidR="003E2E97" w:rsidRPr="00367F2C" w:rsidRDefault="003E2E97" w:rsidP="00D45548">
            <w:pPr>
              <w:rPr>
                <w:sz w:val="20"/>
                <w:szCs w:val="20"/>
              </w:rPr>
            </w:pPr>
            <w:r w:rsidRPr="00367F2C">
              <w:rPr>
                <w:sz w:val="20"/>
                <w:szCs w:val="20"/>
              </w:rPr>
              <w:t>6%</w:t>
            </w:r>
          </w:p>
        </w:tc>
        <w:tc>
          <w:tcPr>
            <w:tcW w:w="1350" w:type="dxa"/>
            <w:vAlign w:val="center"/>
            <w:hideMark/>
          </w:tcPr>
          <w:p w14:paraId="273E2B90" w14:textId="77777777" w:rsidR="003E2E97" w:rsidRPr="00367F2C" w:rsidRDefault="003E2E97" w:rsidP="008A541A">
            <w:pPr>
              <w:rPr>
                <w:sz w:val="20"/>
                <w:szCs w:val="20"/>
              </w:rPr>
            </w:pPr>
            <w:r w:rsidRPr="00367F2C">
              <w:rPr>
                <w:sz w:val="20"/>
                <w:szCs w:val="20"/>
              </w:rPr>
              <w:t xml:space="preserve">MBE actual spend for </w:t>
            </w:r>
            <w:r w:rsidR="00FB6CC3" w:rsidRPr="00367F2C">
              <w:rPr>
                <w:sz w:val="20"/>
                <w:szCs w:val="20"/>
              </w:rPr>
              <w:t>FY201</w:t>
            </w:r>
            <w:r w:rsidR="008A541A">
              <w:rPr>
                <w:sz w:val="20"/>
                <w:szCs w:val="20"/>
              </w:rPr>
              <w:t>4</w:t>
            </w:r>
          </w:p>
        </w:tc>
        <w:tc>
          <w:tcPr>
            <w:tcW w:w="990" w:type="dxa"/>
            <w:vAlign w:val="center"/>
            <w:hideMark/>
          </w:tcPr>
          <w:p w14:paraId="171A0177" w14:textId="77777777" w:rsidR="003E2E97" w:rsidRPr="00367F2C" w:rsidRDefault="003E2E97" w:rsidP="00D45548">
            <w:pPr>
              <w:rPr>
                <w:sz w:val="20"/>
                <w:szCs w:val="20"/>
              </w:rPr>
            </w:pPr>
            <w:r w:rsidRPr="00367F2C">
              <w:rPr>
                <w:sz w:val="20"/>
                <w:szCs w:val="20"/>
              </w:rPr>
              <w:t>MBE actual %</w:t>
            </w:r>
          </w:p>
        </w:tc>
        <w:tc>
          <w:tcPr>
            <w:tcW w:w="1350" w:type="dxa"/>
            <w:noWrap/>
            <w:vAlign w:val="center"/>
            <w:hideMark/>
          </w:tcPr>
          <w:p w14:paraId="5BB6F703" w14:textId="77777777" w:rsidR="003E2E97" w:rsidRPr="00367F2C" w:rsidRDefault="003E2E97" w:rsidP="00D45548">
            <w:pPr>
              <w:rPr>
                <w:sz w:val="20"/>
                <w:szCs w:val="20"/>
              </w:rPr>
            </w:pPr>
            <w:r w:rsidRPr="00367F2C">
              <w:rPr>
                <w:sz w:val="20"/>
                <w:szCs w:val="20"/>
              </w:rPr>
              <w:t>WBE Benchmark 12%</w:t>
            </w:r>
          </w:p>
        </w:tc>
        <w:tc>
          <w:tcPr>
            <w:tcW w:w="1440" w:type="dxa"/>
            <w:noWrap/>
            <w:vAlign w:val="center"/>
            <w:hideMark/>
          </w:tcPr>
          <w:p w14:paraId="152F248E" w14:textId="77777777" w:rsidR="003E2E97" w:rsidRPr="00367F2C" w:rsidRDefault="003E2E97" w:rsidP="008A541A">
            <w:pPr>
              <w:rPr>
                <w:sz w:val="20"/>
                <w:szCs w:val="20"/>
              </w:rPr>
            </w:pPr>
            <w:r w:rsidRPr="00367F2C">
              <w:rPr>
                <w:sz w:val="20"/>
                <w:szCs w:val="20"/>
              </w:rPr>
              <w:t xml:space="preserve">WBE actual spend for </w:t>
            </w:r>
            <w:r w:rsidR="00FB6CC3" w:rsidRPr="00367F2C">
              <w:rPr>
                <w:sz w:val="20"/>
                <w:szCs w:val="20"/>
              </w:rPr>
              <w:t>FY201</w:t>
            </w:r>
            <w:r w:rsidR="008A541A">
              <w:rPr>
                <w:sz w:val="20"/>
                <w:szCs w:val="20"/>
              </w:rPr>
              <w:t>4</w:t>
            </w:r>
          </w:p>
        </w:tc>
        <w:tc>
          <w:tcPr>
            <w:tcW w:w="990" w:type="dxa"/>
            <w:vAlign w:val="center"/>
            <w:hideMark/>
          </w:tcPr>
          <w:p w14:paraId="4C9A15BB" w14:textId="77777777" w:rsidR="003E2E97" w:rsidRPr="00367F2C" w:rsidRDefault="003E2E97" w:rsidP="00D45548">
            <w:pPr>
              <w:rPr>
                <w:sz w:val="20"/>
                <w:szCs w:val="20"/>
              </w:rPr>
            </w:pPr>
            <w:r w:rsidRPr="00367F2C">
              <w:rPr>
                <w:sz w:val="20"/>
                <w:szCs w:val="20"/>
              </w:rPr>
              <w:t>WBE actual %</w:t>
            </w:r>
          </w:p>
        </w:tc>
      </w:tr>
      <w:tr w:rsidR="00951ACD" w:rsidRPr="00EF1E36" w14:paraId="4731B2A9" w14:textId="77777777" w:rsidTr="005E5E14">
        <w:trPr>
          <w:trHeight w:val="539"/>
          <w:jc w:val="center"/>
        </w:trPr>
        <w:tc>
          <w:tcPr>
            <w:tcW w:w="1458" w:type="dxa"/>
            <w:vAlign w:val="center"/>
            <w:hideMark/>
          </w:tcPr>
          <w:p w14:paraId="1B5400B5" w14:textId="77777777" w:rsidR="003E2E97" w:rsidRPr="00367F2C" w:rsidRDefault="003E2E97" w:rsidP="00D45548">
            <w:pPr>
              <w:rPr>
                <w:sz w:val="20"/>
                <w:szCs w:val="20"/>
              </w:rPr>
            </w:pPr>
            <w:r w:rsidRPr="00367F2C">
              <w:rPr>
                <w:sz w:val="20"/>
                <w:szCs w:val="20"/>
              </w:rPr>
              <w:t>TOTAL</w:t>
            </w:r>
          </w:p>
          <w:p w14:paraId="00ABE8F7" w14:textId="77777777" w:rsidR="003E2E97" w:rsidRPr="00367F2C" w:rsidRDefault="003E2E97" w:rsidP="00D45548">
            <w:pPr>
              <w:rPr>
                <w:sz w:val="20"/>
                <w:szCs w:val="20"/>
              </w:rPr>
            </w:pPr>
            <w:r w:rsidRPr="00367F2C">
              <w:rPr>
                <w:sz w:val="20"/>
                <w:szCs w:val="20"/>
              </w:rPr>
              <w:t>Executive Branch</w:t>
            </w:r>
          </w:p>
        </w:tc>
        <w:tc>
          <w:tcPr>
            <w:tcW w:w="1530" w:type="dxa"/>
            <w:noWrap/>
            <w:vAlign w:val="center"/>
          </w:tcPr>
          <w:p w14:paraId="5E14EA99" w14:textId="77777777" w:rsidR="003E2E97" w:rsidRPr="00367F2C" w:rsidRDefault="008A541A" w:rsidP="00C43DC8">
            <w:pPr>
              <w:jc w:val="right"/>
              <w:rPr>
                <w:sz w:val="20"/>
                <w:szCs w:val="20"/>
              </w:rPr>
            </w:pPr>
            <w:r w:rsidRPr="00A763B8">
              <w:rPr>
                <w:color w:val="000000"/>
                <w:sz w:val="20"/>
                <w:szCs w:val="20"/>
              </w:rPr>
              <w:t>$</w:t>
            </w:r>
            <w:r>
              <w:rPr>
                <w:color w:val="000000"/>
                <w:sz w:val="20"/>
                <w:szCs w:val="20"/>
              </w:rPr>
              <w:t>3,976,301,022</w:t>
            </w:r>
          </w:p>
        </w:tc>
        <w:tc>
          <w:tcPr>
            <w:tcW w:w="1350" w:type="dxa"/>
            <w:noWrap/>
            <w:vAlign w:val="center"/>
          </w:tcPr>
          <w:p w14:paraId="6378E97D" w14:textId="77777777" w:rsidR="003E2E97" w:rsidRPr="00367F2C" w:rsidRDefault="008A541A" w:rsidP="00C43DC8">
            <w:pPr>
              <w:jc w:val="right"/>
              <w:rPr>
                <w:sz w:val="20"/>
                <w:szCs w:val="20"/>
              </w:rPr>
            </w:pPr>
            <w:r w:rsidRPr="00A763B8">
              <w:rPr>
                <w:color w:val="000000"/>
                <w:sz w:val="20"/>
                <w:szCs w:val="20"/>
              </w:rPr>
              <w:t>$</w:t>
            </w:r>
            <w:r>
              <w:rPr>
                <w:color w:val="000000"/>
                <w:sz w:val="20"/>
                <w:szCs w:val="20"/>
              </w:rPr>
              <w:t>238,578,061</w:t>
            </w:r>
          </w:p>
        </w:tc>
        <w:tc>
          <w:tcPr>
            <w:tcW w:w="1350" w:type="dxa"/>
            <w:noWrap/>
            <w:vAlign w:val="center"/>
          </w:tcPr>
          <w:p w14:paraId="30A25A05" w14:textId="77777777" w:rsidR="003E2E97" w:rsidRPr="00367F2C" w:rsidRDefault="008A541A" w:rsidP="00A46F50">
            <w:pPr>
              <w:jc w:val="right"/>
              <w:rPr>
                <w:sz w:val="20"/>
                <w:szCs w:val="20"/>
              </w:rPr>
            </w:pPr>
            <w:r w:rsidRPr="00A763B8">
              <w:rPr>
                <w:color w:val="000000"/>
                <w:sz w:val="20"/>
                <w:szCs w:val="20"/>
              </w:rPr>
              <w:t>$</w:t>
            </w:r>
            <w:r w:rsidR="00A46F50">
              <w:rPr>
                <w:color w:val="000000"/>
                <w:sz w:val="20"/>
                <w:szCs w:val="20"/>
              </w:rPr>
              <w:t>246,273,419</w:t>
            </w:r>
          </w:p>
        </w:tc>
        <w:tc>
          <w:tcPr>
            <w:tcW w:w="990" w:type="dxa"/>
            <w:noWrap/>
            <w:vAlign w:val="center"/>
          </w:tcPr>
          <w:p w14:paraId="5F644416" w14:textId="77777777" w:rsidR="003E2E97" w:rsidRPr="00367F2C" w:rsidRDefault="008A541A" w:rsidP="008A541A">
            <w:pPr>
              <w:jc w:val="right"/>
              <w:rPr>
                <w:sz w:val="20"/>
                <w:szCs w:val="20"/>
              </w:rPr>
            </w:pPr>
            <w:r>
              <w:rPr>
                <w:sz w:val="20"/>
                <w:szCs w:val="20"/>
              </w:rPr>
              <w:t>10</w:t>
            </w:r>
            <w:r w:rsidR="00F21F94" w:rsidRPr="00367F2C">
              <w:rPr>
                <w:sz w:val="20"/>
                <w:szCs w:val="20"/>
              </w:rPr>
              <w:t>3.</w:t>
            </w:r>
            <w:r>
              <w:rPr>
                <w:sz w:val="20"/>
                <w:szCs w:val="20"/>
              </w:rPr>
              <w:t>23</w:t>
            </w:r>
            <w:r w:rsidR="00F21F94" w:rsidRPr="00367F2C">
              <w:rPr>
                <w:sz w:val="20"/>
                <w:szCs w:val="20"/>
              </w:rPr>
              <w:t>%</w:t>
            </w:r>
          </w:p>
        </w:tc>
        <w:tc>
          <w:tcPr>
            <w:tcW w:w="1350" w:type="dxa"/>
            <w:noWrap/>
            <w:vAlign w:val="center"/>
          </w:tcPr>
          <w:p w14:paraId="2494EAC4" w14:textId="77777777" w:rsidR="003E2E97" w:rsidRPr="00367F2C" w:rsidRDefault="008A541A" w:rsidP="00C43DC8">
            <w:pPr>
              <w:jc w:val="right"/>
              <w:rPr>
                <w:sz w:val="20"/>
                <w:szCs w:val="20"/>
              </w:rPr>
            </w:pPr>
            <w:r w:rsidRPr="00A763B8">
              <w:rPr>
                <w:color w:val="000000"/>
                <w:sz w:val="20"/>
                <w:szCs w:val="20"/>
              </w:rPr>
              <w:t>$</w:t>
            </w:r>
            <w:r>
              <w:rPr>
                <w:color w:val="000000"/>
                <w:sz w:val="20"/>
                <w:szCs w:val="20"/>
              </w:rPr>
              <w:t>477,129,429</w:t>
            </w:r>
          </w:p>
        </w:tc>
        <w:tc>
          <w:tcPr>
            <w:tcW w:w="1440" w:type="dxa"/>
            <w:noWrap/>
            <w:vAlign w:val="center"/>
          </w:tcPr>
          <w:p w14:paraId="7FFF34D2" w14:textId="77777777" w:rsidR="003E2E97" w:rsidRPr="00367F2C" w:rsidRDefault="008A541A" w:rsidP="00C43DC8">
            <w:pPr>
              <w:jc w:val="right"/>
              <w:rPr>
                <w:sz w:val="20"/>
                <w:szCs w:val="20"/>
              </w:rPr>
            </w:pPr>
            <w:r w:rsidRPr="00A763B8">
              <w:rPr>
                <w:color w:val="000000"/>
                <w:sz w:val="20"/>
                <w:szCs w:val="20"/>
              </w:rPr>
              <w:t>$</w:t>
            </w:r>
            <w:r>
              <w:rPr>
                <w:color w:val="000000"/>
                <w:sz w:val="20"/>
                <w:szCs w:val="20"/>
              </w:rPr>
              <w:t>573,468,568</w:t>
            </w:r>
          </w:p>
        </w:tc>
        <w:tc>
          <w:tcPr>
            <w:tcW w:w="990" w:type="dxa"/>
            <w:noWrap/>
            <w:vAlign w:val="center"/>
          </w:tcPr>
          <w:p w14:paraId="7C9A5166" w14:textId="77777777" w:rsidR="003E2E97" w:rsidRPr="00367F2C" w:rsidRDefault="008A541A" w:rsidP="00C43DC8">
            <w:pPr>
              <w:jc w:val="right"/>
              <w:rPr>
                <w:sz w:val="20"/>
                <w:szCs w:val="20"/>
              </w:rPr>
            </w:pPr>
            <w:r>
              <w:rPr>
                <w:bCs/>
                <w:color w:val="000000"/>
                <w:sz w:val="20"/>
                <w:szCs w:val="20"/>
              </w:rPr>
              <w:t>120.19</w:t>
            </w:r>
            <w:r w:rsidRPr="00A763B8">
              <w:rPr>
                <w:bCs/>
                <w:color w:val="000000"/>
                <w:sz w:val="20"/>
                <w:szCs w:val="20"/>
              </w:rPr>
              <w:t>%</w:t>
            </w:r>
          </w:p>
        </w:tc>
      </w:tr>
      <w:tr w:rsidR="00951ACD" w:rsidRPr="00EF1E36" w14:paraId="712C0A45" w14:textId="77777777" w:rsidTr="005E5E14">
        <w:trPr>
          <w:trHeight w:val="539"/>
          <w:jc w:val="center"/>
        </w:trPr>
        <w:tc>
          <w:tcPr>
            <w:tcW w:w="1458" w:type="dxa"/>
            <w:vAlign w:val="center"/>
            <w:hideMark/>
          </w:tcPr>
          <w:p w14:paraId="589FD9EE" w14:textId="77777777" w:rsidR="003E2E97" w:rsidRPr="00367F2C" w:rsidRDefault="003E2E97" w:rsidP="00D45548">
            <w:pPr>
              <w:rPr>
                <w:sz w:val="20"/>
                <w:szCs w:val="20"/>
              </w:rPr>
            </w:pPr>
            <w:r w:rsidRPr="00367F2C">
              <w:rPr>
                <w:sz w:val="20"/>
                <w:szCs w:val="20"/>
              </w:rPr>
              <w:t>TOTAL</w:t>
            </w:r>
          </w:p>
          <w:p w14:paraId="077865D1" w14:textId="77777777" w:rsidR="003E2E97" w:rsidRPr="00367F2C" w:rsidRDefault="003E2E97" w:rsidP="00D45548">
            <w:pPr>
              <w:rPr>
                <w:sz w:val="20"/>
                <w:szCs w:val="20"/>
              </w:rPr>
            </w:pPr>
            <w:proofErr w:type="spellStart"/>
            <w:r w:rsidRPr="00367F2C">
              <w:rPr>
                <w:sz w:val="20"/>
                <w:szCs w:val="20"/>
              </w:rPr>
              <w:t>MassHousing</w:t>
            </w:r>
            <w:proofErr w:type="spellEnd"/>
            <w:r w:rsidR="0031227D" w:rsidRPr="00367F2C">
              <w:rPr>
                <w:rStyle w:val="FootnoteReference"/>
                <w:rFonts w:eastAsia="Times New Roman"/>
                <w:color w:val="000000"/>
                <w:sz w:val="20"/>
                <w:szCs w:val="20"/>
              </w:rPr>
              <w:footnoteReference w:id="9"/>
            </w:r>
          </w:p>
        </w:tc>
        <w:tc>
          <w:tcPr>
            <w:tcW w:w="1530" w:type="dxa"/>
            <w:noWrap/>
            <w:vAlign w:val="center"/>
          </w:tcPr>
          <w:p w14:paraId="30E6BB0C" w14:textId="77777777" w:rsidR="003E2E97" w:rsidRPr="00367F2C" w:rsidRDefault="008A541A" w:rsidP="00C43DC8">
            <w:pPr>
              <w:jc w:val="right"/>
              <w:rPr>
                <w:sz w:val="20"/>
                <w:szCs w:val="20"/>
              </w:rPr>
            </w:pPr>
            <w:r w:rsidRPr="00A763B8">
              <w:rPr>
                <w:color w:val="000000"/>
                <w:sz w:val="20"/>
                <w:szCs w:val="20"/>
              </w:rPr>
              <w:t>$</w:t>
            </w:r>
            <w:r>
              <w:rPr>
                <w:color w:val="000000"/>
                <w:sz w:val="20"/>
                <w:szCs w:val="20"/>
              </w:rPr>
              <w:t>14,523,438</w:t>
            </w:r>
          </w:p>
        </w:tc>
        <w:tc>
          <w:tcPr>
            <w:tcW w:w="1350" w:type="dxa"/>
            <w:noWrap/>
            <w:vAlign w:val="center"/>
          </w:tcPr>
          <w:p w14:paraId="1EA29713" w14:textId="77777777" w:rsidR="003E2E97" w:rsidRPr="00367F2C" w:rsidRDefault="00951ACD" w:rsidP="00C43DC8">
            <w:pPr>
              <w:jc w:val="right"/>
              <w:rPr>
                <w:sz w:val="20"/>
                <w:szCs w:val="20"/>
              </w:rPr>
            </w:pPr>
            <w:r w:rsidRPr="00A763B8">
              <w:rPr>
                <w:color w:val="000000"/>
                <w:sz w:val="20"/>
                <w:szCs w:val="20"/>
              </w:rPr>
              <w:t>$</w:t>
            </w:r>
            <w:r>
              <w:rPr>
                <w:color w:val="000000"/>
                <w:sz w:val="20"/>
                <w:szCs w:val="20"/>
              </w:rPr>
              <w:t>871,406</w:t>
            </w:r>
          </w:p>
        </w:tc>
        <w:tc>
          <w:tcPr>
            <w:tcW w:w="1350" w:type="dxa"/>
            <w:noWrap/>
            <w:vAlign w:val="center"/>
          </w:tcPr>
          <w:p w14:paraId="5E8A73F7" w14:textId="77777777" w:rsidR="003E2E97" w:rsidRPr="00367F2C" w:rsidRDefault="00951ACD" w:rsidP="00C43DC8">
            <w:pPr>
              <w:jc w:val="right"/>
              <w:rPr>
                <w:sz w:val="20"/>
                <w:szCs w:val="20"/>
              </w:rPr>
            </w:pPr>
            <w:r w:rsidRPr="00A763B8">
              <w:rPr>
                <w:color w:val="000000"/>
                <w:sz w:val="20"/>
                <w:szCs w:val="20"/>
              </w:rPr>
              <w:t>$</w:t>
            </w:r>
            <w:r>
              <w:rPr>
                <w:color w:val="000000"/>
                <w:sz w:val="20"/>
                <w:szCs w:val="20"/>
              </w:rPr>
              <w:t>877,398</w:t>
            </w:r>
          </w:p>
        </w:tc>
        <w:tc>
          <w:tcPr>
            <w:tcW w:w="990" w:type="dxa"/>
            <w:noWrap/>
            <w:vAlign w:val="center"/>
          </w:tcPr>
          <w:p w14:paraId="008FB030" w14:textId="77777777" w:rsidR="003E2E97" w:rsidRPr="00367F2C" w:rsidRDefault="00951ACD" w:rsidP="00C43DC8">
            <w:pPr>
              <w:jc w:val="right"/>
              <w:rPr>
                <w:sz w:val="20"/>
                <w:szCs w:val="20"/>
              </w:rPr>
            </w:pPr>
            <w:r>
              <w:rPr>
                <w:bCs/>
                <w:color w:val="000000"/>
                <w:sz w:val="20"/>
                <w:szCs w:val="20"/>
              </w:rPr>
              <w:t>100.69</w:t>
            </w:r>
            <w:r w:rsidRPr="00A763B8">
              <w:rPr>
                <w:bCs/>
                <w:color w:val="000000"/>
                <w:sz w:val="20"/>
                <w:szCs w:val="20"/>
              </w:rPr>
              <w:t>%</w:t>
            </w:r>
          </w:p>
        </w:tc>
        <w:tc>
          <w:tcPr>
            <w:tcW w:w="1350" w:type="dxa"/>
            <w:noWrap/>
            <w:vAlign w:val="center"/>
          </w:tcPr>
          <w:p w14:paraId="2366D2AB" w14:textId="77777777" w:rsidR="003E2E97" w:rsidRPr="00367F2C" w:rsidRDefault="00951ACD" w:rsidP="00C43DC8">
            <w:pPr>
              <w:jc w:val="right"/>
              <w:rPr>
                <w:sz w:val="20"/>
                <w:szCs w:val="20"/>
              </w:rPr>
            </w:pPr>
            <w:r w:rsidRPr="00A763B8">
              <w:rPr>
                <w:color w:val="000000"/>
                <w:sz w:val="20"/>
                <w:szCs w:val="20"/>
              </w:rPr>
              <w:t>$</w:t>
            </w:r>
            <w:r>
              <w:rPr>
                <w:color w:val="000000"/>
                <w:sz w:val="20"/>
                <w:szCs w:val="20"/>
              </w:rPr>
              <w:t>1,742,813</w:t>
            </w:r>
          </w:p>
        </w:tc>
        <w:tc>
          <w:tcPr>
            <w:tcW w:w="1440" w:type="dxa"/>
            <w:noWrap/>
            <w:vAlign w:val="center"/>
          </w:tcPr>
          <w:p w14:paraId="3AACAA90" w14:textId="77777777" w:rsidR="003E2E97" w:rsidRPr="00367F2C" w:rsidRDefault="00951ACD" w:rsidP="00C43DC8">
            <w:pPr>
              <w:jc w:val="right"/>
              <w:rPr>
                <w:sz w:val="20"/>
                <w:szCs w:val="20"/>
              </w:rPr>
            </w:pPr>
            <w:r w:rsidRPr="00A763B8">
              <w:rPr>
                <w:color w:val="000000"/>
                <w:sz w:val="20"/>
                <w:szCs w:val="20"/>
              </w:rPr>
              <w:t>$</w:t>
            </w:r>
            <w:r>
              <w:rPr>
                <w:color w:val="000000"/>
                <w:sz w:val="20"/>
                <w:szCs w:val="20"/>
              </w:rPr>
              <w:t>1,349,562</w:t>
            </w:r>
          </w:p>
        </w:tc>
        <w:tc>
          <w:tcPr>
            <w:tcW w:w="990" w:type="dxa"/>
            <w:noWrap/>
            <w:vAlign w:val="center"/>
          </w:tcPr>
          <w:p w14:paraId="0D181D63" w14:textId="77777777" w:rsidR="003E2E97" w:rsidRPr="00367F2C" w:rsidRDefault="00D20DFA" w:rsidP="00D20DFA">
            <w:pPr>
              <w:jc w:val="right"/>
              <w:rPr>
                <w:sz w:val="20"/>
                <w:szCs w:val="20"/>
              </w:rPr>
            </w:pPr>
            <w:r>
              <w:rPr>
                <w:sz w:val="20"/>
                <w:szCs w:val="20"/>
              </w:rPr>
              <w:t>77</w:t>
            </w:r>
            <w:r w:rsidR="00DB5BA3" w:rsidRPr="00367F2C">
              <w:rPr>
                <w:sz w:val="20"/>
                <w:szCs w:val="20"/>
              </w:rPr>
              <w:t>.</w:t>
            </w:r>
            <w:r>
              <w:rPr>
                <w:sz w:val="20"/>
                <w:szCs w:val="20"/>
              </w:rPr>
              <w:t>44</w:t>
            </w:r>
            <w:r w:rsidR="00DB5BA3" w:rsidRPr="00367F2C">
              <w:rPr>
                <w:sz w:val="20"/>
                <w:szCs w:val="20"/>
              </w:rPr>
              <w:t>%</w:t>
            </w:r>
          </w:p>
        </w:tc>
      </w:tr>
      <w:tr w:rsidR="00951ACD" w:rsidRPr="00EF1E36" w14:paraId="7143AB5C" w14:textId="77777777" w:rsidTr="005E5E14">
        <w:trPr>
          <w:trHeight w:val="296"/>
          <w:jc w:val="center"/>
        </w:trPr>
        <w:tc>
          <w:tcPr>
            <w:tcW w:w="1458" w:type="dxa"/>
            <w:vAlign w:val="center"/>
            <w:hideMark/>
          </w:tcPr>
          <w:p w14:paraId="4192F8D2" w14:textId="77777777" w:rsidR="003E2E97" w:rsidRPr="00367F2C" w:rsidRDefault="003E2E97" w:rsidP="00D45548">
            <w:pPr>
              <w:rPr>
                <w:sz w:val="20"/>
                <w:szCs w:val="20"/>
              </w:rPr>
            </w:pPr>
            <w:r w:rsidRPr="00367F2C">
              <w:rPr>
                <w:sz w:val="20"/>
                <w:szCs w:val="20"/>
              </w:rPr>
              <w:t>COMBINED TOTALS</w:t>
            </w:r>
          </w:p>
        </w:tc>
        <w:tc>
          <w:tcPr>
            <w:tcW w:w="1530" w:type="dxa"/>
            <w:noWrap/>
            <w:vAlign w:val="center"/>
          </w:tcPr>
          <w:p w14:paraId="3E605E97" w14:textId="77777777" w:rsidR="003E2E97" w:rsidRPr="00367F2C" w:rsidRDefault="008A541A" w:rsidP="00C43DC8">
            <w:pPr>
              <w:jc w:val="right"/>
              <w:rPr>
                <w:sz w:val="20"/>
                <w:szCs w:val="20"/>
              </w:rPr>
            </w:pPr>
            <w:r w:rsidRPr="00A763B8">
              <w:rPr>
                <w:bCs/>
                <w:color w:val="000000"/>
                <w:sz w:val="20"/>
                <w:szCs w:val="20"/>
              </w:rPr>
              <w:t>$</w:t>
            </w:r>
            <w:r>
              <w:rPr>
                <w:color w:val="000000"/>
                <w:sz w:val="20"/>
                <w:szCs w:val="20"/>
              </w:rPr>
              <w:t>3,990,824,460</w:t>
            </w:r>
          </w:p>
        </w:tc>
        <w:tc>
          <w:tcPr>
            <w:tcW w:w="1350" w:type="dxa"/>
            <w:noWrap/>
            <w:vAlign w:val="center"/>
          </w:tcPr>
          <w:p w14:paraId="12199994" w14:textId="77777777" w:rsidR="003E2E97" w:rsidRPr="00367F2C" w:rsidRDefault="00951ACD" w:rsidP="004E429E">
            <w:pPr>
              <w:jc w:val="right"/>
              <w:rPr>
                <w:sz w:val="20"/>
                <w:szCs w:val="20"/>
              </w:rPr>
            </w:pPr>
            <w:r w:rsidRPr="00A763B8">
              <w:rPr>
                <w:bCs/>
                <w:color w:val="000000"/>
                <w:sz w:val="20"/>
                <w:szCs w:val="20"/>
              </w:rPr>
              <w:t>$</w:t>
            </w:r>
            <w:r>
              <w:rPr>
                <w:bCs/>
                <w:color w:val="000000"/>
                <w:sz w:val="20"/>
                <w:szCs w:val="20"/>
              </w:rPr>
              <w:t>239,449,46</w:t>
            </w:r>
            <w:r w:rsidR="004E429E">
              <w:rPr>
                <w:bCs/>
                <w:color w:val="000000"/>
                <w:sz w:val="20"/>
                <w:szCs w:val="20"/>
              </w:rPr>
              <w:t>7</w:t>
            </w:r>
          </w:p>
        </w:tc>
        <w:tc>
          <w:tcPr>
            <w:tcW w:w="1350" w:type="dxa"/>
            <w:noWrap/>
            <w:vAlign w:val="center"/>
          </w:tcPr>
          <w:p w14:paraId="7B258A9E" w14:textId="77777777" w:rsidR="003E2E97" w:rsidRPr="00367F2C" w:rsidRDefault="00951ACD" w:rsidP="00C43DC8">
            <w:pPr>
              <w:jc w:val="right"/>
              <w:rPr>
                <w:sz w:val="20"/>
                <w:szCs w:val="20"/>
              </w:rPr>
            </w:pPr>
            <w:r w:rsidRPr="00A763B8">
              <w:rPr>
                <w:bCs/>
                <w:color w:val="000000"/>
                <w:sz w:val="20"/>
                <w:szCs w:val="20"/>
              </w:rPr>
              <w:t>$</w:t>
            </w:r>
            <w:r>
              <w:rPr>
                <w:color w:val="000000"/>
                <w:sz w:val="20"/>
                <w:szCs w:val="20"/>
              </w:rPr>
              <w:t>247,150,817</w:t>
            </w:r>
          </w:p>
        </w:tc>
        <w:tc>
          <w:tcPr>
            <w:tcW w:w="990" w:type="dxa"/>
            <w:noWrap/>
            <w:vAlign w:val="center"/>
          </w:tcPr>
          <w:p w14:paraId="6A43D704" w14:textId="77777777" w:rsidR="003E2E97" w:rsidRPr="00367F2C" w:rsidRDefault="00951ACD" w:rsidP="00C43DC8">
            <w:pPr>
              <w:jc w:val="right"/>
              <w:rPr>
                <w:sz w:val="20"/>
                <w:szCs w:val="20"/>
              </w:rPr>
            </w:pPr>
            <w:r>
              <w:rPr>
                <w:bCs/>
                <w:color w:val="000000"/>
                <w:sz w:val="20"/>
                <w:szCs w:val="20"/>
              </w:rPr>
              <w:t>103.22</w:t>
            </w:r>
            <w:r w:rsidRPr="00A763B8">
              <w:rPr>
                <w:bCs/>
                <w:color w:val="000000"/>
                <w:sz w:val="20"/>
                <w:szCs w:val="20"/>
              </w:rPr>
              <w:t>%</w:t>
            </w:r>
          </w:p>
        </w:tc>
        <w:tc>
          <w:tcPr>
            <w:tcW w:w="1350" w:type="dxa"/>
            <w:noWrap/>
            <w:vAlign w:val="center"/>
          </w:tcPr>
          <w:p w14:paraId="479CABF7" w14:textId="77777777" w:rsidR="003E2E97" w:rsidRPr="00367F2C" w:rsidRDefault="00951ACD" w:rsidP="004E429E">
            <w:pPr>
              <w:jc w:val="right"/>
              <w:rPr>
                <w:sz w:val="20"/>
                <w:szCs w:val="20"/>
              </w:rPr>
            </w:pPr>
            <w:r w:rsidRPr="00A763B8">
              <w:rPr>
                <w:bCs/>
                <w:color w:val="000000"/>
                <w:sz w:val="20"/>
                <w:szCs w:val="20"/>
              </w:rPr>
              <w:t>$</w:t>
            </w:r>
            <w:r>
              <w:rPr>
                <w:color w:val="000000"/>
                <w:sz w:val="20"/>
                <w:szCs w:val="20"/>
              </w:rPr>
              <w:t>478,8</w:t>
            </w:r>
            <w:r w:rsidR="004E429E">
              <w:rPr>
                <w:color w:val="000000"/>
                <w:sz w:val="20"/>
                <w:szCs w:val="20"/>
              </w:rPr>
              <w:t>72</w:t>
            </w:r>
            <w:r>
              <w:rPr>
                <w:color w:val="000000"/>
                <w:sz w:val="20"/>
                <w:szCs w:val="20"/>
              </w:rPr>
              <w:t>,</w:t>
            </w:r>
            <w:r w:rsidR="004E429E">
              <w:rPr>
                <w:color w:val="000000"/>
                <w:sz w:val="20"/>
                <w:szCs w:val="20"/>
              </w:rPr>
              <w:t>242</w:t>
            </w:r>
          </w:p>
        </w:tc>
        <w:tc>
          <w:tcPr>
            <w:tcW w:w="1440" w:type="dxa"/>
            <w:noWrap/>
            <w:vAlign w:val="center"/>
          </w:tcPr>
          <w:p w14:paraId="607DF1B4" w14:textId="77777777" w:rsidR="003E2E97" w:rsidRPr="00367F2C" w:rsidRDefault="00951ACD" w:rsidP="00951ACD">
            <w:pPr>
              <w:rPr>
                <w:sz w:val="20"/>
                <w:szCs w:val="20"/>
              </w:rPr>
            </w:pPr>
            <w:r w:rsidRPr="00A763B8">
              <w:rPr>
                <w:bCs/>
                <w:color w:val="000000"/>
                <w:sz w:val="20"/>
                <w:szCs w:val="20"/>
              </w:rPr>
              <w:t>$</w:t>
            </w:r>
            <w:r>
              <w:rPr>
                <w:color w:val="000000"/>
                <w:sz w:val="20"/>
                <w:szCs w:val="20"/>
              </w:rPr>
              <w:t>574, 818,148</w:t>
            </w:r>
          </w:p>
        </w:tc>
        <w:tc>
          <w:tcPr>
            <w:tcW w:w="990" w:type="dxa"/>
            <w:noWrap/>
            <w:vAlign w:val="center"/>
          </w:tcPr>
          <w:p w14:paraId="5AAE7176" w14:textId="77777777" w:rsidR="003E2E97" w:rsidRPr="00367F2C" w:rsidRDefault="00DB5BA3" w:rsidP="00D20DFA">
            <w:pPr>
              <w:jc w:val="right"/>
              <w:rPr>
                <w:sz w:val="20"/>
                <w:szCs w:val="20"/>
              </w:rPr>
            </w:pPr>
            <w:r w:rsidRPr="00367F2C">
              <w:rPr>
                <w:sz w:val="20"/>
                <w:szCs w:val="20"/>
              </w:rPr>
              <w:t>1</w:t>
            </w:r>
            <w:r w:rsidR="00D20DFA">
              <w:rPr>
                <w:sz w:val="20"/>
                <w:szCs w:val="20"/>
              </w:rPr>
              <w:t>20</w:t>
            </w:r>
            <w:r w:rsidRPr="00367F2C">
              <w:rPr>
                <w:sz w:val="20"/>
                <w:szCs w:val="20"/>
              </w:rPr>
              <w:t>.0</w:t>
            </w:r>
            <w:r w:rsidR="00D20DFA">
              <w:rPr>
                <w:sz w:val="20"/>
                <w:szCs w:val="20"/>
              </w:rPr>
              <w:t>4</w:t>
            </w:r>
            <w:r w:rsidRPr="00367F2C">
              <w:rPr>
                <w:sz w:val="20"/>
                <w:szCs w:val="20"/>
              </w:rPr>
              <w:t>%</w:t>
            </w:r>
          </w:p>
        </w:tc>
      </w:tr>
    </w:tbl>
    <w:p w14:paraId="4C11CD0D" w14:textId="77777777" w:rsidR="003E2E97" w:rsidRPr="00EC1CE5" w:rsidRDefault="003E2E97" w:rsidP="00D45548"/>
    <w:p w14:paraId="61F44376" w14:textId="77777777" w:rsidR="00F96690" w:rsidRDefault="00FB6CC3" w:rsidP="009E236C">
      <w:pPr>
        <w:jc w:val="both"/>
      </w:pPr>
      <w:r>
        <w:lastRenderedPageBreak/>
        <w:t>FY201</w:t>
      </w:r>
      <w:r w:rsidR="009E5FCC">
        <w:t>4</w:t>
      </w:r>
      <w:r w:rsidR="00FE2B6B" w:rsidRPr="00EC1CE5">
        <w:t xml:space="preserve"> spending </w:t>
      </w:r>
      <w:r w:rsidR="003E2E97" w:rsidRPr="00EC1CE5">
        <w:t>was tracked for each agency or department and tallied by secretariat.  For an overall view of benchmark attainment, we look</w:t>
      </w:r>
      <w:r w:rsidR="00FE2B6B" w:rsidRPr="00EC1CE5">
        <w:t>ed</w:t>
      </w:r>
      <w:r w:rsidR="003E2E97" w:rsidRPr="00EC1CE5">
        <w:t xml:space="preserve"> at benchmark achievement and historical spen</w:t>
      </w:r>
      <w:r w:rsidR="00317B15">
        <w:t>ding at the secretariat level below</w:t>
      </w:r>
      <w:r w:rsidR="00F96690">
        <w:t>:</w:t>
      </w:r>
    </w:p>
    <w:tbl>
      <w:tblPr>
        <w:tblStyle w:val="TableGrid1"/>
        <w:tblW w:w="11250" w:type="dxa"/>
        <w:tblInd w:w="-612" w:type="dxa"/>
        <w:tblLayout w:type="fixed"/>
        <w:tblLook w:val="04A0" w:firstRow="1" w:lastRow="0" w:firstColumn="1" w:lastColumn="0" w:noHBand="0" w:noVBand="1"/>
        <w:tblCaption w:val="FY2013 spending was tracked for each agency or department and tallied by secretariat"/>
      </w:tblPr>
      <w:tblGrid>
        <w:gridCol w:w="1980"/>
        <w:gridCol w:w="1530"/>
        <w:gridCol w:w="1350"/>
        <w:gridCol w:w="1350"/>
        <w:gridCol w:w="1170"/>
        <w:gridCol w:w="1350"/>
        <w:gridCol w:w="1350"/>
        <w:gridCol w:w="1170"/>
      </w:tblGrid>
      <w:tr w:rsidR="005E5E14" w:rsidRPr="00CE747A" w14:paraId="53EC2ED5" w14:textId="77777777" w:rsidTr="005E5E14">
        <w:trPr>
          <w:trHeight w:val="1601"/>
          <w:tblHeader/>
        </w:trPr>
        <w:tc>
          <w:tcPr>
            <w:tcW w:w="1980" w:type="dxa"/>
            <w:hideMark/>
          </w:tcPr>
          <w:p w14:paraId="72CCFA9A" w14:textId="77777777" w:rsidR="00CE747A" w:rsidRPr="00367F2C" w:rsidRDefault="00F33C20" w:rsidP="00D45548">
            <w:pPr>
              <w:rPr>
                <w:sz w:val="20"/>
                <w:szCs w:val="20"/>
                <w:vertAlign w:val="subscript"/>
              </w:rPr>
            </w:pPr>
            <w:r w:rsidRPr="00367F2C">
              <w:rPr>
                <w:sz w:val="20"/>
                <w:szCs w:val="20"/>
              </w:rPr>
              <w:t xml:space="preserve">Secretariat </w:t>
            </w:r>
          </w:p>
        </w:tc>
        <w:tc>
          <w:tcPr>
            <w:tcW w:w="1530" w:type="dxa"/>
            <w:hideMark/>
          </w:tcPr>
          <w:p w14:paraId="3CB6E600" w14:textId="77777777" w:rsidR="00CE747A" w:rsidRPr="00367F2C" w:rsidRDefault="00F33C20" w:rsidP="00713152">
            <w:pPr>
              <w:rPr>
                <w:sz w:val="20"/>
                <w:szCs w:val="20"/>
                <w:vertAlign w:val="subscript"/>
              </w:rPr>
            </w:pPr>
            <w:r w:rsidRPr="00367F2C">
              <w:rPr>
                <w:sz w:val="20"/>
                <w:szCs w:val="20"/>
              </w:rPr>
              <w:t>FY201</w:t>
            </w:r>
            <w:r w:rsidR="00713152">
              <w:rPr>
                <w:sz w:val="20"/>
                <w:szCs w:val="20"/>
              </w:rPr>
              <w:t>4</w:t>
            </w:r>
            <w:r w:rsidRPr="00367F2C">
              <w:rPr>
                <w:sz w:val="20"/>
                <w:szCs w:val="20"/>
              </w:rPr>
              <w:t xml:space="preserve"> Discretion Budget </w:t>
            </w:r>
          </w:p>
        </w:tc>
        <w:tc>
          <w:tcPr>
            <w:tcW w:w="1350" w:type="dxa"/>
            <w:hideMark/>
          </w:tcPr>
          <w:p w14:paraId="4FA251CF" w14:textId="77777777" w:rsidR="00CE747A" w:rsidRPr="00367F2C" w:rsidRDefault="00F33C20" w:rsidP="00D45548">
            <w:pPr>
              <w:rPr>
                <w:sz w:val="20"/>
                <w:szCs w:val="20"/>
                <w:vertAlign w:val="subscript"/>
              </w:rPr>
            </w:pPr>
            <w:r w:rsidRPr="00367F2C">
              <w:rPr>
                <w:sz w:val="20"/>
                <w:szCs w:val="20"/>
              </w:rPr>
              <w:t xml:space="preserve">MBE Benchmark 6% of Discretionary Budget </w:t>
            </w:r>
          </w:p>
        </w:tc>
        <w:tc>
          <w:tcPr>
            <w:tcW w:w="1350" w:type="dxa"/>
            <w:hideMark/>
          </w:tcPr>
          <w:p w14:paraId="21295ACD" w14:textId="77777777" w:rsidR="00CE747A" w:rsidRPr="00367F2C" w:rsidRDefault="00F33C20" w:rsidP="00713152">
            <w:pPr>
              <w:rPr>
                <w:sz w:val="20"/>
                <w:szCs w:val="20"/>
                <w:vertAlign w:val="subscript"/>
              </w:rPr>
            </w:pPr>
            <w:r w:rsidRPr="00367F2C">
              <w:rPr>
                <w:sz w:val="20"/>
                <w:szCs w:val="20"/>
              </w:rPr>
              <w:t>MBE FY201</w:t>
            </w:r>
            <w:r w:rsidR="00713152">
              <w:rPr>
                <w:sz w:val="20"/>
                <w:szCs w:val="20"/>
              </w:rPr>
              <w:t>4</w:t>
            </w:r>
            <w:r w:rsidRPr="00367F2C">
              <w:rPr>
                <w:sz w:val="20"/>
                <w:szCs w:val="20"/>
              </w:rPr>
              <w:t xml:space="preserve"> Expenditure </w:t>
            </w:r>
          </w:p>
        </w:tc>
        <w:tc>
          <w:tcPr>
            <w:tcW w:w="1170" w:type="dxa"/>
            <w:hideMark/>
          </w:tcPr>
          <w:p w14:paraId="4A8D33D4" w14:textId="77777777" w:rsidR="00CE747A" w:rsidRPr="00367F2C" w:rsidRDefault="00E53AA0" w:rsidP="00713152">
            <w:pPr>
              <w:rPr>
                <w:sz w:val="20"/>
                <w:szCs w:val="20"/>
                <w:vertAlign w:val="subscript"/>
              </w:rPr>
            </w:pPr>
            <w:r w:rsidRPr="00367F2C">
              <w:rPr>
                <w:sz w:val="20"/>
                <w:szCs w:val="20"/>
              </w:rPr>
              <w:t>MBE FY201</w:t>
            </w:r>
            <w:r w:rsidR="00713152">
              <w:rPr>
                <w:sz w:val="20"/>
                <w:szCs w:val="20"/>
              </w:rPr>
              <w:t>4</w:t>
            </w:r>
            <w:r w:rsidRPr="00367F2C">
              <w:rPr>
                <w:sz w:val="20"/>
                <w:szCs w:val="20"/>
              </w:rPr>
              <w:t xml:space="preserve"> Variance from 6% Benchmark as a Percentage </w:t>
            </w:r>
          </w:p>
        </w:tc>
        <w:tc>
          <w:tcPr>
            <w:tcW w:w="1350" w:type="dxa"/>
            <w:hideMark/>
          </w:tcPr>
          <w:p w14:paraId="260A1F30" w14:textId="77777777" w:rsidR="00CE747A" w:rsidRPr="00367F2C" w:rsidRDefault="00A07A61" w:rsidP="00990F54">
            <w:pPr>
              <w:rPr>
                <w:sz w:val="20"/>
                <w:szCs w:val="20"/>
                <w:vertAlign w:val="subscript"/>
              </w:rPr>
            </w:pPr>
            <w:r w:rsidRPr="00367F2C">
              <w:rPr>
                <w:sz w:val="20"/>
                <w:szCs w:val="20"/>
              </w:rPr>
              <w:t xml:space="preserve">WBE </w:t>
            </w:r>
            <w:r w:rsidR="00E53AA0" w:rsidRPr="00367F2C">
              <w:rPr>
                <w:sz w:val="20"/>
                <w:szCs w:val="20"/>
              </w:rPr>
              <w:t>FY201</w:t>
            </w:r>
            <w:r w:rsidR="00990F54">
              <w:rPr>
                <w:sz w:val="20"/>
                <w:szCs w:val="20"/>
              </w:rPr>
              <w:t>4</w:t>
            </w:r>
            <w:r w:rsidR="00E53AA0" w:rsidRPr="00367F2C">
              <w:rPr>
                <w:sz w:val="20"/>
                <w:szCs w:val="20"/>
              </w:rPr>
              <w:t xml:space="preserve"> Benchmark 12% of Discretionary Budget</w:t>
            </w:r>
          </w:p>
        </w:tc>
        <w:tc>
          <w:tcPr>
            <w:tcW w:w="1350" w:type="dxa"/>
            <w:hideMark/>
          </w:tcPr>
          <w:p w14:paraId="6D5B3FBD" w14:textId="77777777" w:rsidR="00CE747A" w:rsidRPr="00367F2C" w:rsidRDefault="00E53AA0" w:rsidP="00713152">
            <w:pPr>
              <w:rPr>
                <w:sz w:val="20"/>
                <w:szCs w:val="20"/>
                <w:vertAlign w:val="subscript"/>
              </w:rPr>
            </w:pPr>
            <w:r w:rsidRPr="00367F2C">
              <w:rPr>
                <w:sz w:val="20"/>
                <w:szCs w:val="20"/>
              </w:rPr>
              <w:t>WBE FY201</w:t>
            </w:r>
            <w:r w:rsidR="00713152">
              <w:rPr>
                <w:sz w:val="20"/>
                <w:szCs w:val="20"/>
              </w:rPr>
              <w:t>4</w:t>
            </w:r>
            <w:r w:rsidRPr="00367F2C">
              <w:rPr>
                <w:sz w:val="20"/>
                <w:szCs w:val="20"/>
              </w:rPr>
              <w:t xml:space="preserve"> Expenditure</w:t>
            </w:r>
          </w:p>
        </w:tc>
        <w:tc>
          <w:tcPr>
            <w:tcW w:w="1170" w:type="dxa"/>
            <w:hideMark/>
          </w:tcPr>
          <w:p w14:paraId="60A9248D" w14:textId="77777777" w:rsidR="00CE747A" w:rsidRPr="00367F2C" w:rsidRDefault="00840DBC" w:rsidP="00713152">
            <w:pPr>
              <w:rPr>
                <w:sz w:val="20"/>
                <w:szCs w:val="20"/>
                <w:vertAlign w:val="subscript"/>
              </w:rPr>
            </w:pPr>
            <w:r w:rsidRPr="00367F2C">
              <w:rPr>
                <w:sz w:val="20"/>
                <w:szCs w:val="20"/>
              </w:rPr>
              <w:t>WBE FY201</w:t>
            </w:r>
            <w:r w:rsidR="00713152">
              <w:rPr>
                <w:sz w:val="20"/>
                <w:szCs w:val="20"/>
              </w:rPr>
              <w:t>4</w:t>
            </w:r>
            <w:r w:rsidRPr="00367F2C">
              <w:rPr>
                <w:sz w:val="20"/>
                <w:szCs w:val="20"/>
              </w:rPr>
              <w:t xml:space="preserve"> Variance from 12% Benchmark as a Percentage</w:t>
            </w:r>
          </w:p>
        </w:tc>
      </w:tr>
      <w:tr w:rsidR="005E5E14" w:rsidRPr="00CE747A" w14:paraId="757ED5A5" w14:textId="77777777" w:rsidTr="005E5E14">
        <w:trPr>
          <w:trHeight w:val="421"/>
        </w:trPr>
        <w:tc>
          <w:tcPr>
            <w:tcW w:w="1980" w:type="dxa"/>
            <w:hideMark/>
          </w:tcPr>
          <w:p w14:paraId="26CD73A7" w14:textId="77777777" w:rsidR="00990F54" w:rsidRPr="00352A9A" w:rsidRDefault="00990F54" w:rsidP="00D45548">
            <w:pPr>
              <w:rPr>
                <w:sz w:val="22"/>
                <w:szCs w:val="22"/>
              </w:rPr>
            </w:pPr>
            <w:r w:rsidRPr="00352A9A">
              <w:rPr>
                <w:sz w:val="22"/>
                <w:szCs w:val="22"/>
              </w:rPr>
              <w:t>Administration and Finance</w:t>
            </w:r>
          </w:p>
        </w:tc>
        <w:tc>
          <w:tcPr>
            <w:tcW w:w="1530" w:type="dxa"/>
            <w:noWrap/>
            <w:vAlign w:val="center"/>
            <w:hideMark/>
          </w:tcPr>
          <w:p w14:paraId="32DA9214" w14:textId="77777777" w:rsidR="00990F54" w:rsidRPr="00352A9A" w:rsidRDefault="00990F54" w:rsidP="00B14CAD">
            <w:pPr>
              <w:jc w:val="right"/>
              <w:rPr>
                <w:color w:val="000000"/>
                <w:sz w:val="22"/>
                <w:szCs w:val="22"/>
              </w:rPr>
            </w:pPr>
            <w:r w:rsidRPr="00352A9A">
              <w:rPr>
                <w:color w:val="000000"/>
                <w:sz w:val="22"/>
                <w:szCs w:val="22"/>
              </w:rPr>
              <w:t xml:space="preserve">$103,656,895 </w:t>
            </w:r>
          </w:p>
        </w:tc>
        <w:tc>
          <w:tcPr>
            <w:tcW w:w="1350" w:type="dxa"/>
            <w:noWrap/>
            <w:vAlign w:val="center"/>
            <w:hideMark/>
          </w:tcPr>
          <w:p w14:paraId="0622DCE4" w14:textId="77777777" w:rsidR="00990F54" w:rsidRPr="00352A9A" w:rsidRDefault="00990F54" w:rsidP="00B14CAD">
            <w:pPr>
              <w:jc w:val="right"/>
              <w:rPr>
                <w:color w:val="000000"/>
                <w:sz w:val="22"/>
                <w:szCs w:val="22"/>
              </w:rPr>
            </w:pPr>
            <w:r w:rsidRPr="00352A9A">
              <w:rPr>
                <w:color w:val="000000"/>
                <w:sz w:val="22"/>
                <w:szCs w:val="22"/>
              </w:rPr>
              <w:t xml:space="preserve">$6,219,414 </w:t>
            </w:r>
          </w:p>
        </w:tc>
        <w:tc>
          <w:tcPr>
            <w:tcW w:w="1350" w:type="dxa"/>
            <w:noWrap/>
            <w:vAlign w:val="center"/>
            <w:hideMark/>
          </w:tcPr>
          <w:p w14:paraId="0280BF38" w14:textId="77777777" w:rsidR="00990F54" w:rsidRPr="00352A9A" w:rsidRDefault="00990F54" w:rsidP="00B14CAD">
            <w:pPr>
              <w:jc w:val="right"/>
              <w:rPr>
                <w:color w:val="000000"/>
                <w:sz w:val="22"/>
                <w:szCs w:val="22"/>
              </w:rPr>
            </w:pPr>
            <w:r w:rsidRPr="00352A9A">
              <w:rPr>
                <w:color w:val="000000"/>
                <w:sz w:val="22"/>
                <w:szCs w:val="22"/>
              </w:rPr>
              <w:t xml:space="preserve">$11,275,405 </w:t>
            </w:r>
          </w:p>
        </w:tc>
        <w:tc>
          <w:tcPr>
            <w:tcW w:w="1170" w:type="dxa"/>
            <w:noWrap/>
            <w:vAlign w:val="center"/>
            <w:hideMark/>
          </w:tcPr>
          <w:p w14:paraId="20347726" w14:textId="77777777" w:rsidR="00990F54" w:rsidRPr="00352A9A" w:rsidRDefault="00990F54" w:rsidP="00B14CAD">
            <w:pPr>
              <w:jc w:val="right"/>
              <w:rPr>
                <w:color w:val="000000"/>
                <w:sz w:val="22"/>
                <w:szCs w:val="22"/>
              </w:rPr>
            </w:pPr>
            <w:r w:rsidRPr="00352A9A">
              <w:rPr>
                <w:color w:val="000000"/>
                <w:sz w:val="22"/>
                <w:szCs w:val="22"/>
              </w:rPr>
              <w:t>181.29%</w:t>
            </w:r>
          </w:p>
        </w:tc>
        <w:tc>
          <w:tcPr>
            <w:tcW w:w="1350" w:type="dxa"/>
            <w:noWrap/>
            <w:vAlign w:val="center"/>
            <w:hideMark/>
          </w:tcPr>
          <w:p w14:paraId="17CBC24E" w14:textId="77777777" w:rsidR="00990F54" w:rsidRPr="00352A9A" w:rsidRDefault="00990F54" w:rsidP="00B14CAD">
            <w:pPr>
              <w:jc w:val="right"/>
              <w:rPr>
                <w:color w:val="000000"/>
                <w:sz w:val="22"/>
                <w:szCs w:val="22"/>
              </w:rPr>
            </w:pPr>
            <w:r w:rsidRPr="00352A9A">
              <w:rPr>
                <w:color w:val="000000"/>
                <w:sz w:val="22"/>
                <w:szCs w:val="22"/>
              </w:rPr>
              <w:t xml:space="preserve">$12,438,827 </w:t>
            </w:r>
          </w:p>
        </w:tc>
        <w:tc>
          <w:tcPr>
            <w:tcW w:w="1350" w:type="dxa"/>
            <w:noWrap/>
            <w:vAlign w:val="center"/>
            <w:hideMark/>
          </w:tcPr>
          <w:p w14:paraId="7EE9D81D" w14:textId="77777777" w:rsidR="00990F54" w:rsidRPr="00352A9A" w:rsidRDefault="00990F54" w:rsidP="00B14CAD">
            <w:pPr>
              <w:jc w:val="right"/>
              <w:rPr>
                <w:color w:val="000000"/>
                <w:sz w:val="22"/>
                <w:szCs w:val="22"/>
              </w:rPr>
            </w:pPr>
            <w:r w:rsidRPr="00352A9A">
              <w:rPr>
                <w:color w:val="000000"/>
                <w:sz w:val="22"/>
                <w:szCs w:val="22"/>
              </w:rPr>
              <w:t xml:space="preserve">$13,807,880 </w:t>
            </w:r>
          </w:p>
        </w:tc>
        <w:tc>
          <w:tcPr>
            <w:tcW w:w="1170" w:type="dxa"/>
            <w:noWrap/>
            <w:vAlign w:val="center"/>
            <w:hideMark/>
          </w:tcPr>
          <w:p w14:paraId="6C14D010" w14:textId="77777777" w:rsidR="00990F54" w:rsidRPr="00352A9A" w:rsidRDefault="00990F54" w:rsidP="00B14CAD">
            <w:pPr>
              <w:jc w:val="right"/>
              <w:rPr>
                <w:color w:val="000000"/>
                <w:sz w:val="22"/>
                <w:szCs w:val="22"/>
              </w:rPr>
            </w:pPr>
            <w:r w:rsidRPr="00352A9A">
              <w:rPr>
                <w:color w:val="000000"/>
                <w:sz w:val="22"/>
                <w:szCs w:val="22"/>
              </w:rPr>
              <w:t>111.01%</w:t>
            </w:r>
          </w:p>
        </w:tc>
      </w:tr>
      <w:tr w:rsidR="005E5E14" w:rsidRPr="00CE747A" w14:paraId="3724C3DD" w14:textId="77777777" w:rsidTr="00A17A68">
        <w:trPr>
          <w:trHeight w:val="458"/>
        </w:trPr>
        <w:tc>
          <w:tcPr>
            <w:tcW w:w="1980" w:type="dxa"/>
            <w:hideMark/>
          </w:tcPr>
          <w:p w14:paraId="1DD70112" w14:textId="77777777" w:rsidR="00990F54" w:rsidRPr="00352A9A" w:rsidRDefault="00990F54" w:rsidP="00D45548">
            <w:pPr>
              <w:rPr>
                <w:sz w:val="22"/>
                <w:szCs w:val="22"/>
              </w:rPr>
            </w:pPr>
            <w:r w:rsidRPr="00352A9A">
              <w:rPr>
                <w:sz w:val="22"/>
                <w:szCs w:val="22"/>
              </w:rPr>
              <w:t>Commission Against Discrimination</w:t>
            </w:r>
          </w:p>
        </w:tc>
        <w:tc>
          <w:tcPr>
            <w:tcW w:w="1530" w:type="dxa"/>
            <w:noWrap/>
            <w:vAlign w:val="center"/>
            <w:hideMark/>
          </w:tcPr>
          <w:p w14:paraId="5C50D931" w14:textId="77777777" w:rsidR="00990F54" w:rsidRPr="00352A9A" w:rsidRDefault="00990F54" w:rsidP="00B14CAD">
            <w:pPr>
              <w:jc w:val="right"/>
              <w:rPr>
                <w:color w:val="000000"/>
                <w:sz w:val="22"/>
                <w:szCs w:val="22"/>
              </w:rPr>
            </w:pPr>
            <w:r w:rsidRPr="00352A9A">
              <w:rPr>
                <w:color w:val="000000"/>
                <w:sz w:val="22"/>
                <w:szCs w:val="22"/>
              </w:rPr>
              <w:t xml:space="preserve">$227,692 </w:t>
            </w:r>
          </w:p>
        </w:tc>
        <w:tc>
          <w:tcPr>
            <w:tcW w:w="1350" w:type="dxa"/>
            <w:noWrap/>
            <w:vAlign w:val="center"/>
            <w:hideMark/>
          </w:tcPr>
          <w:p w14:paraId="24A91BD9" w14:textId="77777777" w:rsidR="00990F54" w:rsidRPr="00352A9A" w:rsidRDefault="00990F54" w:rsidP="00B14CAD">
            <w:pPr>
              <w:jc w:val="right"/>
              <w:rPr>
                <w:color w:val="000000"/>
                <w:sz w:val="22"/>
                <w:szCs w:val="22"/>
              </w:rPr>
            </w:pPr>
            <w:r w:rsidRPr="00352A9A">
              <w:rPr>
                <w:color w:val="000000"/>
                <w:sz w:val="22"/>
                <w:szCs w:val="22"/>
              </w:rPr>
              <w:t xml:space="preserve">$13,662 </w:t>
            </w:r>
          </w:p>
        </w:tc>
        <w:tc>
          <w:tcPr>
            <w:tcW w:w="1350" w:type="dxa"/>
            <w:noWrap/>
            <w:vAlign w:val="center"/>
            <w:hideMark/>
          </w:tcPr>
          <w:p w14:paraId="069E0EA8" w14:textId="77777777" w:rsidR="00990F54" w:rsidRPr="00352A9A" w:rsidRDefault="00990F54" w:rsidP="00B14CAD">
            <w:pPr>
              <w:jc w:val="right"/>
              <w:rPr>
                <w:color w:val="000000"/>
                <w:sz w:val="22"/>
                <w:szCs w:val="22"/>
              </w:rPr>
            </w:pPr>
            <w:r w:rsidRPr="00352A9A">
              <w:rPr>
                <w:color w:val="000000"/>
                <w:sz w:val="22"/>
                <w:szCs w:val="22"/>
              </w:rPr>
              <w:t xml:space="preserve">$21,282 </w:t>
            </w:r>
          </w:p>
        </w:tc>
        <w:tc>
          <w:tcPr>
            <w:tcW w:w="1170" w:type="dxa"/>
            <w:noWrap/>
            <w:vAlign w:val="center"/>
            <w:hideMark/>
          </w:tcPr>
          <w:p w14:paraId="78A4E6B2" w14:textId="77777777" w:rsidR="00990F54" w:rsidRPr="00352A9A" w:rsidRDefault="00990F54" w:rsidP="00B14CAD">
            <w:pPr>
              <w:jc w:val="right"/>
              <w:rPr>
                <w:color w:val="000000"/>
                <w:sz w:val="22"/>
                <w:szCs w:val="22"/>
              </w:rPr>
            </w:pPr>
            <w:r w:rsidRPr="00352A9A">
              <w:rPr>
                <w:color w:val="000000"/>
                <w:sz w:val="22"/>
                <w:szCs w:val="22"/>
              </w:rPr>
              <w:t>155.78%</w:t>
            </w:r>
          </w:p>
        </w:tc>
        <w:tc>
          <w:tcPr>
            <w:tcW w:w="1350" w:type="dxa"/>
            <w:noWrap/>
            <w:vAlign w:val="center"/>
            <w:hideMark/>
          </w:tcPr>
          <w:p w14:paraId="6933262F" w14:textId="77777777" w:rsidR="00990F54" w:rsidRPr="00352A9A" w:rsidRDefault="00990F54" w:rsidP="00B14CAD">
            <w:pPr>
              <w:jc w:val="right"/>
              <w:rPr>
                <w:color w:val="000000"/>
                <w:sz w:val="22"/>
                <w:szCs w:val="22"/>
              </w:rPr>
            </w:pPr>
            <w:r w:rsidRPr="00352A9A">
              <w:rPr>
                <w:color w:val="000000"/>
                <w:sz w:val="22"/>
                <w:szCs w:val="22"/>
              </w:rPr>
              <w:t xml:space="preserve">$27,323 </w:t>
            </w:r>
          </w:p>
        </w:tc>
        <w:tc>
          <w:tcPr>
            <w:tcW w:w="1350" w:type="dxa"/>
            <w:noWrap/>
            <w:vAlign w:val="center"/>
            <w:hideMark/>
          </w:tcPr>
          <w:p w14:paraId="6A4CCC16" w14:textId="77777777" w:rsidR="00990F54" w:rsidRPr="00352A9A" w:rsidRDefault="00990F54" w:rsidP="00B14CAD">
            <w:pPr>
              <w:jc w:val="right"/>
              <w:rPr>
                <w:color w:val="000000"/>
                <w:sz w:val="22"/>
                <w:szCs w:val="22"/>
              </w:rPr>
            </w:pPr>
            <w:r w:rsidRPr="00352A9A">
              <w:rPr>
                <w:color w:val="000000"/>
                <w:sz w:val="22"/>
                <w:szCs w:val="22"/>
              </w:rPr>
              <w:t xml:space="preserve">$83,572 </w:t>
            </w:r>
          </w:p>
        </w:tc>
        <w:tc>
          <w:tcPr>
            <w:tcW w:w="1170" w:type="dxa"/>
            <w:noWrap/>
            <w:vAlign w:val="center"/>
            <w:hideMark/>
          </w:tcPr>
          <w:p w14:paraId="1F3E613A" w14:textId="77777777" w:rsidR="00990F54" w:rsidRPr="00352A9A" w:rsidRDefault="00990F54" w:rsidP="00B14CAD">
            <w:pPr>
              <w:jc w:val="right"/>
              <w:rPr>
                <w:color w:val="000000"/>
                <w:sz w:val="22"/>
                <w:szCs w:val="22"/>
              </w:rPr>
            </w:pPr>
            <w:r w:rsidRPr="00352A9A">
              <w:rPr>
                <w:color w:val="000000"/>
                <w:sz w:val="22"/>
                <w:szCs w:val="22"/>
              </w:rPr>
              <w:t>305.86%</w:t>
            </w:r>
          </w:p>
        </w:tc>
      </w:tr>
      <w:tr w:rsidR="005E5E14" w:rsidRPr="00CE747A" w14:paraId="482C3EC7" w14:textId="77777777" w:rsidTr="005E5E14">
        <w:trPr>
          <w:trHeight w:val="593"/>
        </w:trPr>
        <w:tc>
          <w:tcPr>
            <w:tcW w:w="1980" w:type="dxa"/>
            <w:hideMark/>
          </w:tcPr>
          <w:p w14:paraId="187ACE4D" w14:textId="77777777" w:rsidR="00990F54" w:rsidRPr="00352A9A" w:rsidRDefault="00990F54" w:rsidP="00D45548">
            <w:pPr>
              <w:rPr>
                <w:sz w:val="22"/>
                <w:szCs w:val="22"/>
              </w:rPr>
            </w:pPr>
            <w:r w:rsidRPr="00352A9A">
              <w:rPr>
                <w:sz w:val="22"/>
                <w:szCs w:val="22"/>
              </w:rPr>
              <w:t>Center for Health Information and Analysis</w:t>
            </w:r>
          </w:p>
        </w:tc>
        <w:tc>
          <w:tcPr>
            <w:tcW w:w="1530" w:type="dxa"/>
            <w:noWrap/>
            <w:vAlign w:val="center"/>
            <w:hideMark/>
          </w:tcPr>
          <w:p w14:paraId="3A4931B8" w14:textId="77777777" w:rsidR="00990F54" w:rsidRPr="00352A9A" w:rsidRDefault="00990F54" w:rsidP="00B14CAD">
            <w:pPr>
              <w:jc w:val="right"/>
              <w:rPr>
                <w:color w:val="000000"/>
                <w:sz w:val="22"/>
                <w:szCs w:val="22"/>
              </w:rPr>
            </w:pPr>
            <w:r w:rsidRPr="00352A9A">
              <w:rPr>
                <w:color w:val="000000"/>
                <w:sz w:val="22"/>
                <w:szCs w:val="22"/>
              </w:rPr>
              <w:t xml:space="preserve">$14,256,492 </w:t>
            </w:r>
          </w:p>
        </w:tc>
        <w:tc>
          <w:tcPr>
            <w:tcW w:w="1350" w:type="dxa"/>
            <w:noWrap/>
            <w:vAlign w:val="center"/>
            <w:hideMark/>
          </w:tcPr>
          <w:p w14:paraId="25054034" w14:textId="77777777" w:rsidR="00990F54" w:rsidRPr="00352A9A" w:rsidRDefault="00990F54" w:rsidP="00B14CAD">
            <w:pPr>
              <w:jc w:val="right"/>
              <w:rPr>
                <w:color w:val="000000"/>
                <w:sz w:val="22"/>
                <w:szCs w:val="22"/>
              </w:rPr>
            </w:pPr>
            <w:r w:rsidRPr="00352A9A">
              <w:rPr>
                <w:color w:val="000000"/>
                <w:sz w:val="22"/>
                <w:szCs w:val="22"/>
              </w:rPr>
              <w:t>$855,390</w:t>
            </w:r>
          </w:p>
        </w:tc>
        <w:tc>
          <w:tcPr>
            <w:tcW w:w="1350" w:type="dxa"/>
            <w:noWrap/>
            <w:vAlign w:val="center"/>
            <w:hideMark/>
          </w:tcPr>
          <w:p w14:paraId="557CD4FE" w14:textId="77777777" w:rsidR="00990F54" w:rsidRPr="00352A9A" w:rsidRDefault="00990F54" w:rsidP="00B14CAD">
            <w:pPr>
              <w:jc w:val="right"/>
              <w:rPr>
                <w:color w:val="000000"/>
                <w:sz w:val="22"/>
                <w:szCs w:val="22"/>
              </w:rPr>
            </w:pPr>
            <w:r w:rsidRPr="00352A9A">
              <w:rPr>
                <w:color w:val="000000"/>
                <w:sz w:val="22"/>
                <w:szCs w:val="22"/>
              </w:rPr>
              <w:t xml:space="preserve">$1,513,660 </w:t>
            </w:r>
          </w:p>
        </w:tc>
        <w:tc>
          <w:tcPr>
            <w:tcW w:w="1170" w:type="dxa"/>
            <w:noWrap/>
            <w:vAlign w:val="center"/>
            <w:hideMark/>
          </w:tcPr>
          <w:p w14:paraId="310406C4" w14:textId="77777777" w:rsidR="00990F54" w:rsidRPr="00352A9A" w:rsidRDefault="00990F54" w:rsidP="00B14CAD">
            <w:pPr>
              <w:jc w:val="right"/>
              <w:rPr>
                <w:color w:val="000000"/>
                <w:sz w:val="22"/>
                <w:szCs w:val="22"/>
              </w:rPr>
            </w:pPr>
            <w:r w:rsidRPr="00352A9A">
              <w:rPr>
                <w:color w:val="000000"/>
                <w:sz w:val="22"/>
                <w:szCs w:val="22"/>
              </w:rPr>
              <w:t>176.96%</w:t>
            </w:r>
          </w:p>
        </w:tc>
        <w:tc>
          <w:tcPr>
            <w:tcW w:w="1350" w:type="dxa"/>
            <w:noWrap/>
            <w:vAlign w:val="center"/>
            <w:hideMark/>
          </w:tcPr>
          <w:p w14:paraId="028455AA" w14:textId="77777777" w:rsidR="00990F54" w:rsidRPr="00352A9A" w:rsidRDefault="00990F54" w:rsidP="00B14CAD">
            <w:pPr>
              <w:jc w:val="right"/>
              <w:rPr>
                <w:color w:val="000000"/>
                <w:sz w:val="22"/>
                <w:szCs w:val="22"/>
              </w:rPr>
            </w:pPr>
            <w:r w:rsidRPr="00352A9A">
              <w:rPr>
                <w:color w:val="000000"/>
                <w:sz w:val="22"/>
                <w:szCs w:val="22"/>
              </w:rPr>
              <w:t xml:space="preserve">$1,710,779 </w:t>
            </w:r>
          </w:p>
        </w:tc>
        <w:tc>
          <w:tcPr>
            <w:tcW w:w="1350" w:type="dxa"/>
            <w:noWrap/>
            <w:vAlign w:val="center"/>
            <w:hideMark/>
          </w:tcPr>
          <w:p w14:paraId="29D700AC" w14:textId="77777777" w:rsidR="00990F54" w:rsidRPr="00352A9A" w:rsidRDefault="00990F54" w:rsidP="00B14CAD">
            <w:pPr>
              <w:jc w:val="right"/>
              <w:rPr>
                <w:color w:val="000000"/>
                <w:sz w:val="22"/>
                <w:szCs w:val="22"/>
              </w:rPr>
            </w:pPr>
            <w:r w:rsidRPr="00352A9A">
              <w:rPr>
                <w:color w:val="000000"/>
                <w:sz w:val="22"/>
                <w:szCs w:val="22"/>
              </w:rPr>
              <w:t xml:space="preserve">$1,016,449 </w:t>
            </w:r>
          </w:p>
        </w:tc>
        <w:tc>
          <w:tcPr>
            <w:tcW w:w="1170" w:type="dxa"/>
            <w:noWrap/>
            <w:vAlign w:val="center"/>
            <w:hideMark/>
          </w:tcPr>
          <w:p w14:paraId="38419CE1" w14:textId="77777777" w:rsidR="00990F54" w:rsidRPr="00352A9A" w:rsidRDefault="00990F54" w:rsidP="00B14CAD">
            <w:pPr>
              <w:jc w:val="right"/>
              <w:rPr>
                <w:color w:val="000000"/>
                <w:sz w:val="22"/>
                <w:szCs w:val="22"/>
              </w:rPr>
            </w:pPr>
            <w:r w:rsidRPr="00352A9A">
              <w:rPr>
                <w:color w:val="000000"/>
                <w:sz w:val="22"/>
                <w:szCs w:val="22"/>
              </w:rPr>
              <w:t>59.41%</w:t>
            </w:r>
          </w:p>
        </w:tc>
      </w:tr>
      <w:tr w:rsidR="005E5E14" w:rsidRPr="00CE747A" w14:paraId="36610D8D" w14:textId="77777777" w:rsidTr="005E5E14">
        <w:trPr>
          <w:trHeight w:val="701"/>
        </w:trPr>
        <w:tc>
          <w:tcPr>
            <w:tcW w:w="1980" w:type="dxa"/>
            <w:hideMark/>
          </w:tcPr>
          <w:p w14:paraId="6471265E" w14:textId="77777777" w:rsidR="00990F54" w:rsidRPr="00352A9A" w:rsidRDefault="00990F54" w:rsidP="00D45548">
            <w:pPr>
              <w:rPr>
                <w:sz w:val="22"/>
                <w:szCs w:val="22"/>
              </w:rPr>
            </w:pPr>
            <w:r w:rsidRPr="00352A9A">
              <w:rPr>
                <w:sz w:val="22"/>
                <w:szCs w:val="22"/>
              </w:rPr>
              <w:t>Disabled Persons Protection Commission</w:t>
            </w:r>
          </w:p>
        </w:tc>
        <w:tc>
          <w:tcPr>
            <w:tcW w:w="1530" w:type="dxa"/>
            <w:noWrap/>
            <w:vAlign w:val="center"/>
            <w:hideMark/>
          </w:tcPr>
          <w:p w14:paraId="63D9C853" w14:textId="77777777" w:rsidR="00990F54" w:rsidRPr="00352A9A" w:rsidRDefault="00990F54" w:rsidP="00B14CAD">
            <w:pPr>
              <w:jc w:val="right"/>
              <w:rPr>
                <w:color w:val="000000"/>
                <w:sz w:val="22"/>
                <w:szCs w:val="22"/>
              </w:rPr>
            </w:pPr>
            <w:r w:rsidRPr="00352A9A">
              <w:rPr>
                <w:color w:val="000000"/>
                <w:sz w:val="22"/>
                <w:szCs w:val="22"/>
              </w:rPr>
              <w:t xml:space="preserve">$111,224 </w:t>
            </w:r>
          </w:p>
        </w:tc>
        <w:tc>
          <w:tcPr>
            <w:tcW w:w="1350" w:type="dxa"/>
            <w:noWrap/>
            <w:vAlign w:val="center"/>
            <w:hideMark/>
          </w:tcPr>
          <w:p w14:paraId="34E712BC" w14:textId="77777777" w:rsidR="00990F54" w:rsidRPr="00352A9A" w:rsidRDefault="00990F54" w:rsidP="00B14CAD">
            <w:pPr>
              <w:jc w:val="right"/>
              <w:rPr>
                <w:color w:val="000000"/>
                <w:sz w:val="22"/>
                <w:szCs w:val="22"/>
              </w:rPr>
            </w:pPr>
            <w:r w:rsidRPr="00352A9A">
              <w:rPr>
                <w:color w:val="000000"/>
                <w:sz w:val="22"/>
                <w:szCs w:val="22"/>
              </w:rPr>
              <w:t xml:space="preserve">$6,673 </w:t>
            </w:r>
          </w:p>
        </w:tc>
        <w:tc>
          <w:tcPr>
            <w:tcW w:w="1350" w:type="dxa"/>
            <w:noWrap/>
            <w:vAlign w:val="center"/>
            <w:hideMark/>
          </w:tcPr>
          <w:p w14:paraId="1FC6966F" w14:textId="77777777" w:rsidR="00990F54" w:rsidRPr="00352A9A" w:rsidRDefault="00990F54" w:rsidP="00B14CAD">
            <w:pPr>
              <w:jc w:val="right"/>
              <w:rPr>
                <w:color w:val="000000"/>
                <w:sz w:val="22"/>
                <w:szCs w:val="22"/>
              </w:rPr>
            </w:pPr>
            <w:r w:rsidRPr="00352A9A">
              <w:rPr>
                <w:color w:val="000000"/>
                <w:sz w:val="22"/>
                <w:szCs w:val="22"/>
              </w:rPr>
              <w:t xml:space="preserve">$34,541 </w:t>
            </w:r>
          </w:p>
        </w:tc>
        <w:tc>
          <w:tcPr>
            <w:tcW w:w="1170" w:type="dxa"/>
            <w:noWrap/>
            <w:vAlign w:val="center"/>
            <w:hideMark/>
          </w:tcPr>
          <w:p w14:paraId="2085D587" w14:textId="77777777" w:rsidR="00990F54" w:rsidRPr="00352A9A" w:rsidRDefault="00990F54" w:rsidP="00B14CAD">
            <w:pPr>
              <w:jc w:val="right"/>
              <w:rPr>
                <w:color w:val="000000"/>
                <w:sz w:val="22"/>
                <w:szCs w:val="22"/>
              </w:rPr>
            </w:pPr>
            <w:r w:rsidRPr="00352A9A">
              <w:rPr>
                <w:color w:val="000000"/>
                <w:sz w:val="22"/>
                <w:szCs w:val="22"/>
              </w:rPr>
              <w:t>517.59%</w:t>
            </w:r>
          </w:p>
        </w:tc>
        <w:tc>
          <w:tcPr>
            <w:tcW w:w="1350" w:type="dxa"/>
            <w:noWrap/>
            <w:vAlign w:val="center"/>
            <w:hideMark/>
          </w:tcPr>
          <w:p w14:paraId="495D4E2B" w14:textId="77777777" w:rsidR="00990F54" w:rsidRPr="00352A9A" w:rsidRDefault="00990F54" w:rsidP="00B14CAD">
            <w:pPr>
              <w:jc w:val="right"/>
              <w:rPr>
                <w:color w:val="000000"/>
                <w:sz w:val="22"/>
                <w:szCs w:val="22"/>
              </w:rPr>
            </w:pPr>
            <w:r w:rsidRPr="00352A9A">
              <w:rPr>
                <w:color w:val="000000"/>
                <w:sz w:val="22"/>
                <w:szCs w:val="22"/>
              </w:rPr>
              <w:t xml:space="preserve">$13,347 </w:t>
            </w:r>
          </w:p>
        </w:tc>
        <w:tc>
          <w:tcPr>
            <w:tcW w:w="1350" w:type="dxa"/>
            <w:noWrap/>
            <w:vAlign w:val="center"/>
            <w:hideMark/>
          </w:tcPr>
          <w:p w14:paraId="1B8CB552" w14:textId="77777777" w:rsidR="00990F54" w:rsidRPr="00352A9A" w:rsidRDefault="00990F54" w:rsidP="00B14CAD">
            <w:pPr>
              <w:jc w:val="right"/>
              <w:rPr>
                <w:color w:val="000000"/>
                <w:sz w:val="22"/>
                <w:szCs w:val="22"/>
              </w:rPr>
            </w:pPr>
            <w:r w:rsidRPr="00352A9A">
              <w:rPr>
                <w:color w:val="000000"/>
                <w:sz w:val="22"/>
                <w:szCs w:val="22"/>
              </w:rPr>
              <w:t xml:space="preserve">$35,419 </w:t>
            </w:r>
          </w:p>
        </w:tc>
        <w:tc>
          <w:tcPr>
            <w:tcW w:w="1170" w:type="dxa"/>
            <w:noWrap/>
            <w:vAlign w:val="center"/>
            <w:hideMark/>
          </w:tcPr>
          <w:p w14:paraId="0014BB46" w14:textId="77777777" w:rsidR="00990F54" w:rsidRPr="00352A9A" w:rsidRDefault="00990F54" w:rsidP="00B14CAD">
            <w:pPr>
              <w:jc w:val="right"/>
              <w:rPr>
                <w:color w:val="000000"/>
                <w:sz w:val="22"/>
                <w:szCs w:val="22"/>
              </w:rPr>
            </w:pPr>
            <w:r w:rsidRPr="00352A9A">
              <w:rPr>
                <w:color w:val="000000"/>
                <w:sz w:val="22"/>
                <w:szCs w:val="22"/>
              </w:rPr>
              <w:t>265.37%</w:t>
            </w:r>
          </w:p>
        </w:tc>
      </w:tr>
      <w:tr w:rsidR="005E5E14" w:rsidRPr="00CE747A" w14:paraId="673EE87C" w14:textId="77777777" w:rsidTr="005E5E14">
        <w:trPr>
          <w:trHeight w:val="710"/>
        </w:trPr>
        <w:tc>
          <w:tcPr>
            <w:tcW w:w="1980" w:type="dxa"/>
            <w:hideMark/>
          </w:tcPr>
          <w:p w14:paraId="445198A4" w14:textId="77777777" w:rsidR="00990F54" w:rsidRPr="00352A9A" w:rsidRDefault="00990F54" w:rsidP="00D45548">
            <w:pPr>
              <w:rPr>
                <w:sz w:val="22"/>
                <w:szCs w:val="22"/>
              </w:rPr>
            </w:pPr>
            <w:r w:rsidRPr="00352A9A">
              <w:rPr>
                <w:sz w:val="22"/>
                <w:szCs w:val="22"/>
              </w:rPr>
              <w:t>Massachusetts Dept. of Transportation</w:t>
            </w:r>
          </w:p>
        </w:tc>
        <w:tc>
          <w:tcPr>
            <w:tcW w:w="1530" w:type="dxa"/>
            <w:noWrap/>
            <w:vAlign w:val="center"/>
            <w:hideMark/>
          </w:tcPr>
          <w:p w14:paraId="09599875" w14:textId="77777777" w:rsidR="00990F54" w:rsidRPr="00352A9A" w:rsidRDefault="00990F54" w:rsidP="00B14CAD">
            <w:pPr>
              <w:jc w:val="right"/>
              <w:rPr>
                <w:color w:val="000000"/>
                <w:sz w:val="22"/>
                <w:szCs w:val="22"/>
              </w:rPr>
            </w:pPr>
            <w:r w:rsidRPr="00352A9A">
              <w:rPr>
                <w:color w:val="000000"/>
                <w:sz w:val="22"/>
                <w:szCs w:val="22"/>
              </w:rPr>
              <w:t xml:space="preserve">$184,281,851 </w:t>
            </w:r>
          </w:p>
        </w:tc>
        <w:tc>
          <w:tcPr>
            <w:tcW w:w="1350" w:type="dxa"/>
            <w:noWrap/>
            <w:vAlign w:val="center"/>
            <w:hideMark/>
          </w:tcPr>
          <w:p w14:paraId="4D3A81EA" w14:textId="77777777" w:rsidR="00990F54" w:rsidRPr="00352A9A" w:rsidRDefault="00990F54" w:rsidP="00B14CAD">
            <w:pPr>
              <w:jc w:val="right"/>
              <w:rPr>
                <w:color w:val="000000"/>
                <w:sz w:val="22"/>
                <w:szCs w:val="22"/>
              </w:rPr>
            </w:pPr>
            <w:r w:rsidRPr="00352A9A">
              <w:rPr>
                <w:color w:val="000000"/>
                <w:sz w:val="22"/>
                <w:szCs w:val="22"/>
              </w:rPr>
              <w:t xml:space="preserve">$11,056,911 </w:t>
            </w:r>
          </w:p>
        </w:tc>
        <w:tc>
          <w:tcPr>
            <w:tcW w:w="1350" w:type="dxa"/>
            <w:noWrap/>
            <w:vAlign w:val="center"/>
            <w:hideMark/>
          </w:tcPr>
          <w:p w14:paraId="5896DDCD" w14:textId="77777777" w:rsidR="00990F54" w:rsidRPr="00352A9A" w:rsidRDefault="00990F54" w:rsidP="00B14CAD">
            <w:pPr>
              <w:jc w:val="right"/>
              <w:rPr>
                <w:color w:val="000000"/>
                <w:sz w:val="22"/>
                <w:szCs w:val="22"/>
              </w:rPr>
            </w:pPr>
            <w:r w:rsidRPr="00352A9A">
              <w:rPr>
                <w:color w:val="000000"/>
                <w:sz w:val="22"/>
                <w:szCs w:val="22"/>
              </w:rPr>
              <w:t xml:space="preserve">$40,180,688 </w:t>
            </w:r>
          </w:p>
        </w:tc>
        <w:tc>
          <w:tcPr>
            <w:tcW w:w="1170" w:type="dxa"/>
            <w:noWrap/>
            <w:vAlign w:val="center"/>
            <w:hideMark/>
          </w:tcPr>
          <w:p w14:paraId="2EC7DB9D" w14:textId="77777777" w:rsidR="00990F54" w:rsidRPr="00352A9A" w:rsidRDefault="00990F54" w:rsidP="00B14CAD">
            <w:pPr>
              <w:jc w:val="right"/>
              <w:rPr>
                <w:color w:val="000000"/>
                <w:sz w:val="22"/>
                <w:szCs w:val="22"/>
              </w:rPr>
            </w:pPr>
            <w:r w:rsidRPr="00352A9A">
              <w:rPr>
                <w:color w:val="000000"/>
                <w:sz w:val="22"/>
                <w:szCs w:val="22"/>
              </w:rPr>
              <w:t>363.40%</w:t>
            </w:r>
          </w:p>
        </w:tc>
        <w:tc>
          <w:tcPr>
            <w:tcW w:w="1350" w:type="dxa"/>
            <w:noWrap/>
            <w:vAlign w:val="center"/>
            <w:hideMark/>
          </w:tcPr>
          <w:p w14:paraId="4440DD38" w14:textId="77777777" w:rsidR="00990F54" w:rsidRPr="00352A9A" w:rsidRDefault="00990F54" w:rsidP="00B14CAD">
            <w:pPr>
              <w:jc w:val="right"/>
              <w:rPr>
                <w:color w:val="000000"/>
                <w:sz w:val="22"/>
                <w:szCs w:val="22"/>
              </w:rPr>
            </w:pPr>
            <w:r w:rsidRPr="00352A9A">
              <w:rPr>
                <w:color w:val="000000"/>
                <w:sz w:val="22"/>
                <w:szCs w:val="22"/>
              </w:rPr>
              <w:t xml:space="preserve">$22,087,128 </w:t>
            </w:r>
          </w:p>
        </w:tc>
        <w:tc>
          <w:tcPr>
            <w:tcW w:w="1350" w:type="dxa"/>
            <w:noWrap/>
            <w:vAlign w:val="center"/>
            <w:hideMark/>
          </w:tcPr>
          <w:p w14:paraId="07737641" w14:textId="77777777" w:rsidR="00990F54" w:rsidRPr="00352A9A" w:rsidRDefault="00990F54" w:rsidP="00B14CAD">
            <w:pPr>
              <w:jc w:val="right"/>
              <w:rPr>
                <w:color w:val="000000"/>
                <w:sz w:val="22"/>
                <w:szCs w:val="22"/>
              </w:rPr>
            </w:pPr>
            <w:r w:rsidRPr="00352A9A">
              <w:rPr>
                <w:color w:val="000000"/>
                <w:sz w:val="22"/>
                <w:szCs w:val="22"/>
              </w:rPr>
              <w:t xml:space="preserve">$36,923,960 </w:t>
            </w:r>
          </w:p>
        </w:tc>
        <w:tc>
          <w:tcPr>
            <w:tcW w:w="1170" w:type="dxa"/>
            <w:noWrap/>
            <w:vAlign w:val="center"/>
            <w:hideMark/>
          </w:tcPr>
          <w:p w14:paraId="738C44F9" w14:textId="77777777" w:rsidR="00990F54" w:rsidRPr="00352A9A" w:rsidRDefault="00990F54" w:rsidP="00B14CAD">
            <w:pPr>
              <w:jc w:val="right"/>
              <w:rPr>
                <w:color w:val="000000"/>
                <w:sz w:val="22"/>
                <w:szCs w:val="22"/>
              </w:rPr>
            </w:pPr>
            <w:r w:rsidRPr="00352A9A">
              <w:rPr>
                <w:color w:val="000000"/>
                <w:sz w:val="22"/>
                <w:szCs w:val="22"/>
              </w:rPr>
              <w:t>167.17%</w:t>
            </w:r>
          </w:p>
        </w:tc>
      </w:tr>
      <w:tr w:rsidR="005E5E14" w:rsidRPr="00CE747A" w14:paraId="469EB549" w14:textId="77777777" w:rsidTr="005E5E14">
        <w:trPr>
          <w:trHeight w:val="260"/>
        </w:trPr>
        <w:tc>
          <w:tcPr>
            <w:tcW w:w="1980" w:type="dxa"/>
            <w:hideMark/>
          </w:tcPr>
          <w:p w14:paraId="7369C9C4" w14:textId="77777777" w:rsidR="00990F54" w:rsidRPr="00352A9A" w:rsidRDefault="00990F54" w:rsidP="00D45548">
            <w:pPr>
              <w:rPr>
                <w:sz w:val="22"/>
                <w:szCs w:val="22"/>
              </w:rPr>
            </w:pPr>
            <w:r w:rsidRPr="00352A9A">
              <w:rPr>
                <w:sz w:val="22"/>
                <w:szCs w:val="22"/>
              </w:rPr>
              <w:t>Office of Education</w:t>
            </w:r>
          </w:p>
        </w:tc>
        <w:tc>
          <w:tcPr>
            <w:tcW w:w="1530" w:type="dxa"/>
            <w:noWrap/>
            <w:vAlign w:val="center"/>
            <w:hideMark/>
          </w:tcPr>
          <w:p w14:paraId="3C6E538C" w14:textId="77777777" w:rsidR="00990F54" w:rsidRPr="00352A9A" w:rsidRDefault="00990F54" w:rsidP="00B14CAD">
            <w:pPr>
              <w:jc w:val="right"/>
              <w:rPr>
                <w:color w:val="000000"/>
                <w:sz w:val="22"/>
                <w:szCs w:val="22"/>
              </w:rPr>
            </w:pPr>
            <w:r w:rsidRPr="00352A9A">
              <w:rPr>
                <w:color w:val="000000"/>
                <w:sz w:val="22"/>
                <w:szCs w:val="22"/>
              </w:rPr>
              <w:t xml:space="preserve">$274,402,937 </w:t>
            </w:r>
          </w:p>
        </w:tc>
        <w:tc>
          <w:tcPr>
            <w:tcW w:w="1350" w:type="dxa"/>
            <w:noWrap/>
            <w:vAlign w:val="center"/>
            <w:hideMark/>
          </w:tcPr>
          <w:p w14:paraId="6F87F8B3" w14:textId="77777777" w:rsidR="00990F54" w:rsidRPr="00352A9A" w:rsidRDefault="00990F54" w:rsidP="00B14CAD">
            <w:pPr>
              <w:jc w:val="right"/>
              <w:rPr>
                <w:color w:val="000000"/>
                <w:sz w:val="22"/>
                <w:szCs w:val="22"/>
              </w:rPr>
            </w:pPr>
            <w:r w:rsidRPr="00352A9A">
              <w:rPr>
                <w:color w:val="000000"/>
                <w:sz w:val="22"/>
                <w:szCs w:val="22"/>
              </w:rPr>
              <w:t xml:space="preserve">$16,646,176 </w:t>
            </w:r>
          </w:p>
        </w:tc>
        <w:tc>
          <w:tcPr>
            <w:tcW w:w="1350" w:type="dxa"/>
            <w:noWrap/>
            <w:vAlign w:val="center"/>
            <w:hideMark/>
          </w:tcPr>
          <w:p w14:paraId="4E5CD8DF" w14:textId="77777777" w:rsidR="00990F54" w:rsidRPr="00352A9A" w:rsidRDefault="00990F54" w:rsidP="00B14CAD">
            <w:pPr>
              <w:jc w:val="right"/>
              <w:rPr>
                <w:color w:val="000000"/>
                <w:sz w:val="22"/>
                <w:szCs w:val="22"/>
              </w:rPr>
            </w:pPr>
            <w:r w:rsidRPr="00352A9A">
              <w:rPr>
                <w:color w:val="000000"/>
                <w:sz w:val="22"/>
                <w:szCs w:val="22"/>
              </w:rPr>
              <w:t xml:space="preserve">$30,178,938 </w:t>
            </w:r>
          </w:p>
        </w:tc>
        <w:tc>
          <w:tcPr>
            <w:tcW w:w="1170" w:type="dxa"/>
            <w:noWrap/>
            <w:vAlign w:val="center"/>
            <w:hideMark/>
          </w:tcPr>
          <w:p w14:paraId="5AF8C7F0" w14:textId="77777777" w:rsidR="00990F54" w:rsidRPr="00352A9A" w:rsidRDefault="00990F54" w:rsidP="00B14CAD">
            <w:pPr>
              <w:jc w:val="right"/>
              <w:rPr>
                <w:color w:val="000000"/>
                <w:sz w:val="22"/>
                <w:szCs w:val="22"/>
              </w:rPr>
            </w:pPr>
            <w:r w:rsidRPr="00352A9A">
              <w:rPr>
                <w:color w:val="000000"/>
                <w:sz w:val="22"/>
                <w:szCs w:val="22"/>
              </w:rPr>
              <w:t>183.30%</w:t>
            </w:r>
          </w:p>
        </w:tc>
        <w:tc>
          <w:tcPr>
            <w:tcW w:w="1350" w:type="dxa"/>
            <w:noWrap/>
            <w:vAlign w:val="center"/>
            <w:hideMark/>
          </w:tcPr>
          <w:p w14:paraId="151B35BB" w14:textId="77777777" w:rsidR="00990F54" w:rsidRPr="00352A9A" w:rsidRDefault="00990F54" w:rsidP="00B14CAD">
            <w:pPr>
              <w:jc w:val="right"/>
              <w:rPr>
                <w:color w:val="000000"/>
                <w:sz w:val="22"/>
                <w:szCs w:val="22"/>
              </w:rPr>
            </w:pPr>
            <w:r w:rsidRPr="00352A9A">
              <w:rPr>
                <w:color w:val="000000"/>
                <w:sz w:val="22"/>
                <w:szCs w:val="22"/>
              </w:rPr>
              <w:t xml:space="preserve">$32,928,352 </w:t>
            </w:r>
          </w:p>
        </w:tc>
        <w:tc>
          <w:tcPr>
            <w:tcW w:w="1350" w:type="dxa"/>
            <w:noWrap/>
            <w:vAlign w:val="center"/>
            <w:hideMark/>
          </w:tcPr>
          <w:p w14:paraId="4FE8FDDB" w14:textId="77777777" w:rsidR="00990F54" w:rsidRPr="00352A9A" w:rsidRDefault="00990F54" w:rsidP="00B14CAD">
            <w:pPr>
              <w:jc w:val="right"/>
              <w:rPr>
                <w:color w:val="000000"/>
                <w:sz w:val="22"/>
                <w:szCs w:val="22"/>
              </w:rPr>
            </w:pPr>
            <w:r w:rsidRPr="00352A9A">
              <w:rPr>
                <w:color w:val="000000"/>
                <w:sz w:val="22"/>
                <w:szCs w:val="22"/>
              </w:rPr>
              <w:t xml:space="preserve">$49,796,743 </w:t>
            </w:r>
          </w:p>
        </w:tc>
        <w:tc>
          <w:tcPr>
            <w:tcW w:w="1170" w:type="dxa"/>
            <w:noWrap/>
            <w:vAlign w:val="center"/>
            <w:hideMark/>
          </w:tcPr>
          <w:p w14:paraId="385F99DE" w14:textId="77777777" w:rsidR="00990F54" w:rsidRPr="00352A9A" w:rsidRDefault="00990F54" w:rsidP="00B14CAD">
            <w:pPr>
              <w:jc w:val="right"/>
              <w:rPr>
                <w:color w:val="000000"/>
                <w:sz w:val="22"/>
                <w:szCs w:val="22"/>
              </w:rPr>
            </w:pPr>
            <w:r w:rsidRPr="00352A9A">
              <w:rPr>
                <w:color w:val="000000"/>
                <w:sz w:val="22"/>
                <w:szCs w:val="22"/>
              </w:rPr>
              <w:t>151.23%</w:t>
            </w:r>
          </w:p>
        </w:tc>
      </w:tr>
      <w:tr w:rsidR="005E5E14" w:rsidRPr="00CE747A" w14:paraId="69E85C32" w14:textId="77777777" w:rsidTr="005E5E14">
        <w:trPr>
          <w:trHeight w:val="629"/>
        </w:trPr>
        <w:tc>
          <w:tcPr>
            <w:tcW w:w="1980" w:type="dxa"/>
            <w:hideMark/>
          </w:tcPr>
          <w:p w14:paraId="519D90FA" w14:textId="77777777" w:rsidR="00990F54" w:rsidRPr="00352A9A" w:rsidRDefault="00990F54" w:rsidP="00D45548">
            <w:pPr>
              <w:rPr>
                <w:sz w:val="22"/>
                <w:szCs w:val="22"/>
              </w:rPr>
            </w:pPr>
            <w:r w:rsidRPr="00352A9A">
              <w:rPr>
                <w:sz w:val="22"/>
                <w:szCs w:val="22"/>
              </w:rPr>
              <w:t>Office of Housing and Economic Development</w:t>
            </w:r>
          </w:p>
        </w:tc>
        <w:tc>
          <w:tcPr>
            <w:tcW w:w="1530" w:type="dxa"/>
            <w:noWrap/>
            <w:vAlign w:val="center"/>
            <w:hideMark/>
          </w:tcPr>
          <w:p w14:paraId="24CFB065" w14:textId="77777777" w:rsidR="00990F54" w:rsidRPr="00352A9A" w:rsidRDefault="00990F54" w:rsidP="00B14CAD">
            <w:pPr>
              <w:jc w:val="right"/>
              <w:rPr>
                <w:color w:val="000000"/>
                <w:sz w:val="22"/>
                <w:szCs w:val="22"/>
              </w:rPr>
            </w:pPr>
            <w:r w:rsidRPr="00352A9A">
              <w:rPr>
                <w:color w:val="000000"/>
                <w:sz w:val="22"/>
                <w:szCs w:val="22"/>
              </w:rPr>
              <w:t xml:space="preserve">$161,650,812 </w:t>
            </w:r>
          </w:p>
        </w:tc>
        <w:tc>
          <w:tcPr>
            <w:tcW w:w="1350" w:type="dxa"/>
            <w:noWrap/>
            <w:vAlign w:val="center"/>
            <w:hideMark/>
          </w:tcPr>
          <w:p w14:paraId="4EAEE9E8" w14:textId="77777777" w:rsidR="00990F54" w:rsidRPr="00352A9A" w:rsidRDefault="00990F54" w:rsidP="00B14CAD">
            <w:pPr>
              <w:jc w:val="right"/>
              <w:rPr>
                <w:color w:val="000000"/>
                <w:sz w:val="22"/>
                <w:szCs w:val="22"/>
              </w:rPr>
            </w:pPr>
            <w:r w:rsidRPr="00352A9A">
              <w:rPr>
                <w:color w:val="000000"/>
                <w:sz w:val="22"/>
                <w:szCs w:val="22"/>
              </w:rPr>
              <w:t xml:space="preserve">$9,699,049 </w:t>
            </w:r>
          </w:p>
        </w:tc>
        <w:tc>
          <w:tcPr>
            <w:tcW w:w="1350" w:type="dxa"/>
            <w:noWrap/>
            <w:vAlign w:val="center"/>
            <w:hideMark/>
          </w:tcPr>
          <w:p w14:paraId="2750539B" w14:textId="77777777" w:rsidR="00990F54" w:rsidRPr="00352A9A" w:rsidRDefault="00990F54" w:rsidP="00B14CAD">
            <w:pPr>
              <w:jc w:val="right"/>
              <w:rPr>
                <w:color w:val="000000"/>
                <w:sz w:val="22"/>
                <w:szCs w:val="22"/>
              </w:rPr>
            </w:pPr>
            <w:r w:rsidRPr="00352A9A">
              <w:rPr>
                <w:color w:val="000000"/>
                <w:sz w:val="22"/>
                <w:szCs w:val="22"/>
              </w:rPr>
              <w:t xml:space="preserve">$14,385,170 </w:t>
            </w:r>
          </w:p>
        </w:tc>
        <w:tc>
          <w:tcPr>
            <w:tcW w:w="1170" w:type="dxa"/>
            <w:noWrap/>
            <w:vAlign w:val="center"/>
            <w:hideMark/>
          </w:tcPr>
          <w:p w14:paraId="4FA4317B" w14:textId="77777777" w:rsidR="00990F54" w:rsidRPr="00352A9A" w:rsidRDefault="00990F54" w:rsidP="00B14CAD">
            <w:pPr>
              <w:jc w:val="right"/>
              <w:rPr>
                <w:color w:val="000000"/>
                <w:sz w:val="22"/>
                <w:szCs w:val="22"/>
              </w:rPr>
            </w:pPr>
            <w:r w:rsidRPr="00352A9A">
              <w:rPr>
                <w:color w:val="000000"/>
                <w:sz w:val="22"/>
                <w:szCs w:val="22"/>
              </w:rPr>
              <w:t>148.32%</w:t>
            </w:r>
          </w:p>
        </w:tc>
        <w:tc>
          <w:tcPr>
            <w:tcW w:w="1350" w:type="dxa"/>
            <w:noWrap/>
            <w:vAlign w:val="center"/>
            <w:hideMark/>
          </w:tcPr>
          <w:p w14:paraId="690B2328" w14:textId="77777777" w:rsidR="00990F54" w:rsidRPr="00352A9A" w:rsidRDefault="00990F54" w:rsidP="00B14CAD">
            <w:pPr>
              <w:jc w:val="right"/>
              <w:rPr>
                <w:color w:val="000000"/>
                <w:sz w:val="22"/>
                <w:szCs w:val="22"/>
              </w:rPr>
            </w:pPr>
            <w:r w:rsidRPr="00352A9A">
              <w:rPr>
                <w:color w:val="000000"/>
                <w:sz w:val="22"/>
                <w:szCs w:val="22"/>
              </w:rPr>
              <w:t xml:space="preserve">$19,398,097 </w:t>
            </w:r>
          </w:p>
        </w:tc>
        <w:tc>
          <w:tcPr>
            <w:tcW w:w="1350" w:type="dxa"/>
            <w:noWrap/>
            <w:vAlign w:val="center"/>
            <w:hideMark/>
          </w:tcPr>
          <w:p w14:paraId="6B50AFD0" w14:textId="77777777" w:rsidR="00990F54" w:rsidRPr="00352A9A" w:rsidRDefault="00990F54" w:rsidP="00B14CAD">
            <w:pPr>
              <w:jc w:val="right"/>
              <w:rPr>
                <w:color w:val="000000"/>
                <w:sz w:val="22"/>
                <w:szCs w:val="22"/>
              </w:rPr>
            </w:pPr>
            <w:r w:rsidRPr="00352A9A">
              <w:rPr>
                <w:color w:val="000000"/>
                <w:sz w:val="22"/>
                <w:szCs w:val="22"/>
              </w:rPr>
              <w:t xml:space="preserve">$79,230,353 </w:t>
            </w:r>
          </w:p>
        </w:tc>
        <w:tc>
          <w:tcPr>
            <w:tcW w:w="1170" w:type="dxa"/>
            <w:noWrap/>
            <w:vAlign w:val="center"/>
            <w:hideMark/>
          </w:tcPr>
          <w:p w14:paraId="1175A930" w14:textId="77777777" w:rsidR="00990F54" w:rsidRPr="00352A9A" w:rsidRDefault="00990F54" w:rsidP="00B14CAD">
            <w:pPr>
              <w:jc w:val="right"/>
              <w:rPr>
                <w:color w:val="000000"/>
                <w:sz w:val="22"/>
                <w:szCs w:val="22"/>
              </w:rPr>
            </w:pPr>
            <w:r w:rsidRPr="00352A9A">
              <w:rPr>
                <w:color w:val="000000"/>
                <w:sz w:val="22"/>
                <w:szCs w:val="22"/>
              </w:rPr>
              <w:t>408.44%</w:t>
            </w:r>
          </w:p>
        </w:tc>
      </w:tr>
      <w:tr w:rsidR="005E5E14" w:rsidRPr="00CE747A" w14:paraId="6949AAF0" w14:textId="77777777" w:rsidTr="00A17A68">
        <w:trPr>
          <w:trHeight w:val="467"/>
        </w:trPr>
        <w:tc>
          <w:tcPr>
            <w:tcW w:w="1980" w:type="dxa"/>
            <w:hideMark/>
          </w:tcPr>
          <w:p w14:paraId="1225C821" w14:textId="77777777" w:rsidR="00990F54" w:rsidRPr="00352A9A" w:rsidRDefault="00990F54" w:rsidP="00D45548">
            <w:pPr>
              <w:rPr>
                <w:sz w:val="22"/>
                <w:szCs w:val="22"/>
              </w:rPr>
            </w:pPr>
            <w:r w:rsidRPr="00352A9A">
              <w:rPr>
                <w:sz w:val="22"/>
                <w:szCs w:val="22"/>
              </w:rPr>
              <w:t>Office of Health and Human Services</w:t>
            </w:r>
          </w:p>
        </w:tc>
        <w:tc>
          <w:tcPr>
            <w:tcW w:w="1530" w:type="dxa"/>
            <w:noWrap/>
            <w:vAlign w:val="center"/>
            <w:hideMark/>
          </w:tcPr>
          <w:p w14:paraId="4E7B44EC" w14:textId="77777777" w:rsidR="00990F54" w:rsidRPr="00352A9A" w:rsidRDefault="00990F54" w:rsidP="00B14CAD">
            <w:pPr>
              <w:jc w:val="right"/>
              <w:rPr>
                <w:color w:val="000000"/>
                <w:sz w:val="22"/>
                <w:szCs w:val="22"/>
              </w:rPr>
            </w:pPr>
            <w:r w:rsidRPr="00352A9A">
              <w:rPr>
                <w:color w:val="000000"/>
                <w:sz w:val="22"/>
                <w:szCs w:val="22"/>
              </w:rPr>
              <w:t xml:space="preserve">$3,061,908,112 </w:t>
            </w:r>
          </w:p>
        </w:tc>
        <w:tc>
          <w:tcPr>
            <w:tcW w:w="1350" w:type="dxa"/>
            <w:noWrap/>
            <w:vAlign w:val="center"/>
            <w:hideMark/>
          </w:tcPr>
          <w:p w14:paraId="6A0FEEA5" w14:textId="77777777" w:rsidR="00990F54" w:rsidRPr="00352A9A" w:rsidRDefault="00990F54" w:rsidP="00B14CAD">
            <w:pPr>
              <w:jc w:val="right"/>
              <w:rPr>
                <w:color w:val="000000"/>
                <w:sz w:val="22"/>
                <w:szCs w:val="22"/>
              </w:rPr>
            </w:pPr>
            <w:r w:rsidRPr="00352A9A">
              <w:rPr>
                <w:color w:val="000000"/>
                <w:sz w:val="22"/>
                <w:szCs w:val="22"/>
              </w:rPr>
              <w:t xml:space="preserve">$183,714,487 </w:t>
            </w:r>
          </w:p>
        </w:tc>
        <w:tc>
          <w:tcPr>
            <w:tcW w:w="1350" w:type="dxa"/>
            <w:noWrap/>
            <w:vAlign w:val="center"/>
            <w:hideMark/>
          </w:tcPr>
          <w:p w14:paraId="004312C7" w14:textId="77777777" w:rsidR="00990F54" w:rsidRPr="00352A9A" w:rsidRDefault="00990F54" w:rsidP="00B14CAD">
            <w:pPr>
              <w:jc w:val="right"/>
              <w:rPr>
                <w:color w:val="000000"/>
                <w:sz w:val="22"/>
                <w:szCs w:val="22"/>
              </w:rPr>
            </w:pPr>
            <w:r w:rsidRPr="00352A9A">
              <w:rPr>
                <w:color w:val="000000"/>
                <w:sz w:val="22"/>
                <w:szCs w:val="22"/>
              </w:rPr>
              <w:t xml:space="preserve">$135,803,009 </w:t>
            </w:r>
          </w:p>
        </w:tc>
        <w:tc>
          <w:tcPr>
            <w:tcW w:w="1170" w:type="dxa"/>
            <w:noWrap/>
            <w:vAlign w:val="center"/>
            <w:hideMark/>
          </w:tcPr>
          <w:p w14:paraId="2833FFD0" w14:textId="77777777" w:rsidR="00990F54" w:rsidRPr="00352A9A" w:rsidRDefault="00990F54" w:rsidP="00B14CAD">
            <w:pPr>
              <w:jc w:val="right"/>
              <w:rPr>
                <w:color w:val="000000"/>
                <w:sz w:val="22"/>
                <w:szCs w:val="22"/>
              </w:rPr>
            </w:pPr>
            <w:r w:rsidRPr="00352A9A">
              <w:rPr>
                <w:color w:val="000000"/>
                <w:sz w:val="22"/>
                <w:szCs w:val="22"/>
              </w:rPr>
              <w:t>73.98%</w:t>
            </w:r>
          </w:p>
        </w:tc>
        <w:tc>
          <w:tcPr>
            <w:tcW w:w="1350" w:type="dxa"/>
            <w:noWrap/>
            <w:vAlign w:val="center"/>
            <w:hideMark/>
          </w:tcPr>
          <w:p w14:paraId="6DE985C9" w14:textId="77777777" w:rsidR="00990F54" w:rsidRPr="00352A9A" w:rsidRDefault="00990F54" w:rsidP="00B14CAD">
            <w:pPr>
              <w:jc w:val="right"/>
              <w:rPr>
                <w:color w:val="000000"/>
                <w:sz w:val="22"/>
                <w:szCs w:val="22"/>
              </w:rPr>
            </w:pPr>
            <w:r w:rsidRPr="00352A9A">
              <w:rPr>
                <w:color w:val="000000"/>
                <w:sz w:val="22"/>
                <w:szCs w:val="22"/>
              </w:rPr>
              <w:t xml:space="preserve">$367,428,973 </w:t>
            </w:r>
          </w:p>
        </w:tc>
        <w:tc>
          <w:tcPr>
            <w:tcW w:w="1350" w:type="dxa"/>
            <w:noWrap/>
            <w:vAlign w:val="center"/>
            <w:hideMark/>
          </w:tcPr>
          <w:p w14:paraId="32BE533A" w14:textId="77777777" w:rsidR="00990F54" w:rsidRPr="00352A9A" w:rsidRDefault="00990F54" w:rsidP="00B14CAD">
            <w:pPr>
              <w:rPr>
                <w:color w:val="000000"/>
                <w:sz w:val="22"/>
                <w:szCs w:val="22"/>
              </w:rPr>
            </w:pPr>
            <w:r w:rsidRPr="00352A9A">
              <w:rPr>
                <w:color w:val="000000"/>
                <w:sz w:val="22"/>
                <w:szCs w:val="22"/>
              </w:rPr>
              <w:t>$372,679,006</w:t>
            </w:r>
          </w:p>
        </w:tc>
        <w:tc>
          <w:tcPr>
            <w:tcW w:w="1170" w:type="dxa"/>
            <w:noWrap/>
            <w:vAlign w:val="center"/>
            <w:hideMark/>
          </w:tcPr>
          <w:p w14:paraId="4A8B9E6D" w14:textId="77777777" w:rsidR="00990F54" w:rsidRPr="00352A9A" w:rsidRDefault="00990F54" w:rsidP="00B14CAD">
            <w:pPr>
              <w:jc w:val="right"/>
              <w:rPr>
                <w:color w:val="000000"/>
                <w:sz w:val="22"/>
                <w:szCs w:val="22"/>
              </w:rPr>
            </w:pPr>
            <w:r w:rsidRPr="00352A9A">
              <w:rPr>
                <w:color w:val="000000"/>
                <w:sz w:val="22"/>
                <w:szCs w:val="22"/>
              </w:rPr>
              <w:t>101.43%</w:t>
            </w:r>
          </w:p>
        </w:tc>
      </w:tr>
      <w:tr w:rsidR="005E5E14" w:rsidRPr="00CE747A" w14:paraId="7842B78A" w14:textId="77777777" w:rsidTr="005E5E14">
        <w:trPr>
          <w:trHeight w:val="979"/>
        </w:trPr>
        <w:tc>
          <w:tcPr>
            <w:tcW w:w="1980" w:type="dxa"/>
            <w:hideMark/>
          </w:tcPr>
          <w:p w14:paraId="4A2FB63E" w14:textId="77777777" w:rsidR="00990F54" w:rsidRPr="00352A9A" w:rsidRDefault="00990F54" w:rsidP="00D45548">
            <w:pPr>
              <w:rPr>
                <w:sz w:val="22"/>
                <w:szCs w:val="22"/>
              </w:rPr>
            </w:pPr>
            <w:r w:rsidRPr="00352A9A">
              <w:rPr>
                <w:sz w:val="22"/>
                <w:szCs w:val="22"/>
              </w:rPr>
              <w:t>Office of Energy and Environmental Affairs</w:t>
            </w:r>
          </w:p>
        </w:tc>
        <w:tc>
          <w:tcPr>
            <w:tcW w:w="1530" w:type="dxa"/>
            <w:noWrap/>
            <w:vAlign w:val="center"/>
            <w:hideMark/>
          </w:tcPr>
          <w:p w14:paraId="236F486F" w14:textId="77777777" w:rsidR="00990F54" w:rsidRPr="00352A9A" w:rsidRDefault="00990F54" w:rsidP="00B14CAD">
            <w:pPr>
              <w:jc w:val="right"/>
              <w:rPr>
                <w:color w:val="000000"/>
                <w:sz w:val="22"/>
                <w:szCs w:val="22"/>
              </w:rPr>
            </w:pPr>
            <w:r w:rsidRPr="00352A9A">
              <w:rPr>
                <w:color w:val="000000"/>
                <w:sz w:val="22"/>
                <w:szCs w:val="22"/>
              </w:rPr>
              <w:t xml:space="preserve">$54,525,558 </w:t>
            </w:r>
          </w:p>
        </w:tc>
        <w:tc>
          <w:tcPr>
            <w:tcW w:w="1350" w:type="dxa"/>
            <w:noWrap/>
            <w:vAlign w:val="center"/>
            <w:hideMark/>
          </w:tcPr>
          <w:p w14:paraId="7F3A90FA" w14:textId="77777777" w:rsidR="00990F54" w:rsidRPr="00352A9A" w:rsidRDefault="00990F54" w:rsidP="00B14CAD">
            <w:pPr>
              <w:jc w:val="right"/>
              <w:rPr>
                <w:color w:val="000000"/>
                <w:sz w:val="22"/>
                <w:szCs w:val="22"/>
              </w:rPr>
            </w:pPr>
            <w:r w:rsidRPr="00352A9A">
              <w:rPr>
                <w:color w:val="000000"/>
                <w:sz w:val="22"/>
                <w:szCs w:val="22"/>
              </w:rPr>
              <w:t xml:space="preserve">$3,271,533 </w:t>
            </w:r>
          </w:p>
        </w:tc>
        <w:tc>
          <w:tcPr>
            <w:tcW w:w="1350" w:type="dxa"/>
            <w:noWrap/>
            <w:vAlign w:val="center"/>
            <w:hideMark/>
          </w:tcPr>
          <w:p w14:paraId="04D8D20B" w14:textId="77777777" w:rsidR="00990F54" w:rsidRPr="00352A9A" w:rsidRDefault="00990F54" w:rsidP="00B14CAD">
            <w:pPr>
              <w:jc w:val="right"/>
              <w:rPr>
                <w:color w:val="000000"/>
                <w:sz w:val="22"/>
                <w:szCs w:val="22"/>
              </w:rPr>
            </w:pPr>
            <w:r w:rsidRPr="00352A9A">
              <w:rPr>
                <w:color w:val="000000"/>
                <w:sz w:val="22"/>
                <w:szCs w:val="22"/>
              </w:rPr>
              <w:t xml:space="preserve">$2,159,593 </w:t>
            </w:r>
          </w:p>
        </w:tc>
        <w:tc>
          <w:tcPr>
            <w:tcW w:w="1170" w:type="dxa"/>
            <w:noWrap/>
            <w:vAlign w:val="center"/>
            <w:hideMark/>
          </w:tcPr>
          <w:p w14:paraId="0CFE8FFE" w14:textId="77777777" w:rsidR="00990F54" w:rsidRPr="00352A9A" w:rsidRDefault="00990F54" w:rsidP="00B14CAD">
            <w:pPr>
              <w:jc w:val="right"/>
              <w:rPr>
                <w:color w:val="000000"/>
                <w:sz w:val="22"/>
                <w:szCs w:val="22"/>
              </w:rPr>
            </w:pPr>
            <w:r w:rsidRPr="00352A9A">
              <w:rPr>
                <w:color w:val="000000"/>
                <w:sz w:val="22"/>
                <w:szCs w:val="22"/>
              </w:rPr>
              <w:t>66.01%</w:t>
            </w:r>
          </w:p>
        </w:tc>
        <w:tc>
          <w:tcPr>
            <w:tcW w:w="1350" w:type="dxa"/>
            <w:noWrap/>
            <w:vAlign w:val="center"/>
            <w:hideMark/>
          </w:tcPr>
          <w:p w14:paraId="1CE6CC42" w14:textId="77777777" w:rsidR="00990F54" w:rsidRPr="00352A9A" w:rsidRDefault="00990F54" w:rsidP="00B14CAD">
            <w:pPr>
              <w:jc w:val="right"/>
              <w:rPr>
                <w:color w:val="000000"/>
                <w:sz w:val="22"/>
                <w:szCs w:val="22"/>
              </w:rPr>
            </w:pPr>
            <w:r w:rsidRPr="00352A9A">
              <w:rPr>
                <w:color w:val="000000"/>
                <w:sz w:val="22"/>
                <w:szCs w:val="22"/>
              </w:rPr>
              <w:t xml:space="preserve">$6,543,067 </w:t>
            </w:r>
          </w:p>
        </w:tc>
        <w:tc>
          <w:tcPr>
            <w:tcW w:w="1350" w:type="dxa"/>
            <w:noWrap/>
            <w:vAlign w:val="center"/>
            <w:hideMark/>
          </w:tcPr>
          <w:p w14:paraId="5D36B04E" w14:textId="77777777" w:rsidR="00990F54" w:rsidRPr="00352A9A" w:rsidRDefault="00990F54" w:rsidP="00B14CAD">
            <w:pPr>
              <w:jc w:val="right"/>
              <w:rPr>
                <w:color w:val="000000"/>
                <w:sz w:val="22"/>
                <w:szCs w:val="22"/>
              </w:rPr>
            </w:pPr>
            <w:r w:rsidRPr="00352A9A">
              <w:rPr>
                <w:color w:val="000000"/>
                <w:sz w:val="22"/>
                <w:szCs w:val="22"/>
              </w:rPr>
              <w:t xml:space="preserve">$6,659,832 </w:t>
            </w:r>
          </w:p>
        </w:tc>
        <w:tc>
          <w:tcPr>
            <w:tcW w:w="1170" w:type="dxa"/>
            <w:noWrap/>
            <w:vAlign w:val="center"/>
            <w:hideMark/>
          </w:tcPr>
          <w:p w14:paraId="1616803F" w14:textId="77777777" w:rsidR="00990F54" w:rsidRPr="00352A9A" w:rsidRDefault="00990F54" w:rsidP="00B14CAD">
            <w:pPr>
              <w:jc w:val="right"/>
              <w:rPr>
                <w:color w:val="000000"/>
                <w:sz w:val="22"/>
                <w:szCs w:val="22"/>
              </w:rPr>
            </w:pPr>
            <w:r w:rsidRPr="00352A9A">
              <w:rPr>
                <w:color w:val="000000"/>
                <w:sz w:val="22"/>
                <w:szCs w:val="22"/>
              </w:rPr>
              <w:t>101.78%</w:t>
            </w:r>
          </w:p>
        </w:tc>
      </w:tr>
      <w:tr w:rsidR="005E5E14" w:rsidRPr="00CE747A" w14:paraId="74EAA1B6" w14:textId="77777777" w:rsidTr="005E5E14">
        <w:trPr>
          <w:trHeight w:val="1051"/>
        </w:trPr>
        <w:tc>
          <w:tcPr>
            <w:tcW w:w="1980" w:type="dxa"/>
            <w:hideMark/>
          </w:tcPr>
          <w:p w14:paraId="3288345A" w14:textId="77777777" w:rsidR="00990F54" w:rsidRPr="00352A9A" w:rsidRDefault="00990F54" w:rsidP="00D45548">
            <w:pPr>
              <w:rPr>
                <w:sz w:val="22"/>
                <w:szCs w:val="22"/>
              </w:rPr>
            </w:pPr>
            <w:r w:rsidRPr="00352A9A">
              <w:rPr>
                <w:sz w:val="22"/>
                <w:szCs w:val="22"/>
              </w:rPr>
              <w:t>Department of Labor and Workforce Development</w:t>
            </w:r>
          </w:p>
        </w:tc>
        <w:tc>
          <w:tcPr>
            <w:tcW w:w="1530" w:type="dxa"/>
            <w:noWrap/>
            <w:vAlign w:val="center"/>
            <w:hideMark/>
          </w:tcPr>
          <w:p w14:paraId="2E4D270E" w14:textId="77777777" w:rsidR="00990F54" w:rsidRPr="00352A9A" w:rsidRDefault="00990F54" w:rsidP="00B14CAD">
            <w:pPr>
              <w:jc w:val="right"/>
              <w:rPr>
                <w:color w:val="000000"/>
                <w:sz w:val="22"/>
                <w:szCs w:val="22"/>
              </w:rPr>
            </w:pPr>
            <w:r w:rsidRPr="00352A9A">
              <w:rPr>
                <w:color w:val="000000"/>
                <w:sz w:val="22"/>
                <w:szCs w:val="22"/>
              </w:rPr>
              <w:t xml:space="preserve">$28,226,186 </w:t>
            </w:r>
          </w:p>
        </w:tc>
        <w:tc>
          <w:tcPr>
            <w:tcW w:w="1350" w:type="dxa"/>
            <w:noWrap/>
            <w:vAlign w:val="center"/>
            <w:hideMark/>
          </w:tcPr>
          <w:p w14:paraId="60E00D10" w14:textId="77777777" w:rsidR="00990F54" w:rsidRPr="00352A9A" w:rsidRDefault="00990F54" w:rsidP="00B14CAD">
            <w:pPr>
              <w:jc w:val="right"/>
              <w:rPr>
                <w:color w:val="000000"/>
                <w:sz w:val="22"/>
                <w:szCs w:val="22"/>
              </w:rPr>
            </w:pPr>
            <w:r w:rsidRPr="00352A9A">
              <w:rPr>
                <w:color w:val="000000"/>
                <w:sz w:val="22"/>
                <w:szCs w:val="22"/>
              </w:rPr>
              <w:t xml:space="preserve">$1,693,571 </w:t>
            </w:r>
          </w:p>
        </w:tc>
        <w:tc>
          <w:tcPr>
            <w:tcW w:w="1350" w:type="dxa"/>
            <w:noWrap/>
            <w:vAlign w:val="center"/>
            <w:hideMark/>
          </w:tcPr>
          <w:p w14:paraId="0E621BDF" w14:textId="77777777" w:rsidR="00990F54" w:rsidRPr="00352A9A" w:rsidRDefault="00990F54" w:rsidP="00B14CAD">
            <w:pPr>
              <w:jc w:val="right"/>
              <w:rPr>
                <w:color w:val="000000"/>
                <w:sz w:val="22"/>
                <w:szCs w:val="22"/>
              </w:rPr>
            </w:pPr>
            <w:r w:rsidRPr="00352A9A">
              <w:rPr>
                <w:color w:val="000000"/>
                <w:sz w:val="22"/>
                <w:szCs w:val="22"/>
              </w:rPr>
              <w:t xml:space="preserve">$1,878,522 </w:t>
            </w:r>
          </w:p>
        </w:tc>
        <w:tc>
          <w:tcPr>
            <w:tcW w:w="1170" w:type="dxa"/>
            <w:noWrap/>
            <w:vAlign w:val="center"/>
            <w:hideMark/>
          </w:tcPr>
          <w:p w14:paraId="64D3F38E" w14:textId="77777777" w:rsidR="00990F54" w:rsidRPr="00352A9A" w:rsidRDefault="00990F54" w:rsidP="00B14CAD">
            <w:pPr>
              <w:jc w:val="right"/>
              <w:rPr>
                <w:color w:val="000000"/>
                <w:sz w:val="22"/>
                <w:szCs w:val="22"/>
              </w:rPr>
            </w:pPr>
            <w:r w:rsidRPr="00352A9A">
              <w:rPr>
                <w:color w:val="000000"/>
                <w:sz w:val="22"/>
                <w:szCs w:val="22"/>
              </w:rPr>
              <w:t>110.92%</w:t>
            </w:r>
          </w:p>
        </w:tc>
        <w:tc>
          <w:tcPr>
            <w:tcW w:w="1350" w:type="dxa"/>
            <w:noWrap/>
            <w:vAlign w:val="center"/>
            <w:hideMark/>
          </w:tcPr>
          <w:p w14:paraId="32337B9C" w14:textId="77777777" w:rsidR="00990F54" w:rsidRPr="00352A9A" w:rsidRDefault="00990F54" w:rsidP="00B14CAD">
            <w:pPr>
              <w:jc w:val="right"/>
              <w:rPr>
                <w:color w:val="000000"/>
                <w:sz w:val="22"/>
                <w:szCs w:val="22"/>
              </w:rPr>
            </w:pPr>
            <w:r w:rsidRPr="00352A9A">
              <w:rPr>
                <w:color w:val="000000"/>
                <w:sz w:val="22"/>
                <w:szCs w:val="22"/>
              </w:rPr>
              <w:t xml:space="preserve">$3,387,142 </w:t>
            </w:r>
          </w:p>
        </w:tc>
        <w:tc>
          <w:tcPr>
            <w:tcW w:w="1350" w:type="dxa"/>
            <w:noWrap/>
            <w:vAlign w:val="center"/>
            <w:hideMark/>
          </w:tcPr>
          <w:p w14:paraId="7C19CE29" w14:textId="77777777" w:rsidR="00990F54" w:rsidRPr="00352A9A" w:rsidRDefault="00990F54" w:rsidP="00B14CAD">
            <w:pPr>
              <w:jc w:val="right"/>
              <w:rPr>
                <w:color w:val="000000"/>
                <w:sz w:val="22"/>
                <w:szCs w:val="22"/>
              </w:rPr>
            </w:pPr>
            <w:r w:rsidRPr="00352A9A">
              <w:rPr>
                <w:color w:val="000000"/>
                <w:sz w:val="22"/>
                <w:szCs w:val="22"/>
              </w:rPr>
              <w:t xml:space="preserve">$2,236,951 </w:t>
            </w:r>
          </w:p>
        </w:tc>
        <w:tc>
          <w:tcPr>
            <w:tcW w:w="1170" w:type="dxa"/>
            <w:noWrap/>
            <w:vAlign w:val="center"/>
            <w:hideMark/>
          </w:tcPr>
          <w:p w14:paraId="0506E778" w14:textId="77777777" w:rsidR="00990F54" w:rsidRPr="00352A9A" w:rsidRDefault="00990F54" w:rsidP="00B14CAD">
            <w:pPr>
              <w:jc w:val="right"/>
              <w:rPr>
                <w:color w:val="000000"/>
                <w:sz w:val="22"/>
                <w:szCs w:val="22"/>
              </w:rPr>
            </w:pPr>
            <w:r w:rsidRPr="00352A9A">
              <w:rPr>
                <w:color w:val="000000"/>
                <w:sz w:val="22"/>
                <w:szCs w:val="22"/>
              </w:rPr>
              <w:t>66.04%</w:t>
            </w:r>
          </w:p>
        </w:tc>
      </w:tr>
      <w:tr w:rsidR="005E5E14" w:rsidRPr="00CE747A" w14:paraId="07FFB7F6" w14:textId="77777777" w:rsidTr="005E5E14">
        <w:trPr>
          <w:trHeight w:val="799"/>
        </w:trPr>
        <w:tc>
          <w:tcPr>
            <w:tcW w:w="1980" w:type="dxa"/>
            <w:hideMark/>
          </w:tcPr>
          <w:p w14:paraId="684AA904" w14:textId="77777777" w:rsidR="00990F54" w:rsidRPr="00352A9A" w:rsidRDefault="00990F54" w:rsidP="00D45548">
            <w:pPr>
              <w:rPr>
                <w:sz w:val="22"/>
                <w:szCs w:val="22"/>
              </w:rPr>
            </w:pPr>
            <w:r w:rsidRPr="00352A9A">
              <w:rPr>
                <w:sz w:val="22"/>
                <w:szCs w:val="22"/>
              </w:rPr>
              <w:t>Office of Public Safety &amp; Security</w:t>
            </w:r>
          </w:p>
        </w:tc>
        <w:tc>
          <w:tcPr>
            <w:tcW w:w="1530" w:type="dxa"/>
            <w:noWrap/>
            <w:vAlign w:val="center"/>
            <w:hideMark/>
          </w:tcPr>
          <w:p w14:paraId="1342FFDB" w14:textId="77777777" w:rsidR="00990F54" w:rsidRPr="00352A9A" w:rsidRDefault="00990F54" w:rsidP="00B14CAD">
            <w:pPr>
              <w:jc w:val="right"/>
              <w:rPr>
                <w:color w:val="000000"/>
                <w:sz w:val="22"/>
                <w:szCs w:val="22"/>
              </w:rPr>
            </w:pPr>
            <w:r w:rsidRPr="00352A9A">
              <w:rPr>
                <w:color w:val="000000"/>
                <w:sz w:val="22"/>
                <w:szCs w:val="22"/>
              </w:rPr>
              <w:t xml:space="preserve">$92,367,605 </w:t>
            </w:r>
          </w:p>
        </w:tc>
        <w:tc>
          <w:tcPr>
            <w:tcW w:w="1350" w:type="dxa"/>
            <w:noWrap/>
            <w:vAlign w:val="center"/>
            <w:hideMark/>
          </w:tcPr>
          <w:p w14:paraId="0C5E42A3" w14:textId="77777777" w:rsidR="00990F54" w:rsidRPr="00352A9A" w:rsidRDefault="00990F54" w:rsidP="00B14CAD">
            <w:pPr>
              <w:jc w:val="right"/>
              <w:rPr>
                <w:color w:val="000000"/>
                <w:sz w:val="22"/>
                <w:szCs w:val="22"/>
              </w:rPr>
            </w:pPr>
            <w:r w:rsidRPr="00352A9A">
              <w:rPr>
                <w:color w:val="000000"/>
                <w:sz w:val="22"/>
                <w:szCs w:val="22"/>
              </w:rPr>
              <w:t xml:space="preserve">$5,542,056 </w:t>
            </w:r>
          </w:p>
        </w:tc>
        <w:tc>
          <w:tcPr>
            <w:tcW w:w="1350" w:type="dxa"/>
            <w:noWrap/>
            <w:vAlign w:val="center"/>
            <w:hideMark/>
          </w:tcPr>
          <w:p w14:paraId="172F2509" w14:textId="77777777" w:rsidR="00990F54" w:rsidRPr="00352A9A" w:rsidRDefault="00990F54" w:rsidP="00B646A4">
            <w:pPr>
              <w:jc w:val="right"/>
              <w:rPr>
                <w:color w:val="000000"/>
                <w:sz w:val="22"/>
                <w:szCs w:val="22"/>
              </w:rPr>
            </w:pPr>
            <w:r w:rsidRPr="00352A9A">
              <w:rPr>
                <w:color w:val="000000"/>
                <w:sz w:val="22"/>
                <w:szCs w:val="22"/>
              </w:rPr>
              <w:t>$8,</w:t>
            </w:r>
            <w:r w:rsidR="00B646A4" w:rsidRPr="00352A9A">
              <w:rPr>
                <w:color w:val="000000"/>
                <w:sz w:val="22"/>
                <w:szCs w:val="22"/>
              </w:rPr>
              <w:t>606</w:t>
            </w:r>
            <w:r w:rsidRPr="00352A9A">
              <w:rPr>
                <w:color w:val="000000"/>
                <w:sz w:val="22"/>
                <w:szCs w:val="22"/>
              </w:rPr>
              <w:t>,</w:t>
            </w:r>
            <w:r w:rsidR="00B646A4" w:rsidRPr="00352A9A">
              <w:rPr>
                <w:color w:val="000000"/>
                <w:sz w:val="22"/>
                <w:szCs w:val="22"/>
              </w:rPr>
              <w:t>418</w:t>
            </w:r>
            <w:r w:rsidRPr="00352A9A">
              <w:rPr>
                <w:color w:val="000000"/>
                <w:sz w:val="22"/>
                <w:szCs w:val="22"/>
              </w:rPr>
              <w:t xml:space="preserve"> </w:t>
            </w:r>
          </w:p>
        </w:tc>
        <w:tc>
          <w:tcPr>
            <w:tcW w:w="1170" w:type="dxa"/>
            <w:noWrap/>
            <w:vAlign w:val="center"/>
            <w:hideMark/>
          </w:tcPr>
          <w:p w14:paraId="06AC7821" w14:textId="77777777" w:rsidR="00990F54" w:rsidRPr="00352A9A" w:rsidRDefault="00990F54" w:rsidP="00B14CAD">
            <w:pPr>
              <w:jc w:val="right"/>
              <w:rPr>
                <w:color w:val="000000"/>
                <w:sz w:val="22"/>
                <w:szCs w:val="22"/>
              </w:rPr>
            </w:pPr>
            <w:r w:rsidRPr="00352A9A">
              <w:rPr>
                <w:color w:val="000000"/>
                <w:sz w:val="22"/>
                <w:szCs w:val="22"/>
              </w:rPr>
              <w:t>155.29%</w:t>
            </w:r>
          </w:p>
        </w:tc>
        <w:tc>
          <w:tcPr>
            <w:tcW w:w="1350" w:type="dxa"/>
            <w:noWrap/>
            <w:vAlign w:val="center"/>
            <w:hideMark/>
          </w:tcPr>
          <w:p w14:paraId="218943C3" w14:textId="77777777" w:rsidR="00990F54" w:rsidRPr="00352A9A" w:rsidRDefault="00990F54" w:rsidP="00B14CAD">
            <w:pPr>
              <w:jc w:val="right"/>
              <w:rPr>
                <w:color w:val="000000"/>
                <w:sz w:val="22"/>
                <w:szCs w:val="22"/>
              </w:rPr>
            </w:pPr>
            <w:r w:rsidRPr="00352A9A">
              <w:rPr>
                <w:color w:val="000000"/>
                <w:sz w:val="22"/>
                <w:szCs w:val="22"/>
              </w:rPr>
              <w:t xml:space="preserve">$11,084,113 </w:t>
            </w:r>
          </w:p>
        </w:tc>
        <w:tc>
          <w:tcPr>
            <w:tcW w:w="1350" w:type="dxa"/>
            <w:noWrap/>
            <w:vAlign w:val="center"/>
            <w:hideMark/>
          </w:tcPr>
          <w:p w14:paraId="29F9450A" w14:textId="77777777" w:rsidR="00990F54" w:rsidRPr="00352A9A" w:rsidRDefault="00990F54" w:rsidP="00B14CAD">
            <w:pPr>
              <w:jc w:val="right"/>
              <w:rPr>
                <w:color w:val="000000"/>
                <w:sz w:val="22"/>
                <w:szCs w:val="22"/>
              </w:rPr>
            </w:pPr>
            <w:r w:rsidRPr="00352A9A">
              <w:rPr>
                <w:color w:val="000000"/>
                <w:sz w:val="22"/>
                <w:szCs w:val="22"/>
              </w:rPr>
              <w:t xml:space="preserve">$10,629,884 </w:t>
            </w:r>
          </w:p>
        </w:tc>
        <w:tc>
          <w:tcPr>
            <w:tcW w:w="1170" w:type="dxa"/>
            <w:noWrap/>
            <w:vAlign w:val="center"/>
            <w:hideMark/>
          </w:tcPr>
          <w:p w14:paraId="5ADA691F" w14:textId="77777777" w:rsidR="00990F54" w:rsidRPr="00352A9A" w:rsidRDefault="00990F54" w:rsidP="00B14CAD">
            <w:pPr>
              <w:jc w:val="right"/>
              <w:rPr>
                <w:color w:val="000000"/>
                <w:sz w:val="22"/>
                <w:szCs w:val="22"/>
              </w:rPr>
            </w:pPr>
            <w:r w:rsidRPr="00352A9A">
              <w:rPr>
                <w:color w:val="000000"/>
                <w:sz w:val="22"/>
                <w:szCs w:val="22"/>
              </w:rPr>
              <w:t>95.90%</w:t>
            </w:r>
          </w:p>
        </w:tc>
      </w:tr>
      <w:tr w:rsidR="005E5E14" w:rsidRPr="00CE747A" w14:paraId="155E9C56" w14:textId="77777777" w:rsidTr="005E5E14">
        <w:trPr>
          <w:trHeight w:val="601"/>
        </w:trPr>
        <w:tc>
          <w:tcPr>
            <w:tcW w:w="1980" w:type="dxa"/>
            <w:hideMark/>
          </w:tcPr>
          <w:p w14:paraId="784108D8" w14:textId="77777777" w:rsidR="00990F54" w:rsidRPr="00352A9A" w:rsidRDefault="00990F54" w:rsidP="00D45548">
            <w:pPr>
              <w:rPr>
                <w:sz w:val="22"/>
                <w:szCs w:val="22"/>
              </w:rPr>
            </w:pPr>
            <w:r w:rsidRPr="00352A9A">
              <w:rPr>
                <w:snapToGrid w:val="0"/>
                <w:sz w:val="22"/>
                <w:szCs w:val="22"/>
              </w:rPr>
              <w:t>Office of the Governor</w:t>
            </w:r>
          </w:p>
        </w:tc>
        <w:tc>
          <w:tcPr>
            <w:tcW w:w="1530" w:type="dxa"/>
            <w:noWrap/>
            <w:vAlign w:val="center"/>
            <w:hideMark/>
          </w:tcPr>
          <w:p w14:paraId="71FD3450" w14:textId="77777777" w:rsidR="00990F54" w:rsidRPr="00352A9A" w:rsidRDefault="00990F54" w:rsidP="00B14CAD">
            <w:pPr>
              <w:jc w:val="right"/>
              <w:rPr>
                <w:color w:val="000000"/>
                <w:sz w:val="22"/>
                <w:szCs w:val="22"/>
              </w:rPr>
            </w:pPr>
            <w:r w:rsidRPr="00352A9A">
              <w:rPr>
                <w:color w:val="000000"/>
                <w:sz w:val="22"/>
                <w:szCs w:val="22"/>
              </w:rPr>
              <w:t xml:space="preserve">$260,590 </w:t>
            </w:r>
          </w:p>
        </w:tc>
        <w:tc>
          <w:tcPr>
            <w:tcW w:w="1350" w:type="dxa"/>
            <w:noWrap/>
            <w:vAlign w:val="center"/>
            <w:hideMark/>
          </w:tcPr>
          <w:p w14:paraId="19CCC5FE" w14:textId="77777777" w:rsidR="00990F54" w:rsidRPr="00352A9A" w:rsidRDefault="00990F54" w:rsidP="00B14CAD">
            <w:pPr>
              <w:jc w:val="right"/>
              <w:rPr>
                <w:color w:val="000000"/>
                <w:sz w:val="22"/>
                <w:szCs w:val="22"/>
              </w:rPr>
            </w:pPr>
            <w:r w:rsidRPr="00352A9A">
              <w:rPr>
                <w:color w:val="000000"/>
                <w:sz w:val="22"/>
                <w:szCs w:val="22"/>
              </w:rPr>
              <w:t xml:space="preserve">$15,635 </w:t>
            </w:r>
          </w:p>
        </w:tc>
        <w:tc>
          <w:tcPr>
            <w:tcW w:w="1350" w:type="dxa"/>
            <w:noWrap/>
            <w:vAlign w:val="center"/>
            <w:hideMark/>
          </w:tcPr>
          <w:p w14:paraId="5FD46E86" w14:textId="77777777" w:rsidR="00990F54" w:rsidRPr="00352A9A" w:rsidRDefault="00990F54" w:rsidP="00B14CAD">
            <w:pPr>
              <w:jc w:val="right"/>
              <w:rPr>
                <w:color w:val="000000"/>
                <w:sz w:val="22"/>
                <w:szCs w:val="22"/>
              </w:rPr>
            </w:pPr>
            <w:r w:rsidRPr="00352A9A">
              <w:rPr>
                <w:color w:val="000000"/>
                <w:sz w:val="22"/>
                <w:szCs w:val="22"/>
              </w:rPr>
              <w:t xml:space="preserve">$35,641 </w:t>
            </w:r>
          </w:p>
        </w:tc>
        <w:tc>
          <w:tcPr>
            <w:tcW w:w="1170" w:type="dxa"/>
            <w:noWrap/>
            <w:vAlign w:val="center"/>
            <w:hideMark/>
          </w:tcPr>
          <w:p w14:paraId="73A0EEEE" w14:textId="77777777" w:rsidR="00990F54" w:rsidRPr="00352A9A" w:rsidRDefault="00990F54" w:rsidP="00B14CAD">
            <w:pPr>
              <w:jc w:val="right"/>
              <w:rPr>
                <w:color w:val="000000"/>
                <w:sz w:val="22"/>
                <w:szCs w:val="22"/>
              </w:rPr>
            </w:pPr>
            <w:r w:rsidRPr="00352A9A">
              <w:rPr>
                <w:color w:val="000000"/>
                <w:sz w:val="22"/>
                <w:szCs w:val="22"/>
              </w:rPr>
              <w:t>227.95%</w:t>
            </w:r>
          </w:p>
        </w:tc>
        <w:tc>
          <w:tcPr>
            <w:tcW w:w="1350" w:type="dxa"/>
            <w:noWrap/>
            <w:vAlign w:val="center"/>
            <w:hideMark/>
          </w:tcPr>
          <w:p w14:paraId="7FFB2202" w14:textId="77777777" w:rsidR="00990F54" w:rsidRPr="00352A9A" w:rsidRDefault="00990F54" w:rsidP="00B14CAD">
            <w:pPr>
              <w:jc w:val="right"/>
              <w:rPr>
                <w:color w:val="000000"/>
                <w:sz w:val="22"/>
                <w:szCs w:val="22"/>
              </w:rPr>
            </w:pPr>
            <w:r w:rsidRPr="00352A9A">
              <w:rPr>
                <w:color w:val="000000"/>
                <w:sz w:val="22"/>
                <w:szCs w:val="22"/>
              </w:rPr>
              <w:t xml:space="preserve">$31,271 </w:t>
            </w:r>
          </w:p>
        </w:tc>
        <w:tc>
          <w:tcPr>
            <w:tcW w:w="1350" w:type="dxa"/>
            <w:noWrap/>
            <w:vAlign w:val="center"/>
            <w:hideMark/>
          </w:tcPr>
          <w:p w14:paraId="6054A92D" w14:textId="77777777" w:rsidR="00990F54" w:rsidRPr="00352A9A" w:rsidRDefault="00990F54" w:rsidP="00B14CAD">
            <w:pPr>
              <w:jc w:val="right"/>
              <w:rPr>
                <w:color w:val="000000"/>
                <w:sz w:val="22"/>
                <w:szCs w:val="22"/>
              </w:rPr>
            </w:pPr>
            <w:r w:rsidRPr="00352A9A">
              <w:rPr>
                <w:color w:val="000000"/>
                <w:sz w:val="22"/>
                <w:szCs w:val="22"/>
              </w:rPr>
              <w:t xml:space="preserve">$14,469 </w:t>
            </w:r>
          </w:p>
        </w:tc>
        <w:tc>
          <w:tcPr>
            <w:tcW w:w="1170" w:type="dxa"/>
            <w:noWrap/>
            <w:vAlign w:val="center"/>
            <w:hideMark/>
          </w:tcPr>
          <w:p w14:paraId="2AEB0654" w14:textId="77777777" w:rsidR="00990F54" w:rsidRPr="00352A9A" w:rsidRDefault="00990F54" w:rsidP="00B14CAD">
            <w:pPr>
              <w:jc w:val="right"/>
              <w:rPr>
                <w:color w:val="000000"/>
                <w:sz w:val="22"/>
                <w:szCs w:val="22"/>
              </w:rPr>
            </w:pPr>
            <w:r w:rsidRPr="00352A9A">
              <w:rPr>
                <w:color w:val="000000"/>
                <w:sz w:val="22"/>
                <w:szCs w:val="22"/>
              </w:rPr>
              <w:t>46.27%</w:t>
            </w:r>
          </w:p>
        </w:tc>
      </w:tr>
      <w:tr w:rsidR="005E5E14" w:rsidRPr="00CE747A" w14:paraId="5BA42E37" w14:textId="77777777" w:rsidTr="005E5E14">
        <w:trPr>
          <w:trHeight w:val="691"/>
        </w:trPr>
        <w:tc>
          <w:tcPr>
            <w:tcW w:w="1980" w:type="dxa"/>
            <w:hideMark/>
          </w:tcPr>
          <w:p w14:paraId="69A03E38" w14:textId="77777777" w:rsidR="00990F54" w:rsidRPr="00352A9A" w:rsidRDefault="00990F54" w:rsidP="00D45548">
            <w:pPr>
              <w:rPr>
                <w:sz w:val="22"/>
                <w:szCs w:val="22"/>
              </w:rPr>
            </w:pPr>
            <w:r w:rsidRPr="00352A9A">
              <w:rPr>
                <w:sz w:val="22"/>
                <w:szCs w:val="22"/>
              </w:rPr>
              <w:t>Comptroller of the Commonwealth</w:t>
            </w:r>
          </w:p>
        </w:tc>
        <w:tc>
          <w:tcPr>
            <w:tcW w:w="1530" w:type="dxa"/>
            <w:noWrap/>
            <w:vAlign w:val="center"/>
            <w:hideMark/>
          </w:tcPr>
          <w:p w14:paraId="437FE646" w14:textId="77777777" w:rsidR="00990F54" w:rsidRPr="00352A9A" w:rsidRDefault="00990F54" w:rsidP="00B14CAD">
            <w:pPr>
              <w:jc w:val="right"/>
              <w:rPr>
                <w:color w:val="000000"/>
                <w:sz w:val="22"/>
                <w:szCs w:val="22"/>
              </w:rPr>
            </w:pPr>
            <w:r w:rsidRPr="00352A9A">
              <w:rPr>
                <w:color w:val="000000"/>
                <w:sz w:val="22"/>
                <w:szCs w:val="22"/>
              </w:rPr>
              <w:t xml:space="preserve">$425,069 </w:t>
            </w:r>
          </w:p>
        </w:tc>
        <w:tc>
          <w:tcPr>
            <w:tcW w:w="1350" w:type="dxa"/>
            <w:noWrap/>
            <w:vAlign w:val="center"/>
            <w:hideMark/>
          </w:tcPr>
          <w:p w14:paraId="1CB1F5E8" w14:textId="77777777" w:rsidR="00990F54" w:rsidRPr="00352A9A" w:rsidRDefault="00990F54" w:rsidP="00B14CAD">
            <w:pPr>
              <w:jc w:val="right"/>
              <w:rPr>
                <w:color w:val="000000"/>
                <w:sz w:val="22"/>
                <w:szCs w:val="22"/>
              </w:rPr>
            </w:pPr>
            <w:r w:rsidRPr="00352A9A">
              <w:rPr>
                <w:color w:val="000000"/>
                <w:sz w:val="22"/>
                <w:szCs w:val="22"/>
              </w:rPr>
              <w:t xml:space="preserve">$25,504 </w:t>
            </w:r>
          </w:p>
        </w:tc>
        <w:tc>
          <w:tcPr>
            <w:tcW w:w="1350" w:type="dxa"/>
            <w:noWrap/>
            <w:vAlign w:val="center"/>
            <w:hideMark/>
          </w:tcPr>
          <w:p w14:paraId="72337D06" w14:textId="77777777" w:rsidR="00990F54" w:rsidRPr="00352A9A" w:rsidRDefault="00990F54" w:rsidP="00B14CAD">
            <w:pPr>
              <w:jc w:val="right"/>
              <w:rPr>
                <w:color w:val="000000"/>
                <w:sz w:val="22"/>
                <w:szCs w:val="22"/>
              </w:rPr>
            </w:pPr>
            <w:r w:rsidRPr="00352A9A">
              <w:rPr>
                <w:color w:val="000000"/>
                <w:sz w:val="22"/>
                <w:szCs w:val="22"/>
              </w:rPr>
              <w:t xml:space="preserve">$100,462 </w:t>
            </w:r>
          </w:p>
        </w:tc>
        <w:tc>
          <w:tcPr>
            <w:tcW w:w="1170" w:type="dxa"/>
            <w:noWrap/>
            <w:vAlign w:val="center"/>
            <w:hideMark/>
          </w:tcPr>
          <w:p w14:paraId="3C5054C7" w14:textId="77777777" w:rsidR="00990F54" w:rsidRPr="00352A9A" w:rsidRDefault="00990F54" w:rsidP="00B14CAD">
            <w:pPr>
              <w:jc w:val="right"/>
              <w:rPr>
                <w:color w:val="000000"/>
                <w:sz w:val="22"/>
                <w:szCs w:val="22"/>
              </w:rPr>
            </w:pPr>
            <w:r w:rsidRPr="00352A9A">
              <w:rPr>
                <w:color w:val="000000"/>
                <w:sz w:val="22"/>
                <w:szCs w:val="22"/>
              </w:rPr>
              <w:t>393.90%</w:t>
            </w:r>
          </w:p>
        </w:tc>
        <w:tc>
          <w:tcPr>
            <w:tcW w:w="1350" w:type="dxa"/>
            <w:noWrap/>
            <w:vAlign w:val="center"/>
            <w:hideMark/>
          </w:tcPr>
          <w:p w14:paraId="70D12B09" w14:textId="77777777" w:rsidR="00990F54" w:rsidRPr="00352A9A" w:rsidRDefault="00990F54" w:rsidP="00B14CAD">
            <w:pPr>
              <w:jc w:val="right"/>
              <w:rPr>
                <w:color w:val="000000"/>
                <w:sz w:val="22"/>
                <w:szCs w:val="22"/>
              </w:rPr>
            </w:pPr>
            <w:r w:rsidRPr="00352A9A">
              <w:rPr>
                <w:color w:val="000000"/>
                <w:sz w:val="22"/>
                <w:szCs w:val="22"/>
              </w:rPr>
              <w:t xml:space="preserve">$51,008 </w:t>
            </w:r>
          </w:p>
        </w:tc>
        <w:tc>
          <w:tcPr>
            <w:tcW w:w="1350" w:type="dxa"/>
            <w:noWrap/>
            <w:vAlign w:val="center"/>
            <w:hideMark/>
          </w:tcPr>
          <w:p w14:paraId="236CE2D2" w14:textId="77777777" w:rsidR="00990F54" w:rsidRPr="00352A9A" w:rsidRDefault="00990F54" w:rsidP="00B14CAD">
            <w:pPr>
              <w:jc w:val="right"/>
              <w:rPr>
                <w:color w:val="000000"/>
                <w:sz w:val="22"/>
                <w:szCs w:val="22"/>
              </w:rPr>
            </w:pPr>
            <w:r w:rsidRPr="00352A9A">
              <w:rPr>
                <w:color w:val="000000"/>
                <w:sz w:val="22"/>
                <w:szCs w:val="22"/>
              </w:rPr>
              <w:t xml:space="preserve">$354,071 </w:t>
            </w:r>
          </w:p>
        </w:tc>
        <w:tc>
          <w:tcPr>
            <w:tcW w:w="1170" w:type="dxa"/>
            <w:noWrap/>
            <w:vAlign w:val="center"/>
            <w:hideMark/>
          </w:tcPr>
          <w:p w14:paraId="23465128" w14:textId="77777777" w:rsidR="00990F54" w:rsidRPr="00352A9A" w:rsidRDefault="00990F54" w:rsidP="00B14CAD">
            <w:pPr>
              <w:jc w:val="right"/>
              <w:rPr>
                <w:color w:val="000000"/>
                <w:sz w:val="22"/>
                <w:szCs w:val="22"/>
              </w:rPr>
            </w:pPr>
            <w:r w:rsidRPr="00352A9A">
              <w:rPr>
                <w:color w:val="000000"/>
                <w:sz w:val="22"/>
                <w:szCs w:val="22"/>
              </w:rPr>
              <w:t>694.14%</w:t>
            </w:r>
          </w:p>
        </w:tc>
      </w:tr>
    </w:tbl>
    <w:p w14:paraId="448DE725" w14:textId="77777777" w:rsidR="00317B15" w:rsidRDefault="00317B15" w:rsidP="00D45548"/>
    <w:p w14:paraId="12E95740" w14:textId="77777777" w:rsidR="00F96690" w:rsidRDefault="00F96690">
      <w:pPr>
        <w:rPr>
          <w:rFonts w:eastAsia="Times New Roman"/>
          <w:sz w:val="28"/>
          <w:szCs w:val="28"/>
        </w:rPr>
      </w:pPr>
      <w:r>
        <w:br w:type="page"/>
      </w:r>
    </w:p>
    <w:p w14:paraId="1CC4FFCE" w14:textId="77777777" w:rsidR="00977E30" w:rsidRDefault="00977E30" w:rsidP="00352A9A">
      <w:pPr>
        <w:pStyle w:val="Heading1"/>
        <w:spacing w:line="276" w:lineRule="auto"/>
      </w:pPr>
      <w:bookmarkStart w:id="12" w:name="_Toc405372676"/>
      <w:r w:rsidRPr="00025D2A">
        <w:lastRenderedPageBreak/>
        <w:t>SMALL BUSINESS PURCHASING PROGRAM</w:t>
      </w:r>
      <w:r w:rsidR="000C3B4A" w:rsidRPr="00025D2A">
        <w:t xml:space="preserve"> (SBPP)</w:t>
      </w:r>
      <w:bookmarkEnd w:id="12"/>
    </w:p>
    <w:p w14:paraId="4C96353C" w14:textId="77777777" w:rsidR="000E7EA0" w:rsidRPr="00E64AFD" w:rsidRDefault="00E4146C" w:rsidP="00ED0952">
      <w:pPr>
        <w:jc w:val="both"/>
      </w:pPr>
      <w:r w:rsidRPr="00E64AFD">
        <w:t xml:space="preserve">On June 29, 2010, Governor Patrick issued Executive Order 523 to establish the Small Business Purchasing Program (SBPP) for the Commonwealth in recognition of the importance of Massachusetts small businesses and the impact and challenges </w:t>
      </w:r>
      <w:r w:rsidR="008063DD">
        <w:t xml:space="preserve">from </w:t>
      </w:r>
      <w:r w:rsidRPr="00E64AFD">
        <w:t xml:space="preserve">the </w:t>
      </w:r>
      <w:r w:rsidR="008063DD">
        <w:t xml:space="preserve">most recent </w:t>
      </w:r>
      <w:r w:rsidRPr="00E64AFD">
        <w:t>recession</w:t>
      </w:r>
      <w:r w:rsidR="007C6321" w:rsidRPr="00E64AFD">
        <w:t xml:space="preserve">.  </w:t>
      </w:r>
      <w:r w:rsidRPr="00E64AFD">
        <w:t xml:space="preserve">The mission of the SBPP is to direct Executive Department spending for non-construction goods and services to program-eligible </w:t>
      </w:r>
      <w:r w:rsidR="00C173C6" w:rsidRPr="00E64AFD">
        <w:t xml:space="preserve">small </w:t>
      </w:r>
      <w:r w:rsidRPr="00E64AFD">
        <w:t>businesses</w:t>
      </w:r>
      <w:r w:rsidR="007C6321" w:rsidRPr="00E64AFD">
        <w:t xml:space="preserve">.  </w:t>
      </w:r>
      <w:r w:rsidRPr="00E64AFD">
        <w:t xml:space="preserve">The </w:t>
      </w:r>
      <w:r w:rsidR="00C173C6" w:rsidRPr="00E64AFD">
        <w:t xml:space="preserve">Supplier Diversity Office, as part of </w:t>
      </w:r>
      <w:r w:rsidR="00E943F8" w:rsidRPr="00E64AFD">
        <w:t xml:space="preserve">the </w:t>
      </w:r>
      <w:r w:rsidRPr="00E64AFD">
        <w:t>Operational Services Division</w:t>
      </w:r>
      <w:r w:rsidR="00C173C6" w:rsidRPr="00E64AFD">
        <w:t xml:space="preserve"> which is </w:t>
      </w:r>
      <w:r w:rsidRPr="00E64AFD">
        <w:t>the Commonwealth’s central procurement and contracting office, is responsible for SBPP development and implementation</w:t>
      </w:r>
      <w:r w:rsidR="005812A6" w:rsidRPr="00E64AFD">
        <w:t>,</w:t>
      </w:r>
      <w:r w:rsidRPr="00E64AFD">
        <w:t xml:space="preserve"> including policies, training, capacity-building, and annual benchmarks</w:t>
      </w:r>
      <w:r w:rsidR="007C6321" w:rsidRPr="00E64AFD">
        <w:t>.</w:t>
      </w:r>
    </w:p>
    <w:p w14:paraId="39852FDD" w14:textId="77777777" w:rsidR="00FF6230" w:rsidRPr="00FF6230" w:rsidRDefault="00FF6230" w:rsidP="00352A9A">
      <w:r w:rsidRPr="00FF6230">
        <w:t xml:space="preserve">For more information please visit our website at </w:t>
      </w:r>
      <w:hyperlink r:id="rId24" w:tooltip="www.mass.gov/sbpp" w:history="1">
        <w:r w:rsidRPr="00FF6230">
          <w:rPr>
            <w:rStyle w:val="Hyperlink"/>
          </w:rPr>
          <w:t>www.mass.gov/sbpp</w:t>
        </w:r>
      </w:hyperlink>
    </w:p>
    <w:p w14:paraId="458A0ECC" w14:textId="77777777" w:rsidR="004D7C16" w:rsidRDefault="00FB6CC3" w:rsidP="00352A9A">
      <w:pPr>
        <w:pStyle w:val="Heading2"/>
      </w:pPr>
      <w:bookmarkStart w:id="13" w:name="_Toc405372677"/>
      <w:r w:rsidRPr="0011321F">
        <w:t>FY201</w:t>
      </w:r>
      <w:r w:rsidR="00990F54">
        <w:t>4</w:t>
      </w:r>
      <w:r w:rsidR="004D7C16" w:rsidRPr="0011321F">
        <w:t xml:space="preserve"> State Expenditures with SBPP Participants</w:t>
      </w:r>
      <w:bookmarkEnd w:id="13"/>
    </w:p>
    <w:p w14:paraId="5C6675F5" w14:textId="77777777" w:rsidR="00495EF2" w:rsidRPr="00EC1CE5" w:rsidRDefault="00495EF2" w:rsidP="00352A9A">
      <w:pPr>
        <w:spacing w:before="240"/>
      </w:pPr>
      <w:r w:rsidRPr="00425096">
        <w:t>In FY201</w:t>
      </w:r>
      <w:r w:rsidR="00990F54">
        <w:t>4</w:t>
      </w:r>
      <w:r w:rsidRPr="00425096">
        <w:t>, Executive Branch agencies expenditures with SBPP participants totaled $</w:t>
      </w:r>
      <w:r w:rsidR="00986238" w:rsidRPr="007D69F1">
        <w:t>140,946,043</w:t>
      </w:r>
      <w:r w:rsidR="00986238">
        <w:t xml:space="preserve"> </w:t>
      </w:r>
      <w:r w:rsidRPr="00425096">
        <w:t xml:space="preserve">showing </w:t>
      </w:r>
      <w:r w:rsidR="00A90165">
        <w:t>an in</w:t>
      </w:r>
      <w:r w:rsidRPr="00425096">
        <w:t xml:space="preserve">crease of </w:t>
      </w:r>
      <w:r w:rsidR="007D69F1">
        <w:t>15.77</w:t>
      </w:r>
      <w:r w:rsidRPr="00425096">
        <w:t xml:space="preserve">% </w:t>
      </w:r>
      <w:r w:rsidR="00257183" w:rsidRPr="00257183">
        <w:t xml:space="preserve">for </w:t>
      </w:r>
      <w:r w:rsidRPr="00257183">
        <w:t>FY201</w:t>
      </w:r>
      <w:r w:rsidR="00257183" w:rsidRPr="00257183">
        <w:t>4</w:t>
      </w:r>
      <w:r w:rsidR="00001291">
        <w:t>.</w:t>
      </w:r>
    </w:p>
    <w:tbl>
      <w:tblPr>
        <w:tblStyle w:val="TableGrid1"/>
        <w:tblW w:w="6750" w:type="dxa"/>
        <w:tblInd w:w="1098" w:type="dxa"/>
        <w:tblLayout w:type="fixed"/>
        <w:tblLook w:val="0020" w:firstRow="1" w:lastRow="0" w:firstColumn="0" w:lastColumn="0" w:noHBand="0" w:noVBand="0"/>
        <w:tblCaption w:val="FY2013 State Expenditures with SBPP Participants"/>
      </w:tblPr>
      <w:tblGrid>
        <w:gridCol w:w="918"/>
        <w:gridCol w:w="1962"/>
        <w:gridCol w:w="1890"/>
        <w:gridCol w:w="1980"/>
      </w:tblGrid>
      <w:tr w:rsidR="00495EF2" w:rsidRPr="00EC1CE5" w14:paraId="75F0E5F0" w14:textId="77777777" w:rsidTr="00EB04DE">
        <w:trPr>
          <w:trHeight w:val="440"/>
          <w:tblHeader/>
        </w:trPr>
        <w:tc>
          <w:tcPr>
            <w:tcW w:w="918" w:type="dxa"/>
          </w:tcPr>
          <w:p w14:paraId="61C82DA4" w14:textId="0EABA462" w:rsidR="00495EF2" w:rsidRPr="00837297" w:rsidRDefault="00223F02" w:rsidP="00D45548">
            <w:r>
              <w:t>Type</w:t>
            </w:r>
          </w:p>
        </w:tc>
        <w:tc>
          <w:tcPr>
            <w:tcW w:w="1962" w:type="dxa"/>
          </w:tcPr>
          <w:p w14:paraId="578BCD29" w14:textId="77777777" w:rsidR="00495EF2" w:rsidRPr="00837297" w:rsidRDefault="00495EF2" w:rsidP="007D69F1">
            <w:pPr>
              <w:jc w:val="center"/>
            </w:pPr>
            <w:r w:rsidRPr="00837297">
              <w:t>FY201</w:t>
            </w:r>
            <w:r w:rsidR="007D69F1">
              <w:t>3</w:t>
            </w:r>
          </w:p>
        </w:tc>
        <w:tc>
          <w:tcPr>
            <w:tcW w:w="1890" w:type="dxa"/>
          </w:tcPr>
          <w:p w14:paraId="294A7CE8" w14:textId="77777777" w:rsidR="00495EF2" w:rsidRPr="00837297" w:rsidRDefault="00495EF2" w:rsidP="007D69F1">
            <w:pPr>
              <w:jc w:val="center"/>
            </w:pPr>
            <w:r w:rsidRPr="00837297">
              <w:t>FY201</w:t>
            </w:r>
            <w:r w:rsidR="007D69F1">
              <w:t>4</w:t>
            </w:r>
          </w:p>
        </w:tc>
        <w:tc>
          <w:tcPr>
            <w:tcW w:w="1980" w:type="dxa"/>
          </w:tcPr>
          <w:p w14:paraId="29A6900C" w14:textId="77777777" w:rsidR="00495EF2" w:rsidRPr="00837297" w:rsidRDefault="00495EF2" w:rsidP="00C5502E">
            <w:pPr>
              <w:jc w:val="center"/>
            </w:pPr>
            <w:r w:rsidRPr="00837297">
              <w:t>FY201</w:t>
            </w:r>
            <w:r w:rsidR="007D69F1">
              <w:t>4</w:t>
            </w:r>
            <w:r w:rsidRPr="00837297">
              <w:t xml:space="preserve"> </w:t>
            </w:r>
            <w:r w:rsidR="007D69F1">
              <w:t>in</w:t>
            </w:r>
            <w:r w:rsidRPr="00837297">
              <w:t>crease over FY201</w:t>
            </w:r>
            <w:r w:rsidR="007D69F1">
              <w:t>3</w:t>
            </w:r>
          </w:p>
        </w:tc>
      </w:tr>
      <w:tr w:rsidR="00495EF2" w:rsidRPr="00EC1CE5" w14:paraId="7084EFB9" w14:textId="77777777" w:rsidTr="00EB04DE">
        <w:tc>
          <w:tcPr>
            <w:tcW w:w="918" w:type="dxa"/>
          </w:tcPr>
          <w:p w14:paraId="35B21044" w14:textId="77777777" w:rsidR="00495EF2" w:rsidRPr="00837297" w:rsidRDefault="00495EF2" w:rsidP="00D45548">
            <w:r w:rsidRPr="00837297">
              <w:t>SBPP</w:t>
            </w:r>
          </w:p>
        </w:tc>
        <w:tc>
          <w:tcPr>
            <w:tcW w:w="1962" w:type="dxa"/>
          </w:tcPr>
          <w:p w14:paraId="0B26BFB9" w14:textId="77777777" w:rsidR="00495EF2" w:rsidRPr="00837297" w:rsidRDefault="00495EF2" w:rsidP="00C43DC8">
            <w:pPr>
              <w:jc w:val="right"/>
            </w:pPr>
            <w:r w:rsidRPr="00837297">
              <w:t>$</w:t>
            </w:r>
            <w:r w:rsidR="007D69F1" w:rsidRPr="00837297">
              <w:t>121,741,368</w:t>
            </w:r>
          </w:p>
        </w:tc>
        <w:tc>
          <w:tcPr>
            <w:tcW w:w="1890" w:type="dxa"/>
          </w:tcPr>
          <w:p w14:paraId="6895C677" w14:textId="77777777" w:rsidR="00495EF2" w:rsidRPr="00837297" w:rsidRDefault="00495EF2" w:rsidP="00C43DC8">
            <w:pPr>
              <w:jc w:val="right"/>
            </w:pPr>
            <w:r w:rsidRPr="00837297">
              <w:t>$</w:t>
            </w:r>
            <w:r w:rsidR="007D69F1" w:rsidRPr="007D69F1">
              <w:t>140,946,043</w:t>
            </w:r>
          </w:p>
        </w:tc>
        <w:tc>
          <w:tcPr>
            <w:tcW w:w="1980" w:type="dxa"/>
          </w:tcPr>
          <w:p w14:paraId="54EBAE27" w14:textId="77777777" w:rsidR="00495EF2" w:rsidRPr="007D69F1" w:rsidRDefault="007D69F1" w:rsidP="00C43DC8">
            <w:pPr>
              <w:jc w:val="right"/>
            </w:pPr>
            <w:r w:rsidRPr="007D69F1">
              <w:t>$19,204,675</w:t>
            </w:r>
          </w:p>
        </w:tc>
      </w:tr>
    </w:tbl>
    <w:p w14:paraId="36ED7914" w14:textId="77777777" w:rsidR="00495EF2" w:rsidRPr="00425096" w:rsidRDefault="00495EF2" w:rsidP="00367F2C">
      <w:pPr>
        <w:pStyle w:val="Heading3"/>
      </w:pPr>
      <w:r w:rsidRPr="00425096">
        <w:t>FY201</w:t>
      </w:r>
      <w:r w:rsidR="00B05DD4">
        <w:t>4</w:t>
      </w:r>
      <w:r w:rsidRPr="00425096">
        <w:t xml:space="preserve"> Total State Expenditures with SBPP participants</w:t>
      </w:r>
    </w:p>
    <w:p w14:paraId="4F4ACB42" w14:textId="77777777" w:rsidR="00495EF2" w:rsidRPr="00186079" w:rsidRDefault="00495EF2" w:rsidP="00D45548">
      <w:r>
        <w:t>The FY201</w:t>
      </w:r>
      <w:r w:rsidR="0077473C">
        <w:t>4</w:t>
      </w:r>
      <w:r w:rsidR="00C5502E">
        <w:t xml:space="preserve"> SBPP benchmark</w:t>
      </w:r>
      <w:r>
        <w:t xml:space="preserve"> </w:t>
      </w:r>
      <w:r w:rsidR="00190474">
        <w:t>was</w:t>
      </w:r>
      <w:r>
        <w:t xml:space="preserve"> 2.5</w:t>
      </w:r>
      <w:r w:rsidRPr="00186079">
        <w:t xml:space="preserve">% of discretionary budget.  </w:t>
      </w:r>
      <w:r>
        <w:t>In FY201</w:t>
      </w:r>
      <w:r w:rsidR="0077473C">
        <w:t>4</w:t>
      </w:r>
      <w:r>
        <w:t xml:space="preserve"> overall spending exceeded the benchmark. </w:t>
      </w:r>
    </w:p>
    <w:tbl>
      <w:tblPr>
        <w:tblStyle w:val="TableGrid1"/>
        <w:tblW w:w="6210" w:type="dxa"/>
        <w:tblInd w:w="648" w:type="dxa"/>
        <w:tblLook w:val="04A0" w:firstRow="1" w:lastRow="0" w:firstColumn="1" w:lastColumn="0" w:noHBand="0" w:noVBand="1"/>
        <w:tblCaption w:val="In FY2013 overall spending exceeded the benchmark. "/>
      </w:tblPr>
      <w:tblGrid>
        <w:gridCol w:w="2160"/>
        <w:gridCol w:w="2070"/>
        <w:gridCol w:w="1980"/>
      </w:tblGrid>
      <w:tr w:rsidR="00495EF2" w:rsidRPr="004F44F3" w14:paraId="525377B8" w14:textId="77777777" w:rsidTr="00C431A0">
        <w:trPr>
          <w:trHeight w:val="315"/>
          <w:tblHeader/>
        </w:trPr>
        <w:tc>
          <w:tcPr>
            <w:tcW w:w="2160" w:type="dxa"/>
            <w:noWrap/>
            <w:hideMark/>
          </w:tcPr>
          <w:p w14:paraId="03647866" w14:textId="77777777" w:rsidR="00495EF2" w:rsidRPr="004F44F3" w:rsidRDefault="00495EF2" w:rsidP="00C431A0">
            <w:pPr>
              <w:jc w:val="center"/>
            </w:pPr>
            <w:r w:rsidRPr="004F44F3">
              <w:t>SBPP FY201</w:t>
            </w:r>
            <w:r w:rsidR="00B05DD4">
              <w:t>4</w:t>
            </w:r>
            <w:r w:rsidRPr="004F44F3">
              <w:t xml:space="preserve"> Total Program Discretionary Budget</w:t>
            </w:r>
          </w:p>
        </w:tc>
        <w:tc>
          <w:tcPr>
            <w:tcW w:w="2070" w:type="dxa"/>
            <w:noWrap/>
            <w:hideMark/>
          </w:tcPr>
          <w:p w14:paraId="406B973A" w14:textId="77777777" w:rsidR="00495EF2" w:rsidRPr="004F44F3" w:rsidRDefault="00495EF2" w:rsidP="00C431A0">
            <w:pPr>
              <w:jc w:val="center"/>
            </w:pPr>
            <w:r w:rsidRPr="004F44F3">
              <w:t>SBPP FY201</w:t>
            </w:r>
            <w:r w:rsidR="00B05DD4">
              <w:t>4</w:t>
            </w:r>
            <w:r w:rsidRPr="004F44F3">
              <w:t xml:space="preserve"> Overall Expenditure</w:t>
            </w:r>
          </w:p>
        </w:tc>
        <w:tc>
          <w:tcPr>
            <w:tcW w:w="1980" w:type="dxa"/>
            <w:noWrap/>
            <w:hideMark/>
          </w:tcPr>
          <w:p w14:paraId="7A95726B" w14:textId="77777777" w:rsidR="00495EF2" w:rsidRPr="004F44F3" w:rsidRDefault="00F96690" w:rsidP="00C431A0">
            <w:pPr>
              <w:jc w:val="center"/>
            </w:pPr>
            <w:r>
              <w:t>SBPP FY2014</w:t>
            </w:r>
            <w:r w:rsidRPr="00F96690">
              <w:t xml:space="preserve"> Variance from </w:t>
            </w:r>
            <w:r w:rsidR="009919E5">
              <w:t>2.5</w:t>
            </w:r>
            <w:r w:rsidRPr="00F96690">
              <w:t>% Benchmark as Percentage</w:t>
            </w:r>
          </w:p>
        </w:tc>
      </w:tr>
      <w:tr w:rsidR="00495EF2" w:rsidRPr="00B05DD4" w14:paraId="3BE25F4A" w14:textId="77777777" w:rsidTr="00C431A0">
        <w:trPr>
          <w:trHeight w:val="350"/>
        </w:trPr>
        <w:tc>
          <w:tcPr>
            <w:tcW w:w="2160" w:type="dxa"/>
            <w:noWrap/>
            <w:vAlign w:val="center"/>
            <w:hideMark/>
          </w:tcPr>
          <w:p w14:paraId="6724A9A1" w14:textId="77777777" w:rsidR="00495EF2" w:rsidRPr="00B05DD4" w:rsidRDefault="00B05DD4" w:rsidP="00C431A0">
            <w:pPr>
              <w:jc w:val="right"/>
            </w:pPr>
            <w:r w:rsidRPr="00B05DD4">
              <w:t>$3,976,078,574</w:t>
            </w:r>
          </w:p>
        </w:tc>
        <w:tc>
          <w:tcPr>
            <w:tcW w:w="2070" w:type="dxa"/>
            <w:noWrap/>
            <w:vAlign w:val="center"/>
            <w:hideMark/>
          </w:tcPr>
          <w:p w14:paraId="048C72E3" w14:textId="77777777" w:rsidR="00495EF2" w:rsidRPr="00B05DD4" w:rsidRDefault="00B05DD4" w:rsidP="00C431A0">
            <w:pPr>
              <w:jc w:val="right"/>
            </w:pPr>
            <w:r w:rsidRPr="00B05DD4">
              <w:t>$140,946,043</w:t>
            </w:r>
          </w:p>
        </w:tc>
        <w:tc>
          <w:tcPr>
            <w:tcW w:w="1980" w:type="dxa"/>
            <w:noWrap/>
            <w:vAlign w:val="center"/>
            <w:hideMark/>
          </w:tcPr>
          <w:p w14:paraId="1B202970" w14:textId="77777777" w:rsidR="00495EF2" w:rsidRPr="00B05DD4" w:rsidRDefault="00B05DD4" w:rsidP="00C431A0">
            <w:pPr>
              <w:jc w:val="right"/>
            </w:pPr>
            <w:r w:rsidRPr="00B05DD4">
              <w:t>141.79%</w:t>
            </w:r>
          </w:p>
        </w:tc>
      </w:tr>
    </w:tbl>
    <w:p w14:paraId="766E7D29" w14:textId="77777777" w:rsidR="00495EF2" w:rsidRPr="00EC1CE5" w:rsidRDefault="00495EF2" w:rsidP="00ED0952"/>
    <w:p w14:paraId="07C48196" w14:textId="77777777" w:rsidR="007F5FA9" w:rsidRDefault="00F96690" w:rsidP="00352A9A">
      <w:pPr>
        <w:jc w:val="center"/>
      </w:pPr>
      <w:r>
        <w:t>FY2014 updates to the SBPP</w:t>
      </w:r>
    </w:p>
    <w:p w14:paraId="18AC1C5B" w14:textId="77777777" w:rsidR="0099797A" w:rsidRDefault="00C5502E" w:rsidP="00352A9A">
      <w:pPr>
        <w:spacing w:after="1080"/>
        <w:jc w:val="both"/>
      </w:pPr>
      <w:r>
        <w:t>In FY2014 with the implementation of the new Commonwealth Marketplace COMMBUYS</w:t>
      </w:r>
      <w:r w:rsidR="008063DD">
        <w:t>,</w:t>
      </w:r>
      <w:r>
        <w:t xml:space="preserve"> all registered SBPP participant were encourage to re-register in the new application. In FY2015</w:t>
      </w:r>
      <w:r w:rsidR="0099797A">
        <w:t xml:space="preserve"> t</w:t>
      </w:r>
      <w:r w:rsidR="0099797A" w:rsidRPr="0099797A">
        <w:t>he Massachusetts Department of Revenue will be undertaking an effort to review the eligibility information for current Small Business Purchasing Program (SBPP) designated vendors. In the future, this validation will be an automated process in COMMBUYS for any vendor requesting the SBPP designation.</w:t>
      </w:r>
      <w:r w:rsidR="0099797A">
        <w:t xml:space="preserve"> </w:t>
      </w:r>
      <w:r w:rsidR="0099797A" w:rsidRPr="00EC1CE5">
        <w:t xml:space="preserve">Businesses interested in participating in the SBPP </w:t>
      </w:r>
      <w:r w:rsidR="0099797A">
        <w:t>are required to</w:t>
      </w:r>
      <w:r w:rsidR="0099797A" w:rsidRPr="00EC1CE5">
        <w:t xml:space="preserve"> register as an SBPP participant at </w:t>
      </w:r>
      <w:hyperlink r:id="rId25" w:tooltip="www.COMMBUYS.com" w:history="1">
        <w:r w:rsidR="0099797A" w:rsidRPr="00607C2D">
          <w:rPr>
            <w:rStyle w:val="Hyperlink"/>
          </w:rPr>
          <w:t>www.COMMBUYS.com</w:t>
        </w:r>
      </w:hyperlink>
      <w:r w:rsidR="0099797A">
        <w:t xml:space="preserve"> </w:t>
      </w:r>
      <w:r w:rsidR="0099797A" w:rsidRPr="00EC1CE5">
        <w:t>.</w:t>
      </w:r>
      <w:r w:rsidR="00C2521C">
        <w:t xml:space="preserve"> </w:t>
      </w:r>
    </w:p>
    <w:p w14:paraId="1DC87FC4" w14:textId="77777777" w:rsidR="00E94AE4" w:rsidRPr="00F4066D" w:rsidRDefault="00E94AE4" w:rsidP="00352A9A">
      <w:pPr>
        <w:pStyle w:val="Heading1"/>
        <w:spacing w:line="276" w:lineRule="auto"/>
      </w:pPr>
      <w:bookmarkStart w:id="14" w:name="_Toc405372678"/>
      <w:r w:rsidRPr="00F4066D">
        <w:lastRenderedPageBreak/>
        <w:t>CONSTRUCTION REFORM LAW PROGRAM</w:t>
      </w:r>
      <w:bookmarkEnd w:id="14"/>
    </w:p>
    <w:p w14:paraId="2FDA383A" w14:textId="77777777" w:rsidR="000F3202" w:rsidRDefault="000F3202" w:rsidP="00ED0952">
      <w:pPr>
        <w:jc w:val="both"/>
      </w:pPr>
      <w:r w:rsidRPr="00383664">
        <w:t xml:space="preserve">In its inception in 2004 the goal of the SDO Construction Reform Law Program was to monitor </w:t>
      </w:r>
      <w:r>
        <w:t xml:space="preserve">and assist in the enforcement of </w:t>
      </w:r>
      <w:r w:rsidRPr="00383664">
        <w:t>MBE and WBE participation for the design and construction phases of municipal projects. It was also to educate the 351 municipalities throughout the Commonwealth regarding Construction Reform Law, Chapter 193 of the Acts of 2004. Since then</w:t>
      </w:r>
      <w:r w:rsidR="005E1817">
        <w:t>,</w:t>
      </w:r>
      <w:r w:rsidRPr="00383664">
        <w:t xml:space="preserve"> to better accomplish this mission</w:t>
      </w:r>
      <w:r w:rsidR="005E1817">
        <w:t>,</w:t>
      </w:r>
      <w:r w:rsidRPr="00383664">
        <w:t xml:space="preserve"> the program has evolved by adding partnerships, new programs and services which have made the SDO Construction Reform Law Program more multi-dimensional.</w:t>
      </w:r>
    </w:p>
    <w:p w14:paraId="61ABE17C" w14:textId="77777777" w:rsidR="000F3202" w:rsidRPr="00780367" w:rsidRDefault="000F3202" w:rsidP="00352A9A">
      <w:pPr>
        <w:jc w:val="both"/>
        <w:rPr>
          <w:bCs/>
        </w:rPr>
      </w:pPr>
      <w:r w:rsidRPr="00383664">
        <w:t xml:space="preserve">Construction Reform Law, Chapter 193 of the Acts of 2004, establishes that </w:t>
      </w:r>
      <w:r w:rsidR="00001291">
        <w:t>m</w:t>
      </w:r>
      <w:r w:rsidRPr="00383664">
        <w:t xml:space="preserve">unicipalities must incorporate MBE and WBE goals into both the design and construction procurement for any municipal contracts for the construction, reconstruction, alteration, remodeling, repair or demolition of any </w:t>
      </w:r>
      <w:r w:rsidRPr="00383664">
        <w:rPr>
          <w:bCs/>
        </w:rPr>
        <w:t>vertical</w:t>
      </w:r>
      <w:r w:rsidRPr="00383664">
        <w:t xml:space="preserve"> public building project by any city or town. Each municipality must enforce the current MBE and WBE goals.</w:t>
      </w:r>
      <w:r>
        <w:t xml:space="preserve"> </w:t>
      </w:r>
      <w:r w:rsidRPr="00383664">
        <w:rPr>
          <w:rFonts w:eastAsia="MS PGothic"/>
          <w:kern w:val="24"/>
        </w:rPr>
        <w:t xml:space="preserve">Projects affected have to </w:t>
      </w:r>
      <w:r w:rsidRPr="00383664">
        <w:t xml:space="preserve">exceed $100,000 in either the design or construction phases and </w:t>
      </w:r>
      <w:r w:rsidRPr="00383664">
        <w:rPr>
          <w:rFonts w:eastAsia="MS PGothic"/>
          <w:kern w:val="24"/>
        </w:rPr>
        <w:t>are those funded by the Commonwealth, in whole or in part</w:t>
      </w:r>
      <w:r>
        <w:rPr>
          <w:rFonts w:eastAsia="MS PGothic"/>
          <w:kern w:val="24"/>
        </w:rPr>
        <w:t xml:space="preserve"> by the following funding sources: </w:t>
      </w:r>
      <w:r w:rsidRPr="00780367">
        <w:t xml:space="preserve">Massachusetts School Building Authority (MSBA), </w:t>
      </w:r>
      <w:r>
        <w:t>any</w:t>
      </w:r>
      <w:r w:rsidRPr="00780367">
        <w:t xml:space="preserve"> legislative appropriation</w:t>
      </w:r>
      <w:r>
        <w:t>s</w:t>
      </w:r>
      <w:r w:rsidRPr="00780367">
        <w:t>, Grant awards, Reimbursements, Municipal commitments to use state funds a</w:t>
      </w:r>
      <w:r w:rsidRPr="00780367">
        <w:rPr>
          <w:bCs/>
        </w:rPr>
        <w:t>nd the like</w:t>
      </w:r>
      <w:r>
        <w:rPr>
          <w:bCs/>
        </w:rPr>
        <w:t>.</w:t>
      </w:r>
    </w:p>
    <w:p w14:paraId="19F638C7" w14:textId="77777777" w:rsidR="000F3202" w:rsidRPr="00383664" w:rsidRDefault="000F3202" w:rsidP="00352A9A">
      <w:pPr>
        <w:jc w:val="both"/>
      </w:pPr>
      <w:r w:rsidRPr="00383664">
        <w:t>The design and construction contract awards granted post January 2012, fall under a newly established combined goal of:</w:t>
      </w:r>
    </w:p>
    <w:p w14:paraId="15ECDEE5" w14:textId="77777777" w:rsidR="000F3202" w:rsidRPr="00F4066D" w:rsidRDefault="000F3202" w:rsidP="00352A9A">
      <w:pPr>
        <w:spacing w:after="0"/>
        <w:rPr>
          <w:rFonts w:eastAsia="Times New Roman"/>
        </w:rPr>
      </w:pPr>
      <w:r w:rsidRPr="00F4066D">
        <w:t>Goals:</w:t>
      </w:r>
      <w:r w:rsidRPr="00F4066D">
        <w:tab/>
      </w:r>
      <w:r w:rsidRPr="00F4066D">
        <w:tab/>
        <w:t>combined MBE &amp; WBE</w:t>
      </w:r>
    </w:p>
    <w:p w14:paraId="3B2FBE4D" w14:textId="77777777" w:rsidR="000F3202" w:rsidRPr="00383664" w:rsidRDefault="000F3202" w:rsidP="00352A9A">
      <w:pPr>
        <w:spacing w:after="0"/>
        <w:rPr>
          <w:rFonts w:eastAsia="Times New Roman"/>
        </w:rPr>
      </w:pPr>
      <w:r w:rsidRPr="00383664">
        <w:t>Design</w:t>
      </w:r>
      <w:r w:rsidR="00C2521C">
        <w:tab/>
      </w:r>
      <w:r w:rsidR="00C2521C">
        <w:tab/>
      </w:r>
      <w:r w:rsidR="00C2521C">
        <w:tab/>
      </w:r>
      <w:r w:rsidRPr="00383664">
        <w:t>17.9%</w:t>
      </w:r>
    </w:p>
    <w:p w14:paraId="31A451E9" w14:textId="77777777" w:rsidR="000F3202" w:rsidRDefault="000F3202" w:rsidP="00352A9A">
      <w:pPr>
        <w:spacing w:after="0"/>
      </w:pPr>
      <w:r w:rsidRPr="00383664">
        <w:t>Constru</w:t>
      </w:r>
      <w:r w:rsidRPr="00F4066D">
        <w:t>ction</w:t>
      </w:r>
      <w:r w:rsidRPr="00383664">
        <w:tab/>
      </w:r>
      <w:r w:rsidRPr="00383664">
        <w:tab/>
        <w:t>10.4%</w:t>
      </w:r>
    </w:p>
    <w:p w14:paraId="07E72B7E" w14:textId="77777777" w:rsidR="000F3202" w:rsidRPr="00383664" w:rsidRDefault="000F3202" w:rsidP="00352A9A">
      <w:pPr>
        <w:spacing w:after="0"/>
      </w:pPr>
    </w:p>
    <w:p w14:paraId="4A7C3E11" w14:textId="77777777" w:rsidR="000F3202" w:rsidRDefault="000F3202" w:rsidP="00352A9A">
      <w:pPr>
        <w:spacing w:after="0"/>
        <w:jc w:val="both"/>
      </w:pPr>
      <w:r w:rsidRPr="00383664">
        <w:t>The new combined goals are based on the DCAMM/ Mass Housing Disparity Study. The complete breakdown of each goal can be viewed in the chart below.</w:t>
      </w:r>
    </w:p>
    <w:p w14:paraId="1B65DBFC" w14:textId="77777777" w:rsidR="000F3202" w:rsidRDefault="000F3202" w:rsidP="000F3202">
      <w:pPr>
        <w:spacing w:after="0" w:line="240" w:lineRule="auto"/>
      </w:pPr>
    </w:p>
    <w:tbl>
      <w:tblPr>
        <w:tblStyle w:val="TableGrid1"/>
        <w:tblW w:w="9540" w:type="dxa"/>
        <w:tblInd w:w="108" w:type="dxa"/>
        <w:tblLayout w:type="fixed"/>
        <w:tblLook w:val="04A0" w:firstRow="1" w:lastRow="0" w:firstColumn="1" w:lastColumn="0" w:noHBand="0" w:noVBand="1"/>
        <w:tblCaption w:val="table shows MBE and WBE benchmark attainment data"/>
        <w:tblDescription w:val="this table shows MBE and WBE benchmark attainment data for the Executive Branch and Mass Housing (not part of the Executive Branch) and a combined total.  MBE achievement was 6.14% and the benchmark was 6%; WBE achievement was 14.66% and the benchmark was 12%."/>
      </w:tblPr>
      <w:tblGrid>
        <w:gridCol w:w="1530"/>
        <w:gridCol w:w="1316"/>
        <w:gridCol w:w="1114"/>
        <w:gridCol w:w="1168"/>
        <w:gridCol w:w="1172"/>
        <w:gridCol w:w="1080"/>
        <w:gridCol w:w="1080"/>
        <w:gridCol w:w="1080"/>
      </w:tblGrid>
      <w:tr w:rsidR="000F3202" w:rsidRPr="00EF1E36" w14:paraId="2B14DC43" w14:textId="77777777" w:rsidTr="00104FD8">
        <w:trPr>
          <w:trHeight w:val="476"/>
          <w:tblHeader/>
        </w:trPr>
        <w:tc>
          <w:tcPr>
            <w:tcW w:w="1530" w:type="dxa"/>
            <w:vAlign w:val="center"/>
            <w:hideMark/>
          </w:tcPr>
          <w:p w14:paraId="2DB502CD" w14:textId="77777777" w:rsidR="000F3202" w:rsidRPr="00525E63" w:rsidRDefault="000F3202" w:rsidP="00104FD8">
            <w:pPr>
              <w:jc w:val="center"/>
            </w:pPr>
            <w:r w:rsidRPr="00525E63">
              <w:t>Phases</w:t>
            </w:r>
          </w:p>
        </w:tc>
        <w:tc>
          <w:tcPr>
            <w:tcW w:w="1316" w:type="dxa"/>
            <w:vAlign w:val="center"/>
          </w:tcPr>
          <w:p w14:paraId="14394B6A" w14:textId="77777777" w:rsidR="000F3202" w:rsidRPr="00525E63" w:rsidRDefault="000F3202" w:rsidP="00104FD8">
            <w:pPr>
              <w:jc w:val="center"/>
            </w:pPr>
            <w:r w:rsidRPr="00525E63">
              <w:t>Black</w:t>
            </w:r>
          </w:p>
        </w:tc>
        <w:tc>
          <w:tcPr>
            <w:tcW w:w="1114" w:type="dxa"/>
            <w:noWrap/>
            <w:vAlign w:val="center"/>
          </w:tcPr>
          <w:p w14:paraId="750EEC49" w14:textId="77777777" w:rsidR="000F3202" w:rsidRPr="00525E63" w:rsidRDefault="000F3202" w:rsidP="00104FD8">
            <w:pPr>
              <w:jc w:val="center"/>
            </w:pPr>
            <w:r w:rsidRPr="00525E63">
              <w:t>Hispanic</w:t>
            </w:r>
          </w:p>
        </w:tc>
        <w:tc>
          <w:tcPr>
            <w:tcW w:w="1168" w:type="dxa"/>
            <w:vAlign w:val="center"/>
          </w:tcPr>
          <w:p w14:paraId="588B90FF" w14:textId="77777777" w:rsidR="000F3202" w:rsidRPr="00525E63" w:rsidRDefault="000F3202" w:rsidP="00104FD8">
            <w:pPr>
              <w:jc w:val="center"/>
            </w:pPr>
            <w:r w:rsidRPr="00525E63">
              <w:t>Asian</w:t>
            </w:r>
          </w:p>
        </w:tc>
        <w:tc>
          <w:tcPr>
            <w:tcW w:w="1172" w:type="dxa"/>
            <w:vAlign w:val="center"/>
          </w:tcPr>
          <w:p w14:paraId="7D4676CD" w14:textId="77777777" w:rsidR="000F3202" w:rsidRPr="00525E63" w:rsidRDefault="000F3202" w:rsidP="00104FD8">
            <w:pPr>
              <w:jc w:val="center"/>
            </w:pPr>
            <w:r w:rsidRPr="00525E63">
              <w:t>Native American</w:t>
            </w:r>
          </w:p>
        </w:tc>
        <w:tc>
          <w:tcPr>
            <w:tcW w:w="1080" w:type="dxa"/>
            <w:noWrap/>
            <w:vAlign w:val="center"/>
          </w:tcPr>
          <w:p w14:paraId="13489375" w14:textId="77777777" w:rsidR="000F3202" w:rsidRPr="00525E63" w:rsidRDefault="000F3202" w:rsidP="00104FD8">
            <w:pPr>
              <w:jc w:val="center"/>
            </w:pPr>
            <w:r w:rsidRPr="00525E63">
              <w:t>MBE</w:t>
            </w:r>
          </w:p>
        </w:tc>
        <w:tc>
          <w:tcPr>
            <w:tcW w:w="1080" w:type="dxa"/>
            <w:noWrap/>
            <w:vAlign w:val="center"/>
          </w:tcPr>
          <w:p w14:paraId="624DA214" w14:textId="77777777" w:rsidR="000F3202" w:rsidRPr="00525E63" w:rsidRDefault="000F3202" w:rsidP="00104FD8">
            <w:pPr>
              <w:jc w:val="center"/>
            </w:pPr>
            <w:r w:rsidRPr="00525E63">
              <w:t>WBE</w:t>
            </w:r>
          </w:p>
        </w:tc>
        <w:tc>
          <w:tcPr>
            <w:tcW w:w="1080" w:type="dxa"/>
            <w:vAlign w:val="center"/>
          </w:tcPr>
          <w:p w14:paraId="574FCA68" w14:textId="77777777" w:rsidR="000F3202" w:rsidRPr="00525E63" w:rsidRDefault="000F3202" w:rsidP="00104FD8">
            <w:pPr>
              <w:jc w:val="center"/>
            </w:pPr>
            <w:r w:rsidRPr="00525E63">
              <w:t>Goals</w:t>
            </w:r>
          </w:p>
        </w:tc>
      </w:tr>
      <w:tr w:rsidR="000F3202" w:rsidRPr="00EF1E36" w14:paraId="1E605A31" w14:textId="77777777" w:rsidTr="00104FD8">
        <w:trPr>
          <w:trHeight w:val="359"/>
        </w:trPr>
        <w:tc>
          <w:tcPr>
            <w:tcW w:w="1530" w:type="dxa"/>
            <w:vAlign w:val="center"/>
          </w:tcPr>
          <w:p w14:paraId="5A52C011" w14:textId="77777777" w:rsidR="000F3202" w:rsidRPr="00525E63" w:rsidRDefault="000F3202" w:rsidP="00104FD8">
            <w:r w:rsidRPr="00525E63">
              <w:t>Design</w:t>
            </w:r>
          </w:p>
        </w:tc>
        <w:tc>
          <w:tcPr>
            <w:tcW w:w="1316" w:type="dxa"/>
            <w:noWrap/>
            <w:vAlign w:val="center"/>
          </w:tcPr>
          <w:p w14:paraId="339F4230" w14:textId="77777777" w:rsidR="000F3202" w:rsidRPr="00525E63" w:rsidRDefault="000F3202" w:rsidP="00104FD8">
            <w:pPr>
              <w:jc w:val="center"/>
            </w:pPr>
            <w:r w:rsidRPr="00525E63">
              <w:t>1.04</w:t>
            </w:r>
          </w:p>
        </w:tc>
        <w:tc>
          <w:tcPr>
            <w:tcW w:w="1114" w:type="dxa"/>
            <w:noWrap/>
            <w:vAlign w:val="center"/>
          </w:tcPr>
          <w:p w14:paraId="7FBB087F" w14:textId="77777777" w:rsidR="000F3202" w:rsidRPr="00525E63" w:rsidRDefault="000F3202" w:rsidP="00104FD8">
            <w:pPr>
              <w:jc w:val="center"/>
            </w:pPr>
            <w:r w:rsidRPr="00525E63">
              <w:t>1.29</w:t>
            </w:r>
          </w:p>
        </w:tc>
        <w:tc>
          <w:tcPr>
            <w:tcW w:w="1168" w:type="dxa"/>
            <w:noWrap/>
            <w:vAlign w:val="center"/>
          </w:tcPr>
          <w:p w14:paraId="4541E0E7" w14:textId="77777777" w:rsidR="000F3202" w:rsidRPr="00525E63" w:rsidRDefault="000F3202" w:rsidP="00104FD8">
            <w:pPr>
              <w:jc w:val="center"/>
            </w:pPr>
            <w:r w:rsidRPr="00525E63">
              <w:t>2.20</w:t>
            </w:r>
          </w:p>
        </w:tc>
        <w:tc>
          <w:tcPr>
            <w:tcW w:w="1172" w:type="dxa"/>
            <w:noWrap/>
            <w:vAlign w:val="center"/>
          </w:tcPr>
          <w:p w14:paraId="0B5DE5FF" w14:textId="77777777" w:rsidR="000F3202" w:rsidRPr="00525E63" w:rsidRDefault="000F3202" w:rsidP="00104FD8">
            <w:pPr>
              <w:jc w:val="center"/>
            </w:pPr>
            <w:r w:rsidRPr="00525E63">
              <w:t>0.10</w:t>
            </w:r>
          </w:p>
        </w:tc>
        <w:tc>
          <w:tcPr>
            <w:tcW w:w="1080" w:type="dxa"/>
            <w:noWrap/>
            <w:vAlign w:val="center"/>
          </w:tcPr>
          <w:p w14:paraId="2C4D2694" w14:textId="77777777" w:rsidR="000F3202" w:rsidRPr="00525E63" w:rsidRDefault="000F3202" w:rsidP="00104FD8">
            <w:pPr>
              <w:jc w:val="center"/>
            </w:pPr>
            <w:r w:rsidRPr="00525E63">
              <w:t>4.63</w:t>
            </w:r>
          </w:p>
        </w:tc>
        <w:tc>
          <w:tcPr>
            <w:tcW w:w="1080" w:type="dxa"/>
            <w:noWrap/>
            <w:vAlign w:val="center"/>
          </w:tcPr>
          <w:p w14:paraId="26CDC56C" w14:textId="77777777" w:rsidR="000F3202" w:rsidRPr="00525E63" w:rsidRDefault="000F3202" w:rsidP="00104FD8">
            <w:pPr>
              <w:jc w:val="center"/>
            </w:pPr>
            <w:r w:rsidRPr="00525E63">
              <w:t>13.23</w:t>
            </w:r>
          </w:p>
        </w:tc>
        <w:tc>
          <w:tcPr>
            <w:tcW w:w="1080" w:type="dxa"/>
            <w:vAlign w:val="center"/>
          </w:tcPr>
          <w:p w14:paraId="3F1B88EA" w14:textId="77777777" w:rsidR="000F3202" w:rsidRPr="00525E63" w:rsidRDefault="000F3202" w:rsidP="00104FD8">
            <w:pPr>
              <w:jc w:val="center"/>
            </w:pPr>
            <w:r w:rsidRPr="00525E63">
              <w:t>17.86</w:t>
            </w:r>
          </w:p>
        </w:tc>
      </w:tr>
      <w:tr w:rsidR="000F3202" w:rsidRPr="00EF1E36" w14:paraId="6CA6873F" w14:textId="77777777" w:rsidTr="00104FD8">
        <w:trPr>
          <w:trHeight w:val="350"/>
        </w:trPr>
        <w:tc>
          <w:tcPr>
            <w:tcW w:w="1530" w:type="dxa"/>
            <w:vAlign w:val="center"/>
          </w:tcPr>
          <w:p w14:paraId="7170D3D4" w14:textId="77777777" w:rsidR="000F3202" w:rsidRPr="00525E63" w:rsidRDefault="000F3202" w:rsidP="00104FD8">
            <w:r w:rsidRPr="00525E63">
              <w:t>Construction</w:t>
            </w:r>
          </w:p>
        </w:tc>
        <w:tc>
          <w:tcPr>
            <w:tcW w:w="1316" w:type="dxa"/>
            <w:noWrap/>
            <w:vAlign w:val="center"/>
          </w:tcPr>
          <w:p w14:paraId="107B578A" w14:textId="77777777" w:rsidR="000F3202" w:rsidRPr="00525E63" w:rsidRDefault="000F3202" w:rsidP="00104FD8">
            <w:pPr>
              <w:jc w:val="center"/>
            </w:pPr>
            <w:r w:rsidRPr="00525E63">
              <w:t>0.86</w:t>
            </w:r>
          </w:p>
        </w:tc>
        <w:tc>
          <w:tcPr>
            <w:tcW w:w="1114" w:type="dxa"/>
            <w:noWrap/>
            <w:vAlign w:val="center"/>
          </w:tcPr>
          <w:p w14:paraId="66DA15C8" w14:textId="77777777" w:rsidR="000F3202" w:rsidRPr="00525E63" w:rsidRDefault="000F3202" w:rsidP="00104FD8">
            <w:pPr>
              <w:jc w:val="center"/>
            </w:pPr>
            <w:r w:rsidRPr="00525E63">
              <w:t>1.59</w:t>
            </w:r>
          </w:p>
        </w:tc>
        <w:tc>
          <w:tcPr>
            <w:tcW w:w="1168" w:type="dxa"/>
            <w:noWrap/>
            <w:vAlign w:val="center"/>
          </w:tcPr>
          <w:p w14:paraId="578292E4" w14:textId="77777777" w:rsidR="000F3202" w:rsidRPr="00525E63" w:rsidRDefault="000F3202" w:rsidP="00104FD8">
            <w:pPr>
              <w:jc w:val="center"/>
            </w:pPr>
            <w:r w:rsidRPr="00525E63">
              <w:t>0.75</w:t>
            </w:r>
          </w:p>
        </w:tc>
        <w:tc>
          <w:tcPr>
            <w:tcW w:w="1172" w:type="dxa"/>
            <w:noWrap/>
            <w:vAlign w:val="center"/>
          </w:tcPr>
          <w:p w14:paraId="474A0A9F" w14:textId="77777777" w:rsidR="000F3202" w:rsidRPr="00525E63" w:rsidRDefault="000F3202" w:rsidP="00104FD8">
            <w:pPr>
              <w:jc w:val="center"/>
            </w:pPr>
            <w:r w:rsidRPr="00525E63">
              <w:t>0.23</w:t>
            </w:r>
          </w:p>
        </w:tc>
        <w:tc>
          <w:tcPr>
            <w:tcW w:w="1080" w:type="dxa"/>
            <w:noWrap/>
            <w:vAlign w:val="center"/>
          </w:tcPr>
          <w:p w14:paraId="7E864EC6" w14:textId="77777777" w:rsidR="000F3202" w:rsidRPr="00525E63" w:rsidRDefault="000F3202" w:rsidP="00104FD8">
            <w:pPr>
              <w:jc w:val="center"/>
            </w:pPr>
            <w:r w:rsidRPr="00525E63">
              <w:t>3.43</w:t>
            </w:r>
          </w:p>
        </w:tc>
        <w:tc>
          <w:tcPr>
            <w:tcW w:w="1080" w:type="dxa"/>
            <w:noWrap/>
            <w:vAlign w:val="center"/>
          </w:tcPr>
          <w:p w14:paraId="0188FA0B" w14:textId="77777777" w:rsidR="000F3202" w:rsidRPr="00525E63" w:rsidRDefault="000F3202" w:rsidP="00104FD8">
            <w:pPr>
              <w:jc w:val="center"/>
            </w:pPr>
            <w:r w:rsidRPr="00525E63">
              <w:t>6.95</w:t>
            </w:r>
          </w:p>
        </w:tc>
        <w:tc>
          <w:tcPr>
            <w:tcW w:w="1080" w:type="dxa"/>
            <w:vAlign w:val="center"/>
          </w:tcPr>
          <w:p w14:paraId="7EED3210" w14:textId="77777777" w:rsidR="000F3202" w:rsidRPr="00525E63" w:rsidRDefault="000F3202" w:rsidP="00104FD8">
            <w:pPr>
              <w:jc w:val="center"/>
            </w:pPr>
            <w:r w:rsidRPr="00525E63">
              <w:t>10.39</w:t>
            </w:r>
          </w:p>
        </w:tc>
      </w:tr>
    </w:tbl>
    <w:p w14:paraId="4B9F75CB" w14:textId="77777777" w:rsidR="000F3202" w:rsidRDefault="000F3202" w:rsidP="000F3202">
      <w:pPr>
        <w:spacing w:after="0" w:line="240" w:lineRule="auto"/>
      </w:pPr>
    </w:p>
    <w:p w14:paraId="3F76DAF7" w14:textId="77777777" w:rsidR="00C2521C" w:rsidRDefault="000F3202" w:rsidP="00352A9A">
      <w:pPr>
        <w:spacing w:after="0"/>
        <w:jc w:val="both"/>
      </w:pPr>
      <w:r w:rsidRPr="00383664">
        <w:t>The new combined goals allow designers and contractors flexibility in meeting the MBE/WBE goals. However the combined goals still require a reasonable representation of both MBE and WBE firm participation on a project.</w:t>
      </w:r>
      <w:r>
        <w:rPr>
          <w:rStyle w:val="FootnoteReference"/>
          <w:sz w:val="16"/>
          <w:szCs w:val="16"/>
        </w:rPr>
        <w:footnoteReference w:id="10"/>
      </w:r>
    </w:p>
    <w:p w14:paraId="4DBB16FD" w14:textId="77777777" w:rsidR="000A17AE" w:rsidRDefault="00C2521C" w:rsidP="00C2521C">
      <w:pPr>
        <w:spacing w:after="360" w:line="240" w:lineRule="auto"/>
        <w:jc w:val="both"/>
        <w:rPr>
          <w:b/>
        </w:rPr>
      </w:pPr>
      <w:r>
        <w:rPr>
          <w:b/>
        </w:rPr>
        <w:t xml:space="preserve"> </w:t>
      </w:r>
    </w:p>
    <w:p w14:paraId="1D6DB8E9" w14:textId="77777777" w:rsidR="00C5124F" w:rsidRPr="005738B4" w:rsidRDefault="00E94AE4" w:rsidP="00ED0952">
      <w:pPr>
        <w:jc w:val="both"/>
        <w:rPr>
          <w:b/>
        </w:rPr>
      </w:pPr>
      <w:r w:rsidRPr="005738B4">
        <w:rPr>
          <w:b/>
        </w:rPr>
        <w:lastRenderedPageBreak/>
        <w:t>Massachusetts School Building Authority (MSBA)</w:t>
      </w:r>
    </w:p>
    <w:p w14:paraId="155B83AF" w14:textId="77777777" w:rsidR="000F3202" w:rsidRDefault="00E75BF0" w:rsidP="00352A9A">
      <w:pPr>
        <w:spacing w:after="0"/>
        <w:jc w:val="both"/>
      </w:pPr>
      <w:r>
        <w:t>T</w:t>
      </w:r>
      <w:r w:rsidR="000F3202">
        <w:t xml:space="preserve">he </w:t>
      </w:r>
      <w:r w:rsidR="000F3202" w:rsidRPr="00383664">
        <w:t xml:space="preserve">Massachusetts School Building Authority (MSBA) </w:t>
      </w:r>
      <w:r w:rsidR="000F3202">
        <w:t>funds 95% of the projects that fall under Construction Reform Law statewide the SDO tracks their projects exclusively.</w:t>
      </w:r>
      <w:r w:rsidR="000F3202" w:rsidRPr="00383664">
        <w:t> </w:t>
      </w:r>
      <w:r w:rsidR="000F3202">
        <w:t>The chart below reports the MBE and WBE spend on MSBA projects for FY14. The total MSBA spend for FY14 of $258,153,176 is all construction phase dollars. The total MBE spend of $16,263,222 makes up 6.3% of the total FY14 spend. While the Total WBE spend of $12,411,914 makes up 4.8% of the total FY14 spend.  Combined the total MBE and WBE spend is $28,675,136 which is 11.1% of the total FY14 spend. The 11.1% exceeds the required combined goal of 10.4% by 0.7%.</w:t>
      </w:r>
    </w:p>
    <w:p w14:paraId="72D79D86" w14:textId="77777777" w:rsidR="000F3202" w:rsidRDefault="000F3202" w:rsidP="00352A9A">
      <w:pPr>
        <w:spacing w:after="0"/>
      </w:pPr>
    </w:p>
    <w:tbl>
      <w:tblPr>
        <w:tblStyle w:val="TableGrid1"/>
        <w:tblW w:w="9450" w:type="dxa"/>
        <w:tblInd w:w="108" w:type="dxa"/>
        <w:tblLayout w:type="fixed"/>
        <w:tblLook w:val="04A0" w:firstRow="1" w:lastRow="0" w:firstColumn="1" w:lastColumn="0" w:noHBand="0" w:noVBand="1"/>
        <w:tblCaption w:val="table shows MBE and WBE benchmark attainment data"/>
        <w:tblDescription w:val="this table shows MBE and WBE benchmark attainment data for the Executive Branch and Mass Housing (not part of the Executive Branch) and a combined total.  MBE achievement was 6.14% and the benchmark was 6%; WBE achievement was 14.66% and the benchmark was 12%."/>
      </w:tblPr>
      <w:tblGrid>
        <w:gridCol w:w="1620"/>
        <w:gridCol w:w="1440"/>
        <w:gridCol w:w="810"/>
        <w:gridCol w:w="1440"/>
        <w:gridCol w:w="810"/>
        <w:gridCol w:w="1980"/>
        <w:gridCol w:w="1350"/>
      </w:tblGrid>
      <w:tr w:rsidR="000F3202" w:rsidRPr="00CB7773" w14:paraId="7E2C4DBF" w14:textId="77777777" w:rsidTr="00A2005D">
        <w:trPr>
          <w:trHeight w:val="521"/>
          <w:tblHeader/>
        </w:trPr>
        <w:tc>
          <w:tcPr>
            <w:tcW w:w="1620" w:type="dxa"/>
            <w:vAlign w:val="center"/>
            <w:hideMark/>
          </w:tcPr>
          <w:p w14:paraId="54C30C6C" w14:textId="77777777" w:rsidR="00C2521C" w:rsidRDefault="000F3202" w:rsidP="00C2521C">
            <w:pPr>
              <w:jc w:val="center"/>
            </w:pPr>
            <w:r w:rsidRPr="00CB7773">
              <w:t>Total</w:t>
            </w:r>
            <w:r w:rsidR="00C2521C">
              <w:t xml:space="preserve"> </w:t>
            </w:r>
          </w:p>
          <w:p w14:paraId="59C0770E" w14:textId="77777777" w:rsidR="000F3202" w:rsidRPr="00CB7773" w:rsidRDefault="000F3202" w:rsidP="00C2521C">
            <w:pPr>
              <w:jc w:val="center"/>
            </w:pPr>
            <w:r>
              <w:t>MSBA Spend</w:t>
            </w:r>
          </w:p>
        </w:tc>
        <w:tc>
          <w:tcPr>
            <w:tcW w:w="1440" w:type="dxa"/>
            <w:vAlign w:val="center"/>
          </w:tcPr>
          <w:p w14:paraId="47A43C89" w14:textId="77777777" w:rsidR="000F3202" w:rsidRPr="00CB7773" w:rsidRDefault="000F3202" w:rsidP="00104FD8">
            <w:pPr>
              <w:jc w:val="center"/>
            </w:pPr>
            <w:r w:rsidRPr="00CB7773">
              <w:t>Total</w:t>
            </w:r>
          </w:p>
          <w:p w14:paraId="02B3358E" w14:textId="77777777" w:rsidR="000F3202" w:rsidRPr="00CB7773" w:rsidRDefault="000F3202" w:rsidP="00104FD8">
            <w:pPr>
              <w:jc w:val="center"/>
            </w:pPr>
            <w:r w:rsidRPr="00CB7773">
              <w:t>MBE Spend</w:t>
            </w:r>
          </w:p>
        </w:tc>
        <w:tc>
          <w:tcPr>
            <w:tcW w:w="810" w:type="dxa"/>
            <w:noWrap/>
            <w:vAlign w:val="center"/>
          </w:tcPr>
          <w:p w14:paraId="301A3DA3" w14:textId="77777777" w:rsidR="000F3202" w:rsidRPr="00CB7773" w:rsidRDefault="000F3202" w:rsidP="00104FD8">
            <w:pPr>
              <w:jc w:val="center"/>
            </w:pPr>
            <w:r w:rsidRPr="00CB7773">
              <w:t>MBE %</w:t>
            </w:r>
          </w:p>
        </w:tc>
        <w:tc>
          <w:tcPr>
            <w:tcW w:w="1440" w:type="dxa"/>
            <w:vAlign w:val="center"/>
          </w:tcPr>
          <w:p w14:paraId="79BB60C5" w14:textId="77777777" w:rsidR="000F3202" w:rsidRPr="00CB7773" w:rsidRDefault="000F3202" w:rsidP="00104FD8">
            <w:pPr>
              <w:jc w:val="center"/>
            </w:pPr>
            <w:r w:rsidRPr="00CB7773">
              <w:t xml:space="preserve">Total </w:t>
            </w:r>
          </w:p>
          <w:p w14:paraId="247C4C25" w14:textId="77777777" w:rsidR="000F3202" w:rsidRPr="00CB7773" w:rsidRDefault="000F3202" w:rsidP="00104FD8">
            <w:pPr>
              <w:jc w:val="center"/>
            </w:pPr>
            <w:r w:rsidRPr="00CB7773">
              <w:t>WBE Spend</w:t>
            </w:r>
          </w:p>
        </w:tc>
        <w:tc>
          <w:tcPr>
            <w:tcW w:w="810" w:type="dxa"/>
            <w:vAlign w:val="center"/>
          </w:tcPr>
          <w:p w14:paraId="4F81F48B" w14:textId="77777777" w:rsidR="000F3202" w:rsidRPr="00CB7773" w:rsidRDefault="000F3202" w:rsidP="00104FD8">
            <w:pPr>
              <w:jc w:val="center"/>
            </w:pPr>
            <w:r w:rsidRPr="00CB7773">
              <w:t>WBE %</w:t>
            </w:r>
          </w:p>
        </w:tc>
        <w:tc>
          <w:tcPr>
            <w:tcW w:w="1980" w:type="dxa"/>
            <w:noWrap/>
            <w:vAlign w:val="center"/>
          </w:tcPr>
          <w:p w14:paraId="478F4ED0" w14:textId="77777777" w:rsidR="00A2005D" w:rsidRDefault="000F3202" w:rsidP="00A2005D">
            <w:pPr>
              <w:jc w:val="center"/>
            </w:pPr>
            <w:r w:rsidRPr="00CB7773">
              <w:t>Total</w:t>
            </w:r>
            <w:r w:rsidR="00A2005D">
              <w:t xml:space="preserve"> </w:t>
            </w:r>
          </w:p>
          <w:p w14:paraId="5FCF64FE" w14:textId="77777777" w:rsidR="000F3202" w:rsidRPr="00CB7773" w:rsidRDefault="000F3202" w:rsidP="00A2005D">
            <w:pPr>
              <w:jc w:val="center"/>
            </w:pPr>
            <w:r w:rsidRPr="00CB7773">
              <w:t>MBE/WBE</w:t>
            </w:r>
            <w:r w:rsidR="00A2005D">
              <w:t xml:space="preserve"> </w:t>
            </w:r>
            <w:r w:rsidRPr="00CB7773">
              <w:t>Spend</w:t>
            </w:r>
          </w:p>
        </w:tc>
        <w:tc>
          <w:tcPr>
            <w:tcW w:w="1350" w:type="dxa"/>
            <w:noWrap/>
            <w:vAlign w:val="center"/>
          </w:tcPr>
          <w:p w14:paraId="32623F8A" w14:textId="77777777" w:rsidR="000F3202" w:rsidRPr="00CB7773" w:rsidRDefault="000F3202" w:rsidP="00104FD8">
            <w:pPr>
              <w:jc w:val="center"/>
            </w:pPr>
            <w:r w:rsidRPr="00CB7773">
              <w:t>Combined MBE/WBE %</w:t>
            </w:r>
          </w:p>
        </w:tc>
      </w:tr>
      <w:tr w:rsidR="000F3202" w:rsidRPr="00CB7773" w14:paraId="7C49EDBC" w14:textId="77777777" w:rsidTr="00A2005D">
        <w:trPr>
          <w:trHeight w:val="476"/>
        </w:trPr>
        <w:tc>
          <w:tcPr>
            <w:tcW w:w="1620" w:type="dxa"/>
            <w:vAlign w:val="center"/>
            <w:hideMark/>
          </w:tcPr>
          <w:p w14:paraId="04AF9692" w14:textId="77777777" w:rsidR="000F3202" w:rsidRPr="00CB7773" w:rsidRDefault="000F3202" w:rsidP="00104FD8">
            <w:r w:rsidRPr="00CB7773">
              <w:t>$258,153,176</w:t>
            </w:r>
          </w:p>
        </w:tc>
        <w:tc>
          <w:tcPr>
            <w:tcW w:w="1440" w:type="dxa"/>
            <w:noWrap/>
            <w:vAlign w:val="center"/>
          </w:tcPr>
          <w:p w14:paraId="5F300E04" w14:textId="77777777" w:rsidR="000F3202" w:rsidRPr="00CB7773" w:rsidRDefault="000F3202" w:rsidP="00104FD8">
            <w:pPr>
              <w:jc w:val="center"/>
            </w:pPr>
            <w:r w:rsidRPr="00CB7773">
              <w:t>$16,263,222</w:t>
            </w:r>
          </w:p>
        </w:tc>
        <w:tc>
          <w:tcPr>
            <w:tcW w:w="810" w:type="dxa"/>
            <w:noWrap/>
            <w:vAlign w:val="center"/>
          </w:tcPr>
          <w:p w14:paraId="5196AB62" w14:textId="77777777" w:rsidR="000F3202" w:rsidRPr="00CB7773" w:rsidRDefault="000F3202" w:rsidP="00104FD8">
            <w:pPr>
              <w:jc w:val="center"/>
            </w:pPr>
            <w:r w:rsidRPr="00CB7773">
              <w:t>6.3%</w:t>
            </w:r>
          </w:p>
        </w:tc>
        <w:tc>
          <w:tcPr>
            <w:tcW w:w="1440" w:type="dxa"/>
            <w:noWrap/>
            <w:vAlign w:val="center"/>
          </w:tcPr>
          <w:p w14:paraId="1C39B914" w14:textId="77777777" w:rsidR="000F3202" w:rsidRPr="00CB7773" w:rsidRDefault="000F3202" w:rsidP="00104FD8">
            <w:pPr>
              <w:jc w:val="center"/>
            </w:pPr>
            <w:r w:rsidRPr="00CB7773">
              <w:t>$12,411,914</w:t>
            </w:r>
          </w:p>
        </w:tc>
        <w:tc>
          <w:tcPr>
            <w:tcW w:w="810" w:type="dxa"/>
            <w:noWrap/>
            <w:vAlign w:val="center"/>
          </w:tcPr>
          <w:p w14:paraId="6D7DEC03" w14:textId="77777777" w:rsidR="000F3202" w:rsidRPr="00CB7773" w:rsidRDefault="000F3202" w:rsidP="00104FD8">
            <w:pPr>
              <w:jc w:val="center"/>
            </w:pPr>
            <w:r w:rsidRPr="00CB7773">
              <w:t>4.8%</w:t>
            </w:r>
          </w:p>
        </w:tc>
        <w:tc>
          <w:tcPr>
            <w:tcW w:w="1980" w:type="dxa"/>
            <w:noWrap/>
            <w:vAlign w:val="center"/>
          </w:tcPr>
          <w:p w14:paraId="12D40E54" w14:textId="77777777" w:rsidR="000F3202" w:rsidRPr="00CB7773" w:rsidRDefault="000F3202" w:rsidP="00104FD8">
            <w:pPr>
              <w:jc w:val="center"/>
            </w:pPr>
            <w:r w:rsidRPr="00CB7773">
              <w:t>$28,675,136</w:t>
            </w:r>
          </w:p>
        </w:tc>
        <w:tc>
          <w:tcPr>
            <w:tcW w:w="1350" w:type="dxa"/>
            <w:noWrap/>
            <w:vAlign w:val="center"/>
          </w:tcPr>
          <w:p w14:paraId="6C365AE5" w14:textId="77777777" w:rsidR="000F3202" w:rsidRPr="00CB7773" w:rsidRDefault="000F3202" w:rsidP="00104FD8">
            <w:pPr>
              <w:jc w:val="center"/>
            </w:pPr>
            <w:r w:rsidRPr="00CB7773">
              <w:t>11.1%</w:t>
            </w:r>
          </w:p>
        </w:tc>
      </w:tr>
    </w:tbl>
    <w:p w14:paraId="3B3250E4" w14:textId="77777777" w:rsidR="000F3202" w:rsidRDefault="000F3202" w:rsidP="000F3202">
      <w:pPr>
        <w:spacing w:after="0" w:line="240" w:lineRule="auto"/>
      </w:pPr>
    </w:p>
    <w:p w14:paraId="1455FD98" w14:textId="77777777" w:rsidR="000F3202" w:rsidRDefault="000F3202" w:rsidP="00352A9A">
      <w:pPr>
        <w:spacing w:after="0"/>
        <w:rPr>
          <w:b/>
        </w:rPr>
      </w:pPr>
      <w:r w:rsidRPr="0043066B">
        <w:rPr>
          <w:b/>
        </w:rPr>
        <w:t>Schools of Construction:</w:t>
      </w:r>
    </w:p>
    <w:p w14:paraId="41EE5DA0" w14:textId="77777777" w:rsidR="000F3202" w:rsidRPr="0043066B" w:rsidRDefault="000F3202" w:rsidP="00352A9A">
      <w:pPr>
        <w:spacing w:after="0"/>
        <w:rPr>
          <w:b/>
        </w:rPr>
      </w:pPr>
    </w:p>
    <w:p w14:paraId="708A9FCF" w14:textId="77777777" w:rsidR="000F3202" w:rsidRPr="00383664" w:rsidRDefault="000F3202" w:rsidP="00ED0952">
      <w:pPr>
        <w:jc w:val="both"/>
      </w:pPr>
      <w:r w:rsidRPr="00383664">
        <w:t xml:space="preserve">The most innovative of all the new SDO Construction Reform Law Program </w:t>
      </w:r>
      <w:r w:rsidRPr="00383664">
        <w:rPr>
          <w:color w:val="000000"/>
        </w:rPr>
        <w:t xml:space="preserve">initiatives </w:t>
      </w:r>
      <w:r w:rsidRPr="00383664">
        <w:t xml:space="preserve">is the partnership with the </w:t>
      </w:r>
      <w:r w:rsidR="00001291">
        <w:t>three</w:t>
      </w:r>
      <w:r w:rsidR="00001291" w:rsidRPr="00383664">
        <w:t xml:space="preserve"> </w:t>
      </w:r>
      <w:r w:rsidRPr="00383664">
        <w:t>schools of construction</w:t>
      </w:r>
      <w:r>
        <w:t>.</w:t>
      </w:r>
      <w:r w:rsidRPr="00383664">
        <w:t xml:space="preserve"> The </w:t>
      </w:r>
      <w:r w:rsidR="00001291">
        <w:t>three</w:t>
      </w:r>
      <w:r w:rsidR="00001291" w:rsidRPr="00383664">
        <w:t xml:space="preserve"> </w:t>
      </w:r>
      <w:r w:rsidRPr="00383664">
        <w:t>schools are the established Turner School of Construction Management which has been in existence for almost 40 years</w:t>
      </w:r>
      <w:r w:rsidR="00001291">
        <w:t>,</w:t>
      </w:r>
      <w:r w:rsidRPr="00383664">
        <w:t xml:space="preserve"> </w:t>
      </w:r>
      <w:r w:rsidR="00F12573">
        <w:t>T</w:t>
      </w:r>
      <w:r w:rsidRPr="00383664">
        <w:t xml:space="preserve">he Gilbane M/WBE Contractor Training </w:t>
      </w:r>
      <w:r w:rsidR="00C431A0" w:rsidRPr="00383664">
        <w:t>Program</w:t>
      </w:r>
      <w:r w:rsidR="00C431A0">
        <w:t>,</w:t>
      </w:r>
      <w:r w:rsidRPr="00383664">
        <w:t xml:space="preserve"> </w:t>
      </w:r>
      <w:r>
        <w:t>and t</w:t>
      </w:r>
      <w:r w:rsidRPr="00383664">
        <w:t xml:space="preserve">he newly created Suffolk Subcontractor Development Series. </w:t>
      </w:r>
    </w:p>
    <w:p w14:paraId="1121BC7E" w14:textId="77777777" w:rsidR="000F3202" w:rsidRPr="0039144E" w:rsidRDefault="000F3202" w:rsidP="00352A9A">
      <w:pPr>
        <w:rPr>
          <w:b/>
        </w:rPr>
      </w:pPr>
      <w:r w:rsidRPr="0039144E">
        <w:rPr>
          <w:b/>
        </w:rPr>
        <w:t xml:space="preserve">Gilbane M/WBE Contractor Training Program: </w:t>
      </w:r>
    </w:p>
    <w:p w14:paraId="5648DDA7" w14:textId="77777777" w:rsidR="000F3202" w:rsidRPr="00383664" w:rsidRDefault="000F3202" w:rsidP="00352A9A">
      <w:pPr>
        <w:jc w:val="both"/>
      </w:pPr>
      <w:r w:rsidRPr="00383664">
        <w:t xml:space="preserve">The classes are instructed by experienced Gilbane executives who are matched with participants as part of a mentoring program. The program helps develop ongoing relationships in which the mentor and protégé tackle issues that impact the business of the protégé. Class topics include accounting, cost estimating, </w:t>
      </w:r>
      <w:r w:rsidR="00C431A0">
        <w:t xml:space="preserve">marketing, safety, procurement, </w:t>
      </w:r>
      <w:r w:rsidRPr="00383664">
        <w:t>technology</w:t>
      </w:r>
      <w:r w:rsidR="00C431A0">
        <w:t>,</w:t>
      </w:r>
      <w:r>
        <w:t xml:space="preserve"> and </w:t>
      </w:r>
      <w:r w:rsidRPr="00383664">
        <w:t>project management</w:t>
      </w:r>
      <w:r>
        <w:t>.</w:t>
      </w:r>
      <w:r w:rsidRPr="00383664">
        <w:t xml:space="preserve"> </w:t>
      </w:r>
    </w:p>
    <w:p w14:paraId="446C2C21" w14:textId="77777777" w:rsidR="000F3202" w:rsidRPr="007713C1" w:rsidRDefault="000F3202" w:rsidP="00352A9A">
      <w:pPr>
        <w:rPr>
          <w:color w:val="00B0F0"/>
        </w:rPr>
      </w:pPr>
      <w:r w:rsidRPr="00383664">
        <w:t> </w:t>
      </w:r>
      <w:r w:rsidRPr="007713C1">
        <w:t>Milestones:</w:t>
      </w:r>
    </w:p>
    <w:p w14:paraId="04E5CD60" w14:textId="77777777" w:rsidR="000F3202" w:rsidRPr="00407ABA" w:rsidRDefault="000F3202" w:rsidP="00352A9A">
      <w:pPr>
        <w:pStyle w:val="ListParagraph"/>
        <w:numPr>
          <w:ilvl w:val="0"/>
          <w:numId w:val="47"/>
        </w:numPr>
        <w:spacing w:line="276" w:lineRule="auto"/>
        <w:rPr>
          <w:rFonts w:ascii="Times New Roman" w:hAnsi="Times New Roman" w:cs="Times New Roman"/>
        </w:rPr>
      </w:pPr>
      <w:r w:rsidRPr="00407ABA">
        <w:rPr>
          <w:rFonts w:ascii="Times New Roman" w:hAnsi="Times New Roman" w:cs="Times New Roman"/>
        </w:rPr>
        <w:t>25 SDO certified companies have graduated from the first 4 classes</w:t>
      </w:r>
    </w:p>
    <w:p w14:paraId="7F04981D" w14:textId="77777777" w:rsidR="000F3202" w:rsidRPr="00407ABA" w:rsidRDefault="000F3202" w:rsidP="00352A9A">
      <w:pPr>
        <w:pStyle w:val="ListParagraph"/>
        <w:numPr>
          <w:ilvl w:val="0"/>
          <w:numId w:val="47"/>
        </w:numPr>
        <w:spacing w:line="276" w:lineRule="auto"/>
        <w:rPr>
          <w:rFonts w:ascii="Times New Roman" w:hAnsi="Times New Roman" w:cs="Times New Roman"/>
        </w:rPr>
      </w:pPr>
      <w:r w:rsidRPr="00407ABA">
        <w:rPr>
          <w:rFonts w:ascii="Times New Roman" w:hAnsi="Times New Roman" w:cs="Times New Roman"/>
        </w:rPr>
        <w:t>Gilbane Construction has awarded $4,800,000 in contracts to class participants  </w:t>
      </w:r>
    </w:p>
    <w:p w14:paraId="6E4C923C" w14:textId="77777777" w:rsidR="000F3202" w:rsidRPr="0039144E" w:rsidRDefault="000F3202" w:rsidP="00ED0952">
      <w:pPr>
        <w:spacing w:before="200"/>
        <w:rPr>
          <w:b/>
        </w:rPr>
      </w:pPr>
      <w:r w:rsidRPr="0039144E">
        <w:rPr>
          <w:b/>
        </w:rPr>
        <w:t xml:space="preserve">Suffolk Construction Subcontractor Development Series: </w:t>
      </w:r>
    </w:p>
    <w:p w14:paraId="0A92F1D3" w14:textId="77777777" w:rsidR="000F3202" w:rsidRPr="00383664" w:rsidRDefault="000F3202" w:rsidP="00352A9A">
      <w:pPr>
        <w:jc w:val="both"/>
      </w:pPr>
      <w:r w:rsidRPr="00383664">
        <w:t xml:space="preserve">The SDO &amp; Suffolk worked in partnership to develop the Suffolk Technical Assistance program. What makes this program unique is the curriculum is geared specifically to teach firms how to work for Suffolk. Each course is taught by Suffolk personnel and local industry experts. </w:t>
      </w:r>
    </w:p>
    <w:p w14:paraId="4253E007" w14:textId="77777777" w:rsidR="000F3202" w:rsidRPr="00E077B2" w:rsidRDefault="000F3202" w:rsidP="00352A9A">
      <w:pPr>
        <w:rPr>
          <w:color w:val="00B0F0"/>
        </w:rPr>
      </w:pPr>
      <w:r w:rsidRPr="007713C1">
        <w:t>Milestones</w:t>
      </w:r>
      <w:r>
        <w:rPr>
          <w:b/>
        </w:rPr>
        <w:t>:</w:t>
      </w:r>
    </w:p>
    <w:p w14:paraId="26C6451C" w14:textId="77777777" w:rsidR="000F3202" w:rsidRPr="0002118E" w:rsidRDefault="000F3202" w:rsidP="00352A9A">
      <w:pPr>
        <w:pStyle w:val="ListParagraph"/>
        <w:numPr>
          <w:ilvl w:val="0"/>
          <w:numId w:val="46"/>
        </w:numPr>
        <w:spacing w:line="276" w:lineRule="auto"/>
        <w:rPr>
          <w:rFonts w:ascii="Times New Roman" w:hAnsi="Times New Roman" w:cs="Times New Roman"/>
        </w:rPr>
      </w:pPr>
      <w:r w:rsidRPr="0002118E">
        <w:rPr>
          <w:rFonts w:ascii="Times New Roman" w:hAnsi="Times New Roman" w:cs="Times New Roman"/>
        </w:rPr>
        <w:t>39 SDO certified companies have graduated from the first 2 classes</w:t>
      </w:r>
    </w:p>
    <w:p w14:paraId="1F561179" w14:textId="77777777" w:rsidR="000F3202" w:rsidRPr="0002118E" w:rsidRDefault="000F3202" w:rsidP="00352A9A">
      <w:pPr>
        <w:pStyle w:val="ListParagraph"/>
        <w:numPr>
          <w:ilvl w:val="0"/>
          <w:numId w:val="46"/>
        </w:numPr>
        <w:spacing w:line="276" w:lineRule="auto"/>
        <w:rPr>
          <w:rFonts w:ascii="Times New Roman" w:hAnsi="Times New Roman" w:cs="Times New Roman"/>
        </w:rPr>
      </w:pPr>
      <w:r w:rsidRPr="0002118E">
        <w:rPr>
          <w:rFonts w:ascii="Times New Roman" w:hAnsi="Times New Roman" w:cs="Times New Roman"/>
        </w:rPr>
        <w:lastRenderedPageBreak/>
        <w:t>Suffolk Construction has awarded $15,296,500 in contracts to class participants  </w:t>
      </w:r>
    </w:p>
    <w:p w14:paraId="43E921AE" w14:textId="77777777" w:rsidR="000F3202" w:rsidRPr="0039144E" w:rsidRDefault="000F3202" w:rsidP="00ED0952">
      <w:pPr>
        <w:spacing w:before="720"/>
        <w:rPr>
          <w:b/>
        </w:rPr>
      </w:pPr>
      <w:r w:rsidRPr="0039144E">
        <w:rPr>
          <w:b/>
        </w:rPr>
        <w:t xml:space="preserve">Turner School of Construction Management </w:t>
      </w:r>
    </w:p>
    <w:p w14:paraId="61BDD811" w14:textId="77777777" w:rsidR="000F3202" w:rsidRPr="00383664" w:rsidRDefault="000F3202" w:rsidP="00352A9A">
      <w:pPr>
        <w:jc w:val="both"/>
        <w:rPr>
          <w:color w:val="000000"/>
        </w:rPr>
      </w:pPr>
      <w:r w:rsidRPr="00383664">
        <w:t xml:space="preserve">This groundbreaking program has been around since 1969 nationally. Each eight-week course consists of </w:t>
      </w:r>
      <w:r w:rsidR="00001291">
        <w:t>two</w:t>
      </w:r>
      <w:r w:rsidR="00001291" w:rsidRPr="00383664">
        <w:t xml:space="preserve"> </w:t>
      </w:r>
      <w:r w:rsidRPr="00383664">
        <w:t xml:space="preserve">classes which are </w:t>
      </w:r>
      <w:r w:rsidR="00001291">
        <w:t>two</w:t>
      </w:r>
      <w:r w:rsidR="00001291" w:rsidRPr="00383664">
        <w:t xml:space="preserve"> </w:t>
      </w:r>
      <w:r w:rsidRPr="00383664">
        <w:t xml:space="preserve">hours in length. Each class is taught by Turner staff and includes such topics as risk management, construction estimating, safety and effective marketing. The program has helped attendees build networks, establish fruitful joint ventures win contracts with Turner and other industry leaders and form long-term business relationships. The partnership between the Supplier Diversity Office (SDO) and </w:t>
      </w:r>
      <w:r w:rsidRPr="00383664">
        <w:rPr>
          <w:iCs/>
        </w:rPr>
        <w:t>Turner Construction in Boston</w:t>
      </w:r>
      <w:r w:rsidRPr="00383664">
        <w:t xml:space="preserve"> began in 2007.</w:t>
      </w:r>
    </w:p>
    <w:p w14:paraId="4B16E56F" w14:textId="77777777" w:rsidR="000F3202" w:rsidRPr="007713C1" w:rsidRDefault="000F3202" w:rsidP="00352A9A">
      <w:pPr>
        <w:rPr>
          <w:color w:val="00B0F0"/>
        </w:rPr>
      </w:pPr>
      <w:r w:rsidRPr="00383664">
        <w:t> </w:t>
      </w:r>
      <w:r w:rsidRPr="007713C1">
        <w:t>Milestones:</w:t>
      </w:r>
    </w:p>
    <w:p w14:paraId="486CA452" w14:textId="77777777" w:rsidR="000F3202" w:rsidRPr="00CB57EB" w:rsidRDefault="000F3202" w:rsidP="00352A9A">
      <w:pPr>
        <w:pStyle w:val="ListParagraph"/>
        <w:numPr>
          <w:ilvl w:val="0"/>
          <w:numId w:val="45"/>
        </w:numPr>
        <w:spacing w:line="276" w:lineRule="auto"/>
        <w:rPr>
          <w:rFonts w:ascii="Times New Roman" w:hAnsi="Times New Roman" w:cs="Times New Roman"/>
        </w:rPr>
      </w:pPr>
      <w:r w:rsidRPr="00CB57EB">
        <w:rPr>
          <w:rFonts w:ascii="Times New Roman" w:hAnsi="Times New Roman" w:cs="Times New Roman"/>
        </w:rPr>
        <w:t>101 SDO certified companies have graduated from the first 6 classes</w:t>
      </w:r>
    </w:p>
    <w:p w14:paraId="0AE8C532" w14:textId="77777777" w:rsidR="000F3202" w:rsidRDefault="000F3202" w:rsidP="00352A9A">
      <w:pPr>
        <w:pStyle w:val="ListParagraph"/>
        <w:numPr>
          <w:ilvl w:val="0"/>
          <w:numId w:val="45"/>
        </w:numPr>
        <w:spacing w:line="276" w:lineRule="auto"/>
      </w:pPr>
      <w:r w:rsidRPr="00CB57EB">
        <w:rPr>
          <w:rFonts w:ascii="Times New Roman" w:hAnsi="Times New Roman" w:cs="Times New Roman"/>
        </w:rPr>
        <w:t>Turner Construction has awarded $7,900,000 in contracts to class participants</w:t>
      </w:r>
      <w:r w:rsidRPr="00937191">
        <w:t xml:space="preserve">  </w:t>
      </w:r>
    </w:p>
    <w:p w14:paraId="1EE1B5C1" w14:textId="77777777" w:rsidR="000F3202" w:rsidRPr="0043066B" w:rsidRDefault="000F3202" w:rsidP="00352A9A">
      <w:pPr>
        <w:spacing w:before="360" w:after="0"/>
        <w:rPr>
          <w:b/>
        </w:rPr>
      </w:pPr>
      <w:r>
        <w:rPr>
          <w:b/>
        </w:rPr>
        <w:t>Outreach</w:t>
      </w:r>
    </w:p>
    <w:p w14:paraId="5406757E" w14:textId="77777777" w:rsidR="005577B8" w:rsidRDefault="000F3202" w:rsidP="00ED0952">
      <w:pPr>
        <w:spacing w:after="2280"/>
        <w:jc w:val="both"/>
      </w:pPr>
      <w:r w:rsidRPr="0016716A">
        <w:t>In FY14 the SDO Construction Reform Program excelled at MBE/WBE outreach. The outreach conducted pertained to both public and private projects. Those benefit</w:t>
      </w:r>
      <w:r w:rsidR="005738B4" w:rsidRPr="0016716A">
        <w:t>ting</w:t>
      </w:r>
      <w:r w:rsidRPr="0016716A">
        <w:t xml:space="preserve"> </w:t>
      </w:r>
      <w:r w:rsidR="00154690" w:rsidRPr="0016716A">
        <w:t xml:space="preserve">directly </w:t>
      </w:r>
      <w:r w:rsidRPr="0016716A">
        <w:t xml:space="preserve">from the outreach </w:t>
      </w:r>
      <w:r w:rsidR="00154690" w:rsidRPr="0016716A">
        <w:t xml:space="preserve">efforts </w:t>
      </w:r>
      <w:r w:rsidRPr="0016716A">
        <w:t xml:space="preserve">were private institutions </w:t>
      </w:r>
      <w:r w:rsidR="00154690" w:rsidRPr="0016716A">
        <w:t>such as Suffolk Construction, Gilbane Construction, Turner Construction, Northeastern University,</w:t>
      </w:r>
      <w:r w:rsidR="009A2BAC">
        <w:t xml:space="preserve"> </w:t>
      </w:r>
      <w:r w:rsidR="009E236C" w:rsidRPr="0016716A">
        <w:t xml:space="preserve">The </w:t>
      </w:r>
      <w:r w:rsidR="00154690" w:rsidRPr="0016716A">
        <w:t>Massachusetts Minority Contractors Association</w:t>
      </w:r>
      <w:r w:rsidR="009E236C" w:rsidRPr="0016716A">
        <w:t>, The New England Minority Supplier Development Council</w:t>
      </w:r>
      <w:r w:rsidR="00154690" w:rsidRPr="0016716A">
        <w:t xml:space="preserve"> and Next Street Financial</w:t>
      </w:r>
      <w:r w:rsidR="009E236C" w:rsidRPr="0016716A">
        <w:t xml:space="preserve"> Corporation</w:t>
      </w:r>
      <w:r w:rsidR="00154690" w:rsidRPr="0016716A">
        <w:t xml:space="preserve">, as well as public and </w:t>
      </w:r>
      <w:r w:rsidR="00C431A0" w:rsidRPr="0016716A">
        <w:t>quasi-public</w:t>
      </w:r>
      <w:r w:rsidR="00154690" w:rsidRPr="0016716A">
        <w:t xml:space="preserve"> entities such as </w:t>
      </w:r>
      <w:r w:rsidRPr="0016716A">
        <w:t>the Massachusetts Gaming Commission</w:t>
      </w:r>
      <w:r w:rsidR="00154690" w:rsidRPr="0016716A">
        <w:t>, Division of Capital Assets and Management, Massachusetts Housing Finance Agency, Massachusetts Department of Transportation</w:t>
      </w:r>
      <w:r w:rsidRPr="0016716A">
        <w:t xml:space="preserve"> </w:t>
      </w:r>
      <w:r w:rsidR="00154690" w:rsidRPr="0016716A">
        <w:t>and the Massachusetts School Building Authority</w:t>
      </w:r>
      <w:r w:rsidRPr="0016716A">
        <w:t xml:space="preserve">. The ability of the SDO to craft a focused message and send it repeatedly to a receptive audience </w:t>
      </w:r>
      <w:r w:rsidR="00154690" w:rsidRPr="0016716A">
        <w:t xml:space="preserve">has </w:t>
      </w:r>
      <w:r w:rsidRPr="0016716A">
        <w:t>prove</w:t>
      </w:r>
      <w:r w:rsidR="009E236C" w:rsidRPr="0016716A">
        <w:t>n</w:t>
      </w:r>
      <w:r w:rsidRPr="0016716A">
        <w:t xml:space="preserve"> </w:t>
      </w:r>
      <w:r w:rsidR="00154690" w:rsidRPr="0016716A">
        <w:t xml:space="preserve">to be </w:t>
      </w:r>
      <w:r w:rsidRPr="0016716A">
        <w:t>invaluable. Events exceeded expected attend</w:t>
      </w:r>
      <w:r w:rsidR="00154690" w:rsidRPr="0016716A">
        <w:t xml:space="preserve">ance. </w:t>
      </w:r>
      <w:r w:rsidRPr="0016716A">
        <w:t xml:space="preserve"> </w:t>
      </w:r>
      <w:r w:rsidR="00154690" w:rsidRPr="0016716A">
        <w:t>Owners working in conjunction with SDO on construction P</w:t>
      </w:r>
      <w:r w:rsidRPr="0016716A">
        <w:t xml:space="preserve">rojects </w:t>
      </w:r>
      <w:r w:rsidR="00154690" w:rsidRPr="0016716A">
        <w:t>exceeded their</w:t>
      </w:r>
      <w:r w:rsidRPr="0016716A">
        <w:t xml:space="preserve"> MBE/WBE goals</w:t>
      </w:r>
      <w:r w:rsidR="00C431A0">
        <w:t>.</w:t>
      </w:r>
      <w:r w:rsidRPr="0016716A">
        <w:t xml:space="preserve">  The </w:t>
      </w:r>
      <w:r w:rsidR="00154690" w:rsidRPr="0016716A">
        <w:t xml:space="preserve">Penn National </w:t>
      </w:r>
      <w:proofErr w:type="spellStart"/>
      <w:r w:rsidRPr="0016716A">
        <w:t>Plainridge</w:t>
      </w:r>
      <w:proofErr w:type="spellEnd"/>
      <w:r w:rsidRPr="0016716A">
        <w:t xml:space="preserve"> Slot Parlor construction project </w:t>
      </w:r>
      <w:r w:rsidR="00154690" w:rsidRPr="0016716A">
        <w:t>is a prime example of what ca</w:t>
      </w:r>
      <w:r w:rsidR="009E236C" w:rsidRPr="0016716A">
        <w:t xml:space="preserve">n be achieved while working in </w:t>
      </w:r>
      <w:r w:rsidR="00154690" w:rsidRPr="0016716A">
        <w:t>partnership</w:t>
      </w:r>
      <w:r w:rsidR="009E236C" w:rsidRPr="0016716A">
        <w:t xml:space="preserve"> with SDO</w:t>
      </w:r>
      <w:r w:rsidR="00154690" w:rsidRPr="0016716A">
        <w:t>. With the project 50% complete</w:t>
      </w:r>
      <w:r w:rsidR="009E236C" w:rsidRPr="0016716A">
        <w:t xml:space="preserve"> the project has </w:t>
      </w:r>
      <w:r w:rsidRPr="0016716A">
        <w:t>exceeded the State combined MBE/WBE goal of 1</w:t>
      </w:r>
      <w:r w:rsidR="009E236C" w:rsidRPr="0016716A">
        <w:t>0.4</w:t>
      </w:r>
      <w:r w:rsidRPr="0016716A">
        <w:t>%</w:t>
      </w:r>
      <w:r w:rsidR="009E236C" w:rsidRPr="0016716A">
        <w:t xml:space="preserve">, MBE participation was 13% and the WBE participation was 17%.  Of the approximate $57 million authorized by the owner to be spent, $25 million went to MBE’s and </w:t>
      </w:r>
      <w:proofErr w:type="gramStart"/>
      <w:r w:rsidR="009E236C" w:rsidRPr="0016716A">
        <w:t>WBE’s</w:t>
      </w:r>
      <w:r w:rsidRPr="0016716A">
        <w:t xml:space="preserve"> .</w:t>
      </w:r>
      <w:proofErr w:type="gramEnd"/>
      <w:r w:rsidRPr="0016716A">
        <w:t xml:space="preserve"> Northeastern University for the 2</w:t>
      </w:r>
      <w:r w:rsidRPr="0016716A">
        <w:rPr>
          <w:vertAlign w:val="superscript"/>
        </w:rPr>
        <w:t>nd</w:t>
      </w:r>
      <w:r w:rsidRPr="0016716A">
        <w:t xml:space="preserve"> year in a row exceeded its goal of 300 attend</w:t>
      </w:r>
      <w:r w:rsidR="009E236C" w:rsidRPr="0016716A">
        <w:t>ee</w:t>
      </w:r>
      <w:r w:rsidRPr="0016716A">
        <w:t>s at their diversity event. In both cases the SDO</w:t>
      </w:r>
      <w:r w:rsidR="009E236C" w:rsidRPr="0016716A">
        <w:t xml:space="preserve"> was the entity responsible for outreach</w:t>
      </w:r>
      <w:r w:rsidRPr="0016716A">
        <w:t>.</w:t>
      </w:r>
    </w:p>
    <w:p w14:paraId="16D64E73" w14:textId="77777777" w:rsidR="006F5B4B" w:rsidRPr="00352A9A" w:rsidRDefault="0066027E" w:rsidP="00352A9A">
      <w:pPr>
        <w:pStyle w:val="Heading1"/>
        <w:spacing w:line="276" w:lineRule="auto"/>
      </w:pPr>
      <w:bookmarkStart w:id="15" w:name="_Toc405372679"/>
      <w:r w:rsidRPr="00352A9A">
        <w:lastRenderedPageBreak/>
        <w:t>APPENDIX A</w:t>
      </w:r>
      <w:bookmarkEnd w:id="15"/>
    </w:p>
    <w:p w14:paraId="368C45EE" w14:textId="77777777" w:rsidR="00422E95" w:rsidRPr="00352A9A" w:rsidRDefault="00422E95" w:rsidP="00352A9A">
      <w:pPr>
        <w:pStyle w:val="Heading3"/>
      </w:pPr>
      <w:r w:rsidRPr="00352A9A">
        <w:t>SDO STAFF</w:t>
      </w:r>
    </w:p>
    <w:p w14:paraId="3E637F1F" w14:textId="77777777" w:rsidR="00422E95" w:rsidRPr="00352A9A" w:rsidRDefault="00422E95" w:rsidP="00352A9A">
      <w:r w:rsidRPr="00352A9A">
        <w:t>Reginald A. Nunnally</w:t>
      </w:r>
      <w:r w:rsidRPr="00352A9A">
        <w:tab/>
      </w:r>
      <w:r w:rsidRPr="00352A9A">
        <w:tab/>
        <w:t>Executive Director</w:t>
      </w:r>
    </w:p>
    <w:p w14:paraId="0A10A2EE" w14:textId="77777777" w:rsidR="00422E95" w:rsidRPr="00352A9A" w:rsidRDefault="00422E95" w:rsidP="00352A9A">
      <w:r w:rsidRPr="00352A9A">
        <w:t>Esther Daniells</w:t>
      </w:r>
      <w:r w:rsidRPr="00352A9A">
        <w:tab/>
      </w:r>
      <w:r w:rsidRPr="00352A9A">
        <w:tab/>
        <w:t>Management Analyst II</w:t>
      </w:r>
    </w:p>
    <w:p w14:paraId="3B472FB2" w14:textId="77777777" w:rsidR="00422E95" w:rsidRPr="00352A9A" w:rsidRDefault="00422E95" w:rsidP="00352A9A">
      <w:pPr>
        <w:rPr>
          <w:b/>
        </w:rPr>
      </w:pPr>
      <w:r w:rsidRPr="00352A9A">
        <w:rPr>
          <w:b/>
        </w:rPr>
        <w:t>Certification Unit</w:t>
      </w:r>
    </w:p>
    <w:p w14:paraId="34FD9216" w14:textId="77777777" w:rsidR="00422E95" w:rsidRPr="00352A9A" w:rsidRDefault="00422E95" w:rsidP="00352A9A">
      <w:pPr>
        <w:pStyle w:val="ListParagraph"/>
        <w:numPr>
          <w:ilvl w:val="0"/>
          <w:numId w:val="50"/>
        </w:numPr>
        <w:spacing w:line="276" w:lineRule="auto"/>
        <w:rPr>
          <w:rFonts w:ascii="Times New Roman" w:hAnsi="Times New Roman" w:cs="Times New Roman"/>
        </w:rPr>
      </w:pPr>
      <w:r w:rsidRPr="00352A9A">
        <w:rPr>
          <w:rFonts w:ascii="Times New Roman" w:hAnsi="Times New Roman" w:cs="Times New Roman"/>
        </w:rPr>
        <w:t>Nedra White</w:t>
      </w:r>
      <w:r w:rsidRPr="00352A9A">
        <w:rPr>
          <w:rFonts w:ascii="Times New Roman" w:hAnsi="Times New Roman" w:cs="Times New Roman"/>
        </w:rPr>
        <w:tab/>
      </w:r>
      <w:r w:rsidRPr="00352A9A">
        <w:rPr>
          <w:rFonts w:ascii="Times New Roman" w:hAnsi="Times New Roman" w:cs="Times New Roman"/>
        </w:rPr>
        <w:tab/>
        <w:t>Director of Certification/Renewal Specialist</w:t>
      </w:r>
    </w:p>
    <w:p w14:paraId="7EDA2856" w14:textId="77777777" w:rsidR="00422E95" w:rsidRPr="00352A9A" w:rsidRDefault="00422E95" w:rsidP="00352A9A">
      <w:pPr>
        <w:pStyle w:val="ListParagraph"/>
        <w:numPr>
          <w:ilvl w:val="0"/>
          <w:numId w:val="50"/>
        </w:numPr>
        <w:spacing w:line="276" w:lineRule="auto"/>
        <w:rPr>
          <w:rFonts w:ascii="Times New Roman" w:hAnsi="Times New Roman" w:cs="Times New Roman"/>
        </w:rPr>
      </w:pPr>
      <w:r w:rsidRPr="00352A9A">
        <w:rPr>
          <w:rFonts w:ascii="Times New Roman" w:hAnsi="Times New Roman" w:cs="Times New Roman"/>
        </w:rPr>
        <w:t>Jose Silva</w:t>
      </w:r>
      <w:r w:rsidRPr="00352A9A">
        <w:rPr>
          <w:rFonts w:ascii="Times New Roman" w:hAnsi="Times New Roman" w:cs="Times New Roman"/>
        </w:rPr>
        <w:tab/>
      </w:r>
      <w:r w:rsidRPr="00352A9A">
        <w:rPr>
          <w:rFonts w:ascii="Times New Roman" w:hAnsi="Times New Roman" w:cs="Times New Roman"/>
        </w:rPr>
        <w:tab/>
        <w:t>Intake Specialist</w:t>
      </w:r>
    </w:p>
    <w:p w14:paraId="124A5CFD" w14:textId="77777777" w:rsidR="00422E95" w:rsidRPr="00352A9A" w:rsidRDefault="00422E95" w:rsidP="00352A9A">
      <w:pPr>
        <w:pStyle w:val="ListParagraph"/>
        <w:numPr>
          <w:ilvl w:val="0"/>
          <w:numId w:val="50"/>
        </w:numPr>
        <w:spacing w:line="276" w:lineRule="auto"/>
        <w:rPr>
          <w:rFonts w:ascii="Times New Roman" w:hAnsi="Times New Roman" w:cs="Times New Roman"/>
        </w:rPr>
      </w:pPr>
      <w:r w:rsidRPr="00352A9A">
        <w:rPr>
          <w:rFonts w:ascii="Times New Roman" w:hAnsi="Times New Roman" w:cs="Times New Roman"/>
        </w:rPr>
        <w:t>Janice Chen, CPA</w:t>
      </w:r>
      <w:r w:rsidRPr="00352A9A">
        <w:rPr>
          <w:rFonts w:ascii="Times New Roman" w:hAnsi="Times New Roman" w:cs="Times New Roman"/>
        </w:rPr>
        <w:tab/>
        <w:t>Auditor</w:t>
      </w:r>
    </w:p>
    <w:p w14:paraId="49DDFF32" w14:textId="77777777" w:rsidR="00422E95" w:rsidRPr="00352A9A" w:rsidRDefault="00422E95" w:rsidP="00352A9A">
      <w:pPr>
        <w:pStyle w:val="ListParagraph"/>
        <w:numPr>
          <w:ilvl w:val="0"/>
          <w:numId w:val="50"/>
        </w:numPr>
        <w:spacing w:line="276" w:lineRule="auto"/>
        <w:rPr>
          <w:rFonts w:ascii="Times New Roman" w:hAnsi="Times New Roman" w:cs="Times New Roman"/>
        </w:rPr>
      </w:pPr>
      <w:r w:rsidRPr="00352A9A">
        <w:rPr>
          <w:rFonts w:ascii="Times New Roman" w:hAnsi="Times New Roman" w:cs="Times New Roman"/>
        </w:rPr>
        <w:t>Nani Assefa</w:t>
      </w:r>
      <w:r w:rsidRPr="00352A9A">
        <w:rPr>
          <w:rFonts w:ascii="Times New Roman" w:hAnsi="Times New Roman" w:cs="Times New Roman"/>
        </w:rPr>
        <w:tab/>
      </w:r>
      <w:r w:rsidRPr="00352A9A">
        <w:rPr>
          <w:rFonts w:ascii="Times New Roman" w:hAnsi="Times New Roman" w:cs="Times New Roman"/>
        </w:rPr>
        <w:tab/>
        <w:t>EDP Systems Analyst II</w:t>
      </w:r>
    </w:p>
    <w:p w14:paraId="6493FE39" w14:textId="77777777" w:rsidR="00422E95" w:rsidRPr="00352A9A" w:rsidRDefault="00422E95" w:rsidP="00352A9A">
      <w:pPr>
        <w:pStyle w:val="ListParagraph"/>
        <w:numPr>
          <w:ilvl w:val="0"/>
          <w:numId w:val="50"/>
        </w:numPr>
        <w:spacing w:line="276" w:lineRule="auto"/>
        <w:rPr>
          <w:rFonts w:ascii="Times New Roman" w:hAnsi="Times New Roman" w:cs="Times New Roman"/>
        </w:rPr>
      </w:pPr>
      <w:r w:rsidRPr="00352A9A">
        <w:rPr>
          <w:rFonts w:ascii="Times New Roman" w:hAnsi="Times New Roman" w:cs="Times New Roman"/>
        </w:rPr>
        <w:t>Joyce Kwong</w:t>
      </w:r>
      <w:r w:rsidRPr="00352A9A">
        <w:rPr>
          <w:rFonts w:ascii="Times New Roman" w:hAnsi="Times New Roman" w:cs="Times New Roman"/>
        </w:rPr>
        <w:tab/>
      </w:r>
      <w:r w:rsidRPr="00352A9A">
        <w:rPr>
          <w:rFonts w:ascii="Times New Roman" w:hAnsi="Times New Roman" w:cs="Times New Roman"/>
        </w:rPr>
        <w:tab/>
        <w:t>EDP Systems Analyst I</w:t>
      </w:r>
    </w:p>
    <w:p w14:paraId="1C8CC17A" w14:textId="77777777" w:rsidR="00422E95" w:rsidRPr="00352A9A" w:rsidRDefault="00422E95" w:rsidP="00352A9A">
      <w:pPr>
        <w:pStyle w:val="ListParagraph"/>
        <w:numPr>
          <w:ilvl w:val="0"/>
          <w:numId w:val="50"/>
        </w:numPr>
        <w:spacing w:line="276" w:lineRule="auto"/>
        <w:rPr>
          <w:rFonts w:ascii="Times New Roman" w:hAnsi="Times New Roman" w:cs="Times New Roman"/>
        </w:rPr>
      </w:pPr>
      <w:r w:rsidRPr="00352A9A">
        <w:rPr>
          <w:rFonts w:ascii="Times New Roman" w:hAnsi="Times New Roman" w:cs="Times New Roman"/>
        </w:rPr>
        <w:t>Tina Andrews</w:t>
      </w:r>
      <w:r w:rsidRPr="00352A9A">
        <w:rPr>
          <w:rFonts w:ascii="Times New Roman" w:hAnsi="Times New Roman" w:cs="Times New Roman"/>
        </w:rPr>
        <w:tab/>
      </w:r>
      <w:r w:rsidRPr="00352A9A">
        <w:rPr>
          <w:rFonts w:ascii="Times New Roman" w:hAnsi="Times New Roman" w:cs="Times New Roman"/>
        </w:rPr>
        <w:tab/>
        <w:t>Certification Investigator</w:t>
      </w:r>
    </w:p>
    <w:p w14:paraId="5EE726F5" w14:textId="77777777" w:rsidR="00422E95" w:rsidRPr="00352A9A" w:rsidRDefault="00422E95" w:rsidP="00352A9A">
      <w:pPr>
        <w:pStyle w:val="ListParagraph"/>
        <w:numPr>
          <w:ilvl w:val="0"/>
          <w:numId w:val="50"/>
        </w:numPr>
        <w:spacing w:line="276" w:lineRule="auto"/>
        <w:rPr>
          <w:rFonts w:ascii="Times New Roman" w:hAnsi="Times New Roman" w:cs="Times New Roman"/>
        </w:rPr>
      </w:pPr>
      <w:r w:rsidRPr="00352A9A">
        <w:rPr>
          <w:rFonts w:ascii="Times New Roman" w:hAnsi="Times New Roman" w:cs="Times New Roman"/>
        </w:rPr>
        <w:t>Wanda Colon</w:t>
      </w:r>
      <w:r w:rsidRPr="00352A9A">
        <w:rPr>
          <w:rFonts w:ascii="Times New Roman" w:hAnsi="Times New Roman" w:cs="Times New Roman"/>
        </w:rPr>
        <w:tab/>
      </w:r>
      <w:r w:rsidRPr="00352A9A">
        <w:rPr>
          <w:rFonts w:ascii="Times New Roman" w:hAnsi="Times New Roman" w:cs="Times New Roman"/>
        </w:rPr>
        <w:tab/>
        <w:t>Certification Investigator</w:t>
      </w:r>
    </w:p>
    <w:p w14:paraId="64CE6356" w14:textId="77777777" w:rsidR="00422E95" w:rsidRPr="00352A9A" w:rsidRDefault="00422E95" w:rsidP="00352A9A">
      <w:pPr>
        <w:pStyle w:val="ListParagraph"/>
        <w:numPr>
          <w:ilvl w:val="0"/>
          <w:numId w:val="50"/>
        </w:numPr>
        <w:spacing w:line="276" w:lineRule="auto"/>
        <w:rPr>
          <w:rFonts w:ascii="Times New Roman" w:hAnsi="Times New Roman" w:cs="Times New Roman"/>
        </w:rPr>
      </w:pPr>
      <w:r w:rsidRPr="00352A9A">
        <w:rPr>
          <w:rFonts w:ascii="Times New Roman" w:hAnsi="Times New Roman" w:cs="Times New Roman"/>
        </w:rPr>
        <w:t>Ayoka Drake</w:t>
      </w:r>
      <w:r w:rsidRPr="00352A9A">
        <w:rPr>
          <w:rFonts w:ascii="Times New Roman" w:hAnsi="Times New Roman" w:cs="Times New Roman"/>
        </w:rPr>
        <w:tab/>
      </w:r>
      <w:r w:rsidRPr="00352A9A">
        <w:rPr>
          <w:rFonts w:ascii="Times New Roman" w:hAnsi="Times New Roman" w:cs="Times New Roman"/>
        </w:rPr>
        <w:tab/>
        <w:t>Certification Investigator</w:t>
      </w:r>
    </w:p>
    <w:p w14:paraId="5CC5CE61" w14:textId="77777777" w:rsidR="00422E95" w:rsidRPr="00352A9A" w:rsidRDefault="00422E95" w:rsidP="00352A9A">
      <w:pPr>
        <w:pStyle w:val="ListParagraph"/>
        <w:numPr>
          <w:ilvl w:val="0"/>
          <w:numId w:val="50"/>
        </w:numPr>
        <w:spacing w:line="276" w:lineRule="auto"/>
        <w:rPr>
          <w:rFonts w:ascii="Times New Roman" w:hAnsi="Times New Roman" w:cs="Times New Roman"/>
        </w:rPr>
      </w:pPr>
      <w:r w:rsidRPr="00352A9A">
        <w:rPr>
          <w:rFonts w:ascii="Times New Roman" w:hAnsi="Times New Roman" w:cs="Times New Roman"/>
        </w:rPr>
        <w:t>Letha Roberts</w:t>
      </w:r>
      <w:r w:rsidRPr="00352A9A">
        <w:rPr>
          <w:rFonts w:ascii="Times New Roman" w:hAnsi="Times New Roman" w:cs="Times New Roman"/>
        </w:rPr>
        <w:tab/>
      </w:r>
      <w:r w:rsidRPr="00352A9A">
        <w:rPr>
          <w:rFonts w:ascii="Times New Roman" w:hAnsi="Times New Roman" w:cs="Times New Roman"/>
        </w:rPr>
        <w:tab/>
        <w:t>Certification Investigator</w:t>
      </w:r>
    </w:p>
    <w:p w14:paraId="2B8B4DE9" w14:textId="77777777" w:rsidR="00422E95" w:rsidRPr="00352A9A" w:rsidRDefault="00422E95" w:rsidP="00352A9A">
      <w:pPr>
        <w:pStyle w:val="ListParagraph"/>
        <w:numPr>
          <w:ilvl w:val="0"/>
          <w:numId w:val="50"/>
        </w:numPr>
        <w:spacing w:line="276" w:lineRule="auto"/>
        <w:rPr>
          <w:rFonts w:ascii="Times New Roman" w:hAnsi="Times New Roman" w:cs="Times New Roman"/>
        </w:rPr>
      </w:pPr>
      <w:r w:rsidRPr="00352A9A">
        <w:rPr>
          <w:rFonts w:ascii="Times New Roman" w:hAnsi="Times New Roman" w:cs="Times New Roman"/>
        </w:rPr>
        <w:t>Ray Blount</w:t>
      </w:r>
      <w:r w:rsidRPr="00352A9A">
        <w:rPr>
          <w:rFonts w:ascii="Times New Roman" w:hAnsi="Times New Roman" w:cs="Times New Roman"/>
        </w:rPr>
        <w:tab/>
      </w:r>
      <w:r w:rsidRPr="00352A9A">
        <w:rPr>
          <w:rFonts w:ascii="Times New Roman" w:hAnsi="Times New Roman" w:cs="Times New Roman"/>
        </w:rPr>
        <w:tab/>
        <w:t>Certification Investigator</w:t>
      </w:r>
    </w:p>
    <w:p w14:paraId="1A38A1FD" w14:textId="77777777" w:rsidR="00422E95" w:rsidRPr="00352A9A" w:rsidRDefault="00422E95" w:rsidP="00352A9A">
      <w:pPr>
        <w:pStyle w:val="ListParagraph"/>
        <w:numPr>
          <w:ilvl w:val="0"/>
          <w:numId w:val="50"/>
        </w:numPr>
        <w:spacing w:line="276" w:lineRule="auto"/>
        <w:rPr>
          <w:rFonts w:ascii="Times New Roman" w:hAnsi="Times New Roman" w:cs="Times New Roman"/>
        </w:rPr>
      </w:pPr>
      <w:r w:rsidRPr="00352A9A">
        <w:rPr>
          <w:rFonts w:ascii="Times New Roman" w:hAnsi="Times New Roman" w:cs="Times New Roman"/>
        </w:rPr>
        <w:t>Andre Titus</w:t>
      </w:r>
      <w:r w:rsidRPr="00352A9A">
        <w:rPr>
          <w:rFonts w:ascii="Times New Roman" w:hAnsi="Times New Roman" w:cs="Times New Roman"/>
        </w:rPr>
        <w:tab/>
      </w:r>
      <w:r w:rsidRPr="00352A9A">
        <w:rPr>
          <w:rFonts w:ascii="Times New Roman" w:hAnsi="Times New Roman" w:cs="Times New Roman"/>
        </w:rPr>
        <w:tab/>
        <w:t>Certification Investigator</w:t>
      </w:r>
    </w:p>
    <w:p w14:paraId="09AB1F2F" w14:textId="77777777" w:rsidR="00422E95" w:rsidRPr="00352A9A" w:rsidRDefault="00422E95" w:rsidP="00352A9A">
      <w:pPr>
        <w:spacing w:after="0"/>
      </w:pPr>
    </w:p>
    <w:p w14:paraId="04D8115D" w14:textId="77777777" w:rsidR="00422E95" w:rsidRPr="00352A9A" w:rsidRDefault="00422E95" w:rsidP="00352A9A">
      <w:pPr>
        <w:spacing w:after="0"/>
      </w:pPr>
      <w:r w:rsidRPr="00352A9A">
        <w:rPr>
          <w:b/>
          <w:u w:val="single"/>
        </w:rPr>
        <w:t>Suppler Diversity Program/Small Business Purch</w:t>
      </w:r>
      <w:r w:rsidR="008A63D3">
        <w:rPr>
          <w:b/>
          <w:u w:val="single"/>
        </w:rPr>
        <w:t>a</w:t>
      </w:r>
      <w:r w:rsidRPr="00352A9A">
        <w:rPr>
          <w:b/>
          <w:u w:val="single"/>
        </w:rPr>
        <w:t>sing Program</w:t>
      </w:r>
    </w:p>
    <w:p w14:paraId="701ED49B" w14:textId="77777777" w:rsidR="00422E95" w:rsidRPr="00352A9A" w:rsidRDefault="00422E95" w:rsidP="00352A9A">
      <w:pPr>
        <w:spacing w:after="0"/>
      </w:pPr>
    </w:p>
    <w:p w14:paraId="69CF2482" w14:textId="77777777" w:rsidR="00422E95" w:rsidRPr="00352A9A" w:rsidRDefault="00422E95" w:rsidP="00352A9A">
      <w:pPr>
        <w:spacing w:after="0"/>
      </w:pPr>
      <w:r w:rsidRPr="00352A9A">
        <w:t>Gladymar Parziale</w:t>
      </w:r>
      <w:r w:rsidRPr="00352A9A">
        <w:tab/>
      </w:r>
      <w:r w:rsidRPr="00352A9A">
        <w:tab/>
        <w:t>Director of Goods &amp; Services Unit</w:t>
      </w:r>
    </w:p>
    <w:p w14:paraId="4AB88623" w14:textId="77777777" w:rsidR="00422E95" w:rsidRPr="00352A9A" w:rsidRDefault="00422E95" w:rsidP="00352A9A">
      <w:pPr>
        <w:spacing w:after="0"/>
      </w:pPr>
    </w:p>
    <w:p w14:paraId="23FED0AC" w14:textId="77777777" w:rsidR="00422E95" w:rsidRPr="00352A9A" w:rsidRDefault="00422E95" w:rsidP="00352A9A">
      <w:pPr>
        <w:rPr>
          <w:b/>
          <w:u w:val="single"/>
        </w:rPr>
      </w:pPr>
      <w:r w:rsidRPr="00352A9A">
        <w:rPr>
          <w:b/>
          <w:u w:val="single"/>
        </w:rPr>
        <w:t>Construction Reform</w:t>
      </w:r>
    </w:p>
    <w:p w14:paraId="019815CE" w14:textId="77777777" w:rsidR="00422E95" w:rsidRPr="00352A9A" w:rsidRDefault="00422E95" w:rsidP="00352A9A">
      <w:r w:rsidRPr="00352A9A">
        <w:rPr>
          <w:color w:val="000000"/>
        </w:rPr>
        <w:t>John B. Fitzpatrick</w:t>
      </w:r>
      <w:r w:rsidRPr="00352A9A">
        <w:rPr>
          <w:color w:val="000000"/>
        </w:rPr>
        <w:tab/>
      </w:r>
      <w:r w:rsidRPr="00352A9A">
        <w:rPr>
          <w:color w:val="000000"/>
        </w:rPr>
        <w:tab/>
      </w:r>
      <w:r w:rsidRPr="00352A9A">
        <w:t>Director of Construction Reform</w:t>
      </w:r>
    </w:p>
    <w:p w14:paraId="42891F9B" w14:textId="77777777" w:rsidR="00422E95" w:rsidRPr="00352A9A" w:rsidRDefault="00422E95" w:rsidP="00352A9A">
      <w:r w:rsidRPr="00352A9A">
        <w:t>Assigned from OSD’s Legal, Policy &amp; Compliance Office to SDO</w:t>
      </w:r>
    </w:p>
    <w:p w14:paraId="218E57C0" w14:textId="77777777" w:rsidR="00422E95" w:rsidRPr="00352A9A" w:rsidRDefault="00422E95" w:rsidP="00352A9A">
      <w:r w:rsidRPr="00352A9A">
        <w:t>Thomas C. Hall, Esq.</w:t>
      </w:r>
      <w:r w:rsidRPr="00352A9A">
        <w:tab/>
      </w:r>
      <w:r w:rsidRPr="00352A9A">
        <w:tab/>
        <w:t>Legal Counsel</w:t>
      </w:r>
    </w:p>
    <w:p w14:paraId="6CC928E7" w14:textId="77777777" w:rsidR="00422E95" w:rsidRPr="00352A9A" w:rsidRDefault="00422E95" w:rsidP="00352A9A"/>
    <w:p w14:paraId="7C33230B" w14:textId="77777777" w:rsidR="00422E95" w:rsidRPr="00352A9A" w:rsidRDefault="00422E95" w:rsidP="00352A9A">
      <w:pPr>
        <w:spacing w:after="0"/>
        <w:jc w:val="center"/>
      </w:pPr>
      <w:r w:rsidRPr="00352A9A">
        <w:t>Supplier Diversity Office</w:t>
      </w:r>
    </w:p>
    <w:p w14:paraId="50D46A63" w14:textId="77777777" w:rsidR="00422E95" w:rsidRPr="00352A9A" w:rsidRDefault="00422E95" w:rsidP="00352A9A">
      <w:pPr>
        <w:spacing w:after="0"/>
        <w:jc w:val="center"/>
      </w:pPr>
      <w:r w:rsidRPr="00352A9A">
        <w:t>Operational Services Division</w:t>
      </w:r>
    </w:p>
    <w:p w14:paraId="00022884" w14:textId="77777777" w:rsidR="00422E95" w:rsidRPr="00352A9A" w:rsidRDefault="00422E95" w:rsidP="00352A9A">
      <w:pPr>
        <w:spacing w:after="0"/>
        <w:jc w:val="center"/>
      </w:pPr>
      <w:r w:rsidRPr="00352A9A">
        <w:t>Commonwealth of Massachusetts</w:t>
      </w:r>
    </w:p>
    <w:p w14:paraId="6DD90D8B" w14:textId="77777777" w:rsidR="00422E95" w:rsidRPr="00352A9A" w:rsidRDefault="00422E95" w:rsidP="00352A9A">
      <w:pPr>
        <w:spacing w:after="0"/>
        <w:jc w:val="center"/>
      </w:pPr>
      <w:r w:rsidRPr="00352A9A">
        <w:t>One Ashburton Place, Room 1313</w:t>
      </w:r>
    </w:p>
    <w:p w14:paraId="3AE9732D" w14:textId="77777777" w:rsidR="00422E95" w:rsidRPr="00352A9A" w:rsidRDefault="00422E95" w:rsidP="00352A9A">
      <w:pPr>
        <w:spacing w:after="0"/>
        <w:jc w:val="center"/>
      </w:pPr>
      <w:r w:rsidRPr="00352A9A">
        <w:t>Boston, Massachusetts 02108</w:t>
      </w:r>
    </w:p>
    <w:p w14:paraId="28F45958" w14:textId="77777777" w:rsidR="00422E95" w:rsidRPr="00352A9A" w:rsidRDefault="00422E95" w:rsidP="00352A9A">
      <w:pPr>
        <w:spacing w:after="0"/>
        <w:jc w:val="center"/>
      </w:pPr>
      <w:r w:rsidRPr="00352A9A">
        <w:t>Phone: 617-502-8831</w:t>
      </w:r>
    </w:p>
    <w:p w14:paraId="41145032" w14:textId="77777777" w:rsidR="00422E95" w:rsidRPr="00352A9A" w:rsidRDefault="00422E95" w:rsidP="00352A9A">
      <w:pPr>
        <w:spacing w:after="0"/>
        <w:jc w:val="center"/>
      </w:pPr>
      <w:r w:rsidRPr="00352A9A">
        <w:t>Fax: 617-502-8841</w:t>
      </w:r>
    </w:p>
    <w:p w14:paraId="43557617" w14:textId="77777777" w:rsidR="00422E95" w:rsidRDefault="00422E95" w:rsidP="00352A9A">
      <w:pPr>
        <w:spacing w:after="0"/>
        <w:jc w:val="center"/>
        <w:rPr>
          <w:rStyle w:val="Hyperlink"/>
          <w:u w:val="none"/>
        </w:rPr>
      </w:pPr>
      <w:hyperlink r:id="rId26" w:tooltip="http://www.mass.gov/sdo" w:history="1">
        <w:r w:rsidRPr="00352A9A">
          <w:rPr>
            <w:rStyle w:val="Hyperlink"/>
            <w:u w:val="none"/>
          </w:rPr>
          <w:t>www.mass.gov/sdo</w:t>
        </w:r>
      </w:hyperlink>
    </w:p>
    <w:p w14:paraId="40A027B9" w14:textId="77777777" w:rsidR="001E74A1" w:rsidRPr="007713C1" w:rsidRDefault="001E74A1" w:rsidP="00D45548"/>
    <w:p w14:paraId="5B20B61A" w14:textId="77777777" w:rsidR="001E74A1" w:rsidRPr="007713C1" w:rsidRDefault="001E74A1" w:rsidP="00422E95">
      <w:pPr>
        <w:pStyle w:val="Heading1"/>
        <w:spacing w:before="4200"/>
      </w:pPr>
      <w:bookmarkStart w:id="16" w:name="_Toc405372680"/>
      <w:r w:rsidRPr="007713C1">
        <w:lastRenderedPageBreak/>
        <w:t>APPENDIX B</w:t>
      </w:r>
      <w:bookmarkEnd w:id="16"/>
    </w:p>
    <w:p w14:paraId="10F6F1BE" w14:textId="77777777" w:rsidR="00BB623F" w:rsidRPr="007713C1" w:rsidRDefault="00BB623F" w:rsidP="000825A7">
      <w:pPr>
        <w:jc w:val="center"/>
      </w:pPr>
      <w:r w:rsidRPr="007713C1">
        <w:t>PARTNERS</w:t>
      </w:r>
    </w:p>
    <w:p w14:paraId="6CA4C7E2" w14:textId="77777777" w:rsidR="00BB7447" w:rsidRPr="007713C1" w:rsidRDefault="006F5B4B" w:rsidP="00D45548">
      <w:r w:rsidRPr="007713C1">
        <w:t>The work of the Supplier Diversity Office could not be effective without partnership</w:t>
      </w:r>
      <w:r w:rsidR="00075760" w:rsidRPr="007713C1">
        <w:t>s</w:t>
      </w:r>
      <w:r w:rsidRPr="007713C1">
        <w:t xml:space="preserve"> </w:t>
      </w:r>
      <w:r w:rsidR="0080000C" w:rsidRPr="007713C1">
        <w:t xml:space="preserve">with </w:t>
      </w:r>
      <w:r w:rsidRPr="007713C1">
        <w:t>our community</w:t>
      </w:r>
      <w:r w:rsidR="007C6321" w:rsidRPr="007713C1">
        <w:t xml:space="preserve">.  </w:t>
      </w:r>
      <w:r w:rsidRPr="007713C1">
        <w:t xml:space="preserve">SDO acknowledges the following partners for their participation and support </w:t>
      </w:r>
      <w:r w:rsidR="00263F21" w:rsidRPr="007713C1">
        <w:t xml:space="preserve">with the various projects and programs of the Supplier Diversity Office </w:t>
      </w:r>
      <w:r w:rsidRPr="007713C1">
        <w:t xml:space="preserve">during </w:t>
      </w:r>
      <w:r w:rsidR="00FB6CC3" w:rsidRPr="007713C1">
        <w:t>FY2013</w:t>
      </w:r>
      <w:r w:rsidR="00263F21" w:rsidRPr="007713C1">
        <w:t>.</w:t>
      </w:r>
      <w:r w:rsidR="00952457" w:rsidRPr="007713C1">
        <w:t xml:space="preserve"> </w:t>
      </w:r>
    </w:p>
    <w:p w14:paraId="08951C58" w14:textId="77777777" w:rsidR="00952457" w:rsidRPr="007713C1" w:rsidRDefault="00952457" w:rsidP="00D45548">
      <w:pPr>
        <w:sectPr w:rsidR="00952457" w:rsidRPr="007713C1" w:rsidSect="0014292E">
          <w:footerReference w:type="default" r:id="rId27"/>
          <w:pgSz w:w="12240" w:h="15840" w:code="1"/>
          <w:pgMar w:top="810" w:right="1440" w:bottom="1260" w:left="1440" w:header="0" w:footer="343" w:gutter="0"/>
          <w:cols w:space="720"/>
          <w:docGrid w:linePitch="360"/>
        </w:sectPr>
      </w:pPr>
    </w:p>
    <w:tbl>
      <w:tblPr>
        <w:tblW w:w="4860" w:type="dxa"/>
        <w:tblInd w:w="-72" w:type="dxa"/>
        <w:tblLayout w:type="fixed"/>
        <w:tblLook w:val="04A0" w:firstRow="1" w:lastRow="0" w:firstColumn="1" w:lastColumn="0" w:noHBand="0" w:noVBand="1"/>
      </w:tblPr>
      <w:tblGrid>
        <w:gridCol w:w="4860"/>
      </w:tblGrid>
      <w:tr w:rsidR="0048018D" w:rsidRPr="007713C1" w14:paraId="0412C1C7"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5B6D1D88" w14:textId="77777777" w:rsidR="0048018D" w:rsidRPr="007713C1" w:rsidRDefault="00952457" w:rsidP="00D45548">
            <w:r w:rsidRPr="007713C1">
              <w:t>American Institute of Architects</w:t>
            </w:r>
          </w:p>
        </w:tc>
      </w:tr>
      <w:tr w:rsidR="0048018D" w:rsidRPr="007713C1" w14:paraId="52607EF2"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5EA09AD3" w14:textId="77777777" w:rsidR="0048018D" w:rsidRPr="007713C1" w:rsidRDefault="00952457" w:rsidP="003F25A3">
            <w:r w:rsidRPr="007713C1">
              <w:t>Boston Society of Architects</w:t>
            </w:r>
          </w:p>
        </w:tc>
      </w:tr>
      <w:tr w:rsidR="00952457" w:rsidRPr="007713C1" w14:paraId="777D476A" w14:textId="77777777" w:rsidTr="00D601CA">
        <w:trPr>
          <w:trHeight w:hRule="exact" w:val="658"/>
        </w:trPr>
        <w:tc>
          <w:tcPr>
            <w:tcW w:w="4860" w:type="dxa"/>
            <w:tcBorders>
              <w:top w:val="single" w:sz="4" w:space="0" w:color="auto"/>
              <w:left w:val="single" w:sz="4" w:space="0" w:color="auto"/>
              <w:bottom w:val="single" w:sz="4" w:space="0" w:color="auto"/>
              <w:right w:val="single" w:sz="4" w:space="0" w:color="auto"/>
            </w:tcBorders>
            <w:noWrap/>
            <w:vAlign w:val="center"/>
          </w:tcPr>
          <w:p w14:paraId="5AF2F223" w14:textId="77777777" w:rsidR="006113DD" w:rsidRDefault="00952457" w:rsidP="00981ACD">
            <w:r w:rsidRPr="007713C1">
              <w:t xml:space="preserve">Brockton </w:t>
            </w:r>
            <w:r w:rsidR="006113DD">
              <w:t xml:space="preserve">Metro South </w:t>
            </w:r>
            <w:r w:rsidR="00981ACD">
              <w:t>Chamber of Commerce</w:t>
            </w:r>
            <w:r w:rsidR="00F54ADE">
              <w:t>,</w:t>
            </w:r>
            <w:r w:rsidR="006113DD">
              <w:t xml:space="preserve">  Chris</w:t>
            </w:r>
            <w:r w:rsidR="00D601CA">
              <w:t xml:space="preserve"> Cooney</w:t>
            </w:r>
          </w:p>
          <w:p w14:paraId="35401BF5" w14:textId="77777777" w:rsidR="00952457" w:rsidRPr="007713C1" w:rsidRDefault="006113DD" w:rsidP="00981ACD">
            <w:r>
              <w:t xml:space="preserve"> Cooney</w:t>
            </w:r>
          </w:p>
        </w:tc>
      </w:tr>
      <w:tr w:rsidR="0048018D" w:rsidRPr="007713C1" w14:paraId="03846D1E"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1C299D4E" w14:textId="77777777" w:rsidR="0048018D" w:rsidRPr="007713C1" w:rsidRDefault="0048018D" w:rsidP="00D9044F">
            <w:pPr>
              <w:ind w:right="-108"/>
            </w:pPr>
            <w:r w:rsidRPr="007713C1">
              <w:t>Executive Office for Administration and Finance</w:t>
            </w:r>
          </w:p>
        </w:tc>
      </w:tr>
      <w:tr w:rsidR="0048018D" w:rsidRPr="007713C1" w14:paraId="556D33BF" w14:textId="77777777" w:rsidTr="00D9044F">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0A5AB8B8" w14:textId="77777777" w:rsidR="0048018D" w:rsidRPr="007713C1" w:rsidRDefault="0048018D" w:rsidP="00D45548">
            <w:r w:rsidRPr="007713C1">
              <w:t>Executive Office of Housing and Economic</w:t>
            </w:r>
            <w:r w:rsidR="00105BFA">
              <w:t xml:space="preserve"> Development</w:t>
            </w:r>
            <w:r w:rsidR="00AD69A9" w:rsidRPr="007713C1">
              <w:t>, Michael Hunter</w:t>
            </w:r>
          </w:p>
        </w:tc>
      </w:tr>
      <w:tr w:rsidR="0048018D" w:rsidRPr="007713C1" w14:paraId="63BC31FC" w14:textId="77777777" w:rsidTr="00D9044F">
        <w:trPr>
          <w:trHeight w:hRule="exact" w:val="432"/>
        </w:trPr>
        <w:tc>
          <w:tcPr>
            <w:tcW w:w="4860" w:type="dxa"/>
            <w:tcBorders>
              <w:top w:val="single" w:sz="4" w:space="0" w:color="auto"/>
              <w:left w:val="single" w:sz="4" w:space="0" w:color="auto"/>
              <w:bottom w:val="single" w:sz="4" w:space="0" w:color="auto"/>
              <w:right w:val="single" w:sz="4" w:space="0" w:color="auto"/>
            </w:tcBorders>
            <w:noWrap/>
            <w:vAlign w:val="bottom"/>
            <w:hideMark/>
          </w:tcPr>
          <w:p w14:paraId="59671C79" w14:textId="77777777" w:rsidR="0048018D" w:rsidRPr="007713C1" w:rsidRDefault="0048018D" w:rsidP="00D45548">
            <w:r w:rsidRPr="007713C1">
              <w:t>Gilbane Construction</w:t>
            </w:r>
            <w:r w:rsidR="00333578" w:rsidRPr="007713C1">
              <w:t>, Johnathan DePina</w:t>
            </w:r>
          </w:p>
        </w:tc>
      </w:tr>
      <w:tr w:rsidR="0048018D" w:rsidRPr="007713C1" w14:paraId="508DA92D" w14:textId="77777777" w:rsidTr="00D9044F">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45D67D31" w14:textId="77777777" w:rsidR="0048018D" w:rsidRPr="007713C1" w:rsidRDefault="0048018D" w:rsidP="00D45548">
            <w:r w:rsidRPr="007713C1">
              <w:t>Gilbane M/WBE Contractor Training Program FY1</w:t>
            </w:r>
            <w:r w:rsidR="00AD69A9" w:rsidRPr="007713C1">
              <w:t>3</w:t>
            </w:r>
            <w:r w:rsidR="00EC24C6" w:rsidRPr="007713C1">
              <w:t>, Kahlil Olmstead</w:t>
            </w:r>
          </w:p>
        </w:tc>
      </w:tr>
      <w:tr w:rsidR="0048018D" w:rsidRPr="007713C1" w14:paraId="45E64A6E" w14:textId="77777777" w:rsidTr="00D9044F">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659FFE29" w14:textId="77777777" w:rsidR="0048018D" w:rsidRPr="007713C1" w:rsidRDefault="0048018D" w:rsidP="00D45548">
            <w:r w:rsidRPr="007713C1">
              <w:t>Greater New England Minority Supplier Development Council</w:t>
            </w:r>
            <w:r w:rsidR="00AD69A9" w:rsidRPr="007713C1">
              <w:t>, Dr. Fred McKinney</w:t>
            </w:r>
          </w:p>
        </w:tc>
      </w:tr>
      <w:tr w:rsidR="0048018D" w:rsidRPr="007713C1" w14:paraId="698AC02C" w14:textId="77777777" w:rsidTr="00D9044F">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2EC22824" w14:textId="77777777" w:rsidR="0048018D" w:rsidRPr="007713C1" w:rsidRDefault="0048018D" w:rsidP="00D45548">
            <w:r w:rsidRPr="007713C1">
              <w:t>Hispanic-American Chambe</w:t>
            </w:r>
            <w:r w:rsidR="00AD69A9" w:rsidRPr="007713C1">
              <w:t>r of Commerce of Greater Boston, Nadar Acevedo</w:t>
            </w:r>
          </w:p>
        </w:tc>
      </w:tr>
      <w:tr w:rsidR="0048018D" w:rsidRPr="007713C1" w14:paraId="643A0039"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0AFB42B0" w14:textId="77777777" w:rsidR="0048018D" w:rsidRPr="007713C1" w:rsidRDefault="0048018D" w:rsidP="00D45548">
            <w:r w:rsidRPr="007713C1">
              <w:t>Marketing Edge Consulting Group</w:t>
            </w:r>
          </w:p>
        </w:tc>
      </w:tr>
      <w:tr w:rsidR="0048018D" w:rsidRPr="007713C1" w14:paraId="26FD8A58"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bottom"/>
            <w:hideMark/>
          </w:tcPr>
          <w:p w14:paraId="202783F1" w14:textId="77777777" w:rsidR="0048018D" w:rsidRPr="007713C1" w:rsidRDefault="0048018D" w:rsidP="00D45548">
            <w:r w:rsidRPr="007713C1">
              <w:t>Mass Community Development Corporation</w:t>
            </w:r>
          </w:p>
        </w:tc>
      </w:tr>
      <w:tr w:rsidR="0048018D" w:rsidRPr="007713C1" w14:paraId="12CAD74C" w14:textId="77777777" w:rsidTr="00D9044F">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bottom"/>
            <w:hideMark/>
          </w:tcPr>
          <w:p w14:paraId="67B12AFB" w14:textId="77777777" w:rsidR="0048018D" w:rsidRPr="007713C1" w:rsidRDefault="0048018D" w:rsidP="00BA05AF">
            <w:r w:rsidRPr="007713C1">
              <w:t>Mass Minority Contractors Association</w:t>
            </w:r>
            <w:r w:rsidR="003F25A3">
              <w:t xml:space="preserve">, </w:t>
            </w:r>
            <w:r w:rsidRPr="007713C1">
              <w:t>Jesse Jeter</w:t>
            </w:r>
          </w:p>
        </w:tc>
      </w:tr>
      <w:tr w:rsidR="0048018D" w:rsidRPr="007713C1" w14:paraId="72325C69" w14:textId="77777777" w:rsidTr="00D9044F">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0AB2389C" w14:textId="77777777" w:rsidR="0048018D" w:rsidRPr="007713C1" w:rsidRDefault="0048018D" w:rsidP="00D45548">
            <w:r w:rsidRPr="007713C1">
              <w:t>Massachusetts Department of Transportation including:</w:t>
            </w:r>
          </w:p>
        </w:tc>
      </w:tr>
      <w:tr w:rsidR="0048018D" w:rsidRPr="007713C1" w14:paraId="31DAA7AC"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11101AA3" w14:textId="77777777" w:rsidR="0048018D" w:rsidRPr="007713C1" w:rsidRDefault="0048018D" w:rsidP="00D45548">
            <w:r w:rsidRPr="007713C1">
              <w:t>Aeronautics Division</w:t>
            </w:r>
            <w:r w:rsidR="00EC24C6" w:rsidRPr="007713C1">
              <w:t>, Steve Rawding</w:t>
            </w:r>
          </w:p>
        </w:tc>
      </w:tr>
      <w:tr w:rsidR="0048018D" w:rsidRPr="007713C1" w14:paraId="5CD1383B"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2C5F3DC3" w14:textId="77777777" w:rsidR="0048018D" w:rsidRPr="007713C1" w:rsidRDefault="0048018D" w:rsidP="00D45548">
            <w:r w:rsidRPr="007713C1">
              <w:t>Mass Highway</w:t>
            </w:r>
            <w:r w:rsidR="00AD69A9" w:rsidRPr="007713C1">
              <w:t>, Miguel Fernandes</w:t>
            </w:r>
          </w:p>
        </w:tc>
      </w:tr>
      <w:tr w:rsidR="0048018D" w:rsidRPr="007713C1" w14:paraId="4B56D785"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616719D4" w14:textId="77777777" w:rsidR="0048018D" w:rsidRPr="007713C1" w:rsidRDefault="0048018D" w:rsidP="00981ACD">
            <w:r w:rsidRPr="007713C1">
              <w:t>Mass Port</w:t>
            </w:r>
            <w:r w:rsidR="00AD69A9" w:rsidRPr="007713C1">
              <w:t xml:space="preserve">, </w:t>
            </w:r>
            <w:r w:rsidR="00981ACD">
              <w:t>Kenn Turner</w:t>
            </w:r>
          </w:p>
        </w:tc>
      </w:tr>
      <w:tr w:rsidR="0048018D" w:rsidRPr="007713C1" w14:paraId="020256C8"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5D96ECAB" w14:textId="77777777" w:rsidR="0048018D" w:rsidRPr="007713C1" w:rsidRDefault="0048018D" w:rsidP="00D45548">
            <w:r w:rsidRPr="007713C1">
              <w:t>MBTA</w:t>
            </w:r>
            <w:r w:rsidR="00AD69A9" w:rsidRPr="007713C1">
              <w:t>, Kenrick Clifton</w:t>
            </w:r>
          </w:p>
        </w:tc>
      </w:tr>
      <w:tr w:rsidR="0048018D" w:rsidRPr="007713C1" w14:paraId="486AB523"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2EC7F765" w14:textId="77777777" w:rsidR="0048018D" w:rsidRPr="007713C1" w:rsidRDefault="0048018D" w:rsidP="000825A7">
            <w:r w:rsidRPr="007713C1">
              <w:t xml:space="preserve">Regional Transit Authorities, </w:t>
            </w:r>
            <w:r w:rsidR="00AD69A9" w:rsidRPr="007713C1">
              <w:t>Jeanette Orsino</w:t>
            </w:r>
          </w:p>
        </w:tc>
      </w:tr>
      <w:tr w:rsidR="0048018D" w:rsidRPr="007713C1" w14:paraId="4C3B4A73" w14:textId="77777777" w:rsidTr="00D9044F">
        <w:trPr>
          <w:trHeight w:hRule="exact" w:val="907"/>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40B3C938" w14:textId="77777777" w:rsidR="0048018D" w:rsidRPr="007713C1" w:rsidRDefault="0048018D" w:rsidP="00BA05AF">
            <w:r w:rsidRPr="007713C1">
              <w:t>Massachusetts Division of Capital Asset Management and Maintenance</w:t>
            </w:r>
            <w:r w:rsidR="003F25A3">
              <w:t xml:space="preserve">, </w:t>
            </w:r>
            <w:r w:rsidRPr="007713C1">
              <w:t>Carol Cornelison</w:t>
            </w:r>
          </w:p>
        </w:tc>
      </w:tr>
      <w:tr w:rsidR="0048018D" w:rsidRPr="007713C1" w14:paraId="44B51F2C" w14:textId="77777777" w:rsidTr="00D9044F">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bottom"/>
            <w:hideMark/>
          </w:tcPr>
          <w:p w14:paraId="19A40734" w14:textId="77777777" w:rsidR="0048018D" w:rsidRPr="007713C1" w:rsidRDefault="0048018D" w:rsidP="00C2521C">
            <w:r w:rsidRPr="007713C1">
              <w:t>Massachusetts Gaming Commission</w:t>
            </w:r>
            <w:r w:rsidR="00AD69A9" w:rsidRPr="007713C1">
              <w:t>,</w:t>
            </w:r>
            <w:r w:rsidR="003F25A3">
              <w:t xml:space="preserve"> </w:t>
            </w:r>
            <w:r w:rsidR="00AD69A9" w:rsidRPr="007713C1">
              <w:t>Steve Crosby</w:t>
            </w:r>
          </w:p>
        </w:tc>
      </w:tr>
      <w:tr w:rsidR="0048018D" w:rsidRPr="007713C1" w14:paraId="1D0FABDD" w14:textId="77777777" w:rsidTr="00D9044F">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7379A72F" w14:textId="77777777" w:rsidR="0048018D" w:rsidRPr="007713C1" w:rsidRDefault="0048018D" w:rsidP="00D45548">
            <w:r w:rsidRPr="007713C1">
              <w:t>Massachus</w:t>
            </w:r>
            <w:r w:rsidR="00AD69A9" w:rsidRPr="007713C1">
              <w:t>etts Growth Capital Corporation, Charles Grigsby</w:t>
            </w:r>
          </w:p>
        </w:tc>
      </w:tr>
      <w:tr w:rsidR="0048018D" w:rsidRPr="007713C1" w14:paraId="427A96D1"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bottom"/>
            <w:hideMark/>
          </w:tcPr>
          <w:p w14:paraId="7D410570" w14:textId="77777777" w:rsidR="0048018D" w:rsidRPr="007713C1" w:rsidRDefault="00AD69A9" w:rsidP="000825A7">
            <w:pPr>
              <w:ind w:right="-288"/>
            </w:pPr>
            <w:r w:rsidRPr="007713C1">
              <w:t xml:space="preserve">Massachusetts Innovation Office, </w:t>
            </w:r>
            <w:r w:rsidR="004155C4" w:rsidRPr="007713C1">
              <w:t>Tony Parham</w:t>
            </w:r>
          </w:p>
        </w:tc>
      </w:tr>
      <w:tr w:rsidR="0048018D" w:rsidRPr="007713C1" w14:paraId="278F7F1E" w14:textId="77777777" w:rsidTr="00D9044F">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73F8B6F3" w14:textId="77777777" w:rsidR="00025D2A" w:rsidRPr="007713C1" w:rsidRDefault="0048018D" w:rsidP="00D45548">
            <w:r w:rsidRPr="007713C1">
              <w:t>Massachusetts Office of Access &amp; Opportunity</w:t>
            </w:r>
            <w:r w:rsidR="00AD69A9" w:rsidRPr="007713C1">
              <w:t>, Ron Marlow</w:t>
            </w:r>
          </w:p>
        </w:tc>
      </w:tr>
      <w:tr w:rsidR="0048018D" w:rsidRPr="007713C1" w14:paraId="3FB28FDB"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470C58AC" w14:textId="77777777" w:rsidR="0048018D" w:rsidRPr="007713C1" w:rsidRDefault="0048018D" w:rsidP="00D45548">
            <w:r w:rsidRPr="007713C1">
              <w:t>Massachusetts Office of the Inspector General</w:t>
            </w:r>
            <w:r w:rsidR="00333578" w:rsidRPr="007713C1">
              <w:t xml:space="preserve">, </w:t>
            </w:r>
          </w:p>
        </w:tc>
      </w:tr>
      <w:tr w:rsidR="0048018D" w:rsidRPr="007713C1" w14:paraId="4B5BAF66" w14:textId="77777777" w:rsidTr="00D9044F">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4045A870" w14:textId="77777777" w:rsidR="0048018D" w:rsidRPr="007713C1" w:rsidRDefault="0048018D" w:rsidP="009050D8">
            <w:r w:rsidRPr="007713C1">
              <w:t>Massachusetts School Building Authority</w:t>
            </w:r>
            <w:r w:rsidR="004155C4" w:rsidRPr="007713C1">
              <w:t>,</w:t>
            </w:r>
            <w:r w:rsidR="003F25A3">
              <w:t xml:space="preserve"> </w:t>
            </w:r>
            <w:r w:rsidR="004155C4" w:rsidRPr="007713C1">
              <w:t>J</w:t>
            </w:r>
            <w:r w:rsidR="003F25A3">
              <w:t xml:space="preserve">ack </w:t>
            </w:r>
            <w:r w:rsidR="004155C4" w:rsidRPr="007713C1">
              <w:t>McCart</w:t>
            </w:r>
            <w:r w:rsidR="003F25A3">
              <w:t>h</w:t>
            </w:r>
            <w:r w:rsidR="004155C4" w:rsidRPr="007713C1">
              <w:t>y</w:t>
            </w:r>
          </w:p>
        </w:tc>
      </w:tr>
      <w:tr w:rsidR="0048018D" w:rsidRPr="007713C1" w14:paraId="0B4CFEC4"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bottom"/>
            <w:hideMark/>
          </w:tcPr>
          <w:p w14:paraId="1764A650" w14:textId="77777777" w:rsidR="0048018D" w:rsidRPr="007713C1" w:rsidRDefault="0048018D" w:rsidP="00D45548">
            <w:r w:rsidRPr="007713C1">
              <w:t>Massachusetts State Auditor</w:t>
            </w:r>
            <w:r w:rsidR="00594067">
              <w:t>,</w:t>
            </w:r>
            <w:r w:rsidRPr="007713C1">
              <w:t xml:space="preserve"> Suzanne Bump</w:t>
            </w:r>
          </w:p>
        </w:tc>
      </w:tr>
      <w:tr w:rsidR="0048018D" w:rsidRPr="007713C1" w14:paraId="72FD86E5"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bottom"/>
            <w:hideMark/>
          </w:tcPr>
          <w:p w14:paraId="23D6656B" w14:textId="77777777" w:rsidR="0048018D" w:rsidRPr="007713C1" w:rsidRDefault="0048018D" w:rsidP="000825A7">
            <w:pPr>
              <w:ind w:right="-108"/>
            </w:pPr>
            <w:r w:rsidRPr="007713C1">
              <w:t>Massachusetts State Treasurer</w:t>
            </w:r>
            <w:r w:rsidR="00594067">
              <w:t>,</w:t>
            </w:r>
            <w:r w:rsidRPr="007713C1">
              <w:t xml:space="preserve"> Steven Grossman</w:t>
            </w:r>
          </w:p>
        </w:tc>
      </w:tr>
      <w:tr w:rsidR="0048018D" w:rsidRPr="007713C1" w14:paraId="6EBC298B"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bottom"/>
            <w:hideMark/>
          </w:tcPr>
          <w:p w14:paraId="032CF4E8" w14:textId="77777777" w:rsidR="0048018D" w:rsidRPr="007713C1" w:rsidRDefault="0048018D" w:rsidP="002848BF">
            <w:proofErr w:type="spellStart"/>
            <w:r w:rsidRPr="007713C1">
              <w:t>MassHousing</w:t>
            </w:r>
            <w:proofErr w:type="spellEnd"/>
            <w:r w:rsidR="002848BF">
              <w:t>,</w:t>
            </w:r>
            <w:r w:rsidRPr="007713C1">
              <w:t xml:space="preserve"> Bernard Brown</w:t>
            </w:r>
          </w:p>
        </w:tc>
      </w:tr>
      <w:tr w:rsidR="0048018D" w:rsidRPr="007713C1" w14:paraId="6A5EC527"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43929B5B" w14:textId="77777777" w:rsidR="0048018D" w:rsidRPr="007713C1" w:rsidRDefault="0048018D" w:rsidP="00D45548">
            <w:r w:rsidRPr="007713C1">
              <w:t>Merrimack Valley Federal Credit Union</w:t>
            </w:r>
          </w:p>
        </w:tc>
      </w:tr>
      <w:tr w:rsidR="0048018D" w:rsidRPr="007713C1" w14:paraId="30A4384D"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bottom"/>
            <w:hideMark/>
          </w:tcPr>
          <w:p w14:paraId="50BE53DD" w14:textId="77777777" w:rsidR="0048018D" w:rsidRPr="007713C1" w:rsidRDefault="0048018D" w:rsidP="00D45548">
            <w:r w:rsidRPr="007713C1">
              <w:t xml:space="preserve">NAACP </w:t>
            </w:r>
            <w:r w:rsidR="00AD69A9" w:rsidRPr="007713C1">
              <w:t>–</w:t>
            </w:r>
            <w:r w:rsidRPr="007713C1">
              <w:t xml:space="preserve"> Boston</w:t>
            </w:r>
            <w:r w:rsidR="00AD69A9" w:rsidRPr="007713C1">
              <w:t xml:space="preserve"> – Michael Curry, President</w:t>
            </w:r>
          </w:p>
        </w:tc>
      </w:tr>
      <w:tr w:rsidR="0048018D" w:rsidRPr="007713C1" w14:paraId="46F69843" w14:textId="77777777" w:rsidTr="00D9044F">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bottom"/>
            <w:hideMark/>
          </w:tcPr>
          <w:p w14:paraId="2710B4D8" w14:textId="77777777" w:rsidR="0048018D" w:rsidRPr="007713C1" w:rsidRDefault="000913DA" w:rsidP="00D45548">
            <w:r w:rsidRPr="007713C1">
              <w:t>NEA</w:t>
            </w:r>
            <w:r w:rsidR="00AD69A9" w:rsidRPr="007713C1">
              <w:t>C-NAACP – Regional, Juan Cofie</w:t>
            </w:r>
            <w:r w:rsidR="00333578" w:rsidRPr="007713C1">
              <w:t>l</w:t>
            </w:r>
            <w:r w:rsidR="00AD69A9" w:rsidRPr="007713C1">
              <w:t>d</w:t>
            </w:r>
            <w:r w:rsidRPr="007713C1">
              <w:t>,</w:t>
            </w:r>
            <w:r w:rsidR="00AD69A9" w:rsidRPr="007713C1">
              <w:t xml:space="preserve"> President</w:t>
            </w:r>
          </w:p>
        </w:tc>
      </w:tr>
      <w:tr w:rsidR="0048018D" w:rsidRPr="007713C1" w14:paraId="05F243CF"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bottom"/>
            <w:hideMark/>
          </w:tcPr>
          <w:p w14:paraId="7D3C1B5A" w14:textId="77777777" w:rsidR="0048018D" w:rsidRPr="007713C1" w:rsidRDefault="0048018D" w:rsidP="00BE778F">
            <w:r w:rsidRPr="007713C1">
              <w:t>Nation of Islam</w:t>
            </w:r>
            <w:r w:rsidR="00BE778F">
              <w:t xml:space="preserve">, </w:t>
            </w:r>
            <w:r w:rsidRPr="007713C1">
              <w:t>Minister Don Mohamed</w:t>
            </w:r>
          </w:p>
        </w:tc>
      </w:tr>
      <w:tr w:rsidR="0048018D" w:rsidRPr="007713C1" w14:paraId="7C032623" w14:textId="77777777" w:rsidTr="00D9044F">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bottom"/>
            <w:hideMark/>
          </w:tcPr>
          <w:p w14:paraId="3A201645" w14:textId="77777777" w:rsidR="0048018D" w:rsidRPr="007713C1" w:rsidRDefault="0048018D" w:rsidP="00BE778F">
            <w:r w:rsidRPr="007713C1">
              <w:t>Neighborhood Development Corporation of Grove Hall</w:t>
            </w:r>
            <w:r w:rsidR="00BE778F">
              <w:t xml:space="preserve">, </w:t>
            </w:r>
            <w:r w:rsidRPr="007713C1">
              <w:t>Virginia Morrison</w:t>
            </w:r>
          </w:p>
        </w:tc>
      </w:tr>
      <w:tr w:rsidR="0048018D" w:rsidRPr="007713C1" w14:paraId="2EDF43E6" w14:textId="77777777" w:rsidTr="00D9044F">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1FDAFB16" w14:textId="77777777" w:rsidR="0048018D" w:rsidRPr="007713C1" w:rsidRDefault="0048018D" w:rsidP="00BE778F">
            <w:r w:rsidRPr="007713C1">
              <w:t>Next Street Financial LLC</w:t>
            </w:r>
            <w:r w:rsidR="00BE778F">
              <w:t xml:space="preserve">, </w:t>
            </w:r>
            <w:r w:rsidR="00AD69A9" w:rsidRPr="007713C1">
              <w:t>Ron Walker</w:t>
            </w:r>
          </w:p>
        </w:tc>
      </w:tr>
      <w:tr w:rsidR="0048018D" w:rsidRPr="007713C1" w14:paraId="1E90EDD3" w14:textId="77777777" w:rsidTr="00D9044F">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bottom"/>
          </w:tcPr>
          <w:p w14:paraId="463C9E47" w14:textId="77777777" w:rsidR="0048018D" w:rsidRPr="007713C1" w:rsidRDefault="00696ADE" w:rsidP="00BE778F">
            <w:r w:rsidRPr="007713C1">
              <w:t>Office of Small Business and Entrepreneurship</w:t>
            </w:r>
            <w:r w:rsidR="00BE778F">
              <w:t>,</w:t>
            </w:r>
            <w:r w:rsidRPr="007713C1">
              <w:t xml:space="preserve"> Andre Porter</w:t>
            </w:r>
          </w:p>
        </w:tc>
      </w:tr>
      <w:tr w:rsidR="0048018D" w:rsidRPr="007713C1" w14:paraId="62EC2233" w14:textId="77777777" w:rsidTr="00D9044F">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39007DF0" w14:textId="77777777" w:rsidR="0048018D" w:rsidRPr="007713C1" w:rsidRDefault="0048018D" w:rsidP="00EF217C">
            <w:pPr>
              <w:ind w:right="-198"/>
            </w:pPr>
            <w:r w:rsidRPr="007713C1">
              <w:t>Office of the Attorney General of Massachusetts, Bid Protest Unit</w:t>
            </w:r>
            <w:r w:rsidR="00333578" w:rsidRPr="007713C1">
              <w:t>, Deborah Anderson</w:t>
            </w:r>
          </w:p>
        </w:tc>
      </w:tr>
      <w:tr w:rsidR="0048018D" w:rsidRPr="007713C1" w14:paraId="5AE6BE23" w14:textId="77777777" w:rsidTr="00A77429">
        <w:trPr>
          <w:trHeight w:hRule="exact" w:val="317"/>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17E8D958" w14:textId="77777777" w:rsidR="0048018D" w:rsidRPr="007713C1" w:rsidRDefault="0048018D" w:rsidP="00D45548">
            <w:r w:rsidRPr="007713C1">
              <w:t xml:space="preserve">P. Gioioso &amp; Sons, Inc. </w:t>
            </w:r>
          </w:p>
        </w:tc>
      </w:tr>
      <w:tr w:rsidR="0048018D" w:rsidRPr="007713C1" w14:paraId="1F1CF813" w14:textId="77777777" w:rsidTr="00A77429">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61193541" w14:textId="77777777" w:rsidR="0048018D" w:rsidRPr="007713C1" w:rsidRDefault="0048018D" w:rsidP="002C2FD7">
            <w:r w:rsidRPr="007713C1">
              <w:t>Suffolk Construction Subcontractor Development Series</w:t>
            </w:r>
            <w:r w:rsidR="002C2FD7">
              <w:t xml:space="preserve">, </w:t>
            </w:r>
            <w:r w:rsidR="00AD69A9" w:rsidRPr="007713C1">
              <w:t xml:space="preserve">Brian </w:t>
            </w:r>
            <w:r w:rsidR="00F54ADE" w:rsidRPr="007713C1">
              <w:t>McPherson</w:t>
            </w:r>
          </w:p>
        </w:tc>
      </w:tr>
      <w:tr w:rsidR="0048018D" w:rsidRPr="007713C1" w14:paraId="19E6B1D0" w14:textId="77777777" w:rsidTr="00A77429">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3565B53D" w14:textId="77777777" w:rsidR="0048018D" w:rsidRPr="007713C1" w:rsidRDefault="0048018D" w:rsidP="00141321">
            <w:r w:rsidRPr="007713C1">
              <w:t>Turner Sc</w:t>
            </w:r>
            <w:r w:rsidR="00273405" w:rsidRPr="007713C1">
              <w:t xml:space="preserve">hool of Construction Management, </w:t>
            </w:r>
            <w:r w:rsidR="00141321">
              <w:t>Alison</w:t>
            </w:r>
            <w:r w:rsidR="00273405" w:rsidRPr="007713C1">
              <w:t xml:space="preserve"> Stanton</w:t>
            </w:r>
          </w:p>
        </w:tc>
      </w:tr>
      <w:tr w:rsidR="0048018D" w:rsidRPr="007713C1" w14:paraId="379AB71E" w14:textId="77777777" w:rsidTr="00D9044F">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42404B6F" w14:textId="77777777" w:rsidR="0048018D" w:rsidRPr="007713C1" w:rsidRDefault="0048018D" w:rsidP="009050D8">
            <w:r w:rsidRPr="007713C1">
              <w:t>U.S. Small Business Administration</w:t>
            </w:r>
            <w:r w:rsidR="00594067">
              <w:t xml:space="preserve">, </w:t>
            </w:r>
            <w:r w:rsidR="00AD69A9" w:rsidRPr="007713C1">
              <w:t>Robert Nelson</w:t>
            </w:r>
          </w:p>
        </w:tc>
      </w:tr>
      <w:tr w:rsidR="0048018D" w:rsidRPr="007713C1" w14:paraId="6DFB2CC1" w14:textId="77777777" w:rsidTr="00D9044F">
        <w:trPr>
          <w:trHeight w:hRule="exact" w:val="648"/>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456FD2EA" w14:textId="77777777" w:rsidR="0048018D" w:rsidRPr="007713C1" w:rsidRDefault="0048018D" w:rsidP="009050D8">
            <w:r w:rsidRPr="007713C1">
              <w:t>Urban League Eastern Massachusetts</w:t>
            </w:r>
            <w:r w:rsidR="00594067">
              <w:t>,</w:t>
            </w:r>
            <w:r w:rsidRPr="007713C1">
              <w:t xml:space="preserve"> Darnell Williams</w:t>
            </w:r>
          </w:p>
        </w:tc>
      </w:tr>
    </w:tbl>
    <w:p w14:paraId="57F0C878" w14:textId="77777777" w:rsidR="00952457" w:rsidRPr="007713C1" w:rsidRDefault="00952457" w:rsidP="00D45548">
      <w:pPr>
        <w:sectPr w:rsidR="00952457" w:rsidRPr="007713C1" w:rsidSect="00EF217C">
          <w:type w:val="continuous"/>
          <w:pgSz w:w="12240" w:h="15840" w:code="1"/>
          <w:pgMar w:top="1584" w:right="1440" w:bottom="1260" w:left="1440" w:header="0" w:footer="343" w:gutter="0"/>
          <w:cols w:num="2" w:space="720"/>
          <w:docGrid w:linePitch="360"/>
        </w:sectPr>
      </w:pPr>
    </w:p>
    <w:p w14:paraId="4B479436" w14:textId="77777777" w:rsidR="00696ADE" w:rsidRDefault="00696ADE" w:rsidP="00D45548"/>
    <w:p w14:paraId="140DB5AF" w14:textId="77777777" w:rsidR="00952457" w:rsidRPr="007713C1" w:rsidRDefault="00952457" w:rsidP="00696ADE">
      <w:pPr>
        <w:spacing w:after="0" w:line="240" w:lineRule="auto"/>
      </w:pPr>
    </w:p>
    <w:p w14:paraId="6CFFBAC9" w14:textId="77777777" w:rsidR="008B2905" w:rsidRPr="007713C1" w:rsidRDefault="008B2905" w:rsidP="00352A9A">
      <w:pPr>
        <w:pStyle w:val="Heading1"/>
        <w:spacing w:line="276" w:lineRule="auto"/>
        <w:rPr>
          <w:color w:val="000000" w:themeColor="text1"/>
        </w:rPr>
      </w:pPr>
      <w:bookmarkStart w:id="17" w:name="_Toc405372681"/>
      <w:r w:rsidRPr="007713C1">
        <w:lastRenderedPageBreak/>
        <w:t xml:space="preserve">APPENDIX </w:t>
      </w:r>
      <w:r w:rsidR="006F6C68" w:rsidRPr="007713C1">
        <w:t>C</w:t>
      </w:r>
      <w:bookmarkEnd w:id="17"/>
    </w:p>
    <w:p w14:paraId="29ADA469" w14:textId="77777777" w:rsidR="008B2905" w:rsidRPr="007713C1" w:rsidRDefault="008B2905" w:rsidP="00352A9A">
      <w:pPr>
        <w:jc w:val="center"/>
      </w:pPr>
      <w:r w:rsidRPr="007713C1">
        <w:t>By His Excellency</w:t>
      </w:r>
    </w:p>
    <w:p w14:paraId="05891F7F" w14:textId="77777777" w:rsidR="008B2905" w:rsidRPr="007713C1" w:rsidRDefault="008B2905" w:rsidP="00352A9A">
      <w:pPr>
        <w:jc w:val="center"/>
      </w:pPr>
      <w:r w:rsidRPr="007713C1">
        <w:t>DEVAL L. PATRICK</w:t>
      </w:r>
      <w:r w:rsidRPr="007713C1">
        <w:br/>
        <w:t>GOVERNOR</w:t>
      </w:r>
    </w:p>
    <w:p w14:paraId="788A0C52" w14:textId="77777777" w:rsidR="008B2905" w:rsidRPr="007713C1" w:rsidRDefault="008B2905" w:rsidP="00352A9A">
      <w:pPr>
        <w:jc w:val="center"/>
      </w:pPr>
      <w:r w:rsidRPr="007713C1">
        <w:t>EXECUTIVE ORDER NO. 524</w:t>
      </w:r>
    </w:p>
    <w:p w14:paraId="6307A70A" w14:textId="77777777" w:rsidR="008B2905" w:rsidRPr="007713C1" w:rsidRDefault="008B2905" w:rsidP="00352A9A">
      <w:pPr>
        <w:jc w:val="center"/>
      </w:pPr>
      <w:r w:rsidRPr="007713C1">
        <w:t xml:space="preserve">ESTABLISHING THE MASSACHUSETTS </w:t>
      </w:r>
      <w:r w:rsidRPr="007713C1">
        <w:br/>
        <w:t>SUPPLIER DIVERSITY PROGRAM</w:t>
      </w:r>
    </w:p>
    <w:p w14:paraId="37A01136" w14:textId="77777777" w:rsidR="008B2905" w:rsidRPr="007713C1" w:rsidRDefault="008B2905" w:rsidP="00352A9A">
      <w:pPr>
        <w:jc w:val="center"/>
      </w:pPr>
      <w:r w:rsidRPr="007713C1">
        <w:t>(Revoking and Superseding Executive Order No. 390)</w:t>
      </w:r>
    </w:p>
    <w:p w14:paraId="12C111A6" w14:textId="77777777" w:rsidR="008B2905" w:rsidRPr="007713C1" w:rsidRDefault="008B2905" w:rsidP="00352A9A">
      <w:pPr>
        <w:jc w:val="both"/>
      </w:pPr>
      <w:r w:rsidRPr="007713C1">
        <w:t>WHEREAS, The Commonwealth has an affirmative responsibility to develop and maintain equitable practices and policies in the public marketplace;</w:t>
      </w:r>
    </w:p>
    <w:p w14:paraId="13CEB64B" w14:textId="77777777" w:rsidR="00725C74" w:rsidRPr="007713C1" w:rsidRDefault="008B2905" w:rsidP="00352A9A">
      <w:pPr>
        <w:jc w:val="both"/>
      </w:pPr>
      <w:r w:rsidRPr="007713C1">
        <w:t>WHEREAS, a diverse business community strengthens the state economy and is beneficial to all of</w:t>
      </w:r>
      <w:r w:rsidR="00725C74" w:rsidRPr="007713C1">
        <w:t xml:space="preserve"> </w:t>
      </w:r>
      <w:r w:rsidRPr="007713C1">
        <w:t xml:space="preserve">the citizens of the Commonwealth; </w:t>
      </w:r>
    </w:p>
    <w:p w14:paraId="7C341C6E" w14:textId="77777777" w:rsidR="008B2905" w:rsidRPr="007713C1" w:rsidRDefault="008B2905" w:rsidP="00352A9A">
      <w:pPr>
        <w:jc w:val="both"/>
      </w:pPr>
      <w:r w:rsidRPr="007713C1">
        <w:t xml:space="preserve">WHEREAS, pursuant to Section 57 of Chapter 7 of the General Laws, it is the policy of the Commonwealth to promote and facilitate the fullest possible participation by all citizens in the affairs of the Commonwealth; </w:t>
      </w:r>
    </w:p>
    <w:p w14:paraId="7633A936" w14:textId="77777777" w:rsidR="008B2905" w:rsidRPr="007713C1" w:rsidRDefault="008B2905" w:rsidP="00352A9A">
      <w:pPr>
        <w:jc w:val="both"/>
      </w:pPr>
      <w:r w:rsidRPr="007713C1">
        <w:t>WHEREAS, various public and private programs have been initiated to assist minority and women business enterprises, where applicable, to achieve economic viability, and that state government, as the largest business in the Commonwealth of Massachusetts, has a special responsibility to see that all available services and programs are put to the best use;</w:t>
      </w:r>
    </w:p>
    <w:p w14:paraId="36EF6332" w14:textId="77777777" w:rsidR="008B2905" w:rsidRPr="007713C1" w:rsidRDefault="008B2905" w:rsidP="00352A9A">
      <w:pPr>
        <w:jc w:val="both"/>
      </w:pPr>
      <w:r w:rsidRPr="007713C1">
        <w:t>WHEREAS, the steps set forth in this Executive Order are necessary to guarantee the fullest participation by all citizens of the Commonwealth in the economy of the state and to guarantee the fullest benefits to citizens of programs and services available for assistance.</w:t>
      </w:r>
    </w:p>
    <w:p w14:paraId="18BD4245" w14:textId="77777777" w:rsidR="008B2905" w:rsidRPr="007713C1" w:rsidRDefault="008B2905" w:rsidP="00352A9A">
      <w:pPr>
        <w:jc w:val="both"/>
      </w:pPr>
      <w:r w:rsidRPr="007713C1">
        <w:t>WHEREAS, pursuant to Section 57 of Chapter 7 of the General Laws, effective May 1, 2010, the Supplier Diversity Office (SDO), the successor agency to the State Office of Minority and Women Business Assistance (SOMWBA), is located within the Operational Services Division (OSD) within the Executive Office for Administration and Finance (ANF) of the Commonwealth; and</w:t>
      </w:r>
      <w:r w:rsidRPr="007713C1">
        <w:br/>
      </w:r>
      <w:r w:rsidRPr="007713C1">
        <w:br/>
        <w:t>WHEREAS, Executive Order 519, issued on January 28, 2010, established an Office of Access and Opportunity within ANF, the purpose of which is to promote non-discrimination and equal opportunity in all aspects of state government, including but not limited to, employment, procurement, and policy relative to state programs, services, and activities.</w:t>
      </w:r>
    </w:p>
    <w:p w14:paraId="2FA40106" w14:textId="77777777" w:rsidR="008B2905" w:rsidRPr="007713C1" w:rsidRDefault="008B2905" w:rsidP="00352A9A">
      <w:pPr>
        <w:jc w:val="both"/>
      </w:pPr>
      <w:r w:rsidRPr="007713C1">
        <w:lastRenderedPageBreak/>
        <w:t xml:space="preserve">NOW, THEREFORE, I, Deval L. Patrick, Governor of the Commonwealth of Massachusetts, by virtue of the authority vested in me by the Constitution, Part 2, c. 2, § I, Art. </w:t>
      </w:r>
      <w:proofErr w:type="gramStart"/>
      <w:r w:rsidRPr="007713C1">
        <w:t>I,</w:t>
      </w:r>
      <w:proofErr w:type="gramEnd"/>
      <w:r w:rsidRPr="007713C1">
        <w:t xml:space="preserve"> do hereby revoke Executive Order 390 and order as follows: Section 1. Declaration of Policy</w:t>
      </w:r>
      <w:r w:rsidR="00725C74" w:rsidRPr="007713C1">
        <w:t xml:space="preserve"> </w:t>
      </w:r>
      <w:r w:rsidRPr="007713C1">
        <w:t>It is the policy of the Commonwealth to promote equity of opportunity in state contracting; and, to that end, encourage full participation of minority and women owned businesses in all areas of state contracting, including contracts for construction, design, goods and services.</w:t>
      </w:r>
      <w:r w:rsidR="00725C74" w:rsidRPr="007713C1">
        <w:t xml:space="preserve"> </w:t>
      </w:r>
      <w:r w:rsidRPr="007713C1">
        <w:t>Section</w:t>
      </w:r>
      <w:r w:rsidR="00A92DA3" w:rsidRPr="007713C1">
        <w:t xml:space="preserve"> </w:t>
      </w:r>
      <w:r w:rsidRPr="007713C1">
        <w:t>2. Supplier Diversity Program</w:t>
      </w:r>
      <w:r w:rsidR="00725C74" w:rsidRPr="007713C1">
        <w:t xml:space="preserve"> </w:t>
      </w:r>
      <w:r w:rsidRPr="007713C1">
        <w:t xml:space="preserve">There is hereby established a Supplier Diversity Program (SDP) within the Supplier Diversity Office (SDO) of OSD for the purpose of meeting the goals set forth in Section 1, Declaration of Policy. </w:t>
      </w:r>
    </w:p>
    <w:p w14:paraId="41C8003F" w14:textId="77777777" w:rsidR="008B2905" w:rsidRPr="007713C1" w:rsidRDefault="008B2905" w:rsidP="00352A9A">
      <w:pPr>
        <w:jc w:val="both"/>
      </w:pPr>
      <w:r w:rsidRPr="007713C1">
        <w:t xml:space="preserve">Subject to the approval and direction of the State Purchasing Agent, or his/her designee, all executive offices, agencies, departments, boards and commissions of the Commonwealth (hereinafter referred to as "Agency" or "Agencies") are hereby directed to implement the SDP set forth in this Executive Order which shall include and reflect narrowly tailored race and gender conscious goals, which pursue equality in public procurement and contracting between minority owned businesses or women owned businesses and other business entities in the Commonwealth of Massachusetts. </w:t>
      </w:r>
    </w:p>
    <w:p w14:paraId="30BE4C27" w14:textId="77777777" w:rsidR="008B2905" w:rsidRPr="007713C1" w:rsidRDefault="008B2905" w:rsidP="00352A9A">
      <w:pPr>
        <w:jc w:val="both"/>
      </w:pPr>
      <w:r w:rsidRPr="007713C1">
        <w:t>For purposes of this Executive Order, Minority Business Enterprise (MBE) and Woman Business Enterprise (WBE) shall have the same meaning as defined in section 58 of chapter 7 of the General Laws.</w:t>
      </w:r>
    </w:p>
    <w:p w14:paraId="0F7C30CA" w14:textId="77777777" w:rsidR="008B2905" w:rsidRPr="007713C1" w:rsidRDefault="008B2905" w:rsidP="00352A9A">
      <w:pPr>
        <w:jc w:val="both"/>
      </w:pPr>
      <w:r w:rsidRPr="007713C1">
        <w:t xml:space="preserve">Goals for MBE and WBE participation in state funded contracts shall be based upon the broadest and most inclusive pool of available MBEs and WBEs capable of performing the contracts and interested in doing business with the Commonwealth in the areas of construction, design, goods and services. The Supplier Diversity Office (SDO), created pursuant to section 58 of chapter 7 of the General Laws and formerly known as SOMWBA, or its successor, shall maintain a current directory of certified MBEs and WBEs which will serve as one source of information in determining the pool of available MBEs and WBEs. Goals shall be established by the State Purchasing Agent, or his/her designee, in consultation with the Secretary of Administration and Finance, or his/her designee, and shall be expressed as overall annual program goals, applicable to the total dollar amount of an Agency’s contracts awarded during the fiscal year for each of the Agency’s types of contracts. </w:t>
      </w:r>
    </w:p>
    <w:p w14:paraId="2A6866D6" w14:textId="77777777" w:rsidR="008B2905" w:rsidRPr="007713C1" w:rsidRDefault="008B2905" w:rsidP="00352A9A">
      <w:pPr>
        <w:jc w:val="both"/>
      </w:pPr>
      <w:r w:rsidRPr="007713C1">
        <w:t xml:space="preserve">The State Purchasing Agent, or his/her designee, shall develop a procedure by which Agencies may, for an individual contract, adjust the goals for MBE and WBE participation based upon the results of a disparity study, which shall include an analysis of the actual availability and utilization of minority- and/or women-owned businesses, documented evidence of racial and/or gender discrimination that created the disparity, a narrowly tailored plan aimed at addressing the discrimination, geographic location, the contractual scope of work, and other relevant factors. </w:t>
      </w:r>
      <w:r w:rsidRPr="007713C1">
        <w:br/>
      </w:r>
      <w:r w:rsidRPr="007713C1">
        <w:br/>
      </w:r>
      <w:r w:rsidRPr="007713C1">
        <w:lastRenderedPageBreak/>
        <w:t>The State Purchasing Agent, or his/her designee, shall develop a good faith efforts waiver procedure by which Agencies may determine, at any time prior to the award of the contract, that compliance with the goals is not feasible and by which Agencies may reduce or waive the goals for an individual contract; provided that, the waiver procedure shall be developed in consultation with the Secretary of Administration and Finance or his/her designee.</w:t>
      </w:r>
      <w:r w:rsidR="00725C74" w:rsidRPr="007713C1">
        <w:t xml:space="preserve"> </w:t>
      </w:r>
      <w:r w:rsidRPr="007713C1">
        <w:t>Recognizing the importance of joint ventures and partnerships involving MBEs and WBEs in increasing the participation of MBEs and WBEs in state contracting, the State Purchasing Agent, or his/her designee, shall develop guidelines and procedures for Agencies to follow in contracting with such entities. Such guidelines and procedures shall seek to encourage the development of joint ventures and partnerships for the purpose of contracting with the Commonwealth. Such guidelines shall be developed in consultation with the Secretary of Administration and Finance or his/her designee.</w:t>
      </w:r>
      <w:r w:rsidR="00725C74" w:rsidRPr="007713C1">
        <w:t xml:space="preserve"> </w:t>
      </w:r>
      <w:r w:rsidRPr="007713C1">
        <w:t>Section 3. Capacity Development</w:t>
      </w:r>
      <w:r w:rsidR="00725C74" w:rsidRPr="007713C1">
        <w:t xml:space="preserve"> </w:t>
      </w:r>
      <w:r w:rsidRPr="007713C1">
        <w:t xml:space="preserve">SDO, or its successor, is hereby designated the state office responsible for providing a capacity development program to MBEs and WBEs. The capacity development program shall include technical assistance, training, outreach and mentoring to the minority- and women-owned business community and shall include, but not be limited to, the following core areas of business development: strategic planning, financial management planning, human resource management and planning, information technology access and management, and marketing. SDO, as necessary, will work closely with agencies within the Executive Office for Housing and Economic Development, or its successor, to coordinate and expand such efforts within the MBE and WBE community. </w:t>
      </w:r>
    </w:p>
    <w:p w14:paraId="023DF517" w14:textId="77777777" w:rsidR="008B2905" w:rsidRPr="007713C1" w:rsidRDefault="008B2905" w:rsidP="00352A9A">
      <w:pPr>
        <w:jc w:val="both"/>
      </w:pPr>
      <w:r w:rsidRPr="007713C1">
        <w:t xml:space="preserve">Contracting Agencies of the Commonwealth may supplement the capacity development program provided by SDO with industry specific assistance, technical assistance, training, mentoring, education, and procurement information. In addition, SDO will collaborate with other public and private sector entities and include the results of these collaborative efforts in their annual report to the Secretary of Administration and Finance, or his/her designee, and the State Purchasing Agent. </w:t>
      </w:r>
    </w:p>
    <w:p w14:paraId="1DF02290" w14:textId="77777777" w:rsidR="008B2905" w:rsidRPr="007713C1" w:rsidRDefault="008B2905" w:rsidP="00352A9A">
      <w:pPr>
        <w:jc w:val="both"/>
      </w:pPr>
      <w:r w:rsidRPr="007713C1">
        <w:t>Section 4. Program Oversight and Enforcement</w:t>
      </w:r>
    </w:p>
    <w:p w14:paraId="206AB26D" w14:textId="77777777" w:rsidR="00725C74" w:rsidRPr="007713C1" w:rsidRDefault="008B2905" w:rsidP="00352A9A">
      <w:pPr>
        <w:jc w:val="both"/>
      </w:pPr>
      <w:r w:rsidRPr="007713C1">
        <w:t xml:space="preserve">The Operational Services Division shall be responsible for the overall management, monitoring and enforcement of the program established pursuant to this Executive Order. The Director of SDO shall be designated within OSD for program development, coordination, monitoring contract compliance across all Agencies, addressing potential program violations and coordinating Agency enforcement activities with the State Purchasing Agent, or his/her designee, and the Secretary of Administration and Finance, or his/her designee. </w:t>
      </w:r>
    </w:p>
    <w:p w14:paraId="384BCE59" w14:textId="77777777" w:rsidR="00725C74" w:rsidRPr="007713C1" w:rsidRDefault="008B2905" w:rsidP="00352A9A">
      <w:pPr>
        <w:jc w:val="both"/>
      </w:pPr>
      <w:r w:rsidRPr="007713C1">
        <w:t xml:space="preserve">Each Secretary and Agency head shall designate a highly placed individual to serve as the Supplier Diversity Officer, who shall be charged with management of the Supplier Diversity Program within the Secretariat/Agency. Each Secretary and Agency head may designate such other personnel as they deem necessary to support the implementation, monitoring, and enforcement of this program and the coordination of those functions. Each Secretariat shall ensure that Agencies </w:t>
      </w:r>
      <w:r w:rsidRPr="007713C1">
        <w:lastRenderedPageBreak/>
        <w:t xml:space="preserve">establish, subject to guidelines developed by the OSD, provisions that serve as governing standards for contract compliance. It is the intention of this Executive Order that the principles underlying the SDP be incorporated into the fabric of general management in state government. </w:t>
      </w:r>
    </w:p>
    <w:p w14:paraId="4F380280" w14:textId="77777777" w:rsidR="008B2905" w:rsidRPr="007713C1" w:rsidRDefault="008B2905" w:rsidP="00352A9A">
      <w:pPr>
        <w:jc w:val="both"/>
      </w:pPr>
      <w:r w:rsidRPr="007713C1">
        <w:t>Section 5. Reporting Requirements</w:t>
      </w:r>
    </w:p>
    <w:p w14:paraId="32C4BDFF" w14:textId="77777777" w:rsidR="008B2905" w:rsidRPr="007713C1" w:rsidRDefault="008B2905" w:rsidP="00352A9A">
      <w:pPr>
        <w:jc w:val="both"/>
      </w:pPr>
      <w:r w:rsidRPr="007713C1">
        <w:t>Each Secretariat and Agency shall report annually on the prior fiscal year’s activities by no later than the last Friday in November to the Director of SDO on the effectiveness of the program, including a report of the total dollar amounts, including prime contracting and subcontracting, for vertical and horizontal construction and commodities and services, both awarded and actually paid to MBEs and WBEs in all areas of state contracting.</w:t>
      </w:r>
    </w:p>
    <w:p w14:paraId="40B99CC7" w14:textId="77777777" w:rsidR="008B2905" w:rsidRPr="007713C1" w:rsidRDefault="008B2905" w:rsidP="00352A9A">
      <w:pPr>
        <w:jc w:val="both"/>
      </w:pPr>
      <w:r w:rsidRPr="007713C1">
        <w:t>The Director of SDO shall report annually on the prior fiscal year’s activities by no later than March 15th to the Governor, Secretary of Administration and Finance, or his/her designee, the State Purchasing Agent and the SDO Advisory Board, which is established by this Executive Order, on its progress in assisting minority- and women-owned businesses, including a review and, where necessary, modification of its certification process to ensure that it operates effectively. This report shall also include the progress of Secretariats and Agencies in meeting the requirements of the SDO program.</w:t>
      </w:r>
    </w:p>
    <w:p w14:paraId="2BC06087" w14:textId="77777777" w:rsidR="008B2905" w:rsidRPr="007713C1" w:rsidRDefault="008B2905" w:rsidP="00352A9A">
      <w:pPr>
        <w:jc w:val="both"/>
      </w:pPr>
      <w:r w:rsidRPr="007713C1">
        <w:t xml:space="preserve">Additionally, the Supplier Diversity Office shall prepare quarterly reports regarding the progress of secretariats and agencies in meeting the requirements of the SDO program. </w:t>
      </w:r>
    </w:p>
    <w:p w14:paraId="0E43D38B" w14:textId="77777777" w:rsidR="008B2905" w:rsidRPr="007713C1" w:rsidRDefault="008B2905" w:rsidP="00352A9A">
      <w:pPr>
        <w:jc w:val="both"/>
      </w:pPr>
      <w:r w:rsidRPr="007713C1">
        <w:t>Section 6. Supplier Diversity Office Advisory Board</w:t>
      </w:r>
    </w:p>
    <w:p w14:paraId="5B172D52" w14:textId="77777777" w:rsidR="00725C74" w:rsidRPr="007713C1" w:rsidRDefault="008B2905" w:rsidP="00352A9A">
      <w:pPr>
        <w:jc w:val="both"/>
      </w:pPr>
      <w:r w:rsidRPr="007713C1">
        <w:t>The Executive Director of SDO, with the approval of the State Purchasing Agent, shall make recommendations to the Secretary of Administration and Finance, or his/her designee, who shall appoint an SDO Advisory Board, not to exceed 20 members, which shall assist the SDO in the implementation of this Executive Order. In addition, the Advisory Board shall be responsible for ensuring that the mission of the SDP, which is to promote the award of state contracts in a manner that develops and strengthens certified MBEs and WBEs, is carried out in a responsible manner and for assisting the Executive Director in the development, implementation and promotion of the program.</w:t>
      </w:r>
      <w:r w:rsidRPr="007713C1">
        <w:br/>
      </w:r>
      <w:r w:rsidRPr="007713C1">
        <w:br/>
        <w:t>Advisory Board members shall serve for two-year terms, except that in the initial appointments, one half shall be appointed to one-year terms, and one half shall be appointed to two year terms. Members may serve a maximum of three full two-year terms. Current members of the Affirmative Market Program (AMP) Business Advisory Board, created pursuant to Executive Order 390, may remain in their current capacity for a period not to exceed one year from the effective date of this Executive Order.</w:t>
      </w:r>
    </w:p>
    <w:p w14:paraId="23329AFA" w14:textId="77777777" w:rsidR="008B2905" w:rsidRPr="007713C1" w:rsidRDefault="008B2905" w:rsidP="00352A9A">
      <w:pPr>
        <w:jc w:val="both"/>
      </w:pPr>
      <w:r w:rsidRPr="007713C1">
        <w:t>Section 7. Other Commonwealth Public Entities</w:t>
      </w:r>
    </w:p>
    <w:p w14:paraId="677029C8" w14:textId="77777777" w:rsidR="008B2905" w:rsidRPr="007713C1" w:rsidRDefault="008B2905" w:rsidP="00352A9A">
      <w:pPr>
        <w:jc w:val="both"/>
      </w:pPr>
      <w:r w:rsidRPr="007713C1">
        <w:lastRenderedPageBreak/>
        <w:t xml:space="preserve">Independent authorities, public institutions of higher education, elected officials, constitutional officers, the legislature and judiciary are encouraged to adopt MBE and WBE policies and programs consistent with this Executive Order. </w:t>
      </w:r>
    </w:p>
    <w:p w14:paraId="54FFCA00" w14:textId="77777777" w:rsidR="00937191" w:rsidRPr="007713C1" w:rsidRDefault="00937191" w:rsidP="00352A9A">
      <w:pPr>
        <w:jc w:val="both"/>
      </w:pPr>
    </w:p>
    <w:p w14:paraId="73F554DD" w14:textId="77777777" w:rsidR="00725C74" w:rsidRPr="007713C1" w:rsidRDefault="008B2905" w:rsidP="00352A9A">
      <w:pPr>
        <w:jc w:val="both"/>
      </w:pPr>
      <w:r w:rsidRPr="007713C1">
        <w:t>Section 8. Effective Date</w:t>
      </w:r>
    </w:p>
    <w:p w14:paraId="25C58D96" w14:textId="77777777" w:rsidR="008B2905" w:rsidRPr="007713C1" w:rsidRDefault="008B2905" w:rsidP="00352A9A">
      <w:pPr>
        <w:jc w:val="both"/>
      </w:pPr>
      <w:r w:rsidRPr="007713C1">
        <w:t xml:space="preserve">This Executive Order shall take effect immediately and shall continue in effect until amended, superseded, or revoked by subsequent Executive Order. </w:t>
      </w:r>
    </w:p>
    <w:p w14:paraId="26D56B2A" w14:textId="77777777" w:rsidR="00725C74" w:rsidRPr="007713C1" w:rsidRDefault="008B2905" w:rsidP="00352A9A">
      <w:pPr>
        <w:jc w:val="both"/>
      </w:pPr>
      <w:r w:rsidRPr="007713C1">
        <w:t>Given at the Executive Chamber in Boston this 15th day of September in the year of our Lord two thousand and ten, and of the Independence of the United States of America two hundred and thirty-four.</w:t>
      </w:r>
      <w:r w:rsidRPr="007713C1">
        <w:br/>
      </w:r>
      <w:r w:rsidRPr="007713C1">
        <w:br/>
        <w:t>DEVAL L. PATRICK</w:t>
      </w:r>
    </w:p>
    <w:p w14:paraId="647D0285" w14:textId="77777777" w:rsidR="008B2905" w:rsidRPr="007713C1" w:rsidRDefault="008B2905" w:rsidP="00352A9A">
      <w:r w:rsidRPr="007713C1">
        <w:t>GOVERNOR</w:t>
      </w:r>
      <w:r w:rsidRPr="007713C1">
        <w:br/>
        <w:t>Commonwealth of Massachusetts</w:t>
      </w:r>
    </w:p>
    <w:p w14:paraId="2AD6A779" w14:textId="77777777" w:rsidR="008B2905" w:rsidRPr="007713C1" w:rsidRDefault="008B2905" w:rsidP="00352A9A">
      <w:r w:rsidRPr="007713C1">
        <w:br/>
        <w:t>WILLIAM FRANCIS GALVIN</w:t>
      </w:r>
      <w:r w:rsidRPr="007713C1">
        <w:br/>
        <w:t>Secretary of the Commonwealth</w:t>
      </w:r>
    </w:p>
    <w:p w14:paraId="07E389CD" w14:textId="77777777" w:rsidR="008B2905" w:rsidRPr="007713C1" w:rsidRDefault="008B2905" w:rsidP="00352A9A">
      <w:r w:rsidRPr="007713C1">
        <w:t>GOD SAVE THE COMMONWEALTH OF MASSACHUSETTS</w:t>
      </w:r>
    </w:p>
    <w:p w14:paraId="3F2A43D5" w14:textId="77777777" w:rsidR="00DB4E1D" w:rsidRPr="007713C1" w:rsidRDefault="00DB4E1D" w:rsidP="00352A9A"/>
    <w:p w14:paraId="53790B5C" w14:textId="77777777" w:rsidR="00DB4E1D" w:rsidRPr="007713C1" w:rsidRDefault="00DB4E1D" w:rsidP="00352A9A">
      <w:r w:rsidRPr="007713C1">
        <w:br w:type="page"/>
      </w:r>
    </w:p>
    <w:p w14:paraId="65B59F1D" w14:textId="77777777" w:rsidR="00057394" w:rsidRPr="007713C1" w:rsidRDefault="001E74A1" w:rsidP="00352A9A">
      <w:pPr>
        <w:pStyle w:val="Heading1"/>
        <w:spacing w:line="276" w:lineRule="auto"/>
      </w:pPr>
      <w:bookmarkStart w:id="18" w:name="_Toc405372682"/>
      <w:r w:rsidRPr="007713C1">
        <w:lastRenderedPageBreak/>
        <w:t xml:space="preserve">APPENDIX </w:t>
      </w:r>
      <w:r w:rsidR="000E1F39" w:rsidRPr="007713C1">
        <w:t>D</w:t>
      </w:r>
      <w:bookmarkEnd w:id="18"/>
    </w:p>
    <w:p w14:paraId="03A5FB73" w14:textId="77777777" w:rsidR="00057394" w:rsidRPr="007713C1" w:rsidRDefault="00057394" w:rsidP="00352A9A">
      <w:pPr>
        <w:pStyle w:val="NormalWeb"/>
        <w:spacing w:line="276" w:lineRule="auto"/>
        <w:jc w:val="center"/>
      </w:pPr>
      <w:r w:rsidRPr="007713C1">
        <w:rPr>
          <w:rStyle w:val="Strong"/>
          <w:b w:val="0"/>
        </w:rPr>
        <w:t>By His Excellency</w:t>
      </w:r>
    </w:p>
    <w:p w14:paraId="11AC0B13" w14:textId="77777777" w:rsidR="00057394" w:rsidRPr="007713C1" w:rsidRDefault="00057394" w:rsidP="00352A9A">
      <w:pPr>
        <w:pStyle w:val="NormalWeb"/>
        <w:spacing w:line="276" w:lineRule="auto"/>
        <w:jc w:val="center"/>
      </w:pPr>
      <w:r w:rsidRPr="007713C1">
        <w:rPr>
          <w:rStyle w:val="Strong"/>
          <w:b w:val="0"/>
        </w:rPr>
        <w:t>DEVAL L. PATRICK</w:t>
      </w:r>
      <w:r w:rsidRPr="007713C1">
        <w:br/>
      </w:r>
      <w:r w:rsidRPr="007713C1">
        <w:rPr>
          <w:rStyle w:val="Strong"/>
          <w:b w:val="0"/>
        </w:rPr>
        <w:t>GOVERNOR</w:t>
      </w:r>
    </w:p>
    <w:p w14:paraId="10319665" w14:textId="77777777" w:rsidR="00057394" w:rsidRPr="007713C1" w:rsidRDefault="00057394" w:rsidP="00352A9A">
      <w:pPr>
        <w:pStyle w:val="NormalWeb"/>
        <w:spacing w:line="276" w:lineRule="auto"/>
        <w:jc w:val="center"/>
      </w:pPr>
      <w:r w:rsidRPr="007713C1">
        <w:rPr>
          <w:rStyle w:val="Strong"/>
          <w:b w:val="0"/>
        </w:rPr>
        <w:t>EXECUTIVE ORDER NO. 523</w:t>
      </w:r>
    </w:p>
    <w:p w14:paraId="596366E6" w14:textId="77777777" w:rsidR="00057394" w:rsidRPr="007713C1" w:rsidRDefault="00057394" w:rsidP="00352A9A">
      <w:pPr>
        <w:pStyle w:val="NormalWeb"/>
        <w:spacing w:line="276" w:lineRule="auto"/>
        <w:jc w:val="center"/>
      </w:pPr>
      <w:r w:rsidRPr="007713C1">
        <w:rPr>
          <w:rStyle w:val="Strong"/>
          <w:b w:val="0"/>
        </w:rPr>
        <w:t>ESTABLISHING THE MASSACHUSETTS</w:t>
      </w:r>
      <w:r w:rsidRPr="007713C1">
        <w:br/>
      </w:r>
      <w:r w:rsidRPr="007713C1">
        <w:rPr>
          <w:rStyle w:val="Strong"/>
          <w:b w:val="0"/>
        </w:rPr>
        <w:t>SMALL BUSINESS PURCHASING PROGRAM</w:t>
      </w:r>
    </w:p>
    <w:p w14:paraId="556F66F6" w14:textId="77777777" w:rsidR="00057394" w:rsidRPr="007713C1" w:rsidRDefault="00057394" w:rsidP="00352A9A">
      <w:pPr>
        <w:pStyle w:val="NormalWeb"/>
        <w:spacing w:line="276" w:lineRule="auto"/>
        <w:jc w:val="both"/>
      </w:pPr>
      <w:r w:rsidRPr="007713C1">
        <w:t>WHEREAS, Small Businesses are the backbone of the Commonwealth, represent the vast majority of businesses in the Commonwealth, employ hundreds of thousands of workers in the Commonwealth, and contribute to the overall health of the Massachusetts economy;</w:t>
      </w:r>
    </w:p>
    <w:p w14:paraId="2DCDCA4E" w14:textId="77777777" w:rsidR="00057394" w:rsidRPr="007713C1" w:rsidRDefault="00057394" w:rsidP="00352A9A">
      <w:pPr>
        <w:pStyle w:val="NormalWeb"/>
        <w:spacing w:line="276" w:lineRule="auto"/>
        <w:jc w:val="both"/>
      </w:pPr>
      <w:r w:rsidRPr="007713C1">
        <w:t>WHEREAS, the state agencies of the Commonwealth purchase hundreds of millions of dollars in commodities and services each year;</w:t>
      </w:r>
    </w:p>
    <w:p w14:paraId="4AD6CB22" w14:textId="77777777" w:rsidR="00057394" w:rsidRPr="007713C1" w:rsidRDefault="00057394" w:rsidP="00352A9A">
      <w:pPr>
        <w:pStyle w:val="NormalWeb"/>
        <w:spacing w:line="276" w:lineRule="auto"/>
        <w:jc w:val="both"/>
      </w:pPr>
      <w:r w:rsidRPr="007713C1">
        <w:t>WHEREAS, Small Businesses in the Commonwealth must compete within a global economy for the Commonwealth's business;</w:t>
      </w:r>
    </w:p>
    <w:p w14:paraId="2D3BA50E" w14:textId="77777777" w:rsidR="00057394" w:rsidRPr="007713C1" w:rsidRDefault="00057394" w:rsidP="00352A9A">
      <w:pPr>
        <w:pStyle w:val="NormalWeb"/>
        <w:spacing w:line="276" w:lineRule="auto"/>
        <w:jc w:val="both"/>
      </w:pPr>
      <w:r w:rsidRPr="007713C1">
        <w:t>WHEREAS, in order to encourage the growth of existing Small Businesses, and in accordance with all applicable laws, special consideration should be given by state agencies to Small Businesses when such agencies are purchasing commodities and services to meet their business needs;</w:t>
      </w:r>
    </w:p>
    <w:p w14:paraId="6437CB6C" w14:textId="77777777" w:rsidR="00057394" w:rsidRPr="007713C1" w:rsidRDefault="00057394" w:rsidP="00352A9A">
      <w:pPr>
        <w:pStyle w:val="NormalWeb"/>
        <w:spacing w:line="276" w:lineRule="auto"/>
        <w:jc w:val="both"/>
      </w:pPr>
      <w:r w:rsidRPr="007713C1">
        <w:t>WHEREAS, the national and regional economies have severely impacted all industries and all types and sizes of businesses, including Small Businesses; and</w:t>
      </w:r>
    </w:p>
    <w:p w14:paraId="4B83D70F" w14:textId="77777777" w:rsidR="00057394" w:rsidRPr="007713C1" w:rsidRDefault="00057394" w:rsidP="00352A9A">
      <w:pPr>
        <w:pStyle w:val="NormalWeb"/>
        <w:spacing w:line="276" w:lineRule="auto"/>
        <w:jc w:val="both"/>
      </w:pPr>
      <w:r w:rsidRPr="007713C1">
        <w:t>WHEREAS, there is an immediate need to continue to address the economic issues facing Small Businesses in the Commonwealth;</w:t>
      </w:r>
    </w:p>
    <w:p w14:paraId="1BDE38B6" w14:textId="77777777" w:rsidR="00057394" w:rsidRPr="007713C1" w:rsidRDefault="00057394" w:rsidP="00352A9A">
      <w:pPr>
        <w:pStyle w:val="NormalWeb"/>
        <w:spacing w:line="276" w:lineRule="auto"/>
        <w:jc w:val="both"/>
      </w:pPr>
      <w:r w:rsidRPr="007713C1">
        <w:t>NOW, THEREFORE, I, Deval L. Patrick, Governor of the Commonwealth of Massachusetts, by virtue of the authority vested in me by the Constitution, Part 2, c. 2, § I, Art. I, do hereby order as follows:</w:t>
      </w:r>
    </w:p>
    <w:p w14:paraId="373264ED" w14:textId="77777777" w:rsidR="00057394" w:rsidRPr="007713C1" w:rsidRDefault="00057394" w:rsidP="00352A9A">
      <w:pPr>
        <w:pStyle w:val="NormalWeb"/>
        <w:spacing w:line="276" w:lineRule="auto"/>
        <w:jc w:val="both"/>
      </w:pPr>
      <w:r w:rsidRPr="007713C1">
        <w:t xml:space="preserve">Section 1. Application. This Executive Order shall apply to the procurement and purchase of commodities and services under M.G.L. Chapter 7, Section 22; M.G.L. Chapter 30, Sections 51 and 52; and 801 CMR 21.00 by all state agencies of the Executive Department. As used in this Order, "state agencies" shall include all executive offices, boards, commissions, departments, </w:t>
      </w:r>
      <w:r w:rsidRPr="007713C1">
        <w:lastRenderedPageBreak/>
        <w:t>divisions, councils, bureaus, offices, and other agencies now existing and hereafter established. Independent authorities, public institutions of higher education, elected officials, constitutional officers, the legislature and judiciary are encouraged to adopt policies and programs consistent with this Executive Order. The Small Business Purchasing Program does not apply to construction procurement.</w:t>
      </w:r>
    </w:p>
    <w:p w14:paraId="2356A487" w14:textId="77777777" w:rsidR="00057394" w:rsidRPr="007713C1" w:rsidRDefault="00057394" w:rsidP="00352A9A">
      <w:pPr>
        <w:pStyle w:val="NormalWeb"/>
        <w:spacing w:line="276" w:lineRule="auto"/>
        <w:jc w:val="both"/>
      </w:pPr>
      <w:r w:rsidRPr="007713C1">
        <w:t>Section 2. Declaration of Policy. There is hereby established a Small Business Purchasing Program ("Program"), which shall be located within the Operational Services Division ("OSD") of the Executive Office for Administration and Finance ("ANF"). The purpose of the Program is to support the existence and growth of small businesses which meet the Program's eligibility requirements by providing them with special consideration within the Commonwealth's procurement process for goods and services required by state agencies.</w:t>
      </w:r>
    </w:p>
    <w:p w14:paraId="4DF28D02" w14:textId="77777777" w:rsidR="00057394" w:rsidRPr="007713C1" w:rsidRDefault="00057394" w:rsidP="00352A9A">
      <w:pPr>
        <w:pStyle w:val="NormalWeb"/>
        <w:spacing w:line="276" w:lineRule="auto"/>
        <w:jc w:val="both"/>
      </w:pPr>
      <w:r w:rsidRPr="007713C1">
        <w:t>Section 3. Small Business Purchasing Program Oversight and Policies. The Operational Services Division shall be responsible for the overall management, monitoring and enforcement of the Small Business Purchasing Program, established pursuant to this Executive Order, including the following:</w:t>
      </w:r>
    </w:p>
    <w:p w14:paraId="6D1867E1" w14:textId="77777777" w:rsidR="00057394" w:rsidRPr="007713C1" w:rsidRDefault="00057394" w:rsidP="00352A9A">
      <w:pPr>
        <w:pStyle w:val="NormalWeb"/>
        <w:spacing w:line="276" w:lineRule="auto"/>
        <w:jc w:val="both"/>
      </w:pPr>
      <w:r w:rsidRPr="007713C1">
        <w:t>(a) Research. OSD shall conduct an in-depth review of small business purchasing programs in other states in order to ascertain the best practices and obstacles that said programs have experienced.</w:t>
      </w:r>
    </w:p>
    <w:p w14:paraId="5C5620FE" w14:textId="77777777" w:rsidR="00057394" w:rsidRPr="007713C1" w:rsidRDefault="00057394" w:rsidP="00352A9A">
      <w:pPr>
        <w:pStyle w:val="NormalWeb"/>
        <w:spacing w:line="276" w:lineRule="auto"/>
        <w:jc w:val="both"/>
      </w:pPr>
      <w:r w:rsidRPr="007713C1">
        <w:t>(b) Program Development. Given the immediate need to address the economic issues facing Small Businesses, OSD shall adopt Small Business Purchasing Program policies by July 31, 2010, in order to further define the parameters of the Program, including the definition of a Small Business, the guidelines for Small Business participation in the program and the development of oversight, audit, quality assurance and enforcement provisions, including penalties for businesses that misrepresent their status as a "Small Business." OSD may conduct public hearings or otherwise solicit input from all stakeholders, including the business community, in the development and implementation of the Small Business Purchasing Program policies.</w:t>
      </w:r>
    </w:p>
    <w:p w14:paraId="6F3C8CA8" w14:textId="77777777" w:rsidR="00057394" w:rsidRPr="007713C1" w:rsidRDefault="00057394" w:rsidP="00352A9A">
      <w:pPr>
        <w:pStyle w:val="NormalWeb"/>
        <w:spacing w:line="276" w:lineRule="auto"/>
        <w:jc w:val="both"/>
      </w:pPr>
      <w:r w:rsidRPr="007713C1">
        <w:t>(c) Small Business Eligibility Determination. OSD shall develop by no later than July 1, 2010 a process in the Commonwealth's Procurement Access and Solicitation System ("Comm-PASS" or its successor system), whereby Small Businesses will enter information about their business to determine eligibility for the Small Business Purchasing Program and attest that their business meets all eligibility requirements and that the information submitted is accurate and true. OSD may also work with relevant public and private entities in acquiring data and information in order to ascertain the legitimacy of a business's claim that it is a Small Business. The process may also include the audit and enforcement by OSD of small business eligibility and the assessment of penalties against businesses that misrepresent their status as a small business.</w:t>
      </w:r>
      <w:r w:rsidRPr="007713C1">
        <w:br/>
      </w:r>
      <w:r w:rsidRPr="007713C1">
        <w:br/>
      </w:r>
      <w:r w:rsidRPr="007713C1">
        <w:lastRenderedPageBreak/>
        <w:t>(d) Promotion of the Program. OSD shall actively promote the Program and shall also provide technical assistance, outreach and training to Small Businesses about the state procurement process and the Comm-PASS system.</w:t>
      </w:r>
    </w:p>
    <w:p w14:paraId="00ED07D0" w14:textId="77777777" w:rsidR="00057394" w:rsidRPr="007713C1" w:rsidRDefault="00057394" w:rsidP="00352A9A">
      <w:pPr>
        <w:pStyle w:val="NormalWeb"/>
        <w:spacing w:line="276" w:lineRule="auto"/>
        <w:jc w:val="both"/>
      </w:pPr>
      <w:r w:rsidRPr="007713C1">
        <w:t>(e) Program Policies and Benchmarks for State Agencies. OSD shall develop policies that require specific procurements and purchases of non-construction commodities and services by state agencies to be targeted to eligible Small Businesses. These policies may require that the entirety of a procurement be targeted to Small Businesses or that there be a set aside within a procurement that is targeted to Small Businesses.</w:t>
      </w:r>
    </w:p>
    <w:p w14:paraId="205176EE" w14:textId="77777777" w:rsidR="00057394" w:rsidRPr="007713C1" w:rsidRDefault="00057394" w:rsidP="00352A9A">
      <w:pPr>
        <w:pStyle w:val="NormalWeb"/>
        <w:spacing w:line="276" w:lineRule="auto"/>
        <w:jc w:val="both"/>
      </w:pPr>
      <w:r w:rsidRPr="007713C1">
        <w:t>OSD shall monitor the success of the program and measure the expenditures made by each state agency to eligible Small Businesses. Based on these spending levels, OSD shall, with input from Secretariats, state agencies, and the Secretary of Administration and Finance, or his/her designee, set benchmarks for each state agency's "Small Business Expenditures" in the upcoming fiscal year.</w:t>
      </w:r>
    </w:p>
    <w:p w14:paraId="704C3D0F" w14:textId="77777777" w:rsidR="00057394" w:rsidRPr="007713C1" w:rsidRDefault="00057394" w:rsidP="00352A9A">
      <w:pPr>
        <w:pStyle w:val="NormalWeb"/>
        <w:spacing w:line="276" w:lineRule="auto"/>
        <w:jc w:val="both"/>
      </w:pPr>
      <w:r w:rsidRPr="007713C1">
        <w:t>Section 4. Secretariat and Agency Responsibilities. Each Secretary and Agency Head must designate by July 16, 2010 an individual as a "Small Business Liaison", who will be charged with ensuring their respective agency or secretariat's compliance with this Executive Order and with supporting the implementation, monitoring and enforcement of this Program and the coordination of those functions within their Secretariat. The individual may be an existing employee who has other duties in addition to those required of the Small Business Liaison.</w:t>
      </w:r>
    </w:p>
    <w:p w14:paraId="37CF616C" w14:textId="77777777" w:rsidR="00057394" w:rsidRPr="007713C1" w:rsidRDefault="00057394" w:rsidP="00352A9A">
      <w:pPr>
        <w:pStyle w:val="NormalWeb"/>
        <w:spacing w:line="276" w:lineRule="auto"/>
        <w:jc w:val="both"/>
      </w:pPr>
      <w:r w:rsidRPr="007713C1">
        <w:t>Each Secretary, Agency Head and Small Business Liaison may further designate such other individuals from among their agencies that are necessary to assist the Small Business Liaison with its agency's compliance with the requirements of this Order, including coordinating and communicating with and providing all requested reports and assistance to the Operational Services Division. Each Secretariat shall ensure that Agencies establish, subject to guidelines developed by the Operational Services Division, special provisions that serve as governing standards for contract compliance.</w:t>
      </w:r>
    </w:p>
    <w:p w14:paraId="29D93CEF" w14:textId="77777777" w:rsidR="00057394" w:rsidRPr="007713C1" w:rsidRDefault="00057394" w:rsidP="00352A9A">
      <w:pPr>
        <w:pStyle w:val="NormalWeb"/>
        <w:spacing w:line="276" w:lineRule="auto"/>
        <w:jc w:val="both"/>
      </w:pPr>
      <w:r w:rsidRPr="007713C1">
        <w:t>The State Purchasing Agent shall direct OSD's Quality Assurance, Outreach and Training Program to periodically monitor compliance with this Executive Order as part of their regular reviews of state agency procurements and include Small Business Purchasing Program information in all appropriate training sessions.</w:t>
      </w:r>
    </w:p>
    <w:p w14:paraId="0E03685B" w14:textId="77777777" w:rsidR="00057394" w:rsidRPr="007713C1" w:rsidRDefault="00057394" w:rsidP="00352A9A">
      <w:pPr>
        <w:pStyle w:val="NormalWeb"/>
        <w:spacing w:line="276" w:lineRule="auto"/>
        <w:jc w:val="both"/>
      </w:pPr>
      <w:r w:rsidRPr="007713C1">
        <w:t xml:space="preserve">Section 5. Reporting. All state agencies shall ensure that they input the required small business designation into the Commonwealth's accounting system, known as the Massachusetts Management, Accounting, and Reporting System ("MMARS" or its successor system), which will provide the capacity for a required small business designation. All state agencies shall ensure that they comply with guidance on this requirement to be issued by OSD in consultation with the Office of the Comptroller in order to assist the Operational Services Division in determining the </w:t>
      </w:r>
      <w:r w:rsidRPr="007713C1">
        <w:lastRenderedPageBreak/>
        <w:t>total expenditures made by each state agency to Small Businesses for non-construction goods and services.</w:t>
      </w:r>
    </w:p>
    <w:p w14:paraId="33C72222" w14:textId="77777777" w:rsidR="00057394" w:rsidRPr="007713C1" w:rsidRDefault="00057394" w:rsidP="00352A9A">
      <w:pPr>
        <w:pStyle w:val="NormalWeb"/>
        <w:spacing w:line="276" w:lineRule="auto"/>
        <w:jc w:val="both"/>
      </w:pPr>
      <w:r w:rsidRPr="007713C1">
        <w:t>In addition, OSD shall report annually within 90 days of the close of each fiscal year to the Secretary of the Executive Office for Administration and Finance on the effectiveness of the program, including the total expenditures made to Small Businesses for non-construction goods and services, the number of eligible Small Businesses participating in the Program, and the outreach and training efforts of the Small Business Purchasing Program. OSD may request additional information from state agencies to assist in the compilation of this report.</w:t>
      </w:r>
    </w:p>
    <w:p w14:paraId="7975393B" w14:textId="77777777" w:rsidR="00057394" w:rsidRPr="007713C1" w:rsidRDefault="00057394" w:rsidP="00352A9A">
      <w:pPr>
        <w:pStyle w:val="NormalWeb"/>
        <w:spacing w:line="276" w:lineRule="auto"/>
        <w:jc w:val="both"/>
      </w:pPr>
      <w:r w:rsidRPr="007713C1">
        <w:t>Section 6. Small Business Purchasing Program Eligibility. For purposes of this Order, the term "Small Business" shall mean a business that has both no greater than the specific number of employees and no greater than the specific annual revenue level established according to the policies to be issued by the Operational Services Division pursuant to Section 3 herein.</w:t>
      </w:r>
      <w:r w:rsidRPr="007713C1">
        <w:br/>
      </w:r>
      <w:r w:rsidRPr="007713C1">
        <w:br/>
        <w:t>Section 7. Effective Date. This Executive Order shall take effect immediately and shall continue in effect until amended, superseded, or revoked by subsequent Executive Order.</w:t>
      </w:r>
    </w:p>
    <w:p w14:paraId="21218632" w14:textId="77777777" w:rsidR="00057394" w:rsidRPr="007713C1" w:rsidRDefault="00057394" w:rsidP="00352A9A">
      <w:pPr>
        <w:pStyle w:val="NormalWeb"/>
        <w:spacing w:line="276" w:lineRule="auto"/>
        <w:jc w:val="both"/>
      </w:pPr>
      <w:r w:rsidRPr="007713C1">
        <w:t>Given at the Executive Chamber in Boston this 29th day of June in the year two thousand and ten, and of the Independence of the United States of America two hundred and thirty-four.</w:t>
      </w:r>
    </w:p>
    <w:p w14:paraId="1E25E616" w14:textId="77777777" w:rsidR="00057394" w:rsidRPr="007713C1" w:rsidRDefault="00057394" w:rsidP="00352A9A">
      <w:pPr>
        <w:pStyle w:val="NormalWeb"/>
        <w:spacing w:line="276" w:lineRule="auto"/>
      </w:pPr>
      <w:r w:rsidRPr="007713C1">
        <w:br/>
        <w:t>DEVAL L. PATRICK</w:t>
      </w:r>
      <w:r w:rsidRPr="007713C1">
        <w:br/>
        <w:t>GOVERNOR</w:t>
      </w:r>
      <w:r w:rsidRPr="007713C1">
        <w:br/>
        <w:t>Commonwealth of Massachusetts</w:t>
      </w:r>
    </w:p>
    <w:p w14:paraId="2EF89D21" w14:textId="77777777" w:rsidR="00057394" w:rsidRPr="007713C1" w:rsidRDefault="00057394" w:rsidP="00352A9A">
      <w:pPr>
        <w:pStyle w:val="NormalWeb"/>
        <w:spacing w:line="276" w:lineRule="auto"/>
      </w:pPr>
      <w:r w:rsidRPr="007713C1">
        <w:br/>
        <w:t>WILLIAM FRANCIS GALVIN</w:t>
      </w:r>
      <w:r w:rsidRPr="007713C1">
        <w:br/>
        <w:t>Secretary of the Commonwealth</w:t>
      </w:r>
    </w:p>
    <w:p w14:paraId="12B0CB3D" w14:textId="77777777" w:rsidR="00057394" w:rsidRPr="007713C1" w:rsidRDefault="00057394" w:rsidP="00352A9A">
      <w:pPr>
        <w:pStyle w:val="NormalWeb"/>
        <w:spacing w:line="276" w:lineRule="auto"/>
      </w:pPr>
      <w:r w:rsidRPr="007713C1">
        <w:t>GOD SAVE THE COMMONWEALTH OF MASSACHUSETTS</w:t>
      </w:r>
    </w:p>
    <w:p w14:paraId="2371AB3E" w14:textId="77777777" w:rsidR="00057394" w:rsidRPr="007713C1" w:rsidRDefault="00057394" w:rsidP="00352A9A">
      <w:r w:rsidRPr="007713C1">
        <w:br w:type="page"/>
      </w:r>
    </w:p>
    <w:p w14:paraId="5AC33952" w14:textId="77777777" w:rsidR="00DB4E1D" w:rsidRPr="007713C1" w:rsidRDefault="00057394" w:rsidP="00352A9A">
      <w:pPr>
        <w:pStyle w:val="Heading1"/>
        <w:spacing w:line="276" w:lineRule="auto"/>
      </w:pPr>
      <w:bookmarkStart w:id="19" w:name="_Toc405372683"/>
      <w:r w:rsidRPr="007713C1">
        <w:lastRenderedPageBreak/>
        <w:t xml:space="preserve">APPENDIX </w:t>
      </w:r>
      <w:r w:rsidR="000E1F39" w:rsidRPr="007713C1">
        <w:t>E</w:t>
      </w:r>
      <w:bookmarkEnd w:id="19"/>
    </w:p>
    <w:p w14:paraId="0E7AE9CA" w14:textId="77777777" w:rsidR="00057394" w:rsidRPr="007713C1" w:rsidRDefault="00057394" w:rsidP="00352A9A">
      <w:pPr>
        <w:pStyle w:val="Heading3"/>
      </w:pPr>
      <w:r w:rsidRPr="007713C1">
        <w:t>BY HIS EXCELLENCY</w:t>
      </w:r>
    </w:p>
    <w:p w14:paraId="1C67AC8C" w14:textId="77777777" w:rsidR="00057394" w:rsidRPr="007713C1" w:rsidRDefault="00057394" w:rsidP="00352A9A">
      <w:pPr>
        <w:jc w:val="center"/>
      </w:pPr>
      <w:r w:rsidRPr="007713C1">
        <w:t>DEVAL L. PATRICK</w:t>
      </w:r>
    </w:p>
    <w:p w14:paraId="5053393F" w14:textId="77777777" w:rsidR="00057394" w:rsidRPr="007713C1" w:rsidRDefault="00057394" w:rsidP="00352A9A">
      <w:pPr>
        <w:jc w:val="center"/>
      </w:pPr>
      <w:r w:rsidRPr="007713C1">
        <w:t>GOVERNOR</w:t>
      </w:r>
    </w:p>
    <w:p w14:paraId="23C7FD2E" w14:textId="77777777" w:rsidR="00057394" w:rsidRPr="007713C1" w:rsidRDefault="00057394" w:rsidP="00352A9A">
      <w:pPr>
        <w:jc w:val="center"/>
      </w:pPr>
      <w:r w:rsidRPr="007713C1">
        <w:t>EXECUTIVE ORDER NO. 533</w:t>
      </w:r>
    </w:p>
    <w:p w14:paraId="4A4898A4" w14:textId="77777777" w:rsidR="00057394" w:rsidRPr="007713C1" w:rsidRDefault="00057394" w:rsidP="00352A9A">
      <w:pPr>
        <w:jc w:val="center"/>
      </w:pPr>
      <w:r w:rsidRPr="007713C1">
        <w:t>ENHANCING THE EFFICIENCY AND EFFECTIVENESS OF EXECUTIVE DEPARTMENT PROCUREMENTS</w:t>
      </w:r>
    </w:p>
    <w:p w14:paraId="5E1497A1" w14:textId="77777777" w:rsidR="00057394" w:rsidRPr="007713C1" w:rsidRDefault="00057394" w:rsidP="00352A9A">
      <w:pPr>
        <w:jc w:val="center"/>
      </w:pPr>
      <w:r w:rsidRPr="007713C1">
        <w:t>AND ESTABLISHING A MUNICIPAL PROCUREMENT PROGRAM</w:t>
      </w:r>
    </w:p>
    <w:p w14:paraId="5709E356" w14:textId="77777777" w:rsidR="00057394" w:rsidRPr="007713C1" w:rsidRDefault="00057394" w:rsidP="00352A9A">
      <w:pPr>
        <w:pStyle w:val="NormalWeb"/>
        <w:spacing w:line="276" w:lineRule="auto"/>
        <w:jc w:val="both"/>
      </w:pPr>
      <w:r w:rsidRPr="007713C1">
        <w:t>WHEREAS, the national economy, the financial system on which the economy relies, and the state budget are now under significant stress;</w:t>
      </w:r>
    </w:p>
    <w:p w14:paraId="31635101" w14:textId="77777777" w:rsidR="00057394" w:rsidRPr="007713C1" w:rsidRDefault="00057394" w:rsidP="00352A9A">
      <w:pPr>
        <w:pStyle w:val="NormalWeb"/>
        <w:spacing w:line="276" w:lineRule="auto"/>
        <w:jc w:val="both"/>
      </w:pPr>
      <w:r w:rsidRPr="007713C1">
        <w:t>WHEREAS, state government must strive to achieve every possible efficiency in its operations and in its procurement of goods and services for use by Commonwealth public entities and in its delivery of services to the people of the Commonwealth;</w:t>
      </w:r>
    </w:p>
    <w:p w14:paraId="4A276961" w14:textId="77777777" w:rsidR="00057394" w:rsidRPr="007713C1" w:rsidRDefault="00057394" w:rsidP="00352A9A">
      <w:pPr>
        <w:pStyle w:val="NormalWeb"/>
        <w:spacing w:line="276" w:lineRule="auto"/>
        <w:jc w:val="both"/>
      </w:pPr>
      <w:r w:rsidRPr="007713C1">
        <w:t>WHEREAS, one mechanism for achieving greater efficiency and cost-effectiveness is by further coordinating and centralizing the management and oversight of the Executive Department's procurement practices and decision-making;</w:t>
      </w:r>
    </w:p>
    <w:p w14:paraId="65029C28" w14:textId="77777777" w:rsidR="00057394" w:rsidRPr="007713C1" w:rsidRDefault="00057394" w:rsidP="00352A9A">
      <w:pPr>
        <w:pStyle w:val="NormalWeb"/>
        <w:spacing w:line="276" w:lineRule="auto"/>
        <w:jc w:val="both"/>
      </w:pPr>
      <w:r w:rsidRPr="007713C1">
        <w:t>WHEREAS, the Commonwealth spends in excess of $1 billion in the aggregate each fiscal year on goods and services, excluding energy, space rental, construction and health and human services expenses;</w:t>
      </w:r>
    </w:p>
    <w:p w14:paraId="302D9648" w14:textId="77777777" w:rsidR="00057394" w:rsidRPr="007713C1" w:rsidRDefault="00057394" w:rsidP="00352A9A">
      <w:pPr>
        <w:pStyle w:val="NormalWeb"/>
        <w:spacing w:line="276" w:lineRule="auto"/>
        <w:jc w:val="both"/>
      </w:pPr>
      <w:r w:rsidRPr="007713C1">
        <w:t>WHEREAS, through the improved coordination, centralization and implementation of best practices at the secretariat-level of state agency procurements and the oversight and aggregation by the Operational Services Division of all procurement, the Commonwealth can achieve considerable cost-savings, while receiving goods and services equal or better than those presently purchased;</w:t>
      </w:r>
    </w:p>
    <w:p w14:paraId="5FEB0346" w14:textId="77777777" w:rsidR="00057394" w:rsidRPr="007713C1" w:rsidRDefault="00057394" w:rsidP="00352A9A">
      <w:pPr>
        <w:pStyle w:val="NormalWeb"/>
        <w:spacing w:line="276" w:lineRule="auto"/>
        <w:jc w:val="both"/>
      </w:pPr>
      <w:r w:rsidRPr="007713C1">
        <w:t>WHEREAS, Commonwealth-procured contracts for goods and services currently provide savings opportunities for all Commonwealth public entities, including cities and towns, and, whereas, additional contracts for goods and services unique to the needs of cities and towns procured by the Commonwealth on behalf of cities and towns would provide even greater savings;</w:t>
      </w:r>
    </w:p>
    <w:p w14:paraId="55E97A55" w14:textId="77777777" w:rsidR="00057394" w:rsidRPr="007713C1" w:rsidRDefault="00057394" w:rsidP="00352A9A">
      <w:pPr>
        <w:pStyle w:val="NormalWeb"/>
        <w:spacing w:line="276" w:lineRule="auto"/>
        <w:jc w:val="both"/>
      </w:pPr>
      <w:r w:rsidRPr="007713C1">
        <w:t>NOW, THEREFORE, I, Deval L. Patrick, Governor of the Commonwealth of Massachusetts, by virtue of the authority vested in me by the Constitution, Part 2, c. 2, § 1, Art. 1, order as follows:</w:t>
      </w:r>
    </w:p>
    <w:p w14:paraId="7906E9EA" w14:textId="77777777" w:rsidR="00057394" w:rsidRPr="007713C1" w:rsidRDefault="00057394" w:rsidP="00352A9A">
      <w:pPr>
        <w:pStyle w:val="NormalWeb"/>
        <w:spacing w:line="276" w:lineRule="auto"/>
        <w:jc w:val="both"/>
      </w:pPr>
      <w:r w:rsidRPr="007713C1">
        <w:lastRenderedPageBreak/>
        <w:t>Section 1. This Executive Order shall apply to the procurement and purchase of goods and services (as defined below) pursuant to M.G.L. Chapter 7, Section 22; M.G.L. Chapter 30, Sections 51 and 52; and 801 CMR 21.00 by all state agencies of the Executive Department and other entities governed by those provisions. As used in this Order, the terms "goods and services" shall not include energy, space rental, construction and health and human services expenses. As used in this Order, the term "strategically source" or "strategic sourcing" shall refer to the planned, systematic and enterprise-wide procurement process that continuously improves and re-evaluates the purchasing activities of the enterprise. As used in this Order, the term "Assistant Secretary for Operational Services" shall also mean the "State Purchasing Agent", both of which are defined in MGL Chapter 7, Section 4A.</w:t>
      </w:r>
    </w:p>
    <w:p w14:paraId="1948AA73" w14:textId="77777777" w:rsidR="00057394" w:rsidRPr="007713C1" w:rsidRDefault="00057394" w:rsidP="00352A9A">
      <w:pPr>
        <w:pStyle w:val="NormalWeb"/>
        <w:spacing w:line="276" w:lineRule="auto"/>
        <w:jc w:val="both"/>
      </w:pPr>
      <w:r w:rsidRPr="007713C1">
        <w:t>Section 2. I hereby direct the Assistant Secretary for Operational Services (hereinafter "Assistant Secretary") of the Commonwealth's Operational Services Division ("OSD"), who serves as the Commonwealth's Chief Procurement Officer, to lead and implement all directives in this Executive Order, including to:</w:t>
      </w:r>
    </w:p>
    <w:p w14:paraId="13BFBBBF" w14:textId="77777777" w:rsidR="00057394" w:rsidRPr="00001291" w:rsidRDefault="00057394" w:rsidP="00352A9A">
      <w:pPr>
        <w:pStyle w:val="ListParagraph"/>
        <w:numPr>
          <w:ilvl w:val="0"/>
          <w:numId w:val="11"/>
        </w:numPr>
        <w:spacing w:line="276" w:lineRule="auto"/>
        <w:jc w:val="both"/>
        <w:rPr>
          <w:rFonts w:ascii="Times New Roman" w:hAnsi="Times New Roman" w:cs="Times New Roman"/>
        </w:rPr>
      </w:pPr>
      <w:r w:rsidRPr="00001291">
        <w:rPr>
          <w:rFonts w:ascii="Times New Roman" w:hAnsi="Times New Roman" w:cs="Times New Roman"/>
        </w:rPr>
        <w:t>Investigate opportunities to standardize and streamline the Commonwealth's procurement processes both within OSD and the Executive Department in order to simplify the process for state agency procurement staff when conducting the procurements, for public entity purchasing staff when using the contracts and for interested bidders when bidding on the procurements;</w:t>
      </w:r>
    </w:p>
    <w:p w14:paraId="3D924A2E" w14:textId="77777777" w:rsidR="00057394" w:rsidRPr="00001291" w:rsidRDefault="00057394" w:rsidP="00352A9A">
      <w:pPr>
        <w:pStyle w:val="ListParagraph"/>
        <w:numPr>
          <w:ilvl w:val="0"/>
          <w:numId w:val="11"/>
        </w:numPr>
        <w:spacing w:line="276" w:lineRule="auto"/>
        <w:jc w:val="both"/>
        <w:rPr>
          <w:rFonts w:ascii="Times New Roman" w:hAnsi="Times New Roman" w:cs="Times New Roman"/>
        </w:rPr>
      </w:pPr>
      <w:r w:rsidRPr="00001291">
        <w:rPr>
          <w:rFonts w:ascii="Times New Roman" w:hAnsi="Times New Roman" w:cs="Times New Roman"/>
        </w:rPr>
        <w:t>Conduct a comprehensive review with other interested parties of the Commonwealth's standard terms and conditions and other procurement terms by October 1, 2011 for opportunities for improvements or adjustments and to identify terms that are unnecessary, costly and/or create a barrier to doing business with the Commonwealth;</w:t>
      </w:r>
    </w:p>
    <w:p w14:paraId="30349E9A" w14:textId="77777777" w:rsidR="00057394" w:rsidRPr="00001291" w:rsidRDefault="00057394" w:rsidP="00352A9A">
      <w:pPr>
        <w:pStyle w:val="ListParagraph"/>
        <w:numPr>
          <w:ilvl w:val="0"/>
          <w:numId w:val="11"/>
        </w:numPr>
        <w:spacing w:line="276" w:lineRule="auto"/>
        <w:jc w:val="both"/>
        <w:rPr>
          <w:rFonts w:ascii="Times New Roman" w:hAnsi="Times New Roman" w:cs="Times New Roman"/>
        </w:rPr>
      </w:pPr>
      <w:r w:rsidRPr="00001291">
        <w:rPr>
          <w:rFonts w:ascii="Times New Roman" w:hAnsi="Times New Roman" w:cs="Times New Roman"/>
        </w:rPr>
        <w:t>Develop and issue procurement and purchasing document templates, including, for example, a solicitation document (currently referred to as a "Request for Response" (RFR)) template similar to the RFR template used for statewide contracts, for use by state agencies by October 1, 2011 in order to streamline the process for agencies and standardize the terms for bidders, thereby making the procurement process more user friendly for agencies and businesses;</w:t>
      </w:r>
    </w:p>
    <w:p w14:paraId="6DB55641" w14:textId="77777777" w:rsidR="00057394" w:rsidRPr="00001291" w:rsidRDefault="00057394" w:rsidP="00352A9A">
      <w:pPr>
        <w:pStyle w:val="ListParagraph"/>
        <w:numPr>
          <w:ilvl w:val="0"/>
          <w:numId w:val="11"/>
        </w:numPr>
        <w:spacing w:line="276" w:lineRule="auto"/>
        <w:jc w:val="both"/>
        <w:rPr>
          <w:rFonts w:ascii="Times New Roman" w:hAnsi="Times New Roman" w:cs="Times New Roman"/>
        </w:rPr>
      </w:pPr>
      <w:r w:rsidRPr="00001291">
        <w:rPr>
          <w:rFonts w:ascii="Times New Roman" w:hAnsi="Times New Roman" w:cs="Times New Roman"/>
        </w:rPr>
        <w:t>Provide procurement training for state agency procurement staff, including the establishment of minimal procurement training requirements for state agency procurement staff;</w:t>
      </w:r>
    </w:p>
    <w:p w14:paraId="60BAF36C" w14:textId="77777777" w:rsidR="00057394" w:rsidRPr="00001291" w:rsidRDefault="00057394" w:rsidP="00352A9A">
      <w:pPr>
        <w:pStyle w:val="ListParagraph"/>
        <w:numPr>
          <w:ilvl w:val="0"/>
          <w:numId w:val="11"/>
        </w:numPr>
        <w:spacing w:line="276" w:lineRule="auto"/>
        <w:jc w:val="both"/>
        <w:rPr>
          <w:rFonts w:ascii="Times New Roman" w:hAnsi="Times New Roman" w:cs="Times New Roman"/>
        </w:rPr>
      </w:pPr>
      <w:r w:rsidRPr="00001291">
        <w:rPr>
          <w:rFonts w:ascii="Times New Roman" w:hAnsi="Times New Roman" w:cs="Times New Roman"/>
        </w:rPr>
        <w:t>Perform outreach to work cooperatively and plan and strategically source the purchases for state agencies and other Commonwealth public entities to the extent practicable and where cost savings may be achieved;</w:t>
      </w:r>
    </w:p>
    <w:p w14:paraId="7F196127" w14:textId="77777777" w:rsidR="00057394" w:rsidRPr="00001291" w:rsidRDefault="00057394" w:rsidP="00352A9A">
      <w:pPr>
        <w:pStyle w:val="ListParagraph"/>
        <w:numPr>
          <w:ilvl w:val="0"/>
          <w:numId w:val="11"/>
        </w:numPr>
        <w:spacing w:line="276" w:lineRule="auto"/>
        <w:jc w:val="both"/>
        <w:rPr>
          <w:rFonts w:ascii="Times New Roman" w:hAnsi="Times New Roman" w:cs="Times New Roman"/>
        </w:rPr>
      </w:pPr>
      <w:r w:rsidRPr="00001291">
        <w:rPr>
          <w:rFonts w:ascii="Times New Roman" w:hAnsi="Times New Roman" w:cs="Times New Roman"/>
        </w:rPr>
        <w:t>Improve customer service to public entities and businesses by implementing a Procurement Helpline;</w:t>
      </w:r>
    </w:p>
    <w:p w14:paraId="0BB11D17" w14:textId="77777777" w:rsidR="00057394" w:rsidRPr="00001291" w:rsidRDefault="00057394" w:rsidP="00352A9A">
      <w:pPr>
        <w:pStyle w:val="ListParagraph"/>
        <w:numPr>
          <w:ilvl w:val="0"/>
          <w:numId w:val="11"/>
        </w:numPr>
        <w:spacing w:line="276" w:lineRule="auto"/>
        <w:jc w:val="both"/>
        <w:rPr>
          <w:rFonts w:ascii="Times New Roman" w:hAnsi="Times New Roman" w:cs="Times New Roman"/>
        </w:rPr>
      </w:pPr>
      <w:r w:rsidRPr="00001291">
        <w:rPr>
          <w:rFonts w:ascii="Times New Roman" w:hAnsi="Times New Roman" w:cs="Times New Roman"/>
        </w:rPr>
        <w:lastRenderedPageBreak/>
        <w:t>Investigate and benchmark Commonwealth prices for goods and services against other contracts that are of similar scope and complexity;</w:t>
      </w:r>
    </w:p>
    <w:p w14:paraId="24B5C204" w14:textId="77777777" w:rsidR="00057394" w:rsidRPr="00001291" w:rsidRDefault="00057394" w:rsidP="00352A9A">
      <w:pPr>
        <w:pStyle w:val="ListParagraph"/>
        <w:numPr>
          <w:ilvl w:val="0"/>
          <w:numId w:val="11"/>
        </w:numPr>
        <w:spacing w:line="276" w:lineRule="auto"/>
        <w:jc w:val="both"/>
        <w:rPr>
          <w:rFonts w:ascii="Times New Roman" w:hAnsi="Times New Roman" w:cs="Times New Roman"/>
        </w:rPr>
      </w:pPr>
      <w:r w:rsidRPr="00001291">
        <w:rPr>
          <w:rFonts w:ascii="Times New Roman" w:hAnsi="Times New Roman" w:cs="Times New Roman"/>
        </w:rPr>
        <w:t>Working with other professional procurement associations, identify other successful procurement models and practices and investigate implementation of such best procurement practices in the Commonwealth; and</w:t>
      </w:r>
    </w:p>
    <w:p w14:paraId="6BE0D1F1" w14:textId="77777777" w:rsidR="00057394" w:rsidRPr="007713C1" w:rsidRDefault="00057394" w:rsidP="00352A9A">
      <w:pPr>
        <w:pStyle w:val="ListParagraph"/>
        <w:numPr>
          <w:ilvl w:val="0"/>
          <w:numId w:val="11"/>
        </w:numPr>
        <w:spacing w:line="276" w:lineRule="auto"/>
        <w:jc w:val="both"/>
      </w:pPr>
      <w:r w:rsidRPr="00001291">
        <w:rPr>
          <w:rFonts w:ascii="Times New Roman" w:hAnsi="Times New Roman" w:cs="Times New Roman"/>
        </w:rPr>
        <w:t>Investigate, lead and/or designate collective/cooperative procurements with other states and Commonwealth public entities, including, but not limited to, Commonwealth state colleges and universities and the Massachusetts Higher Education Consortium, with a goal of leveraging buying power, sharing resources and best practice strategic sourcing techniques, when in the best interest of the Commonwealth.</w:t>
      </w:r>
    </w:p>
    <w:p w14:paraId="2AE2F720" w14:textId="77777777" w:rsidR="00057394" w:rsidRPr="007713C1" w:rsidRDefault="00057394" w:rsidP="00352A9A">
      <w:pPr>
        <w:pStyle w:val="NormalWeb"/>
        <w:spacing w:line="276" w:lineRule="auto"/>
        <w:jc w:val="both"/>
      </w:pPr>
      <w:r w:rsidRPr="007713C1">
        <w:t>Section 3. By October 1, 2011, OSD shall establish and implement, in consultation with the Commonwealth's Inspector General and Commonwealth municipalities, a Municipal Procurement Program ("MPP") within OSD for purposes of providing the following ongoing services for Commonwealth cities and towns:</w:t>
      </w:r>
    </w:p>
    <w:p w14:paraId="602F41BE" w14:textId="77777777" w:rsidR="00057394" w:rsidRPr="00001291" w:rsidRDefault="00057394" w:rsidP="00352A9A">
      <w:pPr>
        <w:pStyle w:val="ListParagraph"/>
        <w:numPr>
          <w:ilvl w:val="0"/>
          <w:numId w:val="12"/>
        </w:numPr>
        <w:spacing w:line="276" w:lineRule="auto"/>
        <w:jc w:val="both"/>
        <w:rPr>
          <w:rFonts w:ascii="Times New Roman" w:hAnsi="Times New Roman" w:cs="Times New Roman"/>
        </w:rPr>
      </w:pPr>
      <w:r w:rsidRPr="00001291">
        <w:rPr>
          <w:rFonts w:ascii="Times New Roman" w:hAnsi="Times New Roman" w:cs="Times New Roman"/>
        </w:rPr>
        <w:t>Outreach to municipalities and survey of their unique procurement needs that are not being fulfilled by current statewide, department or their own contracts;</w:t>
      </w:r>
    </w:p>
    <w:p w14:paraId="0FF9FBEE" w14:textId="77777777" w:rsidR="00057394" w:rsidRPr="00001291" w:rsidRDefault="00057394" w:rsidP="00352A9A">
      <w:pPr>
        <w:pStyle w:val="ListParagraph"/>
        <w:numPr>
          <w:ilvl w:val="0"/>
          <w:numId w:val="12"/>
        </w:numPr>
        <w:spacing w:line="276" w:lineRule="auto"/>
        <w:jc w:val="both"/>
        <w:rPr>
          <w:rFonts w:ascii="Times New Roman" w:hAnsi="Times New Roman" w:cs="Times New Roman"/>
        </w:rPr>
      </w:pPr>
      <w:r w:rsidRPr="00001291">
        <w:rPr>
          <w:rFonts w:ascii="Times New Roman" w:hAnsi="Times New Roman" w:cs="Times New Roman"/>
        </w:rPr>
        <w:t>Procurement, or delegation of procurement to other departments, of high volume goods and services that are needed by Commonwealth cities and towns;</w:t>
      </w:r>
    </w:p>
    <w:p w14:paraId="04428E24" w14:textId="77777777" w:rsidR="00057394" w:rsidRPr="00001291" w:rsidRDefault="00057394" w:rsidP="00352A9A">
      <w:pPr>
        <w:pStyle w:val="ListParagraph"/>
        <w:numPr>
          <w:ilvl w:val="0"/>
          <w:numId w:val="12"/>
        </w:numPr>
        <w:spacing w:line="276" w:lineRule="auto"/>
        <w:jc w:val="both"/>
        <w:rPr>
          <w:rFonts w:ascii="Times New Roman" w:hAnsi="Times New Roman" w:cs="Times New Roman"/>
        </w:rPr>
      </w:pPr>
      <w:r w:rsidRPr="00001291">
        <w:rPr>
          <w:rFonts w:ascii="Times New Roman" w:hAnsi="Times New Roman" w:cs="Times New Roman"/>
        </w:rPr>
        <w:t>Coordination and aggregation of planned municipal and state agency spending from statewide or department contracts; and</w:t>
      </w:r>
    </w:p>
    <w:p w14:paraId="0853A2CB" w14:textId="77777777" w:rsidR="00057394" w:rsidRPr="00001291" w:rsidRDefault="00057394" w:rsidP="00352A9A">
      <w:pPr>
        <w:pStyle w:val="ListParagraph"/>
        <w:numPr>
          <w:ilvl w:val="0"/>
          <w:numId w:val="12"/>
        </w:numPr>
        <w:spacing w:line="276" w:lineRule="auto"/>
        <w:jc w:val="both"/>
        <w:rPr>
          <w:rFonts w:ascii="Times New Roman" w:hAnsi="Times New Roman" w:cs="Times New Roman"/>
        </w:rPr>
      </w:pPr>
      <w:r w:rsidRPr="00001291">
        <w:rPr>
          <w:rFonts w:ascii="Times New Roman" w:hAnsi="Times New Roman" w:cs="Times New Roman"/>
        </w:rPr>
        <w:t>Provision of training to cities and towns on how to use statewide and department contracts and how to navigate the Commonwealth's procurement processes and systems.</w:t>
      </w:r>
    </w:p>
    <w:p w14:paraId="0B990391" w14:textId="77777777" w:rsidR="00057394" w:rsidRPr="007713C1" w:rsidRDefault="00057394" w:rsidP="00352A9A">
      <w:pPr>
        <w:pStyle w:val="NormalWeb"/>
        <w:spacing w:line="276" w:lineRule="auto"/>
        <w:jc w:val="both"/>
      </w:pPr>
      <w:r w:rsidRPr="007713C1">
        <w:t>Section 4. By July 1, 2011, the secretary of each executive office ("secretariat") in the Executive Department shall appoint a Secretariat Chief Procurement Officer ("SCPO") and shall submit names of said SCPOs to the Assistant Secretary. Each SCPO shall report both to the SCPO's respective secretariat and, through a dotted line relationship, to the Assistant Secretary. Each SCPO shall also serve in the role of Secretariat Supplier Diversity Officer as defined in Section 4 of Executive Order 524. Where operationally warranted, SCPOs shall have the authority, following consultation with agency heads, to appoint chief procurement officers for agencies within their secretariats ("Agency CPOs"). Each Agency CPO shall report to the SCPO of his or her Secretariat. Additionally, each Agency CPO shall serve as the Agency Supplier Diversity Officer as defined pursuant to Section 4 of Executive Officer 524. All agency procurement personnel shall report to the Agency CPO or to his or her designee, or where no Agency CPO is appointed, to the SCPO for the agency's secretariat. SCPOs, Agency CPOs and other state agency procurement staff shall meet all minimum procurement training standards and attend all required procurement training sessions as determined by the Assistant Secretary.</w:t>
      </w:r>
    </w:p>
    <w:p w14:paraId="082A7F89" w14:textId="77777777" w:rsidR="00057394" w:rsidRPr="007713C1" w:rsidRDefault="00057394" w:rsidP="00352A9A">
      <w:pPr>
        <w:pStyle w:val="NormalWeb"/>
        <w:spacing w:line="276" w:lineRule="auto"/>
        <w:jc w:val="both"/>
      </w:pPr>
      <w:r w:rsidRPr="007713C1">
        <w:lastRenderedPageBreak/>
        <w:t>Section 5. By July 1, 2011, and thereafter modified based on and after the Fiscal Year 2012 budget is enacted, each SCPO shall submit to the Assistant Secretary for review and approval a FY 2012 secretariat procurement plan ("Secretariat Procurement Plan") that demonstrates how the Secretariat will, no later than September 30, 2011, migrate to the most efficient model for the management and oversight of secretariat procurements consistent with all applicable procurement laws, regulations and policies and procedures as established by the Assistant Secretary and the goals and objectives of the Commonwealth's Supplier Diversity Program. The Plan shall also address, at a minimum, the following:</w:t>
      </w:r>
    </w:p>
    <w:p w14:paraId="616B648A" w14:textId="77777777" w:rsidR="00057394" w:rsidRPr="00001291" w:rsidRDefault="00057394" w:rsidP="00352A9A">
      <w:pPr>
        <w:pStyle w:val="ListParagraph"/>
        <w:numPr>
          <w:ilvl w:val="0"/>
          <w:numId w:val="13"/>
        </w:numPr>
        <w:spacing w:line="276" w:lineRule="auto"/>
        <w:jc w:val="both"/>
        <w:rPr>
          <w:rFonts w:ascii="Times New Roman" w:hAnsi="Times New Roman" w:cs="Times New Roman"/>
        </w:rPr>
      </w:pPr>
      <w:r w:rsidRPr="00001291">
        <w:rPr>
          <w:rFonts w:ascii="Times New Roman" w:hAnsi="Times New Roman" w:cs="Times New Roman"/>
        </w:rPr>
        <w:t>The amount of funds, from all sources, whether operating, capital, trust or otherwise, expended in Fiscal Year 2011 and previous two fiscal years on the purchase of goods and services within the secretariat;</w:t>
      </w:r>
    </w:p>
    <w:p w14:paraId="6FFCDDB1" w14:textId="77777777" w:rsidR="00057394" w:rsidRPr="00001291" w:rsidRDefault="00057394" w:rsidP="00352A9A">
      <w:pPr>
        <w:pStyle w:val="ListParagraph"/>
        <w:numPr>
          <w:ilvl w:val="0"/>
          <w:numId w:val="13"/>
        </w:numPr>
        <w:spacing w:line="276" w:lineRule="auto"/>
        <w:jc w:val="both"/>
        <w:rPr>
          <w:rFonts w:ascii="Times New Roman" w:hAnsi="Times New Roman" w:cs="Times New Roman"/>
        </w:rPr>
      </w:pPr>
      <w:r w:rsidRPr="00001291">
        <w:rPr>
          <w:rFonts w:ascii="Times New Roman" w:hAnsi="Times New Roman" w:cs="Times New Roman"/>
        </w:rPr>
        <w:t>The types of goods and services routinely purchased by the secretariat;</w:t>
      </w:r>
    </w:p>
    <w:p w14:paraId="52D1CE27" w14:textId="77777777" w:rsidR="00057394" w:rsidRPr="00001291" w:rsidRDefault="00057394" w:rsidP="00352A9A">
      <w:pPr>
        <w:pStyle w:val="ListParagraph"/>
        <w:numPr>
          <w:ilvl w:val="0"/>
          <w:numId w:val="13"/>
        </w:numPr>
        <w:spacing w:line="276" w:lineRule="auto"/>
        <w:jc w:val="both"/>
        <w:rPr>
          <w:rFonts w:ascii="Times New Roman" w:hAnsi="Times New Roman" w:cs="Times New Roman"/>
        </w:rPr>
      </w:pPr>
      <w:r w:rsidRPr="00001291">
        <w:rPr>
          <w:rFonts w:ascii="Times New Roman" w:hAnsi="Times New Roman" w:cs="Times New Roman"/>
        </w:rPr>
        <w:t>The secretariat and department procurement personnel, if any, specifically assigned to manage and oversee and conduct procurements within the secretariat and their job titles and areas of responsibility;</w:t>
      </w:r>
    </w:p>
    <w:p w14:paraId="55DE9BF0" w14:textId="77777777" w:rsidR="00057394" w:rsidRPr="00001291" w:rsidRDefault="00057394" w:rsidP="00352A9A">
      <w:pPr>
        <w:pStyle w:val="ListParagraph"/>
        <w:numPr>
          <w:ilvl w:val="0"/>
          <w:numId w:val="13"/>
        </w:numPr>
        <w:spacing w:line="276" w:lineRule="auto"/>
        <w:jc w:val="both"/>
        <w:rPr>
          <w:rFonts w:ascii="Times New Roman" w:hAnsi="Times New Roman" w:cs="Times New Roman"/>
        </w:rPr>
      </w:pPr>
      <w:r w:rsidRPr="00001291">
        <w:rPr>
          <w:rFonts w:ascii="Times New Roman" w:hAnsi="Times New Roman" w:cs="Times New Roman"/>
        </w:rPr>
        <w:t>The projected spending for the current and upcoming fiscal year on the purchase of goods and services broken out by spending category;</w:t>
      </w:r>
    </w:p>
    <w:p w14:paraId="581123FF" w14:textId="77777777" w:rsidR="00057394" w:rsidRPr="00001291" w:rsidRDefault="00057394" w:rsidP="00352A9A">
      <w:pPr>
        <w:pStyle w:val="ListParagraph"/>
        <w:numPr>
          <w:ilvl w:val="0"/>
          <w:numId w:val="13"/>
        </w:numPr>
        <w:spacing w:line="276" w:lineRule="auto"/>
        <w:jc w:val="both"/>
        <w:rPr>
          <w:rFonts w:ascii="Times New Roman" w:hAnsi="Times New Roman" w:cs="Times New Roman"/>
        </w:rPr>
      </w:pPr>
      <w:r w:rsidRPr="00001291">
        <w:rPr>
          <w:rFonts w:ascii="Times New Roman" w:hAnsi="Times New Roman" w:cs="Times New Roman"/>
        </w:rPr>
        <w:t>Best practices, strategies, policies, procedures and a specific action plan that the secretariat will be implementing to accomplish an approximate 3% reduction in secretariat spending on goods and services in Fiscal Year 2012 in support of the administration's Fiscal Year goal of generating approximately $30 million in savings by Executive Department on goods and services in Fiscal Year 2012 and the projected reduction in future fiscal years;</w:t>
      </w:r>
    </w:p>
    <w:p w14:paraId="249ED75D" w14:textId="77777777" w:rsidR="00057394" w:rsidRPr="00001291" w:rsidRDefault="00057394" w:rsidP="00352A9A">
      <w:pPr>
        <w:pStyle w:val="ListParagraph"/>
        <w:numPr>
          <w:ilvl w:val="0"/>
          <w:numId w:val="13"/>
        </w:numPr>
        <w:spacing w:line="276" w:lineRule="auto"/>
        <w:jc w:val="both"/>
        <w:rPr>
          <w:rFonts w:ascii="Times New Roman" w:hAnsi="Times New Roman" w:cs="Times New Roman"/>
        </w:rPr>
      </w:pPr>
      <w:r w:rsidRPr="00001291">
        <w:rPr>
          <w:rFonts w:ascii="Times New Roman" w:hAnsi="Times New Roman" w:cs="Times New Roman"/>
        </w:rPr>
        <w:t>Recommendations for the staffing and the organizational structure or restructure of procurement personnel within the secretariat and any savings that will result from implementing these recommendations;</w:t>
      </w:r>
    </w:p>
    <w:p w14:paraId="7CB8C992" w14:textId="77777777" w:rsidR="00057394" w:rsidRPr="00001291" w:rsidRDefault="00057394" w:rsidP="00352A9A">
      <w:pPr>
        <w:pStyle w:val="ListParagraph"/>
        <w:numPr>
          <w:ilvl w:val="0"/>
          <w:numId w:val="13"/>
        </w:numPr>
        <w:spacing w:line="276" w:lineRule="auto"/>
        <w:jc w:val="both"/>
        <w:rPr>
          <w:rFonts w:ascii="Times New Roman" w:hAnsi="Times New Roman" w:cs="Times New Roman"/>
        </w:rPr>
      </w:pPr>
      <w:r w:rsidRPr="00001291">
        <w:rPr>
          <w:rFonts w:ascii="Times New Roman" w:hAnsi="Times New Roman" w:cs="Times New Roman"/>
        </w:rPr>
        <w:t>Opportunities for inter-secretariat coordination and collaboration on purchasing of goods and services to achieve cost-savings and enhanced quality;</w:t>
      </w:r>
    </w:p>
    <w:p w14:paraId="5819EE7B" w14:textId="77777777" w:rsidR="00057394" w:rsidRPr="00001291" w:rsidRDefault="00057394" w:rsidP="00352A9A">
      <w:pPr>
        <w:pStyle w:val="ListParagraph"/>
        <w:numPr>
          <w:ilvl w:val="0"/>
          <w:numId w:val="13"/>
        </w:numPr>
        <w:spacing w:line="276" w:lineRule="auto"/>
        <w:jc w:val="both"/>
        <w:rPr>
          <w:rFonts w:ascii="Times New Roman" w:hAnsi="Times New Roman" w:cs="Times New Roman"/>
        </w:rPr>
      </w:pPr>
      <w:r w:rsidRPr="00001291">
        <w:rPr>
          <w:rFonts w:ascii="Times New Roman" w:hAnsi="Times New Roman" w:cs="Times New Roman"/>
        </w:rPr>
        <w:t>Recommendations for specific goods and services that the secretariat would request OSD to procure or to designate a department to procure on statewide contracts;</w:t>
      </w:r>
    </w:p>
    <w:p w14:paraId="75DEDC0B" w14:textId="77777777" w:rsidR="00057394" w:rsidRPr="00001291" w:rsidRDefault="00057394" w:rsidP="00352A9A">
      <w:pPr>
        <w:pStyle w:val="ListParagraph"/>
        <w:numPr>
          <w:ilvl w:val="0"/>
          <w:numId w:val="13"/>
        </w:numPr>
        <w:spacing w:line="276" w:lineRule="auto"/>
        <w:jc w:val="both"/>
        <w:rPr>
          <w:rFonts w:ascii="Times New Roman" w:hAnsi="Times New Roman" w:cs="Times New Roman"/>
        </w:rPr>
      </w:pPr>
      <w:r w:rsidRPr="00001291">
        <w:rPr>
          <w:rFonts w:ascii="Times New Roman" w:hAnsi="Times New Roman" w:cs="Times New Roman"/>
        </w:rPr>
        <w:t>Recommendations of secretariat and/or agency procurement personnel to actively participate on OSD, secretariat or agency Procurement Management Teams ("PMTs") from the top ten consumer agencies as determined by contract usage in the prior fiscal year; and</w:t>
      </w:r>
    </w:p>
    <w:p w14:paraId="01AC7967" w14:textId="77777777" w:rsidR="00057394" w:rsidRPr="00001291" w:rsidRDefault="00057394" w:rsidP="00352A9A">
      <w:pPr>
        <w:pStyle w:val="ListParagraph"/>
        <w:numPr>
          <w:ilvl w:val="0"/>
          <w:numId w:val="13"/>
        </w:numPr>
        <w:spacing w:line="276" w:lineRule="auto"/>
        <w:jc w:val="both"/>
        <w:rPr>
          <w:rFonts w:ascii="Times New Roman" w:hAnsi="Times New Roman" w:cs="Times New Roman"/>
        </w:rPr>
      </w:pPr>
      <w:r w:rsidRPr="00001291">
        <w:rPr>
          <w:rFonts w:ascii="Times New Roman" w:hAnsi="Times New Roman" w:cs="Times New Roman"/>
        </w:rPr>
        <w:t>Recommendations for policy, practice, or regulatory changes or other reforms that the Commonwealth should consider implementing to improve the efficiency and quality of statewide and secretariat/department procurements.</w:t>
      </w:r>
    </w:p>
    <w:p w14:paraId="50BA0B01" w14:textId="77777777" w:rsidR="00057394" w:rsidRPr="007713C1" w:rsidRDefault="00057394" w:rsidP="00352A9A">
      <w:pPr>
        <w:pStyle w:val="NormalWeb"/>
        <w:spacing w:line="276" w:lineRule="auto"/>
        <w:jc w:val="both"/>
      </w:pPr>
      <w:r w:rsidRPr="007713C1">
        <w:t xml:space="preserve">Section 6. Beginning April 1, 2012, and thereafter modified based on and after the budget for the upcoming fiscal year is enacted, and annually by April 1 thereafter, the SCPO shall provide an </w:t>
      </w:r>
      <w:r w:rsidRPr="007713C1">
        <w:lastRenderedPageBreak/>
        <w:t>annual Secretariat Procurement Plan to the Assistant Secretary and the Executive Office for Administration and Finance ("ANF") that, at a minimum, contains the following:</w:t>
      </w:r>
    </w:p>
    <w:p w14:paraId="0C45141D" w14:textId="77777777" w:rsidR="00057394" w:rsidRPr="00001291" w:rsidRDefault="00057394" w:rsidP="00352A9A">
      <w:pPr>
        <w:pStyle w:val="ListParagraph"/>
        <w:numPr>
          <w:ilvl w:val="0"/>
          <w:numId w:val="14"/>
        </w:numPr>
        <w:spacing w:line="276" w:lineRule="auto"/>
        <w:jc w:val="both"/>
        <w:rPr>
          <w:rFonts w:ascii="Times New Roman" w:hAnsi="Times New Roman" w:cs="Times New Roman"/>
        </w:rPr>
      </w:pPr>
      <w:r w:rsidRPr="00001291">
        <w:rPr>
          <w:rFonts w:ascii="Times New Roman" w:hAnsi="Times New Roman" w:cs="Times New Roman"/>
        </w:rPr>
        <w:t>An annual secretariat spending plan that identifies the expected level of spending on the purchase of goods and services within the secretariat;</w:t>
      </w:r>
    </w:p>
    <w:p w14:paraId="5121527C" w14:textId="77777777" w:rsidR="00057394" w:rsidRPr="00001291" w:rsidRDefault="00057394" w:rsidP="00352A9A">
      <w:pPr>
        <w:pStyle w:val="ListParagraph"/>
        <w:numPr>
          <w:ilvl w:val="0"/>
          <w:numId w:val="14"/>
        </w:numPr>
        <w:spacing w:line="276" w:lineRule="auto"/>
        <w:jc w:val="both"/>
        <w:rPr>
          <w:rFonts w:ascii="Times New Roman" w:hAnsi="Times New Roman" w:cs="Times New Roman"/>
        </w:rPr>
      </w:pPr>
      <w:r w:rsidRPr="00001291">
        <w:rPr>
          <w:rFonts w:ascii="Times New Roman" w:hAnsi="Times New Roman" w:cs="Times New Roman"/>
        </w:rPr>
        <w:t>Major purchases anticipated for the fiscal year;</w:t>
      </w:r>
    </w:p>
    <w:p w14:paraId="0666307F" w14:textId="77777777" w:rsidR="00057394" w:rsidRPr="00001291" w:rsidRDefault="00057394" w:rsidP="00352A9A">
      <w:pPr>
        <w:pStyle w:val="ListParagraph"/>
        <w:numPr>
          <w:ilvl w:val="0"/>
          <w:numId w:val="14"/>
        </w:numPr>
        <w:spacing w:line="276" w:lineRule="auto"/>
        <w:jc w:val="both"/>
        <w:rPr>
          <w:rFonts w:ascii="Times New Roman" w:hAnsi="Times New Roman" w:cs="Times New Roman"/>
        </w:rPr>
      </w:pPr>
      <w:r w:rsidRPr="00001291">
        <w:rPr>
          <w:rFonts w:ascii="Times New Roman" w:hAnsi="Times New Roman" w:cs="Times New Roman"/>
        </w:rPr>
        <w:t>The fiscal year goal for secretariat spending with minority-owned and women-owned businesses;</w:t>
      </w:r>
    </w:p>
    <w:p w14:paraId="195F3CA0" w14:textId="77777777" w:rsidR="00057394" w:rsidRPr="00001291" w:rsidRDefault="00057394" w:rsidP="00352A9A">
      <w:pPr>
        <w:pStyle w:val="ListParagraph"/>
        <w:numPr>
          <w:ilvl w:val="0"/>
          <w:numId w:val="14"/>
        </w:numPr>
        <w:spacing w:line="276" w:lineRule="auto"/>
        <w:jc w:val="both"/>
        <w:rPr>
          <w:rFonts w:ascii="Times New Roman" w:hAnsi="Times New Roman" w:cs="Times New Roman"/>
        </w:rPr>
      </w:pPr>
      <w:r w:rsidRPr="00001291">
        <w:rPr>
          <w:rFonts w:ascii="Times New Roman" w:hAnsi="Times New Roman" w:cs="Times New Roman"/>
        </w:rPr>
        <w:t>Recommendations for reforms, cost-savings and efficiencies in the procurement practices within the secretariat; and</w:t>
      </w:r>
    </w:p>
    <w:p w14:paraId="75A57A59" w14:textId="77777777" w:rsidR="00057394" w:rsidRPr="007713C1" w:rsidRDefault="00057394" w:rsidP="00352A9A">
      <w:pPr>
        <w:pStyle w:val="ListParagraph"/>
        <w:numPr>
          <w:ilvl w:val="0"/>
          <w:numId w:val="14"/>
        </w:numPr>
        <w:spacing w:line="276" w:lineRule="auto"/>
        <w:jc w:val="both"/>
      </w:pPr>
      <w:r w:rsidRPr="00001291">
        <w:rPr>
          <w:rFonts w:ascii="Times New Roman" w:hAnsi="Times New Roman" w:cs="Times New Roman"/>
        </w:rPr>
        <w:t>Recommendations for Commonwealth-wide reforms, cost-savings and efficiencies in the procurement process.</w:t>
      </w:r>
    </w:p>
    <w:p w14:paraId="68539952" w14:textId="77777777" w:rsidR="00057394" w:rsidRPr="007713C1" w:rsidRDefault="00057394" w:rsidP="00352A9A">
      <w:pPr>
        <w:pStyle w:val="NormalWeb"/>
        <w:spacing w:line="276" w:lineRule="auto"/>
        <w:jc w:val="both"/>
      </w:pPr>
      <w:r w:rsidRPr="007713C1">
        <w:t>Section 7. There shall be a Procurement Advisory Board ("PAB") established to advise ANF and the Assistant Secretary on Commonwealth-wide strategic sourcing opportunities and procurement reforms, with the goal of meaningfully reducing the cost and improving the quality, value, efficiency, techniques and trends of purchasing goods and services within the Commonwealth. The PAB shall be chaired by the Assistant Secretary and comprised of the SCPOs, the Assistant Secretary for Access and Opportunity or his/her designee, and such other members identified by ANF and/or the Assistant Secretary. The PAB shall endeavor to include members from the Judicial and Legislative branches, other constitutional offices, Commonwealth cities and towns, higher education and the quasi-public authorities to enhance the opportunity for aggregate purchasing, standardization of processes, efficiencies and other coordination and collaborative procurement reforms.</w:t>
      </w:r>
    </w:p>
    <w:p w14:paraId="6A2DDBB1" w14:textId="77777777" w:rsidR="00057394" w:rsidRPr="007713C1" w:rsidRDefault="00057394" w:rsidP="00352A9A">
      <w:pPr>
        <w:pStyle w:val="NormalWeb"/>
        <w:spacing w:line="276" w:lineRule="auto"/>
        <w:jc w:val="both"/>
      </w:pPr>
      <w:r w:rsidRPr="007713C1">
        <w:t>The PAB shall meet at least quarterly and shall provide ANF with a quarterly report during its first year and thereafter an annual report regarding its activities, recommendations and progress towards initially reforming and thereafter ensuring the high quality of procurement in the Commonwealth. The PAB shall, without limitation, take the following actions:</w:t>
      </w:r>
    </w:p>
    <w:p w14:paraId="7C520DA2" w14:textId="77777777" w:rsidR="00057394" w:rsidRPr="00001291" w:rsidRDefault="00057394" w:rsidP="00352A9A">
      <w:pPr>
        <w:pStyle w:val="ListParagraph"/>
        <w:numPr>
          <w:ilvl w:val="0"/>
          <w:numId w:val="15"/>
        </w:numPr>
        <w:spacing w:line="276" w:lineRule="auto"/>
        <w:jc w:val="both"/>
        <w:rPr>
          <w:rFonts w:ascii="Times New Roman" w:hAnsi="Times New Roman" w:cs="Times New Roman"/>
        </w:rPr>
      </w:pPr>
      <w:r w:rsidRPr="00001291">
        <w:rPr>
          <w:rFonts w:ascii="Times New Roman" w:hAnsi="Times New Roman" w:cs="Times New Roman"/>
        </w:rPr>
        <w:t>Provide input and recommend improvements to the Assistant Secretary on the Commonwealth's standard terms and conditions and other procurement terms;</w:t>
      </w:r>
    </w:p>
    <w:p w14:paraId="72E1F51D" w14:textId="77777777" w:rsidR="00057394" w:rsidRPr="00001291" w:rsidRDefault="00057394" w:rsidP="00352A9A">
      <w:pPr>
        <w:pStyle w:val="ListParagraph"/>
        <w:numPr>
          <w:ilvl w:val="0"/>
          <w:numId w:val="15"/>
        </w:numPr>
        <w:spacing w:line="276" w:lineRule="auto"/>
        <w:jc w:val="both"/>
        <w:rPr>
          <w:rFonts w:ascii="Times New Roman" w:hAnsi="Times New Roman" w:cs="Times New Roman"/>
        </w:rPr>
      </w:pPr>
      <w:r w:rsidRPr="00001291">
        <w:rPr>
          <w:rFonts w:ascii="Times New Roman" w:hAnsi="Times New Roman" w:cs="Times New Roman"/>
        </w:rPr>
        <w:t>Share best practices among and between secretariats for purchasing;</w:t>
      </w:r>
    </w:p>
    <w:p w14:paraId="61853DB6" w14:textId="77777777" w:rsidR="00057394" w:rsidRPr="00001291" w:rsidRDefault="00057394" w:rsidP="00352A9A">
      <w:pPr>
        <w:pStyle w:val="ListParagraph"/>
        <w:numPr>
          <w:ilvl w:val="0"/>
          <w:numId w:val="15"/>
        </w:numPr>
        <w:spacing w:line="276" w:lineRule="auto"/>
        <w:jc w:val="both"/>
        <w:rPr>
          <w:rFonts w:ascii="Times New Roman" w:hAnsi="Times New Roman" w:cs="Times New Roman"/>
        </w:rPr>
      </w:pPr>
      <w:r w:rsidRPr="00001291">
        <w:rPr>
          <w:rFonts w:ascii="Times New Roman" w:hAnsi="Times New Roman" w:cs="Times New Roman"/>
        </w:rPr>
        <w:t xml:space="preserve">Establish a Business Advisory Board, comprised of members of the PAB and business community, which will meet at least twice per year and will provide input from the business community to the PAB about whether the Commonwealth's procurement process creates unnecessary barriers to or burdens associated with doing business with the Commonwealth; provided that at least two members of the Supplier Diversity Office Advisory Board, as defined in section 6 of Executive Order 524, shall be appointed to serve on the Business Advisory Board. The PAB shall also solicit from the Business Advisory </w:t>
      </w:r>
      <w:r w:rsidRPr="00001291">
        <w:rPr>
          <w:rFonts w:ascii="Times New Roman" w:hAnsi="Times New Roman" w:cs="Times New Roman"/>
        </w:rPr>
        <w:lastRenderedPageBreak/>
        <w:t>Board whether any procurement and contract terms result in unnecessary increased risk and/or cost to businesses, which may result in increased prices paid by the Commonwealth or cause certain businesses not to bid, thereby limiting competition or inhibiting attainment of the Commonwealth's supplier diversity goals;</w:t>
      </w:r>
    </w:p>
    <w:p w14:paraId="4F9D69C6" w14:textId="77777777" w:rsidR="00057394" w:rsidRPr="00001291" w:rsidRDefault="00057394" w:rsidP="00352A9A">
      <w:pPr>
        <w:pStyle w:val="ListParagraph"/>
        <w:numPr>
          <w:ilvl w:val="0"/>
          <w:numId w:val="15"/>
        </w:numPr>
        <w:spacing w:line="276" w:lineRule="auto"/>
        <w:jc w:val="both"/>
        <w:rPr>
          <w:rFonts w:ascii="Times New Roman" w:hAnsi="Times New Roman" w:cs="Times New Roman"/>
        </w:rPr>
      </w:pPr>
      <w:r w:rsidRPr="00001291">
        <w:rPr>
          <w:rFonts w:ascii="Times New Roman" w:hAnsi="Times New Roman" w:cs="Times New Roman"/>
        </w:rPr>
        <w:t>Develop a tracking list of anticipated major purchases and monitor closely these major purchases to ensure that the procurement results in the lowest prices and/or best values for the Commonwealth;</w:t>
      </w:r>
    </w:p>
    <w:p w14:paraId="64EFB807" w14:textId="77777777" w:rsidR="00057394" w:rsidRPr="00001291" w:rsidRDefault="00057394" w:rsidP="00352A9A">
      <w:pPr>
        <w:pStyle w:val="ListParagraph"/>
        <w:numPr>
          <w:ilvl w:val="0"/>
          <w:numId w:val="15"/>
        </w:numPr>
        <w:spacing w:line="276" w:lineRule="auto"/>
        <w:jc w:val="both"/>
        <w:rPr>
          <w:rFonts w:ascii="Times New Roman" w:hAnsi="Times New Roman" w:cs="Times New Roman"/>
        </w:rPr>
      </w:pPr>
      <w:r w:rsidRPr="00001291">
        <w:rPr>
          <w:rFonts w:ascii="Times New Roman" w:hAnsi="Times New Roman" w:cs="Times New Roman"/>
        </w:rPr>
        <w:t>Consider further organizational, staffing and administrative actions that would improve the procurement process and results in the Commonwealth; and</w:t>
      </w:r>
    </w:p>
    <w:p w14:paraId="5B73E259" w14:textId="77777777" w:rsidR="00057394" w:rsidRPr="00001291" w:rsidRDefault="00057394" w:rsidP="00352A9A">
      <w:pPr>
        <w:pStyle w:val="ListParagraph"/>
        <w:numPr>
          <w:ilvl w:val="0"/>
          <w:numId w:val="15"/>
        </w:numPr>
        <w:spacing w:line="276" w:lineRule="auto"/>
        <w:jc w:val="both"/>
        <w:rPr>
          <w:rFonts w:ascii="Times New Roman" w:hAnsi="Times New Roman" w:cs="Times New Roman"/>
        </w:rPr>
      </w:pPr>
      <w:r w:rsidRPr="00001291">
        <w:rPr>
          <w:rFonts w:ascii="Times New Roman" w:hAnsi="Times New Roman" w:cs="Times New Roman"/>
        </w:rPr>
        <w:t>Assist the Assistant Secretary in identifying other successful state procurement models and practices and in implementing such best procurement practices in the Commonwealth.</w:t>
      </w:r>
    </w:p>
    <w:p w14:paraId="07BF4933" w14:textId="77777777" w:rsidR="00057394" w:rsidRPr="007713C1" w:rsidRDefault="00057394" w:rsidP="00352A9A">
      <w:pPr>
        <w:pStyle w:val="NormalWeb"/>
        <w:spacing w:line="276" w:lineRule="auto"/>
        <w:jc w:val="both"/>
      </w:pPr>
      <w:r w:rsidRPr="007713C1">
        <w:t>Section 8. By July 1, 2011, the Assistant Secretary shall appoint an eProcurement Advisory Board including the Assistant Secretary for Access &amp; Opportunity or his/her designee, the Commonwealth's Chief Information Officer ("CIO") or his/her designee, the Comptroller of the Commonwealth or his/her designee, the Secretariat CIO of the Executive Office for Administration and Finance, the OSD CIO and the OSD Director of eProcurement for the purpose of:</w:t>
      </w:r>
    </w:p>
    <w:p w14:paraId="5067ED56" w14:textId="77777777" w:rsidR="00057394" w:rsidRPr="00001291" w:rsidRDefault="00057394" w:rsidP="00352A9A">
      <w:pPr>
        <w:pStyle w:val="ListParagraph"/>
        <w:numPr>
          <w:ilvl w:val="0"/>
          <w:numId w:val="16"/>
        </w:numPr>
        <w:spacing w:line="276" w:lineRule="auto"/>
        <w:jc w:val="both"/>
        <w:rPr>
          <w:rFonts w:ascii="Times New Roman" w:hAnsi="Times New Roman" w:cs="Times New Roman"/>
        </w:rPr>
      </w:pPr>
      <w:r w:rsidRPr="00001291">
        <w:rPr>
          <w:rFonts w:ascii="Times New Roman" w:hAnsi="Times New Roman" w:cs="Times New Roman"/>
        </w:rPr>
        <w:t>Reviewing all currently available procurement-related systems and tools, including but not limited to Comm-PASS, to determine capabilities and limitations;</w:t>
      </w:r>
    </w:p>
    <w:p w14:paraId="3E08E4D8" w14:textId="77777777" w:rsidR="00057394" w:rsidRPr="00001291" w:rsidRDefault="00057394" w:rsidP="00352A9A">
      <w:pPr>
        <w:pStyle w:val="ListParagraph"/>
        <w:numPr>
          <w:ilvl w:val="0"/>
          <w:numId w:val="16"/>
        </w:numPr>
        <w:spacing w:line="276" w:lineRule="auto"/>
        <w:jc w:val="both"/>
        <w:rPr>
          <w:rFonts w:ascii="Times New Roman" w:hAnsi="Times New Roman" w:cs="Times New Roman"/>
        </w:rPr>
      </w:pPr>
      <w:r w:rsidRPr="00001291">
        <w:rPr>
          <w:rFonts w:ascii="Times New Roman" w:hAnsi="Times New Roman" w:cs="Times New Roman"/>
        </w:rPr>
        <w:t>Assessing which improvements and reforms can be implemented immediately and longer-term through existing systems;</w:t>
      </w:r>
    </w:p>
    <w:p w14:paraId="763FFBD2" w14:textId="77777777" w:rsidR="00057394" w:rsidRPr="00001291" w:rsidRDefault="00057394" w:rsidP="00352A9A">
      <w:pPr>
        <w:pStyle w:val="ListParagraph"/>
        <w:numPr>
          <w:ilvl w:val="0"/>
          <w:numId w:val="16"/>
        </w:numPr>
        <w:spacing w:line="276" w:lineRule="auto"/>
        <w:jc w:val="both"/>
        <w:rPr>
          <w:rFonts w:ascii="Times New Roman" w:hAnsi="Times New Roman" w:cs="Times New Roman"/>
        </w:rPr>
      </w:pPr>
      <w:r w:rsidRPr="00001291">
        <w:rPr>
          <w:rFonts w:ascii="Times New Roman" w:hAnsi="Times New Roman" w:cs="Times New Roman"/>
        </w:rPr>
        <w:t>Reviewing systems and tools used by other states or offered by solution providers;</w:t>
      </w:r>
    </w:p>
    <w:p w14:paraId="0FACA0D3" w14:textId="77777777" w:rsidR="00057394" w:rsidRPr="00001291" w:rsidRDefault="00057394" w:rsidP="00352A9A">
      <w:pPr>
        <w:pStyle w:val="ListParagraph"/>
        <w:numPr>
          <w:ilvl w:val="0"/>
          <w:numId w:val="16"/>
        </w:numPr>
        <w:spacing w:line="276" w:lineRule="auto"/>
        <w:jc w:val="both"/>
        <w:rPr>
          <w:rFonts w:ascii="Times New Roman" w:hAnsi="Times New Roman" w:cs="Times New Roman"/>
        </w:rPr>
      </w:pPr>
      <w:r w:rsidRPr="00001291">
        <w:rPr>
          <w:rFonts w:ascii="Times New Roman" w:hAnsi="Times New Roman" w:cs="Times New Roman"/>
        </w:rPr>
        <w:t>Developing a strategic plan for funding, specifying and implementing an eProcurement solution which streamlines business processes including aggregation, lowers barriers to competition, collects procurement level information, facilitates the goals and objectives of the Commonwealth's Supplier Diversity Program, eliminates paper and provides public transparency; and</w:t>
      </w:r>
    </w:p>
    <w:p w14:paraId="6CA28A1A" w14:textId="77777777" w:rsidR="00057394" w:rsidRPr="007713C1" w:rsidRDefault="00057394" w:rsidP="00352A9A">
      <w:pPr>
        <w:pStyle w:val="ListParagraph"/>
        <w:numPr>
          <w:ilvl w:val="0"/>
          <w:numId w:val="16"/>
        </w:numPr>
        <w:spacing w:line="276" w:lineRule="auto"/>
        <w:jc w:val="both"/>
      </w:pPr>
      <w:r w:rsidRPr="00001291">
        <w:rPr>
          <w:rFonts w:ascii="Times New Roman" w:hAnsi="Times New Roman" w:cs="Times New Roman"/>
        </w:rPr>
        <w:t>Consulting with the Commonwealth CIO and the ANF SCIO in order to ensure that all proposed systems align with the Commonwealth and Secretariat goals and priorities, and comply with ITD enterprise policies and standards.</w:t>
      </w:r>
    </w:p>
    <w:p w14:paraId="32990447" w14:textId="77777777" w:rsidR="00057394" w:rsidRPr="007713C1" w:rsidRDefault="00057394" w:rsidP="00352A9A">
      <w:pPr>
        <w:pStyle w:val="NormalWeb"/>
        <w:spacing w:line="276" w:lineRule="auto"/>
        <w:jc w:val="both"/>
      </w:pPr>
      <w:r w:rsidRPr="007713C1">
        <w:t>Section 9. Where appropriate, and with the approval of the Secretary for Administration and Finance, the Assistant Secretary shall have the authority to enforce this Executive Order by determining and imposing remedial courses of action in instances of secretariat or agency non-compliance with this Order's requirements.</w:t>
      </w:r>
    </w:p>
    <w:p w14:paraId="3345E2F2" w14:textId="77777777" w:rsidR="00057394" w:rsidRPr="007713C1" w:rsidRDefault="00057394" w:rsidP="00352A9A">
      <w:pPr>
        <w:pStyle w:val="NormalWeb"/>
        <w:spacing w:line="276" w:lineRule="auto"/>
        <w:jc w:val="both"/>
      </w:pPr>
      <w:r w:rsidRPr="007713C1">
        <w:t xml:space="preserve">Section 10. The Assistant Secretary shall report annually, beginning August 1, 2011, to ANF concerning: (a) progress made by the Executive Department towards statewide and secretariat procurement reform; (b) the results of such reforms; (c) opportunities for additional reforms in the </w:t>
      </w:r>
      <w:r w:rsidRPr="007713C1">
        <w:lastRenderedPageBreak/>
        <w:t>Executive Department's procurement statutes, regulations, policies, practices and standards; (d) goals for the upcoming fiscal year for cost-savings and efficiencies with the anticipated purchasing actions, with a specific action plan containing steps to bring about an annual reduction in spending on goods and services, including approximately $30 million in savings by Executive Department on goods and services in Fiscal Year 2012; and (e) the major purchases anticipated in the Executive Department in the upcoming year and steps being taken to manage effectively and efficiently all purchasing decisions.</w:t>
      </w:r>
    </w:p>
    <w:p w14:paraId="1B203EE0" w14:textId="77777777" w:rsidR="00057394" w:rsidRPr="007713C1" w:rsidRDefault="00057394" w:rsidP="00352A9A">
      <w:pPr>
        <w:pStyle w:val="NormalWeb"/>
        <w:spacing w:line="276" w:lineRule="auto"/>
        <w:jc w:val="both"/>
      </w:pPr>
      <w:r w:rsidRPr="007713C1">
        <w:t>Section 11. Nothing in this Executive Order shall be construed such that any recommended policies, processes or actions are inconsistent with section 5 of Executive Order 526 (Non-discrimination, Diversity, Equal Opportunity, and Affirmative Action) or shall be implemented in a manner that is inconsistent with the goals and objectives of Executive Order 524 (Massachusetts Supplier Diversity Program), Executive Order 515 (Environmental Purchasing Policy), Executive Order 527 (Office of Access and Opportunity within the Executive Office of Administration and Finance) or Executive Order 523 (Massachusetts Small Business Purchasing Program), unless repealed.</w:t>
      </w:r>
    </w:p>
    <w:p w14:paraId="3F18CC80" w14:textId="77777777" w:rsidR="00057394" w:rsidRPr="007713C1" w:rsidRDefault="00057394" w:rsidP="00352A9A">
      <w:pPr>
        <w:pStyle w:val="NormalWeb"/>
        <w:spacing w:line="276" w:lineRule="auto"/>
        <w:jc w:val="both"/>
      </w:pPr>
      <w:r w:rsidRPr="007713C1">
        <w:t>Section12. This Executive Order shall take effect immediately and shall continue in effect until amended, superseded, or revoked by subsequent Executive Order.</w:t>
      </w:r>
    </w:p>
    <w:p w14:paraId="356A1C06" w14:textId="77777777" w:rsidR="00057394" w:rsidRPr="007713C1" w:rsidRDefault="00057394" w:rsidP="00352A9A">
      <w:pPr>
        <w:pStyle w:val="NormalWeb"/>
        <w:spacing w:line="276" w:lineRule="auto"/>
        <w:jc w:val="both"/>
      </w:pPr>
      <w:r w:rsidRPr="007713C1">
        <w:t>Given at the Executive Chamber in Boston this 9th Day of May in the Year of our Lord two thousand and eleven, and of the Independence of the United States of America two hundred and thirty-five.</w:t>
      </w:r>
    </w:p>
    <w:p w14:paraId="42C1DDA2" w14:textId="77777777" w:rsidR="00057394" w:rsidRPr="007713C1" w:rsidRDefault="00057394" w:rsidP="00352A9A">
      <w:pPr>
        <w:pStyle w:val="NormalWeb"/>
        <w:spacing w:line="276" w:lineRule="auto"/>
      </w:pPr>
      <w:r w:rsidRPr="007713C1">
        <w:t>DEVAL L. PATRICK</w:t>
      </w:r>
      <w:r w:rsidRPr="007713C1">
        <w:br/>
        <w:t>GOVERNOR</w:t>
      </w:r>
      <w:r w:rsidRPr="007713C1">
        <w:br/>
        <w:t>Commonwealth of Massachusetts</w:t>
      </w:r>
    </w:p>
    <w:p w14:paraId="22606652" w14:textId="77777777" w:rsidR="00057394" w:rsidRPr="007713C1" w:rsidRDefault="00057394" w:rsidP="00352A9A">
      <w:pPr>
        <w:pStyle w:val="NormalWeb"/>
        <w:spacing w:line="276" w:lineRule="auto"/>
      </w:pPr>
      <w:r w:rsidRPr="007713C1">
        <w:t>William Francis Galvin</w:t>
      </w:r>
      <w:r w:rsidRPr="007713C1">
        <w:br/>
        <w:t>Secretary of the Commonwealth</w:t>
      </w:r>
    </w:p>
    <w:p w14:paraId="674222CA" w14:textId="77777777" w:rsidR="003F0AFC" w:rsidRPr="002C392E" w:rsidRDefault="00057394" w:rsidP="00352A9A">
      <w:pPr>
        <w:pStyle w:val="NormalWeb"/>
        <w:spacing w:line="276" w:lineRule="auto"/>
        <w:rPr>
          <w:rStyle w:val="Hyperlink"/>
          <w:color w:val="auto"/>
          <w:u w:val="none"/>
        </w:rPr>
      </w:pPr>
      <w:r w:rsidRPr="007713C1">
        <w:t>GOD SAVE THE COMMONWEALTH OF MASSACHUSETTS</w:t>
      </w:r>
      <w:r w:rsidRPr="007713C1">
        <w:rPr>
          <w:color w:val="0000FF"/>
        </w:rPr>
        <w:br w:type="page"/>
      </w:r>
    </w:p>
    <w:p w14:paraId="6F3D98C4" w14:textId="77777777" w:rsidR="00F26C17" w:rsidRPr="007577F6" w:rsidRDefault="00F26C17" w:rsidP="002C392E">
      <w:pPr>
        <w:rPr>
          <w:rStyle w:val="Hyperlink"/>
          <w:sz w:val="16"/>
          <w:szCs w:val="16"/>
          <w:u w:val="none"/>
        </w:rPr>
        <w:sectPr w:rsidR="00F26C17" w:rsidRPr="007577F6" w:rsidSect="005C3D19">
          <w:footerReference w:type="default" r:id="rId28"/>
          <w:type w:val="continuous"/>
          <w:pgSz w:w="12240" w:h="15840" w:code="1"/>
          <w:pgMar w:top="1584" w:right="1260" w:bottom="1440" w:left="1440" w:header="0" w:footer="343" w:gutter="0"/>
          <w:cols w:space="720"/>
          <w:docGrid w:linePitch="360"/>
        </w:sectPr>
      </w:pPr>
    </w:p>
    <w:p w14:paraId="291A7AEF" w14:textId="77777777" w:rsidR="002C392E" w:rsidRPr="002C392E" w:rsidRDefault="002C392E" w:rsidP="002C392E">
      <w:pPr>
        <w:spacing w:after="120"/>
        <w:jc w:val="center"/>
      </w:pPr>
      <w:r w:rsidRPr="002C392E">
        <w:lastRenderedPageBreak/>
        <w:t>APPENDIX F</w:t>
      </w:r>
    </w:p>
    <w:tbl>
      <w:tblPr>
        <w:tblW w:w="13696" w:type="dxa"/>
        <w:tblInd w:w="-972" w:type="dxa"/>
        <w:tblLayout w:type="fixed"/>
        <w:tblLook w:val="04A0" w:firstRow="1" w:lastRow="0" w:firstColumn="1" w:lastColumn="0" w:noHBand="0" w:noVBand="1"/>
      </w:tblPr>
      <w:tblGrid>
        <w:gridCol w:w="540"/>
        <w:gridCol w:w="1440"/>
        <w:gridCol w:w="1080"/>
        <w:gridCol w:w="990"/>
        <w:gridCol w:w="1080"/>
        <w:gridCol w:w="720"/>
        <w:gridCol w:w="900"/>
        <w:gridCol w:w="900"/>
        <w:gridCol w:w="892"/>
        <w:gridCol w:w="744"/>
        <w:gridCol w:w="925"/>
        <w:gridCol w:w="949"/>
        <w:gridCol w:w="935"/>
        <w:gridCol w:w="766"/>
        <w:gridCol w:w="835"/>
      </w:tblGrid>
      <w:tr w:rsidR="007577F6" w:rsidRPr="007577F6" w14:paraId="0A9F8481" w14:textId="77777777" w:rsidTr="0014292E">
        <w:trPr>
          <w:trHeight w:val="1169"/>
          <w:tblHeader/>
        </w:trPr>
        <w:tc>
          <w:tcPr>
            <w:tcW w:w="540"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77EAF3AB" w14:textId="77777777" w:rsidR="00F26C17" w:rsidRPr="008A6BEB" w:rsidRDefault="00F26C17" w:rsidP="002C392E">
            <w:pPr>
              <w:spacing w:after="0" w:line="240" w:lineRule="auto"/>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Secretariat</w:t>
            </w:r>
          </w:p>
        </w:tc>
        <w:tc>
          <w:tcPr>
            <w:tcW w:w="1440" w:type="dxa"/>
            <w:tcBorders>
              <w:top w:val="single" w:sz="4" w:space="0" w:color="auto"/>
              <w:left w:val="nil"/>
              <w:bottom w:val="single" w:sz="4" w:space="0" w:color="auto"/>
              <w:right w:val="single" w:sz="4" w:space="0" w:color="auto"/>
            </w:tcBorders>
            <w:shd w:val="clear" w:color="000000" w:fill="C0C0C0"/>
            <w:vAlign w:val="bottom"/>
            <w:hideMark/>
          </w:tcPr>
          <w:p w14:paraId="0B92E6F4" w14:textId="77777777" w:rsidR="00F26C17" w:rsidRPr="008A6BEB" w:rsidRDefault="00F26C17" w:rsidP="003C7242">
            <w:pPr>
              <w:spacing w:after="0" w:line="240" w:lineRule="auto"/>
              <w:jc w:val="center"/>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Department</w:t>
            </w:r>
          </w:p>
        </w:tc>
        <w:tc>
          <w:tcPr>
            <w:tcW w:w="1080" w:type="dxa"/>
            <w:tcBorders>
              <w:top w:val="single" w:sz="4" w:space="0" w:color="auto"/>
              <w:left w:val="nil"/>
              <w:bottom w:val="single" w:sz="4" w:space="0" w:color="auto"/>
              <w:right w:val="single" w:sz="4" w:space="0" w:color="auto"/>
            </w:tcBorders>
            <w:shd w:val="clear" w:color="000000" w:fill="C0C0C0"/>
            <w:vAlign w:val="bottom"/>
            <w:hideMark/>
          </w:tcPr>
          <w:p w14:paraId="1DB2CDA0" w14:textId="77777777" w:rsidR="00F26C17" w:rsidRPr="008A6BEB" w:rsidRDefault="00F26C17" w:rsidP="003C7242">
            <w:pPr>
              <w:spacing w:after="0" w:line="240" w:lineRule="auto"/>
              <w:jc w:val="center"/>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FY2014  Discretionary Budget</w:t>
            </w:r>
          </w:p>
        </w:tc>
        <w:tc>
          <w:tcPr>
            <w:tcW w:w="990" w:type="dxa"/>
            <w:tcBorders>
              <w:top w:val="single" w:sz="4" w:space="0" w:color="auto"/>
              <w:left w:val="nil"/>
              <w:bottom w:val="single" w:sz="4" w:space="0" w:color="auto"/>
              <w:right w:val="single" w:sz="4" w:space="0" w:color="auto"/>
            </w:tcBorders>
            <w:shd w:val="clear" w:color="000000" w:fill="DCE6F1"/>
            <w:vAlign w:val="bottom"/>
            <w:hideMark/>
          </w:tcPr>
          <w:p w14:paraId="6F872254" w14:textId="77777777" w:rsidR="00F26C17" w:rsidRPr="008A6BEB" w:rsidRDefault="00F26C17" w:rsidP="003C7242">
            <w:pPr>
              <w:spacing w:after="0" w:line="240" w:lineRule="auto"/>
              <w:jc w:val="center"/>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MBE Benchmark 6% of Discretionary Budget</w:t>
            </w:r>
          </w:p>
        </w:tc>
        <w:tc>
          <w:tcPr>
            <w:tcW w:w="1080" w:type="dxa"/>
            <w:tcBorders>
              <w:top w:val="single" w:sz="4" w:space="0" w:color="auto"/>
              <w:left w:val="nil"/>
              <w:bottom w:val="single" w:sz="4" w:space="0" w:color="auto"/>
              <w:right w:val="single" w:sz="4" w:space="0" w:color="auto"/>
            </w:tcBorders>
            <w:shd w:val="clear" w:color="000000" w:fill="DCE6F1"/>
            <w:vAlign w:val="bottom"/>
            <w:hideMark/>
          </w:tcPr>
          <w:p w14:paraId="2E3CDAFD" w14:textId="77777777" w:rsidR="00F26C17" w:rsidRPr="008A6BEB" w:rsidRDefault="00F26C17" w:rsidP="003C7242">
            <w:pPr>
              <w:spacing w:after="0" w:line="240" w:lineRule="auto"/>
              <w:jc w:val="center"/>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MBE</w:t>
            </w:r>
            <w:r w:rsidRPr="008A6BEB">
              <w:rPr>
                <w:rFonts w:ascii="Calibri" w:eastAsia="Times New Roman" w:hAnsi="Calibri"/>
                <w:b/>
                <w:bCs/>
                <w:color w:val="000000"/>
                <w:sz w:val="12"/>
                <w:szCs w:val="12"/>
                <w:lang w:val="en-US"/>
              </w:rPr>
              <w:br/>
              <w:t>FY2014 Final Spending</w:t>
            </w:r>
          </w:p>
        </w:tc>
        <w:tc>
          <w:tcPr>
            <w:tcW w:w="720" w:type="dxa"/>
            <w:tcBorders>
              <w:top w:val="single" w:sz="4" w:space="0" w:color="auto"/>
              <w:left w:val="nil"/>
              <w:bottom w:val="single" w:sz="4" w:space="0" w:color="auto"/>
              <w:right w:val="single" w:sz="4" w:space="0" w:color="auto"/>
            </w:tcBorders>
            <w:shd w:val="clear" w:color="000000" w:fill="DCE6F1"/>
            <w:vAlign w:val="bottom"/>
            <w:hideMark/>
          </w:tcPr>
          <w:p w14:paraId="6FA9FA18" w14:textId="77777777" w:rsidR="00F26C17" w:rsidRPr="008A6BEB" w:rsidRDefault="00F26C17" w:rsidP="003C7242">
            <w:pPr>
              <w:spacing w:after="0" w:line="240" w:lineRule="auto"/>
              <w:jc w:val="center"/>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MBE Year to Date Variance from 6% Benchmark as Percentage</w:t>
            </w:r>
          </w:p>
        </w:tc>
        <w:tc>
          <w:tcPr>
            <w:tcW w:w="900" w:type="dxa"/>
            <w:tcBorders>
              <w:top w:val="single" w:sz="4" w:space="0" w:color="auto"/>
              <w:left w:val="nil"/>
              <w:bottom w:val="single" w:sz="4" w:space="0" w:color="auto"/>
              <w:right w:val="single" w:sz="4" w:space="0" w:color="auto"/>
            </w:tcBorders>
            <w:shd w:val="clear" w:color="000000" w:fill="DCE6F1"/>
            <w:vAlign w:val="bottom"/>
            <w:hideMark/>
          </w:tcPr>
          <w:p w14:paraId="66EC50EB" w14:textId="77777777" w:rsidR="00F26C17" w:rsidRPr="008A6BEB" w:rsidRDefault="00F26C17" w:rsidP="003C7242">
            <w:pPr>
              <w:spacing w:after="0" w:line="240" w:lineRule="auto"/>
              <w:jc w:val="center"/>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MBE Year to Date Variance from 6% Benchmark in Dollars</w:t>
            </w:r>
          </w:p>
        </w:tc>
        <w:tc>
          <w:tcPr>
            <w:tcW w:w="900" w:type="dxa"/>
            <w:tcBorders>
              <w:top w:val="single" w:sz="4" w:space="0" w:color="auto"/>
              <w:left w:val="nil"/>
              <w:bottom w:val="single" w:sz="4" w:space="0" w:color="auto"/>
              <w:right w:val="single" w:sz="4" w:space="0" w:color="auto"/>
            </w:tcBorders>
            <w:shd w:val="clear" w:color="000000" w:fill="FAC8B8"/>
            <w:vAlign w:val="bottom"/>
            <w:hideMark/>
          </w:tcPr>
          <w:p w14:paraId="12E93E49" w14:textId="77777777" w:rsidR="00E66AED" w:rsidRDefault="00E66AED" w:rsidP="009050D8">
            <w:pPr>
              <w:spacing w:after="0" w:line="240" w:lineRule="auto"/>
              <w:jc w:val="center"/>
              <w:rPr>
                <w:rFonts w:ascii="Calibri" w:eastAsia="Times New Roman" w:hAnsi="Calibri"/>
                <w:b/>
                <w:bCs/>
                <w:color w:val="000000"/>
                <w:sz w:val="12"/>
                <w:szCs w:val="12"/>
                <w:lang w:val="en-US"/>
              </w:rPr>
            </w:pPr>
            <w:r>
              <w:rPr>
                <w:rFonts w:ascii="Calibri" w:eastAsia="Times New Roman" w:hAnsi="Calibri"/>
                <w:b/>
                <w:bCs/>
                <w:color w:val="000000"/>
                <w:sz w:val="12"/>
                <w:szCs w:val="12"/>
                <w:lang w:val="en-US"/>
              </w:rPr>
              <w:t>WBE</w:t>
            </w:r>
          </w:p>
          <w:p w14:paraId="1907341D" w14:textId="77777777" w:rsidR="00F26C17" w:rsidRPr="008A6BEB" w:rsidRDefault="00F26C17" w:rsidP="009050D8">
            <w:pPr>
              <w:spacing w:after="0" w:line="240" w:lineRule="auto"/>
              <w:jc w:val="center"/>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 xml:space="preserve"> </w:t>
            </w:r>
            <w:r w:rsidR="00E66AED">
              <w:rPr>
                <w:rFonts w:ascii="Calibri" w:eastAsia="Times New Roman" w:hAnsi="Calibri"/>
                <w:b/>
                <w:bCs/>
                <w:color w:val="000000"/>
                <w:sz w:val="12"/>
                <w:szCs w:val="12"/>
                <w:lang w:val="en-US"/>
              </w:rPr>
              <w:t>Be</w:t>
            </w:r>
            <w:r w:rsidRPr="008A6BEB">
              <w:rPr>
                <w:rFonts w:ascii="Calibri" w:eastAsia="Times New Roman" w:hAnsi="Calibri"/>
                <w:b/>
                <w:bCs/>
                <w:color w:val="000000"/>
                <w:sz w:val="12"/>
                <w:szCs w:val="12"/>
                <w:lang w:val="en-US"/>
              </w:rPr>
              <w:t>nchmark 12% of Discretionary Budget</w:t>
            </w:r>
          </w:p>
        </w:tc>
        <w:tc>
          <w:tcPr>
            <w:tcW w:w="892" w:type="dxa"/>
            <w:tcBorders>
              <w:top w:val="single" w:sz="4" w:space="0" w:color="auto"/>
              <w:left w:val="nil"/>
              <w:bottom w:val="single" w:sz="4" w:space="0" w:color="auto"/>
              <w:right w:val="single" w:sz="4" w:space="0" w:color="auto"/>
            </w:tcBorders>
            <w:shd w:val="clear" w:color="000000" w:fill="FAC8B8"/>
            <w:vAlign w:val="bottom"/>
            <w:hideMark/>
          </w:tcPr>
          <w:p w14:paraId="4466FBDA" w14:textId="77777777" w:rsidR="00F26C17" w:rsidRPr="008A6BEB" w:rsidRDefault="00F26C17" w:rsidP="003C7242">
            <w:pPr>
              <w:spacing w:after="0" w:line="240" w:lineRule="auto"/>
              <w:jc w:val="center"/>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WBE FY2014 Final Spending</w:t>
            </w:r>
          </w:p>
        </w:tc>
        <w:tc>
          <w:tcPr>
            <w:tcW w:w="744" w:type="dxa"/>
            <w:tcBorders>
              <w:top w:val="single" w:sz="4" w:space="0" w:color="auto"/>
              <w:left w:val="nil"/>
              <w:bottom w:val="single" w:sz="4" w:space="0" w:color="auto"/>
              <w:right w:val="single" w:sz="4" w:space="0" w:color="auto"/>
            </w:tcBorders>
            <w:shd w:val="clear" w:color="000000" w:fill="FAC8B8"/>
            <w:vAlign w:val="bottom"/>
            <w:hideMark/>
          </w:tcPr>
          <w:p w14:paraId="3DD8A054" w14:textId="77777777" w:rsidR="00F26C17" w:rsidRPr="008A6BEB" w:rsidRDefault="00F26C17" w:rsidP="003C7242">
            <w:pPr>
              <w:spacing w:after="0" w:line="240" w:lineRule="auto"/>
              <w:jc w:val="center"/>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WBE Year to Date Variance from 12% Benchmark as Percentage</w:t>
            </w:r>
          </w:p>
        </w:tc>
        <w:tc>
          <w:tcPr>
            <w:tcW w:w="925" w:type="dxa"/>
            <w:tcBorders>
              <w:top w:val="single" w:sz="4" w:space="0" w:color="auto"/>
              <w:left w:val="nil"/>
              <w:bottom w:val="single" w:sz="4" w:space="0" w:color="auto"/>
              <w:right w:val="single" w:sz="4" w:space="0" w:color="auto"/>
            </w:tcBorders>
            <w:shd w:val="clear" w:color="000000" w:fill="FAC8B8"/>
            <w:vAlign w:val="bottom"/>
            <w:hideMark/>
          </w:tcPr>
          <w:p w14:paraId="3A8B90F4" w14:textId="77777777" w:rsidR="00F26C17" w:rsidRPr="008A6BEB" w:rsidRDefault="00F26C17" w:rsidP="003C7242">
            <w:pPr>
              <w:spacing w:after="0" w:line="240" w:lineRule="auto"/>
              <w:jc w:val="center"/>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WBE Year to Date Variance from 12% Benchmark in Dollars</w:t>
            </w:r>
          </w:p>
        </w:tc>
        <w:tc>
          <w:tcPr>
            <w:tcW w:w="949" w:type="dxa"/>
            <w:tcBorders>
              <w:top w:val="single" w:sz="4" w:space="0" w:color="auto"/>
              <w:left w:val="nil"/>
              <w:bottom w:val="single" w:sz="4" w:space="0" w:color="auto"/>
              <w:right w:val="single" w:sz="4" w:space="0" w:color="auto"/>
            </w:tcBorders>
            <w:shd w:val="clear" w:color="000000" w:fill="C0C0C0"/>
            <w:vAlign w:val="bottom"/>
            <w:hideMark/>
          </w:tcPr>
          <w:p w14:paraId="1744C3B3" w14:textId="77777777" w:rsidR="00F26C17" w:rsidRPr="008A6BEB" w:rsidRDefault="00F26C17" w:rsidP="003C7242">
            <w:pPr>
              <w:spacing w:after="0" w:line="240" w:lineRule="auto"/>
              <w:jc w:val="center"/>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SBPP Benchmark 2.5% of Discretionary Budget</w:t>
            </w:r>
          </w:p>
        </w:tc>
        <w:tc>
          <w:tcPr>
            <w:tcW w:w="935" w:type="dxa"/>
            <w:tcBorders>
              <w:top w:val="single" w:sz="4" w:space="0" w:color="auto"/>
              <w:left w:val="nil"/>
              <w:bottom w:val="single" w:sz="4" w:space="0" w:color="auto"/>
              <w:right w:val="single" w:sz="4" w:space="0" w:color="auto"/>
            </w:tcBorders>
            <w:shd w:val="clear" w:color="000000" w:fill="C0C0C0"/>
            <w:vAlign w:val="bottom"/>
            <w:hideMark/>
          </w:tcPr>
          <w:p w14:paraId="44146273" w14:textId="77777777" w:rsidR="00F26C17" w:rsidRPr="008A6BEB" w:rsidRDefault="00F26C17" w:rsidP="003C7242">
            <w:pPr>
              <w:spacing w:after="0" w:line="240" w:lineRule="auto"/>
              <w:jc w:val="center"/>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SBPP FY2014 Final Spending</w:t>
            </w:r>
          </w:p>
        </w:tc>
        <w:tc>
          <w:tcPr>
            <w:tcW w:w="766" w:type="dxa"/>
            <w:tcBorders>
              <w:top w:val="single" w:sz="4" w:space="0" w:color="auto"/>
              <w:left w:val="nil"/>
              <w:bottom w:val="single" w:sz="4" w:space="0" w:color="auto"/>
              <w:right w:val="single" w:sz="4" w:space="0" w:color="auto"/>
            </w:tcBorders>
            <w:shd w:val="clear" w:color="000000" w:fill="C0C0C0"/>
            <w:vAlign w:val="bottom"/>
            <w:hideMark/>
          </w:tcPr>
          <w:p w14:paraId="5D11A700" w14:textId="77777777" w:rsidR="00F26C17" w:rsidRPr="008A6BEB" w:rsidRDefault="00F26C17" w:rsidP="003C7242">
            <w:pPr>
              <w:spacing w:after="0" w:line="240" w:lineRule="auto"/>
              <w:jc w:val="center"/>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SBPP Year to Date Variance from 2.5% Benchmark as Percentage</w:t>
            </w:r>
          </w:p>
        </w:tc>
        <w:tc>
          <w:tcPr>
            <w:tcW w:w="835" w:type="dxa"/>
            <w:tcBorders>
              <w:top w:val="single" w:sz="4" w:space="0" w:color="auto"/>
              <w:left w:val="nil"/>
              <w:bottom w:val="single" w:sz="4" w:space="0" w:color="auto"/>
              <w:right w:val="single" w:sz="4" w:space="0" w:color="auto"/>
            </w:tcBorders>
            <w:shd w:val="clear" w:color="000000" w:fill="C0C0C0"/>
            <w:vAlign w:val="bottom"/>
            <w:hideMark/>
          </w:tcPr>
          <w:p w14:paraId="094080F2" w14:textId="77777777" w:rsidR="00F26C17" w:rsidRPr="008A6BEB" w:rsidRDefault="00F26C17" w:rsidP="003C7242">
            <w:pPr>
              <w:spacing w:after="0" w:line="240" w:lineRule="auto"/>
              <w:jc w:val="center"/>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SBPP Year to Date Variance from 2.5% Benchmark in Dollars</w:t>
            </w:r>
          </w:p>
        </w:tc>
      </w:tr>
      <w:tr w:rsidR="007577F6" w:rsidRPr="007577F6" w14:paraId="194347E4" w14:textId="77777777" w:rsidTr="0014292E">
        <w:trPr>
          <w:trHeight w:val="404"/>
          <w:tblHeader/>
        </w:trPr>
        <w:tc>
          <w:tcPr>
            <w:tcW w:w="540" w:type="dxa"/>
            <w:tcBorders>
              <w:top w:val="nil"/>
              <w:left w:val="single" w:sz="4" w:space="0" w:color="auto"/>
              <w:bottom w:val="single" w:sz="4" w:space="0" w:color="auto"/>
              <w:right w:val="single" w:sz="4" w:space="0" w:color="auto"/>
            </w:tcBorders>
            <w:vAlign w:val="bottom"/>
            <w:hideMark/>
          </w:tcPr>
          <w:p w14:paraId="24AB125F"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ANF</w:t>
            </w:r>
          </w:p>
        </w:tc>
        <w:tc>
          <w:tcPr>
            <w:tcW w:w="1440" w:type="dxa"/>
            <w:tcBorders>
              <w:top w:val="nil"/>
              <w:left w:val="nil"/>
              <w:bottom w:val="single" w:sz="4" w:space="0" w:color="auto"/>
              <w:right w:val="single" w:sz="4" w:space="0" w:color="auto"/>
            </w:tcBorders>
            <w:vAlign w:val="bottom"/>
            <w:hideMark/>
          </w:tcPr>
          <w:p w14:paraId="51EC8141"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EXECUTIVE OFFICE FOR ADMINISTRATION AND FINANCE</w:t>
            </w:r>
          </w:p>
        </w:tc>
        <w:tc>
          <w:tcPr>
            <w:tcW w:w="1080" w:type="dxa"/>
            <w:tcBorders>
              <w:top w:val="nil"/>
              <w:left w:val="nil"/>
              <w:bottom w:val="single" w:sz="4" w:space="0" w:color="auto"/>
              <w:right w:val="single" w:sz="4" w:space="0" w:color="auto"/>
            </w:tcBorders>
            <w:vAlign w:val="bottom"/>
            <w:hideMark/>
          </w:tcPr>
          <w:p w14:paraId="7927840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$103,656,895</w:t>
            </w:r>
          </w:p>
        </w:tc>
        <w:tc>
          <w:tcPr>
            <w:tcW w:w="990" w:type="dxa"/>
            <w:tcBorders>
              <w:top w:val="nil"/>
              <w:left w:val="nil"/>
              <w:bottom w:val="single" w:sz="4" w:space="0" w:color="auto"/>
              <w:right w:val="single" w:sz="4" w:space="0" w:color="auto"/>
            </w:tcBorders>
            <w:shd w:val="clear" w:color="000000" w:fill="DCE6F1"/>
            <w:noWrap/>
            <w:vAlign w:val="bottom"/>
            <w:hideMark/>
          </w:tcPr>
          <w:p w14:paraId="7C013CE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$6,219,414</w:t>
            </w:r>
          </w:p>
        </w:tc>
        <w:tc>
          <w:tcPr>
            <w:tcW w:w="1080" w:type="dxa"/>
            <w:tcBorders>
              <w:top w:val="nil"/>
              <w:left w:val="nil"/>
              <w:bottom w:val="single" w:sz="4" w:space="0" w:color="auto"/>
              <w:right w:val="single" w:sz="4" w:space="0" w:color="auto"/>
            </w:tcBorders>
            <w:shd w:val="clear" w:color="000000" w:fill="DCE6F1"/>
            <w:noWrap/>
            <w:vAlign w:val="bottom"/>
            <w:hideMark/>
          </w:tcPr>
          <w:p w14:paraId="568AA95C"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$11,275,405</w:t>
            </w:r>
          </w:p>
        </w:tc>
        <w:tc>
          <w:tcPr>
            <w:tcW w:w="720" w:type="dxa"/>
            <w:tcBorders>
              <w:top w:val="nil"/>
              <w:left w:val="nil"/>
              <w:bottom w:val="single" w:sz="4" w:space="0" w:color="auto"/>
              <w:right w:val="single" w:sz="4" w:space="0" w:color="auto"/>
            </w:tcBorders>
            <w:shd w:val="clear" w:color="000000" w:fill="DCE6F1"/>
            <w:vAlign w:val="bottom"/>
            <w:hideMark/>
          </w:tcPr>
          <w:p w14:paraId="20900BDC"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181.29%</w:t>
            </w:r>
          </w:p>
        </w:tc>
        <w:tc>
          <w:tcPr>
            <w:tcW w:w="900" w:type="dxa"/>
            <w:tcBorders>
              <w:top w:val="nil"/>
              <w:left w:val="nil"/>
              <w:bottom w:val="single" w:sz="4" w:space="0" w:color="auto"/>
              <w:right w:val="single" w:sz="4" w:space="0" w:color="auto"/>
            </w:tcBorders>
            <w:shd w:val="clear" w:color="000000" w:fill="DCE6F1"/>
            <w:vAlign w:val="bottom"/>
            <w:hideMark/>
          </w:tcPr>
          <w:p w14:paraId="5123BDCE"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$5,055,992</w:t>
            </w:r>
          </w:p>
        </w:tc>
        <w:tc>
          <w:tcPr>
            <w:tcW w:w="900" w:type="dxa"/>
            <w:tcBorders>
              <w:top w:val="nil"/>
              <w:left w:val="nil"/>
              <w:bottom w:val="single" w:sz="4" w:space="0" w:color="auto"/>
              <w:right w:val="single" w:sz="4" w:space="0" w:color="auto"/>
            </w:tcBorders>
            <w:shd w:val="clear" w:color="000000" w:fill="FAC8B8"/>
            <w:vAlign w:val="bottom"/>
            <w:hideMark/>
          </w:tcPr>
          <w:p w14:paraId="63355B3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$12,438,827</w:t>
            </w:r>
          </w:p>
        </w:tc>
        <w:tc>
          <w:tcPr>
            <w:tcW w:w="892" w:type="dxa"/>
            <w:tcBorders>
              <w:top w:val="nil"/>
              <w:left w:val="nil"/>
              <w:bottom w:val="single" w:sz="4" w:space="0" w:color="auto"/>
              <w:right w:val="single" w:sz="4" w:space="0" w:color="auto"/>
            </w:tcBorders>
            <w:shd w:val="clear" w:color="000000" w:fill="FAC8B8"/>
            <w:vAlign w:val="bottom"/>
            <w:hideMark/>
          </w:tcPr>
          <w:p w14:paraId="10F9C6A5"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$13,807,880</w:t>
            </w:r>
          </w:p>
        </w:tc>
        <w:tc>
          <w:tcPr>
            <w:tcW w:w="744" w:type="dxa"/>
            <w:tcBorders>
              <w:top w:val="nil"/>
              <w:left w:val="nil"/>
              <w:bottom w:val="single" w:sz="4" w:space="0" w:color="auto"/>
              <w:right w:val="single" w:sz="4" w:space="0" w:color="auto"/>
            </w:tcBorders>
            <w:shd w:val="clear" w:color="000000" w:fill="FAC8B8"/>
            <w:vAlign w:val="bottom"/>
            <w:hideMark/>
          </w:tcPr>
          <w:p w14:paraId="5946641C"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111.01%</w:t>
            </w:r>
          </w:p>
        </w:tc>
        <w:tc>
          <w:tcPr>
            <w:tcW w:w="925" w:type="dxa"/>
            <w:tcBorders>
              <w:top w:val="nil"/>
              <w:left w:val="nil"/>
              <w:bottom w:val="single" w:sz="4" w:space="0" w:color="auto"/>
              <w:right w:val="single" w:sz="4" w:space="0" w:color="auto"/>
            </w:tcBorders>
            <w:shd w:val="clear" w:color="000000" w:fill="FAC8B8"/>
            <w:vAlign w:val="bottom"/>
            <w:hideMark/>
          </w:tcPr>
          <w:p w14:paraId="7C7B5A8A"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$1,369,052</w:t>
            </w:r>
          </w:p>
        </w:tc>
        <w:tc>
          <w:tcPr>
            <w:tcW w:w="949" w:type="dxa"/>
            <w:tcBorders>
              <w:top w:val="nil"/>
              <w:left w:val="nil"/>
              <w:bottom w:val="single" w:sz="4" w:space="0" w:color="auto"/>
              <w:right w:val="single" w:sz="4" w:space="0" w:color="auto"/>
            </w:tcBorders>
            <w:vAlign w:val="bottom"/>
            <w:hideMark/>
          </w:tcPr>
          <w:p w14:paraId="234D4E34"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$2,591,422</w:t>
            </w:r>
          </w:p>
        </w:tc>
        <w:tc>
          <w:tcPr>
            <w:tcW w:w="935" w:type="dxa"/>
            <w:tcBorders>
              <w:top w:val="nil"/>
              <w:left w:val="nil"/>
              <w:bottom w:val="single" w:sz="4" w:space="0" w:color="auto"/>
              <w:right w:val="single" w:sz="4" w:space="0" w:color="auto"/>
            </w:tcBorders>
            <w:vAlign w:val="bottom"/>
            <w:hideMark/>
          </w:tcPr>
          <w:p w14:paraId="67BDF44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$11,082,144</w:t>
            </w:r>
          </w:p>
        </w:tc>
        <w:tc>
          <w:tcPr>
            <w:tcW w:w="766" w:type="dxa"/>
            <w:tcBorders>
              <w:top w:val="nil"/>
              <w:left w:val="nil"/>
              <w:bottom w:val="single" w:sz="4" w:space="0" w:color="auto"/>
              <w:right w:val="single" w:sz="4" w:space="0" w:color="auto"/>
            </w:tcBorders>
            <w:vAlign w:val="bottom"/>
            <w:hideMark/>
          </w:tcPr>
          <w:p w14:paraId="7D5174B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427.65%</w:t>
            </w:r>
          </w:p>
        </w:tc>
        <w:tc>
          <w:tcPr>
            <w:tcW w:w="835" w:type="dxa"/>
            <w:tcBorders>
              <w:top w:val="nil"/>
              <w:left w:val="nil"/>
              <w:bottom w:val="single" w:sz="4" w:space="0" w:color="auto"/>
              <w:right w:val="single" w:sz="4" w:space="0" w:color="auto"/>
            </w:tcBorders>
            <w:vAlign w:val="bottom"/>
            <w:hideMark/>
          </w:tcPr>
          <w:p w14:paraId="38F7E61A"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$8,490,721</w:t>
            </w:r>
          </w:p>
        </w:tc>
      </w:tr>
      <w:tr w:rsidR="007577F6" w:rsidRPr="007577F6" w14:paraId="6FB7622F" w14:textId="77777777" w:rsidTr="0014292E">
        <w:trPr>
          <w:trHeight w:val="300"/>
          <w:tblHeader/>
        </w:trPr>
        <w:tc>
          <w:tcPr>
            <w:tcW w:w="540" w:type="dxa"/>
            <w:tcBorders>
              <w:top w:val="nil"/>
              <w:left w:val="single" w:sz="4" w:space="0" w:color="auto"/>
              <w:bottom w:val="single" w:sz="4" w:space="0" w:color="auto"/>
              <w:right w:val="single" w:sz="4" w:space="0" w:color="auto"/>
            </w:tcBorders>
            <w:vAlign w:val="bottom"/>
            <w:hideMark/>
          </w:tcPr>
          <w:p w14:paraId="4529C481"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CAD</w:t>
            </w:r>
          </w:p>
        </w:tc>
        <w:tc>
          <w:tcPr>
            <w:tcW w:w="1440" w:type="dxa"/>
            <w:tcBorders>
              <w:top w:val="nil"/>
              <w:left w:val="nil"/>
              <w:bottom w:val="single" w:sz="4" w:space="0" w:color="auto"/>
              <w:right w:val="single" w:sz="4" w:space="0" w:color="auto"/>
            </w:tcBorders>
            <w:vAlign w:val="bottom"/>
            <w:hideMark/>
          </w:tcPr>
          <w:p w14:paraId="6E64580F"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COMMISSION AGAINST DISCRIMINATION</w:t>
            </w:r>
          </w:p>
        </w:tc>
        <w:tc>
          <w:tcPr>
            <w:tcW w:w="1080" w:type="dxa"/>
            <w:tcBorders>
              <w:top w:val="nil"/>
              <w:left w:val="nil"/>
              <w:bottom w:val="single" w:sz="4" w:space="0" w:color="auto"/>
              <w:right w:val="single" w:sz="4" w:space="0" w:color="auto"/>
            </w:tcBorders>
            <w:vAlign w:val="bottom"/>
            <w:hideMark/>
          </w:tcPr>
          <w:p w14:paraId="1A93376E"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$227,692</w:t>
            </w:r>
          </w:p>
        </w:tc>
        <w:tc>
          <w:tcPr>
            <w:tcW w:w="990" w:type="dxa"/>
            <w:tcBorders>
              <w:top w:val="nil"/>
              <w:left w:val="nil"/>
              <w:bottom w:val="single" w:sz="4" w:space="0" w:color="auto"/>
              <w:right w:val="single" w:sz="4" w:space="0" w:color="auto"/>
            </w:tcBorders>
            <w:shd w:val="clear" w:color="000000" w:fill="DCE6F1"/>
            <w:noWrap/>
            <w:vAlign w:val="bottom"/>
            <w:hideMark/>
          </w:tcPr>
          <w:p w14:paraId="1CC233B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$13,662</w:t>
            </w:r>
          </w:p>
        </w:tc>
        <w:tc>
          <w:tcPr>
            <w:tcW w:w="1080" w:type="dxa"/>
            <w:tcBorders>
              <w:top w:val="nil"/>
              <w:left w:val="nil"/>
              <w:bottom w:val="single" w:sz="4" w:space="0" w:color="auto"/>
              <w:right w:val="single" w:sz="4" w:space="0" w:color="auto"/>
            </w:tcBorders>
            <w:shd w:val="clear" w:color="000000" w:fill="DCE6F1"/>
            <w:noWrap/>
            <w:vAlign w:val="bottom"/>
            <w:hideMark/>
          </w:tcPr>
          <w:p w14:paraId="61474C52"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$21,282</w:t>
            </w:r>
          </w:p>
        </w:tc>
        <w:tc>
          <w:tcPr>
            <w:tcW w:w="720" w:type="dxa"/>
            <w:tcBorders>
              <w:top w:val="nil"/>
              <w:left w:val="nil"/>
              <w:bottom w:val="single" w:sz="4" w:space="0" w:color="auto"/>
              <w:right w:val="single" w:sz="4" w:space="0" w:color="auto"/>
            </w:tcBorders>
            <w:shd w:val="clear" w:color="000000" w:fill="DCE6F1"/>
            <w:vAlign w:val="bottom"/>
            <w:hideMark/>
          </w:tcPr>
          <w:p w14:paraId="0747D942"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155.78%</w:t>
            </w:r>
          </w:p>
        </w:tc>
        <w:tc>
          <w:tcPr>
            <w:tcW w:w="900" w:type="dxa"/>
            <w:tcBorders>
              <w:top w:val="nil"/>
              <w:left w:val="nil"/>
              <w:bottom w:val="single" w:sz="4" w:space="0" w:color="auto"/>
              <w:right w:val="single" w:sz="4" w:space="0" w:color="auto"/>
            </w:tcBorders>
            <w:shd w:val="clear" w:color="000000" w:fill="DCE6F1"/>
            <w:vAlign w:val="bottom"/>
            <w:hideMark/>
          </w:tcPr>
          <w:p w14:paraId="6A6668EE"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$7,621</w:t>
            </w:r>
          </w:p>
        </w:tc>
        <w:tc>
          <w:tcPr>
            <w:tcW w:w="900" w:type="dxa"/>
            <w:tcBorders>
              <w:top w:val="nil"/>
              <w:left w:val="nil"/>
              <w:bottom w:val="single" w:sz="4" w:space="0" w:color="auto"/>
              <w:right w:val="single" w:sz="4" w:space="0" w:color="auto"/>
            </w:tcBorders>
            <w:shd w:val="clear" w:color="000000" w:fill="FAC8B8"/>
            <w:vAlign w:val="bottom"/>
            <w:hideMark/>
          </w:tcPr>
          <w:p w14:paraId="75D455E3"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$27,323</w:t>
            </w:r>
          </w:p>
        </w:tc>
        <w:tc>
          <w:tcPr>
            <w:tcW w:w="892" w:type="dxa"/>
            <w:tcBorders>
              <w:top w:val="nil"/>
              <w:left w:val="nil"/>
              <w:bottom w:val="single" w:sz="4" w:space="0" w:color="auto"/>
              <w:right w:val="single" w:sz="4" w:space="0" w:color="auto"/>
            </w:tcBorders>
            <w:shd w:val="clear" w:color="000000" w:fill="FAC8B8"/>
            <w:vAlign w:val="bottom"/>
            <w:hideMark/>
          </w:tcPr>
          <w:p w14:paraId="6DEFE717"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$83,572</w:t>
            </w:r>
          </w:p>
        </w:tc>
        <w:tc>
          <w:tcPr>
            <w:tcW w:w="744" w:type="dxa"/>
            <w:tcBorders>
              <w:top w:val="nil"/>
              <w:left w:val="nil"/>
              <w:bottom w:val="single" w:sz="4" w:space="0" w:color="auto"/>
              <w:right w:val="single" w:sz="4" w:space="0" w:color="auto"/>
            </w:tcBorders>
            <w:shd w:val="clear" w:color="000000" w:fill="FAC8B8"/>
            <w:vAlign w:val="bottom"/>
            <w:hideMark/>
          </w:tcPr>
          <w:p w14:paraId="2781407D"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305.86%</w:t>
            </w:r>
          </w:p>
        </w:tc>
        <w:tc>
          <w:tcPr>
            <w:tcW w:w="925" w:type="dxa"/>
            <w:tcBorders>
              <w:top w:val="nil"/>
              <w:left w:val="nil"/>
              <w:bottom w:val="single" w:sz="4" w:space="0" w:color="auto"/>
              <w:right w:val="single" w:sz="4" w:space="0" w:color="auto"/>
            </w:tcBorders>
            <w:shd w:val="clear" w:color="000000" w:fill="FAC8B8"/>
            <w:vAlign w:val="bottom"/>
            <w:hideMark/>
          </w:tcPr>
          <w:p w14:paraId="2493BAE0"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$56,249</w:t>
            </w:r>
          </w:p>
        </w:tc>
        <w:tc>
          <w:tcPr>
            <w:tcW w:w="949" w:type="dxa"/>
            <w:tcBorders>
              <w:top w:val="nil"/>
              <w:left w:val="nil"/>
              <w:bottom w:val="single" w:sz="4" w:space="0" w:color="auto"/>
              <w:right w:val="single" w:sz="4" w:space="0" w:color="auto"/>
            </w:tcBorders>
            <w:vAlign w:val="bottom"/>
            <w:hideMark/>
          </w:tcPr>
          <w:p w14:paraId="5274F772"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$5,692</w:t>
            </w:r>
          </w:p>
        </w:tc>
        <w:tc>
          <w:tcPr>
            <w:tcW w:w="935" w:type="dxa"/>
            <w:tcBorders>
              <w:top w:val="nil"/>
              <w:left w:val="nil"/>
              <w:bottom w:val="single" w:sz="4" w:space="0" w:color="auto"/>
              <w:right w:val="single" w:sz="4" w:space="0" w:color="auto"/>
            </w:tcBorders>
            <w:vAlign w:val="bottom"/>
            <w:hideMark/>
          </w:tcPr>
          <w:p w14:paraId="6C45A29C"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$80,534</w:t>
            </w:r>
          </w:p>
        </w:tc>
        <w:tc>
          <w:tcPr>
            <w:tcW w:w="766" w:type="dxa"/>
            <w:tcBorders>
              <w:top w:val="nil"/>
              <w:left w:val="nil"/>
              <w:bottom w:val="single" w:sz="4" w:space="0" w:color="auto"/>
              <w:right w:val="single" w:sz="4" w:space="0" w:color="auto"/>
            </w:tcBorders>
            <w:vAlign w:val="bottom"/>
            <w:hideMark/>
          </w:tcPr>
          <w:p w14:paraId="467C1E7A"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1414.78%</w:t>
            </w:r>
          </w:p>
        </w:tc>
        <w:tc>
          <w:tcPr>
            <w:tcW w:w="835" w:type="dxa"/>
            <w:tcBorders>
              <w:top w:val="nil"/>
              <w:left w:val="nil"/>
              <w:bottom w:val="single" w:sz="4" w:space="0" w:color="auto"/>
              <w:right w:val="single" w:sz="4" w:space="0" w:color="auto"/>
            </w:tcBorders>
            <w:vAlign w:val="bottom"/>
            <w:hideMark/>
          </w:tcPr>
          <w:p w14:paraId="22AA0610"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$74,841</w:t>
            </w:r>
          </w:p>
        </w:tc>
      </w:tr>
      <w:tr w:rsidR="007577F6" w:rsidRPr="007577F6" w14:paraId="080FDD9A" w14:textId="77777777" w:rsidTr="0014292E">
        <w:trPr>
          <w:trHeight w:val="300"/>
          <w:tblHeader/>
        </w:trPr>
        <w:tc>
          <w:tcPr>
            <w:tcW w:w="540" w:type="dxa"/>
            <w:tcBorders>
              <w:top w:val="nil"/>
              <w:left w:val="single" w:sz="4" w:space="0" w:color="auto"/>
              <w:bottom w:val="single" w:sz="4" w:space="0" w:color="auto"/>
              <w:right w:val="single" w:sz="4" w:space="0" w:color="auto"/>
            </w:tcBorders>
            <w:vAlign w:val="bottom"/>
            <w:hideMark/>
          </w:tcPr>
          <w:p w14:paraId="693EA520"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CHIA</w:t>
            </w:r>
          </w:p>
        </w:tc>
        <w:tc>
          <w:tcPr>
            <w:tcW w:w="1440" w:type="dxa"/>
            <w:tcBorders>
              <w:top w:val="nil"/>
              <w:left w:val="nil"/>
              <w:bottom w:val="single" w:sz="4" w:space="0" w:color="auto"/>
              <w:right w:val="single" w:sz="4" w:space="0" w:color="auto"/>
            </w:tcBorders>
            <w:vAlign w:val="bottom"/>
            <w:hideMark/>
          </w:tcPr>
          <w:p w14:paraId="2351A6CD"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CENTER FOR HEALTH INFORMATION &amp; ANALYSIS</w:t>
            </w:r>
          </w:p>
        </w:tc>
        <w:tc>
          <w:tcPr>
            <w:tcW w:w="1080" w:type="dxa"/>
            <w:tcBorders>
              <w:top w:val="nil"/>
              <w:left w:val="nil"/>
              <w:bottom w:val="single" w:sz="4" w:space="0" w:color="auto"/>
              <w:right w:val="single" w:sz="4" w:space="0" w:color="auto"/>
            </w:tcBorders>
            <w:vAlign w:val="bottom"/>
            <w:hideMark/>
          </w:tcPr>
          <w:p w14:paraId="0E78C8B6"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$14,256,492</w:t>
            </w:r>
          </w:p>
        </w:tc>
        <w:tc>
          <w:tcPr>
            <w:tcW w:w="990" w:type="dxa"/>
            <w:tcBorders>
              <w:top w:val="nil"/>
              <w:left w:val="nil"/>
              <w:bottom w:val="single" w:sz="4" w:space="0" w:color="auto"/>
              <w:right w:val="single" w:sz="4" w:space="0" w:color="auto"/>
            </w:tcBorders>
            <w:shd w:val="clear" w:color="000000" w:fill="DCE6F1"/>
            <w:noWrap/>
            <w:vAlign w:val="bottom"/>
            <w:hideMark/>
          </w:tcPr>
          <w:p w14:paraId="4AB8B77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$855,390</w:t>
            </w:r>
          </w:p>
        </w:tc>
        <w:tc>
          <w:tcPr>
            <w:tcW w:w="1080" w:type="dxa"/>
            <w:tcBorders>
              <w:top w:val="nil"/>
              <w:left w:val="nil"/>
              <w:bottom w:val="single" w:sz="4" w:space="0" w:color="auto"/>
              <w:right w:val="single" w:sz="4" w:space="0" w:color="auto"/>
            </w:tcBorders>
            <w:shd w:val="clear" w:color="000000" w:fill="DCE6F1"/>
            <w:noWrap/>
            <w:vAlign w:val="bottom"/>
            <w:hideMark/>
          </w:tcPr>
          <w:p w14:paraId="2B637021"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$1,513,660</w:t>
            </w:r>
          </w:p>
        </w:tc>
        <w:tc>
          <w:tcPr>
            <w:tcW w:w="720" w:type="dxa"/>
            <w:tcBorders>
              <w:top w:val="nil"/>
              <w:left w:val="nil"/>
              <w:bottom w:val="single" w:sz="4" w:space="0" w:color="auto"/>
              <w:right w:val="single" w:sz="4" w:space="0" w:color="auto"/>
            </w:tcBorders>
            <w:shd w:val="clear" w:color="000000" w:fill="DCE6F1"/>
            <w:vAlign w:val="bottom"/>
            <w:hideMark/>
          </w:tcPr>
          <w:p w14:paraId="20D16D4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176.96%</w:t>
            </w:r>
          </w:p>
        </w:tc>
        <w:tc>
          <w:tcPr>
            <w:tcW w:w="900" w:type="dxa"/>
            <w:tcBorders>
              <w:top w:val="nil"/>
              <w:left w:val="nil"/>
              <w:bottom w:val="single" w:sz="4" w:space="0" w:color="auto"/>
              <w:right w:val="single" w:sz="4" w:space="0" w:color="auto"/>
            </w:tcBorders>
            <w:shd w:val="clear" w:color="000000" w:fill="DCE6F1"/>
            <w:vAlign w:val="bottom"/>
            <w:hideMark/>
          </w:tcPr>
          <w:p w14:paraId="1D5A9EC7"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$658,270</w:t>
            </w:r>
          </w:p>
        </w:tc>
        <w:tc>
          <w:tcPr>
            <w:tcW w:w="900" w:type="dxa"/>
            <w:tcBorders>
              <w:top w:val="nil"/>
              <w:left w:val="nil"/>
              <w:bottom w:val="single" w:sz="4" w:space="0" w:color="auto"/>
              <w:right w:val="single" w:sz="4" w:space="0" w:color="auto"/>
            </w:tcBorders>
            <w:shd w:val="clear" w:color="000000" w:fill="FAC8B8"/>
            <w:vAlign w:val="bottom"/>
            <w:hideMark/>
          </w:tcPr>
          <w:p w14:paraId="388A0B8A"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$1,710,779</w:t>
            </w:r>
          </w:p>
        </w:tc>
        <w:tc>
          <w:tcPr>
            <w:tcW w:w="892" w:type="dxa"/>
            <w:tcBorders>
              <w:top w:val="nil"/>
              <w:left w:val="nil"/>
              <w:bottom w:val="single" w:sz="4" w:space="0" w:color="auto"/>
              <w:right w:val="single" w:sz="4" w:space="0" w:color="auto"/>
            </w:tcBorders>
            <w:shd w:val="clear" w:color="000000" w:fill="FAC8B8"/>
            <w:vAlign w:val="bottom"/>
            <w:hideMark/>
          </w:tcPr>
          <w:p w14:paraId="22E97F68"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$1,016,449</w:t>
            </w:r>
          </w:p>
        </w:tc>
        <w:tc>
          <w:tcPr>
            <w:tcW w:w="744" w:type="dxa"/>
            <w:tcBorders>
              <w:top w:val="nil"/>
              <w:left w:val="nil"/>
              <w:bottom w:val="single" w:sz="4" w:space="0" w:color="auto"/>
              <w:right w:val="single" w:sz="4" w:space="0" w:color="auto"/>
            </w:tcBorders>
            <w:shd w:val="clear" w:color="000000" w:fill="FAC8B8"/>
            <w:vAlign w:val="bottom"/>
            <w:hideMark/>
          </w:tcPr>
          <w:p w14:paraId="72C97D30"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59.41%</w:t>
            </w:r>
          </w:p>
        </w:tc>
        <w:tc>
          <w:tcPr>
            <w:tcW w:w="925" w:type="dxa"/>
            <w:tcBorders>
              <w:top w:val="nil"/>
              <w:left w:val="nil"/>
              <w:bottom w:val="single" w:sz="4" w:space="0" w:color="auto"/>
              <w:right w:val="single" w:sz="4" w:space="0" w:color="auto"/>
            </w:tcBorders>
            <w:shd w:val="clear" w:color="000000" w:fill="FAC8B8"/>
            <w:vAlign w:val="bottom"/>
            <w:hideMark/>
          </w:tcPr>
          <w:p w14:paraId="36D4946C"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-$694,330</w:t>
            </w:r>
          </w:p>
        </w:tc>
        <w:tc>
          <w:tcPr>
            <w:tcW w:w="949" w:type="dxa"/>
            <w:tcBorders>
              <w:top w:val="nil"/>
              <w:left w:val="nil"/>
              <w:bottom w:val="single" w:sz="4" w:space="0" w:color="auto"/>
              <w:right w:val="single" w:sz="4" w:space="0" w:color="auto"/>
            </w:tcBorders>
            <w:vAlign w:val="bottom"/>
            <w:hideMark/>
          </w:tcPr>
          <w:p w14:paraId="144EC1FD"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$356,412</w:t>
            </w:r>
          </w:p>
        </w:tc>
        <w:tc>
          <w:tcPr>
            <w:tcW w:w="935" w:type="dxa"/>
            <w:tcBorders>
              <w:top w:val="nil"/>
              <w:left w:val="nil"/>
              <w:bottom w:val="single" w:sz="4" w:space="0" w:color="auto"/>
              <w:right w:val="single" w:sz="4" w:space="0" w:color="auto"/>
            </w:tcBorders>
            <w:vAlign w:val="bottom"/>
            <w:hideMark/>
          </w:tcPr>
          <w:p w14:paraId="2C74B6B7"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$2,897,105</w:t>
            </w:r>
          </w:p>
        </w:tc>
        <w:tc>
          <w:tcPr>
            <w:tcW w:w="766" w:type="dxa"/>
            <w:tcBorders>
              <w:top w:val="nil"/>
              <w:left w:val="nil"/>
              <w:bottom w:val="single" w:sz="4" w:space="0" w:color="auto"/>
              <w:right w:val="single" w:sz="4" w:space="0" w:color="auto"/>
            </w:tcBorders>
            <w:vAlign w:val="bottom"/>
            <w:hideMark/>
          </w:tcPr>
          <w:p w14:paraId="14925FFA"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812.85%</w:t>
            </w:r>
          </w:p>
        </w:tc>
        <w:tc>
          <w:tcPr>
            <w:tcW w:w="835" w:type="dxa"/>
            <w:tcBorders>
              <w:top w:val="nil"/>
              <w:left w:val="nil"/>
              <w:bottom w:val="single" w:sz="4" w:space="0" w:color="auto"/>
              <w:right w:val="single" w:sz="4" w:space="0" w:color="auto"/>
            </w:tcBorders>
            <w:vAlign w:val="bottom"/>
            <w:hideMark/>
          </w:tcPr>
          <w:p w14:paraId="4E78B6F6"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$2,540,693</w:t>
            </w:r>
          </w:p>
        </w:tc>
      </w:tr>
      <w:tr w:rsidR="007577F6" w:rsidRPr="007577F6" w14:paraId="5AAFC094" w14:textId="77777777" w:rsidTr="0014292E">
        <w:trPr>
          <w:trHeight w:val="300"/>
          <w:tblHeader/>
        </w:trPr>
        <w:tc>
          <w:tcPr>
            <w:tcW w:w="540" w:type="dxa"/>
            <w:tcBorders>
              <w:top w:val="nil"/>
              <w:left w:val="single" w:sz="4" w:space="0" w:color="auto"/>
              <w:bottom w:val="single" w:sz="4" w:space="0" w:color="auto"/>
              <w:right w:val="single" w:sz="4" w:space="0" w:color="auto"/>
            </w:tcBorders>
            <w:vAlign w:val="bottom"/>
            <w:hideMark/>
          </w:tcPr>
          <w:p w14:paraId="63B51570"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DAC</w:t>
            </w:r>
          </w:p>
        </w:tc>
        <w:tc>
          <w:tcPr>
            <w:tcW w:w="1440" w:type="dxa"/>
            <w:tcBorders>
              <w:top w:val="nil"/>
              <w:left w:val="nil"/>
              <w:bottom w:val="single" w:sz="4" w:space="0" w:color="auto"/>
              <w:right w:val="single" w:sz="4" w:space="0" w:color="auto"/>
            </w:tcBorders>
            <w:vAlign w:val="bottom"/>
            <w:hideMark/>
          </w:tcPr>
          <w:p w14:paraId="3504683E"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DISABLED PERSONS PROTECTION COMMISSION</w:t>
            </w:r>
          </w:p>
        </w:tc>
        <w:tc>
          <w:tcPr>
            <w:tcW w:w="1080" w:type="dxa"/>
            <w:tcBorders>
              <w:top w:val="nil"/>
              <w:left w:val="nil"/>
              <w:bottom w:val="single" w:sz="4" w:space="0" w:color="auto"/>
              <w:right w:val="single" w:sz="4" w:space="0" w:color="auto"/>
            </w:tcBorders>
            <w:vAlign w:val="bottom"/>
            <w:hideMark/>
          </w:tcPr>
          <w:p w14:paraId="051FE45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$111,224</w:t>
            </w:r>
          </w:p>
        </w:tc>
        <w:tc>
          <w:tcPr>
            <w:tcW w:w="990" w:type="dxa"/>
            <w:tcBorders>
              <w:top w:val="nil"/>
              <w:left w:val="nil"/>
              <w:bottom w:val="single" w:sz="4" w:space="0" w:color="auto"/>
              <w:right w:val="single" w:sz="4" w:space="0" w:color="auto"/>
            </w:tcBorders>
            <w:shd w:val="clear" w:color="000000" w:fill="DCE6F1"/>
            <w:noWrap/>
            <w:vAlign w:val="bottom"/>
            <w:hideMark/>
          </w:tcPr>
          <w:p w14:paraId="3387EB4C"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$6,673</w:t>
            </w:r>
          </w:p>
        </w:tc>
        <w:tc>
          <w:tcPr>
            <w:tcW w:w="1080" w:type="dxa"/>
            <w:tcBorders>
              <w:top w:val="nil"/>
              <w:left w:val="nil"/>
              <w:bottom w:val="single" w:sz="4" w:space="0" w:color="auto"/>
              <w:right w:val="single" w:sz="4" w:space="0" w:color="auto"/>
            </w:tcBorders>
            <w:shd w:val="clear" w:color="000000" w:fill="DCE6F1"/>
            <w:noWrap/>
            <w:vAlign w:val="bottom"/>
            <w:hideMark/>
          </w:tcPr>
          <w:p w14:paraId="005A889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$34,541</w:t>
            </w:r>
          </w:p>
        </w:tc>
        <w:tc>
          <w:tcPr>
            <w:tcW w:w="720" w:type="dxa"/>
            <w:tcBorders>
              <w:top w:val="nil"/>
              <w:left w:val="nil"/>
              <w:bottom w:val="single" w:sz="4" w:space="0" w:color="auto"/>
              <w:right w:val="single" w:sz="4" w:space="0" w:color="auto"/>
            </w:tcBorders>
            <w:shd w:val="clear" w:color="000000" w:fill="DCE6F1"/>
            <w:vAlign w:val="bottom"/>
            <w:hideMark/>
          </w:tcPr>
          <w:p w14:paraId="2C36FBB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517.59%</w:t>
            </w:r>
          </w:p>
        </w:tc>
        <w:tc>
          <w:tcPr>
            <w:tcW w:w="900" w:type="dxa"/>
            <w:tcBorders>
              <w:top w:val="nil"/>
              <w:left w:val="nil"/>
              <w:bottom w:val="single" w:sz="4" w:space="0" w:color="auto"/>
              <w:right w:val="single" w:sz="4" w:space="0" w:color="auto"/>
            </w:tcBorders>
            <w:shd w:val="clear" w:color="000000" w:fill="DCE6F1"/>
            <w:vAlign w:val="bottom"/>
            <w:hideMark/>
          </w:tcPr>
          <w:p w14:paraId="5463AD24"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$27,868</w:t>
            </w:r>
          </w:p>
        </w:tc>
        <w:tc>
          <w:tcPr>
            <w:tcW w:w="900" w:type="dxa"/>
            <w:tcBorders>
              <w:top w:val="nil"/>
              <w:left w:val="nil"/>
              <w:bottom w:val="single" w:sz="4" w:space="0" w:color="auto"/>
              <w:right w:val="single" w:sz="4" w:space="0" w:color="auto"/>
            </w:tcBorders>
            <w:shd w:val="clear" w:color="000000" w:fill="FAC8B8"/>
            <w:vAlign w:val="bottom"/>
            <w:hideMark/>
          </w:tcPr>
          <w:p w14:paraId="0EF62A81"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$13,347</w:t>
            </w:r>
          </w:p>
        </w:tc>
        <w:tc>
          <w:tcPr>
            <w:tcW w:w="892" w:type="dxa"/>
            <w:tcBorders>
              <w:top w:val="nil"/>
              <w:left w:val="nil"/>
              <w:bottom w:val="single" w:sz="4" w:space="0" w:color="auto"/>
              <w:right w:val="single" w:sz="4" w:space="0" w:color="auto"/>
            </w:tcBorders>
            <w:shd w:val="clear" w:color="000000" w:fill="FAC8B8"/>
            <w:vAlign w:val="bottom"/>
            <w:hideMark/>
          </w:tcPr>
          <w:p w14:paraId="14C943F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$35,419</w:t>
            </w:r>
          </w:p>
        </w:tc>
        <w:tc>
          <w:tcPr>
            <w:tcW w:w="744" w:type="dxa"/>
            <w:tcBorders>
              <w:top w:val="nil"/>
              <w:left w:val="nil"/>
              <w:bottom w:val="single" w:sz="4" w:space="0" w:color="auto"/>
              <w:right w:val="single" w:sz="4" w:space="0" w:color="auto"/>
            </w:tcBorders>
            <w:shd w:val="clear" w:color="000000" w:fill="FAC8B8"/>
            <w:vAlign w:val="bottom"/>
            <w:hideMark/>
          </w:tcPr>
          <w:p w14:paraId="08416846"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265.37%</w:t>
            </w:r>
          </w:p>
        </w:tc>
        <w:tc>
          <w:tcPr>
            <w:tcW w:w="925" w:type="dxa"/>
            <w:tcBorders>
              <w:top w:val="nil"/>
              <w:left w:val="nil"/>
              <w:bottom w:val="single" w:sz="4" w:space="0" w:color="auto"/>
              <w:right w:val="single" w:sz="4" w:space="0" w:color="auto"/>
            </w:tcBorders>
            <w:shd w:val="clear" w:color="000000" w:fill="FAC8B8"/>
            <w:vAlign w:val="bottom"/>
            <w:hideMark/>
          </w:tcPr>
          <w:p w14:paraId="5049FD7A"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$22,072</w:t>
            </w:r>
          </w:p>
        </w:tc>
        <w:tc>
          <w:tcPr>
            <w:tcW w:w="949" w:type="dxa"/>
            <w:tcBorders>
              <w:top w:val="nil"/>
              <w:left w:val="nil"/>
              <w:bottom w:val="single" w:sz="4" w:space="0" w:color="auto"/>
              <w:right w:val="single" w:sz="4" w:space="0" w:color="auto"/>
            </w:tcBorders>
            <w:vAlign w:val="bottom"/>
            <w:hideMark/>
          </w:tcPr>
          <w:p w14:paraId="418E0610"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$2,781</w:t>
            </w:r>
          </w:p>
        </w:tc>
        <w:tc>
          <w:tcPr>
            <w:tcW w:w="935" w:type="dxa"/>
            <w:tcBorders>
              <w:top w:val="nil"/>
              <w:left w:val="nil"/>
              <w:bottom w:val="single" w:sz="4" w:space="0" w:color="auto"/>
              <w:right w:val="single" w:sz="4" w:space="0" w:color="auto"/>
            </w:tcBorders>
            <w:vAlign w:val="bottom"/>
            <w:hideMark/>
          </w:tcPr>
          <w:p w14:paraId="008B7E5D"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$1,375</w:t>
            </w:r>
          </w:p>
        </w:tc>
        <w:tc>
          <w:tcPr>
            <w:tcW w:w="766" w:type="dxa"/>
            <w:tcBorders>
              <w:top w:val="nil"/>
              <w:left w:val="nil"/>
              <w:bottom w:val="single" w:sz="4" w:space="0" w:color="auto"/>
              <w:right w:val="single" w:sz="4" w:space="0" w:color="auto"/>
            </w:tcBorders>
            <w:vAlign w:val="bottom"/>
            <w:hideMark/>
          </w:tcPr>
          <w:p w14:paraId="027B7481"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49.45%</w:t>
            </w:r>
          </w:p>
        </w:tc>
        <w:tc>
          <w:tcPr>
            <w:tcW w:w="835" w:type="dxa"/>
            <w:tcBorders>
              <w:top w:val="nil"/>
              <w:left w:val="nil"/>
              <w:bottom w:val="single" w:sz="4" w:space="0" w:color="auto"/>
              <w:right w:val="single" w:sz="4" w:space="0" w:color="auto"/>
            </w:tcBorders>
            <w:vAlign w:val="bottom"/>
            <w:hideMark/>
          </w:tcPr>
          <w:p w14:paraId="55312D9D"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-$1,406</w:t>
            </w:r>
          </w:p>
        </w:tc>
      </w:tr>
      <w:tr w:rsidR="007577F6" w:rsidRPr="007577F6" w14:paraId="1C75C48F" w14:textId="77777777" w:rsidTr="0014292E">
        <w:trPr>
          <w:trHeight w:val="377"/>
          <w:tblHeader/>
        </w:trPr>
        <w:tc>
          <w:tcPr>
            <w:tcW w:w="540" w:type="dxa"/>
            <w:tcBorders>
              <w:top w:val="nil"/>
              <w:left w:val="single" w:sz="4" w:space="0" w:color="auto"/>
              <w:bottom w:val="single" w:sz="4" w:space="0" w:color="auto"/>
              <w:right w:val="single" w:sz="4" w:space="0" w:color="auto"/>
            </w:tcBorders>
            <w:vAlign w:val="bottom"/>
            <w:hideMark/>
          </w:tcPr>
          <w:p w14:paraId="237BC582"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DOT</w:t>
            </w:r>
          </w:p>
        </w:tc>
        <w:tc>
          <w:tcPr>
            <w:tcW w:w="1440" w:type="dxa"/>
            <w:tcBorders>
              <w:top w:val="nil"/>
              <w:left w:val="nil"/>
              <w:bottom w:val="single" w:sz="4" w:space="0" w:color="auto"/>
              <w:right w:val="single" w:sz="4" w:space="0" w:color="auto"/>
            </w:tcBorders>
            <w:vAlign w:val="bottom"/>
            <w:hideMark/>
          </w:tcPr>
          <w:p w14:paraId="5E54DA9A"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MASSACHUSETTS DEPARTMENT OF TRANSPORTATION</w:t>
            </w:r>
          </w:p>
        </w:tc>
        <w:tc>
          <w:tcPr>
            <w:tcW w:w="1080" w:type="dxa"/>
            <w:tcBorders>
              <w:top w:val="nil"/>
              <w:left w:val="nil"/>
              <w:bottom w:val="single" w:sz="4" w:space="0" w:color="auto"/>
              <w:right w:val="single" w:sz="4" w:space="0" w:color="auto"/>
            </w:tcBorders>
            <w:vAlign w:val="bottom"/>
            <w:hideMark/>
          </w:tcPr>
          <w:p w14:paraId="78531FA2"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$184,281,851</w:t>
            </w:r>
          </w:p>
        </w:tc>
        <w:tc>
          <w:tcPr>
            <w:tcW w:w="990" w:type="dxa"/>
            <w:tcBorders>
              <w:top w:val="nil"/>
              <w:left w:val="nil"/>
              <w:bottom w:val="single" w:sz="4" w:space="0" w:color="auto"/>
              <w:right w:val="single" w:sz="4" w:space="0" w:color="auto"/>
            </w:tcBorders>
            <w:shd w:val="clear" w:color="000000" w:fill="DCE6F1"/>
            <w:noWrap/>
            <w:vAlign w:val="bottom"/>
            <w:hideMark/>
          </w:tcPr>
          <w:p w14:paraId="27F173F4"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$11,056,911</w:t>
            </w:r>
          </w:p>
        </w:tc>
        <w:tc>
          <w:tcPr>
            <w:tcW w:w="1080" w:type="dxa"/>
            <w:tcBorders>
              <w:top w:val="nil"/>
              <w:left w:val="nil"/>
              <w:bottom w:val="single" w:sz="4" w:space="0" w:color="auto"/>
              <w:right w:val="single" w:sz="4" w:space="0" w:color="auto"/>
            </w:tcBorders>
            <w:shd w:val="clear" w:color="000000" w:fill="DCE6F1"/>
            <w:noWrap/>
            <w:vAlign w:val="bottom"/>
            <w:hideMark/>
          </w:tcPr>
          <w:p w14:paraId="74FA12E8"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$40,180,688</w:t>
            </w:r>
          </w:p>
        </w:tc>
        <w:tc>
          <w:tcPr>
            <w:tcW w:w="720" w:type="dxa"/>
            <w:tcBorders>
              <w:top w:val="nil"/>
              <w:left w:val="nil"/>
              <w:bottom w:val="single" w:sz="4" w:space="0" w:color="auto"/>
              <w:right w:val="single" w:sz="4" w:space="0" w:color="auto"/>
            </w:tcBorders>
            <w:shd w:val="clear" w:color="000000" w:fill="DCE6F1"/>
            <w:vAlign w:val="bottom"/>
            <w:hideMark/>
          </w:tcPr>
          <w:p w14:paraId="38B4421F"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363.40%</w:t>
            </w:r>
          </w:p>
        </w:tc>
        <w:tc>
          <w:tcPr>
            <w:tcW w:w="900" w:type="dxa"/>
            <w:tcBorders>
              <w:top w:val="nil"/>
              <w:left w:val="nil"/>
              <w:bottom w:val="single" w:sz="4" w:space="0" w:color="auto"/>
              <w:right w:val="single" w:sz="4" w:space="0" w:color="auto"/>
            </w:tcBorders>
            <w:shd w:val="clear" w:color="000000" w:fill="DCE6F1"/>
            <w:vAlign w:val="bottom"/>
            <w:hideMark/>
          </w:tcPr>
          <w:p w14:paraId="76597234"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$29,123,777</w:t>
            </w:r>
          </w:p>
        </w:tc>
        <w:tc>
          <w:tcPr>
            <w:tcW w:w="900" w:type="dxa"/>
            <w:tcBorders>
              <w:top w:val="nil"/>
              <w:left w:val="nil"/>
              <w:bottom w:val="single" w:sz="4" w:space="0" w:color="auto"/>
              <w:right w:val="single" w:sz="4" w:space="0" w:color="auto"/>
            </w:tcBorders>
            <w:shd w:val="clear" w:color="000000" w:fill="FAC8B8"/>
            <w:vAlign w:val="bottom"/>
            <w:hideMark/>
          </w:tcPr>
          <w:p w14:paraId="607F3803"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$22,087,128</w:t>
            </w:r>
          </w:p>
        </w:tc>
        <w:tc>
          <w:tcPr>
            <w:tcW w:w="892" w:type="dxa"/>
            <w:tcBorders>
              <w:top w:val="nil"/>
              <w:left w:val="nil"/>
              <w:bottom w:val="single" w:sz="4" w:space="0" w:color="auto"/>
              <w:right w:val="single" w:sz="4" w:space="0" w:color="auto"/>
            </w:tcBorders>
            <w:shd w:val="clear" w:color="000000" w:fill="FAC8B8"/>
            <w:vAlign w:val="bottom"/>
            <w:hideMark/>
          </w:tcPr>
          <w:p w14:paraId="0B94C680"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$36,923,960</w:t>
            </w:r>
          </w:p>
        </w:tc>
        <w:tc>
          <w:tcPr>
            <w:tcW w:w="744" w:type="dxa"/>
            <w:tcBorders>
              <w:top w:val="nil"/>
              <w:left w:val="nil"/>
              <w:bottom w:val="single" w:sz="4" w:space="0" w:color="auto"/>
              <w:right w:val="single" w:sz="4" w:space="0" w:color="auto"/>
            </w:tcBorders>
            <w:shd w:val="clear" w:color="000000" w:fill="FAC8B8"/>
            <w:vAlign w:val="bottom"/>
            <w:hideMark/>
          </w:tcPr>
          <w:p w14:paraId="658FD631"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167.17%</w:t>
            </w:r>
          </w:p>
        </w:tc>
        <w:tc>
          <w:tcPr>
            <w:tcW w:w="925" w:type="dxa"/>
            <w:tcBorders>
              <w:top w:val="nil"/>
              <w:left w:val="nil"/>
              <w:bottom w:val="single" w:sz="4" w:space="0" w:color="auto"/>
              <w:right w:val="single" w:sz="4" w:space="0" w:color="auto"/>
            </w:tcBorders>
            <w:shd w:val="clear" w:color="000000" w:fill="FAC8B8"/>
            <w:vAlign w:val="bottom"/>
            <w:hideMark/>
          </w:tcPr>
          <w:p w14:paraId="5A1910C2"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$14,836,831</w:t>
            </w:r>
          </w:p>
        </w:tc>
        <w:tc>
          <w:tcPr>
            <w:tcW w:w="949" w:type="dxa"/>
            <w:tcBorders>
              <w:top w:val="nil"/>
              <w:left w:val="nil"/>
              <w:bottom w:val="single" w:sz="4" w:space="0" w:color="auto"/>
              <w:right w:val="single" w:sz="4" w:space="0" w:color="auto"/>
            </w:tcBorders>
            <w:vAlign w:val="bottom"/>
            <w:hideMark/>
          </w:tcPr>
          <w:p w14:paraId="0EA4BF17"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$4,601,485</w:t>
            </w:r>
          </w:p>
        </w:tc>
        <w:tc>
          <w:tcPr>
            <w:tcW w:w="935" w:type="dxa"/>
            <w:tcBorders>
              <w:top w:val="nil"/>
              <w:left w:val="nil"/>
              <w:bottom w:val="single" w:sz="4" w:space="0" w:color="auto"/>
              <w:right w:val="single" w:sz="4" w:space="0" w:color="auto"/>
            </w:tcBorders>
            <w:vAlign w:val="bottom"/>
            <w:hideMark/>
          </w:tcPr>
          <w:p w14:paraId="61439C50"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$19,138,065</w:t>
            </w:r>
          </w:p>
        </w:tc>
        <w:tc>
          <w:tcPr>
            <w:tcW w:w="766" w:type="dxa"/>
            <w:tcBorders>
              <w:top w:val="nil"/>
              <w:left w:val="nil"/>
              <w:bottom w:val="single" w:sz="4" w:space="0" w:color="auto"/>
              <w:right w:val="single" w:sz="4" w:space="0" w:color="auto"/>
            </w:tcBorders>
            <w:vAlign w:val="bottom"/>
            <w:hideMark/>
          </w:tcPr>
          <w:p w14:paraId="79D0836C"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415.91%</w:t>
            </w:r>
          </w:p>
        </w:tc>
        <w:tc>
          <w:tcPr>
            <w:tcW w:w="835" w:type="dxa"/>
            <w:tcBorders>
              <w:top w:val="nil"/>
              <w:left w:val="nil"/>
              <w:bottom w:val="single" w:sz="4" w:space="0" w:color="auto"/>
              <w:right w:val="single" w:sz="4" w:space="0" w:color="auto"/>
            </w:tcBorders>
            <w:vAlign w:val="bottom"/>
            <w:hideMark/>
          </w:tcPr>
          <w:p w14:paraId="4F4EC8AF"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$14,536,580</w:t>
            </w:r>
          </w:p>
        </w:tc>
      </w:tr>
      <w:tr w:rsidR="007577F6" w:rsidRPr="007577F6" w14:paraId="7BA3746A" w14:textId="77777777" w:rsidTr="0014292E">
        <w:trPr>
          <w:trHeight w:val="300"/>
          <w:tblHeader/>
        </w:trPr>
        <w:tc>
          <w:tcPr>
            <w:tcW w:w="540" w:type="dxa"/>
            <w:tcBorders>
              <w:top w:val="nil"/>
              <w:left w:val="single" w:sz="4" w:space="0" w:color="auto"/>
              <w:bottom w:val="single" w:sz="4" w:space="0" w:color="auto"/>
              <w:right w:val="single" w:sz="4" w:space="0" w:color="auto"/>
            </w:tcBorders>
            <w:vAlign w:val="bottom"/>
            <w:hideMark/>
          </w:tcPr>
          <w:p w14:paraId="6D025366"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EDU</w:t>
            </w:r>
          </w:p>
        </w:tc>
        <w:tc>
          <w:tcPr>
            <w:tcW w:w="1440" w:type="dxa"/>
            <w:tcBorders>
              <w:top w:val="nil"/>
              <w:left w:val="nil"/>
              <w:bottom w:val="single" w:sz="4" w:space="0" w:color="auto"/>
              <w:right w:val="single" w:sz="4" w:space="0" w:color="auto"/>
            </w:tcBorders>
            <w:vAlign w:val="bottom"/>
            <w:hideMark/>
          </w:tcPr>
          <w:p w14:paraId="0D466BC4"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EXECUTIVE OFFICE OF EDUCATION</w:t>
            </w:r>
          </w:p>
        </w:tc>
        <w:tc>
          <w:tcPr>
            <w:tcW w:w="1080" w:type="dxa"/>
            <w:tcBorders>
              <w:top w:val="nil"/>
              <w:left w:val="nil"/>
              <w:bottom w:val="single" w:sz="4" w:space="0" w:color="auto"/>
              <w:right w:val="single" w:sz="4" w:space="0" w:color="auto"/>
            </w:tcBorders>
            <w:vAlign w:val="bottom"/>
            <w:hideMark/>
          </w:tcPr>
          <w:p w14:paraId="61A0ED7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$274,402,937</w:t>
            </w:r>
          </w:p>
        </w:tc>
        <w:tc>
          <w:tcPr>
            <w:tcW w:w="990" w:type="dxa"/>
            <w:tcBorders>
              <w:top w:val="nil"/>
              <w:left w:val="nil"/>
              <w:bottom w:val="single" w:sz="4" w:space="0" w:color="auto"/>
              <w:right w:val="single" w:sz="4" w:space="0" w:color="auto"/>
            </w:tcBorders>
            <w:shd w:val="clear" w:color="000000" w:fill="DCE6F1"/>
            <w:noWrap/>
            <w:vAlign w:val="bottom"/>
            <w:hideMark/>
          </w:tcPr>
          <w:p w14:paraId="75C3791F"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$16,464,176</w:t>
            </w:r>
          </w:p>
        </w:tc>
        <w:tc>
          <w:tcPr>
            <w:tcW w:w="1080" w:type="dxa"/>
            <w:tcBorders>
              <w:top w:val="nil"/>
              <w:left w:val="nil"/>
              <w:bottom w:val="single" w:sz="4" w:space="0" w:color="auto"/>
              <w:right w:val="single" w:sz="4" w:space="0" w:color="auto"/>
            </w:tcBorders>
            <w:shd w:val="clear" w:color="000000" w:fill="DCE6F1"/>
            <w:noWrap/>
            <w:vAlign w:val="bottom"/>
            <w:hideMark/>
          </w:tcPr>
          <w:p w14:paraId="670A9A9D"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$30,178,938</w:t>
            </w:r>
          </w:p>
        </w:tc>
        <w:tc>
          <w:tcPr>
            <w:tcW w:w="720" w:type="dxa"/>
            <w:tcBorders>
              <w:top w:val="nil"/>
              <w:left w:val="nil"/>
              <w:bottom w:val="single" w:sz="4" w:space="0" w:color="auto"/>
              <w:right w:val="single" w:sz="4" w:space="0" w:color="auto"/>
            </w:tcBorders>
            <w:shd w:val="clear" w:color="000000" w:fill="DCE6F1"/>
            <w:vAlign w:val="bottom"/>
            <w:hideMark/>
          </w:tcPr>
          <w:p w14:paraId="1CDA58B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183.30%</w:t>
            </w:r>
          </w:p>
        </w:tc>
        <w:tc>
          <w:tcPr>
            <w:tcW w:w="900" w:type="dxa"/>
            <w:tcBorders>
              <w:top w:val="nil"/>
              <w:left w:val="nil"/>
              <w:bottom w:val="single" w:sz="4" w:space="0" w:color="auto"/>
              <w:right w:val="single" w:sz="4" w:space="0" w:color="auto"/>
            </w:tcBorders>
            <w:shd w:val="clear" w:color="000000" w:fill="DCE6F1"/>
            <w:vAlign w:val="bottom"/>
            <w:hideMark/>
          </w:tcPr>
          <w:p w14:paraId="7F8A62F5"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$13,714,762</w:t>
            </w:r>
          </w:p>
        </w:tc>
        <w:tc>
          <w:tcPr>
            <w:tcW w:w="900" w:type="dxa"/>
            <w:tcBorders>
              <w:top w:val="nil"/>
              <w:left w:val="nil"/>
              <w:bottom w:val="single" w:sz="4" w:space="0" w:color="auto"/>
              <w:right w:val="single" w:sz="4" w:space="0" w:color="auto"/>
            </w:tcBorders>
            <w:shd w:val="clear" w:color="000000" w:fill="FAC8B8"/>
            <w:vAlign w:val="bottom"/>
            <w:hideMark/>
          </w:tcPr>
          <w:p w14:paraId="7B034238"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$32,928,352</w:t>
            </w:r>
          </w:p>
        </w:tc>
        <w:tc>
          <w:tcPr>
            <w:tcW w:w="892" w:type="dxa"/>
            <w:tcBorders>
              <w:top w:val="nil"/>
              <w:left w:val="nil"/>
              <w:bottom w:val="single" w:sz="4" w:space="0" w:color="auto"/>
              <w:right w:val="single" w:sz="4" w:space="0" w:color="auto"/>
            </w:tcBorders>
            <w:shd w:val="clear" w:color="000000" w:fill="FAC8B8"/>
            <w:vAlign w:val="bottom"/>
            <w:hideMark/>
          </w:tcPr>
          <w:p w14:paraId="471049DE"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$49,796,743</w:t>
            </w:r>
          </w:p>
        </w:tc>
        <w:tc>
          <w:tcPr>
            <w:tcW w:w="744" w:type="dxa"/>
            <w:tcBorders>
              <w:top w:val="nil"/>
              <w:left w:val="nil"/>
              <w:bottom w:val="single" w:sz="4" w:space="0" w:color="auto"/>
              <w:right w:val="single" w:sz="4" w:space="0" w:color="auto"/>
            </w:tcBorders>
            <w:shd w:val="clear" w:color="000000" w:fill="FAC8B8"/>
            <w:vAlign w:val="bottom"/>
            <w:hideMark/>
          </w:tcPr>
          <w:p w14:paraId="56EE964D"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151.23%</w:t>
            </w:r>
          </w:p>
        </w:tc>
        <w:tc>
          <w:tcPr>
            <w:tcW w:w="925" w:type="dxa"/>
            <w:tcBorders>
              <w:top w:val="nil"/>
              <w:left w:val="nil"/>
              <w:bottom w:val="single" w:sz="4" w:space="0" w:color="auto"/>
              <w:right w:val="single" w:sz="4" w:space="0" w:color="auto"/>
            </w:tcBorders>
            <w:shd w:val="clear" w:color="000000" w:fill="FAC8B8"/>
            <w:vAlign w:val="bottom"/>
            <w:hideMark/>
          </w:tcPr>
          <w:p w14:paraId="1A08DAD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$16,868,390</w:t>
            </w:r>
          </w:p>
        </w:tc>
        <w:tc>
          <w:tcPr>
            <w:tcW w:w="949" w:type="dxa"/>
            <w:tcBorders>
              <w:top w:val="nil"/>
              <w:left w:val="nil"/>
              <w:bottom w:val="single" w:sz="4" w:space="0" w:color="auto"/>
              <w:right w:val="single" w:sz="4" w:space="0" w:color="auto"/>
            </w:tcBorders>
            <w:vAlign w:val="bottom"/>
            <w:hideMark/>
          </w:tcPr>
          <w:p w14:paraId="60C06643"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$6,860,073</w:t>
            </w:r>
          </w:p>
        </w:tc>
        <w:tc>
          <w:tcPr>
            <w:tcW w:w="935" w:type="dxa"/>
            <w:tcBorders>
              <w:top w:val="nil"/>
              <w:left w:val="nil"/>
              <w:bottom w:val="single" w:sz="4" w:space="0" w:color="auto"/>
              <w:right w:val="single" w:sz="4" w:space="0" w:color="auto"/>
            </w:tcBorders>
            <w:vAlign w:val="bottom"/>
            <w:hideMark/>
          </w:tcPr>
          <w:p w14:paraId="501FF15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$5,116,486</w:t>
            </w:r>
          </w:p>
        </w:tc>
        <w:tc>
          <w:tcPr>
            <w:tcW w:w="766" w:type="dxa"/>
            <w:tcBorders>
              <w:top w:val="nil"/>
              <w:left w:val="nil"/>
              <w:bottom w:val="single" w:sz="4" w:space="0" w:color="auto"/>
              <w:right w:val="single" w:sz="4" w:space="0" w:color="auto"/>
            </w:tcBorders>
            <w:vAlign w:val="bottom"/>
            <w:hideMark/>
          </w:tcPr>
          <w:p w14:paraId="747B01CD"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74.58%</w:t>
            </w:r>
          </w:p>
        </w:tc>
        <w:tc>
          <w:tcPr>
            <w:tcW w:w="835" w:type="dxa"/>
            <w:tcBorders>
              <w:top w:val="nil"/>
              <w:left w:val="nil"/>
              <w:bottom w:val="single" w:sz="4" w:space="0" w:color="auto"/>
              <w:right w:val="single" w:sz="4" w:space="0" w:color="auto"/>
            </w:tcBorders>
            <w:vAlign w:val="bottom"/>
            <w:hideMark/>
          </w:tcPr>
          <w:p w14:paraId="2E011C32"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-$1,743,587</w:t>
            </w:r>
          </w:p>
        </w:tc>
      </w:tr>
      <w:tr w:rsidR="007577F6" w:rsidRPr="007577F6" w14:paraId="542399EB" w14:textId="77777777" w:rsidTr="0014292E">
        <w:trPr>
          <w:trHeight w:val="300"/>
          <w:tblHeader/>
        </w:trPr>
        <w:tc>
          <w:tcPr>
            <w:tcW w:w="540" w:type="dxa"/>
            <w:tcBorders>
              <w:top w:val="nil"/>
              <w:left w:val="single" w:sz="4" w:space="0" w:color="auto"/>
              <w:bottom w:val="single" w:sz="4" w:space="0" w:color="auto"/>
              <w:right w:val="single" w:sz="4" w:space="0" w:color="auto"/>
            </w:tcBorders>
            <w:vAlign w:val="bottom"/>
            <w:hideMark/>
          </w:tcPr>
          <w:p w14:paraId="48B606EF"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EED</w:t>
            </w:r>
          </w:p>
        </w:tc>
        <w:tc>
          <w:tcPr>
            <w:tcW w:w="1440" w:type="dxa"/>
            <w:tcBorders>
              <w:top w:val="nil"/>
              <w:left w:val="nil"/>
              <w:bottom w:val="single" w:sz="4" w:space="0" w:color="auto"/>
              <w:right w:val="single" w:sz="4" w:space="0" w:color="auto"/>
            </w:tcBorders>
            <w:vAlign w:val="bottom"/>
            <w:hideMark/>
          </w:tcPr>
          <w:p w14:paraId="0A34E58E"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EXECUTIVE OFFICE OF ECONOMIC DEVELOPMENT</w:t>
            </w:r>
          </w:p>
        </w:tc>
        <w:tc>
          <w:tcPr>
            <w:tcW w:w="1080" w:type="dxa"/>
            <w:tcBorders>
              <w:top w:val="nil"/>
              <w:left w:val="nil"/>
              <w:bottom w:val="single" w:sz="4" w:space="0" w:color="auto"/>
              <w:right w:val="single" w:sz="4" w:space="0" w:color="auto"/>
            </w:tcBorders>
            <w:vAlign w:val="bottom"/>
            <w:hideMark/>
          </w:tcPr>
          <w:p w14:paraId="2A572D30"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$161,650,812</w:t>
            </w:r>
          </w:p>
        </w:tc>
        <w:tc>
          <w:tcPr>
            <w:tcW w:w="990" w:type="dxa"/>
            <w:tcBorders>
              <w:top w:val="nil"/>
              <w:left w:val="nil"/>
              <w:bottom w:val="single" w:sz="4" w:space="0" w:color="auto"/>
              <w:right w:val="single" w:sz="4" w:space="0" w:color="auto"/>
            </w:tcBorders>
            <w:shd w:val="clear" w:color="000000" w:fill="DCE6F1"/>
            <w:noWrap/>
            <w:vAlign w:val="bottom"/>
            <w:hideMark/>
          </w:tcPr>
          <w:p w14:paraId="6D6D518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$9,699,049</w:t>
            </w:r>
          </w:p>
        </w:tc>
        <w:tc>
          <w:tcPr>
            <w:tcW w:w="1080" w:type="dxa"/>
            <w:tcBorders>
              <w:top w:val="nil"/>
              <w:left w:val="nil"/>
              <w:bottom w:val="single" w:sz="4" w:space="0" w:color="auto"/>
              <w:right w:val="single" w:sz="4" w:space="0" w:color="auto"/>
            </w:tcBorders>
            <w:shd w:val="clear" w:color="000000" w:fill="DCE6F1"/>
            <w:noWrap/>
            <w:vAlign w:val="bottom"/>
            <w:hideMark/>
          </w:tcPr>
          <w:p w14:paraId="15DE29CD"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$14,385,170</w:t>
            </w:r>
          </w:p>
        </w:tc>
        <w:tc>
          <w:tcPr>
            <w:tcW w:w="720" w:type="dxa"/>
            <w:tcBorders>
              <w:top w:val="nil"/>
              <w:left w:val="nil"/>
              <w:bottom w:val="single" w:sz="4" w:space="0" w:color="auto"/>
              <w:right w:val="single" w:sz="4" w:space="0" w:color="auto"/>
            </w:tcBorders>
            <w:shd w:val="clear" w:color="000000" w:fill="DCE6F1"/>
            <w:vAlign w:val="bottom"/>
            <w:hideMark/>
          </w:tcPr>
          <w:p w14:paraId="06F64AF5"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148.32%</w:t>
            </w:r>
          </w:p>
        </w:tc>
        <w:tc>
          <w:tcPr>
            <w:tcW w:w="900" w:type="dxa"/>
            <w:tcBorders>
              <w:top w:val="nil"/>
              <w:left w:val="nil"/>
              <w:bottom w:val="single" w:sz="4" w:space="0" w:color="auto"/>
              <w:right w:val="single" w:sz="4" w:space="0" w:color="auto"/>
            </w:tcBorders>
            <w:shd w:val="clear" w:color="000000" w:fill="DCE6F1"/>
            <w:vAlign w:val="bottom"/>
            <w:hideMark/>
          </w:tcPr>
          <w:p w14:paraId="31A6564C"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$4,686,122</w:t>
            </w:r>
          </w:p>
        </w:tc>
        <w:tc>
          <w:tcPr>
            <w:tcW w:w="900" w:type="dxa"/>
            <w:tcBorders>
              <w:top w:val="nil"/>
              <w:left w:val="nil"/>
              <w:bottom w:val="single" w:sz="4" w:space="0" w:color="auto"/>
              <w:right w:val="single" w:sz="4" w:space="0" w:color="auto"/>
            </w:tcBorders>
            <w:shd w:val="clear" w:color="000000" w:fill="FAC8B8"/>
            <w:vAlign w:val="bottom"/>
            <w:hideMark/>
          </w:tcPr>
          <w:p w14:paraId="55496B6A"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$19,398,097</w:t>
            </w:r>
          </w:p>
        </w:tc>
        <w:tc>
          <w:tcPr>
            <w:tcW w:w="892" w:type="dxa"/>
            <w:tcBorders>
              <w:top w:val="nil"/>
              <w:left w:val="nil"/>
              <w:bottom w:val="single" w:sz="4" w:space="0" w:color="auto"/>
              <w:right w:val="single" w:sz="4" w:space="0" w:color="auto"/>
            </w:tcBorders>
            <w:shd w:val="clear" w:color="000000" w:fill="FAC8B8"/>
            <w:vAlign w:val="bottom"/>
            <w:hideMark/>
          </w:tcPr>
          <w:p w14:paraId="7CAA981F"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$79,230,353</w:t>
            </w:r>
          </w:p>
        </w:tc>
        <w:tc>
          <w:tcPr>
            <w:tcW w:w="744" w:type="dxa"/>
            <w:tcBorders>
              <w:top w:val="nil"/>
              <w:left w:val="nil"/>
              <w:bottom w:val="single" w:sz="4" w:space="0" w:color="auto"/>
              <w:right w:val="single" w:sz="4" w:space="0" w:color="auto"/>
            </w:tcBorders>
            <w:shd w:val="clear" w:color="000000" w:fill="FAC8B8"/>
            <w:vAlign w:val="bottom"/>
            <w:hideMark/>
          </w:tcPr>
          <w:p w14:paraId="379ADC91"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408.44%</w:t>
            </w:r>
          </w:p>
        </w:tc>
        <w:tc>
          <w:tcPr>
            <w:tcW w:w="925" w:type="dxa"/>
            <w:tcBorders>
              <w:top w:val="nil"/>
              <w:left w:val="nil"/>
              <w:bottom w:val="single" w:sz="4" w:space="0" w:color="auto"/>
              <w:right w:val="single" w:sz="4" w:space="0" w:color="auto"/>
            </w:tcBorders>
            <w:shd w:val="clear" w:color="000000" w:fill="FAC8B8"/>
            <w:vAlign w:val="bottom"/>
            <w:hideMark/>
          </w:tcPr>
          <w:p w14:paraId="4B0C7187"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$59,832,255</w:t>
            </w:r>
          </w:p>
        </w:tc>
        <w:tc>
          <w:tcPr>
            <w:tcW w:w="949" w:type="dxa"/>
            <w:tcBorders>
              <w:top w:val="nil"/>
              <w:left w:val="nil"/>
              <w:bottom w:val="single" w:sz="4" w:space="0" w:color="auto"/>
              <w:right w:val="single" w:sz="4" w:space="0" w:color="auto"/>
            </w:tcBorders>
            <w:vAlign w:val="bottom"/>
            <w:hideMark/>
          </w:tcPr>
          <w:p w14:paraId="376C337E"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$4,041,270</w:t>
            </w:r>
          </w:p>
        </w:tc>
        <w:tc>
          <w:tcPr>
            <w:tcW w:w="935" w:type="dxa"/>
            <w:tcBorders>
              <w:top w:val="nil"/>
              <w:left w:val="nil"/>
              <w:bottom w:val="single" w:sz="4" w:space="0" w:color="auto"/>
              <w:right w:val="single" w:sz="4" w:space="0" w:color="auto"/>
            </w:tcBorders>
            <w:vAlign w:val="bottom"/>
            <w:hideMark/>
          </w:tcPr>
          <w:p w14:paraId="4D002E62"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$13,985,694</w:t>
            </w:r>
          </w:p>
        </w:tc>
        <w:tc>
          <w:tcPr>
            <w:tcW w:w="766" w:type="dxa"/>
            <w:tcBorders>
              <w:top w:val="nil"/>
              <w:left w:val="nil"/>
              <w:bottom w:val="single" w:sz="4" w:space="0" w:color="auto"/>
              <w:right w:val="single" w:sz="4" w:space="0" w:color="auto"/>
            </w:tcBorders>
            <w:vAlign w:val="bottom"/>
            <w:hideMark/>
          </w:tcPr>
          <w:p w14:paraId="1B0035A1"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346.07%</w:t>
            </w:r>
          </w:p>
        </w:tc>
        <w:tc>
          <w:tcPr>
            <w:tcW w:w="835" w:type="dxa"/>
            <w:tcBorders>
              <w:top w:val="nil"/>
              <w:left w:val="nil"/>
              <w:bottom w:val="single" w:sz="4" w:space="0" w:color="auto"/>
              <w:right w:val="single" w:sz="4" w:space="0" w:color="auto"/>
            </w:tcBorders>
            <w:vAlign w:val="bottom"/>
            <w:hideMark/>
          </w:tcPr>
          <w:p w14:paraId="721614A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$9,944,423</w:t>
            </w:r>
          </w:p>
        </w:tc>
      </w:tr>
      <w:tr w:rsidR="007577F6" w:rsidRPr="007577F6" w14:paraId="4033D58A" w14:textId="77777777" w:rsidTr="0014292E">
        <w:trPr>
          <w:trHeight w:val="422"/>
          <w:tblHeader/>
        </w:trPr>
        <w:tc>
          <w:tcPr>
            <w:tcW w:w="540" w:type="dxa"/>
            <w:tcBorders>
              <w:top w:val="nil"/>
              <w:left w:val="single" w:sz="4" w:space="0" w:color="auto"/>
              <w:bottom w:val="single" w:sz="4" w:space="0" w:color="auto"/>
              <w:right w:val="single" w:sz="4" w:space="0" w:color="auto"/>
            </w:tcBorders>
            <w:vAlign w:val="bottom"/>
            <w:hideMark/>
          </w:tcPr>
          <w:p w14:paraId="74D4B664"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EHS</w:t>
            </w:r>
          </w:p>
        </w:tc>
        <w:tc>
          <w:tcPr>
            <w:tcW w:w="1440" w:type="dxa"/>
            <w:tcBorders>
              <w:top w:val="nil"/>
              <w:left w:val="nil"/>
              <w:bottom w:val="single" w:sz="4" w:space="0" w:color="auto"/>
              <w:right w:val="single" w:sz="4" w:space="0" w:color="auto"/>
            </w:tcBorders>
            <w:vAlign w:val="bottom"/>
            <w:hideMark/>
          </w:tcPr>
          <w:p w14:paraId="1F661B5B"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EXECUTIVE OFFICE OF HEALTH AND HUMAN SERVICES</w:t>
            </w:r>
          </w:p>
        </w:tc>
        <w:tc>
          <w:tcPr>
            <w:tcW w:w="1080" w:type="dxa"/>
            <w:tcBorders>
              <w:top w:val="nil"/>
              <w:left w:val="nil"/>
              <w:bottom w:val="single" w:sz="4" w:space="0" w:color="auto"/>
              <w:right w:val="single" w:sz="4" w:space="0" w:color="auto"/>
            </w:tcBorders>
            <w:vAlign w:val="bottom"/>
            <w:hideMark/>
          </w:tcPr>
          <w:p w14:paraId="2B3443CF"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$3,061,908,112</w:t>
            </w:r>
          </w:p>
        </w:tc>
        <w:tc>
          <w:tcPr>
            <w:tcW w:w="990" w:type="dxa"/>
            <w:tcBorders>
              <w:top w:val="nil"/>
              <w:left w:val="nil"/>
              <w:bottom w:val="single" w:sz="4" w:space="0" w:color="auto"/>
              <w:right w:val="single" w:sz="4" w:space="0" w:color="auto"/>
            </w:tcBorders>
            <w:shd w:val="clear" w:color="000000" w:fill="DCE6F1"/>
            <w:noWrap/>
            <w:vAlign w:val="bottom"/>
            <w:hideMark/>
          </w:tcPr>
          <w:p w14:paraId="0F1A1632"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$183,714,487</w:t>
            </w:r>
          </w:p>
        </w:tc>
        <w:tc>
          <w:tcPr>
            <w:tcW w:w="1080" w:type="dxa"/>
            <w:tcBorders>
              <w:top w:val="nil"/>
              <w:left w:val="nil"/>
              <w:bottom w:val="single" w:sz="4" w:space="0" w:color="auto"/>
              <w:right w:val="single" w:sz="4" w:space="0" w:color="auto"/>
            </w:tcBorders>
            <w:shd w:val="clear" w:color="000000" w:fill="DCE6F1"/>
            <w:noWrap/>
            <w:vAlign w:val="bottom"/>
            <w:hideMark/>
          </w:tcPr>
          <w:p w14:paraId="76D24644"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$135,903,099</w:t>
            </w:r>
          </w:p>
        </w:tc>
        <w:tc>
          <w:tcPr>
            <w:tcW w:w="720" w:type="dxa"/>
            <w:tcBorders>
              <w:top w:val="nil"/>
              <w:left w:val="nil"/>
              <w:bottom w:val="single" w:sz="4" w:space="0" w:color="auto"/>
              <w:right w:val="single" w:sz="4" w:space="0" w:color="auto"/>
            </w:tcBorders>
            <w:shd w:val="clear" w:color="000000" w:fill="DCE6F1"/>
            <w:vAlign w:val="bottom"/>
            <w:hideMark/>
          </w:tcPr>
          <w:p w14:paraId="7BDE9131"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73.98%</w:t>
            </w:r>
          </w:p>
        </w:tc>
        <w:tc>
          <w:tcPr>
            <w:tcW w:w="900" w:type="dxa"/>
            <w:tcBorders>
              <w:top w:val="nil"/>
              <w:left w:val="nil"/>
              <w:bottom w:val="single" w:sz="4" w:space="0" w:color="auto"/>
              <w:right w:val="single" w:sz="4" w:space="0" w:color="auto"/>
            </w:tcBorders>
            <w:shd w:val="clear" w:color="000000" w:fill="DCE6F1"/>
            <w:vAlign w:val="bottom"/>
            <w:hideMark/>
          </w:tcPr>
          <w:p w14:paraId="2474F39F"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-$47,811,388</w:t>
            </w:r>
          </w:p>
        </w:tc>
        <w:tc>
          <w:tcPr>
            <w:tcW w:w="900" w:type="dxa"/>
            <w:tcBorders>
              <w:top w:val="nil"/>
              <w:left w:val="nil"/>
              <w:bottom w:val="single" w:sz="4" w:space="0" w:color="auto"/>
              <w:right w:val="single" w:sz="4" w:space="0" w:color="auto"/>
            </w:tcBorders>
            <w:shd w:val="clear" w:color="000000" w:fill="FAC8B8"/>
            <w:vAlign w:val="bottom"/>
            <w:hideMark/>
          </w:tcPr>
          <w:p w14:paraId="35B2E71D"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$367,428,973</w:t>
            </w:r>
          </w:p>
        </w:tc>
        <w:tc>
          <w:tcPr>
            <w:tcW w:w="892" w:type="dxa"/>
            <w:tcBorders>
              <w:top w:val="nil"/>
              <w:left w:val="nil"/>
              <w:bottom w:val="single" w:sz="4" w:space="0" w:color="auto"/>
              <w:right w:val="single" w:sz="4" w:space="0" w:color="auto"/>
            </w:tcBorders>
            <w:shd w:val="clear" w:color="000000" w:fill="FAC8B8"/>
            <w:vAlign w:val="bottom"/>
            <w:hideMark/>
          </w:tcPr>
          <w:p w14:paraId="2B5920E6"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$372,679,006</w:t>
            </w:r>
          </w:p>
        </w:tc>
        <w:tc>
          <w:tcPr>
            <w:tcW w:w="744" w:type="dxa"/>
            <w:tcBorders>
              <w:top w:val="nil"/>
              <w:left w:val="nil"/>
              <w:bottom w:val="single" w:sz="4" w:space="0" w:color="auto"/>
              <w:right w:val="single" w:sz="4" w:space="0" w:color="auto"/>
            </w:tcBorders>
            <w:shd w:val="clear" w:color="000000" w:fill="FAC8B8"/>
            <w:vAlign w:val="bottom"/>
            <w:hideMark/>
          </w:tcPr>
          <w:p w14:paraId="154FD77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101.43%</w:t>
            </w:r>
          </w:p>
        </w:tc>
        <w:tc>
          <w:tcPr>
            <w:tcW w:w="925" w:type="dxa"/>
            <w:tcBorders>
              <w:top w:val="nil"/>
              <w:left w:val="nil"/>
              <w:bottom w:val="single" w:sz="4" w:space="0" w:color="auto"/>
              <w:right w:val="single" w:sz="4" w:space="0" w:color="auto"/>
            </w:tcBorders>
            <w:shd w:val="clear" w:color="000000" w:fill="FAC8B8"/>
            <w:vAlign w:val="bottom"/>
            <w:hideMark/>
          </w:tcPr>
          <w:p w14:paraId="3309EE1C"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$5,250,033</w:t>
            </w:r>
          </w:p>
        </w:tc>
        <w:tc>
          <w:tcPr>
            <w:tcW w:w="949" w:type="dxa"/>
            <w:tcBorders>
              <w:top w:val="nil"/>
              <w:left w:val="nil"/>
              <w:bottom w:val="single" w:sz="4" w:space="0" w:color="auto"/>
              <w:right w:val="single" w:sz="4" w:space="0" w:color="auto"/>
            </w:tcBorders>
            <w:vAlign w:val="bottom"/>
            <w:hideMark/>
          </w:tcPr>
          <w:p w14:paraId="1F008802"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$76,547,703</w:t>
            </w:r>
          </w:p>
        </w:tc>
        <w:tc>
          <w:tcPr>
            <w:tcW w:w="935" w:type="dxa"/>
            <w:tcBorders>
              <w:top w:val="nil"/>
              <w:left w:val="nil"/>
              <w:bottom w:val="single" w:sz="4" w:space="0" w:color="auto"/>
              <w:right w:val="single" w:sz="4" w:space="0" w:color="auto"/>
            </w:tcBorders>
            <w:vAlign w:val="bottom"/>
            <w:hideMark/>
          </w:tcPr>
          <w:p w14:paraId="726E746A"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$57,073,446</w:t>
            </w:r>
          </w:p>
        </w:tc>
        <w:tc>
          <w:tcPr>
            <w:tcW w:w="766" w:type="dxa"/>
            <w:tcBorders>
              <w:top w:val="nil"/>
              <w:left w:val="nil"/>
              <w:bottom w:val="single" w:sz="4" w:space="0" w:color="auto"/>
              <w:right w:val="single" w:sz="4" w:space="0" w:color="auto"/>
            </w:tcBorders>
            <w:vAlign w:val="bottom"/>
            <w:hideMark/>
          </w:tcPr>
          <w:p w14:paraId="1274EF7C"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74.56%</w:t>
            </w:r>
          </w:p>
        </w:tc>
        <w:tc>
          <w:tcPr>
            <w:tcW w:w="835" w:type="dxa"/>
            <w:tcBorders>
              <w:top w:val="nil"/>
              <w:left w:val="nil"/>
              <w:bottom w:val="single" w:sz="4" w:space="0" w:color="auto"/>
              <w:right w:val="single" w:sz="4" w:space="0" w:color="auto"/>
            </w:tcBorders>
            <w:vAlign w:val="bottom"/>
            <w:hideMark/>
          </w:tcPr>
          <w:p w14:paraId="2B142DF5"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-$19,474,257</w:t>
            </w:r>
          </w:p>
        </w:tc>
      </w:tr>
      <w:tr w:rsidR="007577F6" w:rsidRPr="007577F6" w14:paraId="3A6C2EB6" w14:textId="77777777" w:rsidTr="0014292E">
        <w:trPr>
          <w:trHeight w:val="300"/>
          <w:tblHeader/>
        </w:trPr>
        <w:tc>
          <w:tcPr>
            <w:tcW w:w="540" w:type="dxa"/>
            <w:tcBorders>
              <w:top w:val="nil"/>
              <w:left w:val="single" w:sz="4" w:space="0" w:color="auto"/>
              <w:bottom w:val="single" w:sz="4" w:space="0" w:color="auto"/>
              <w:right w:val="single" w:sz="4" w:space="0" w:color="auto"/>
            </w:tcBorders>
            <w:vAlign w:val="bottom"/>
            <w:hideMark/>
          </w:tcPr>
          <w:p w14:paraId="1F93D831"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ENV</w:t>
            </w:r>
          </w:p>
        </w:tc>
        <w:tc>
          <w:tcPr>
            <w:tcW w:w="1440" w:type="dxa"/>
            <w:tcBorders>
              <w:top w:val="nil"/>
              <w:left w:val="nil"/>
              <w:bottom w:val="single" w:sz="4" w:space="0" w:color="auto"/>
              <w:right w:val="single" w:sz="4" w:space="0" w:color="auto"/>
            </w:tcBorders>
            <w:vAlign w:val="bottom"/>
            <w:hideMark/>
          </w:tcPr>
          <w:p w14:paraId="05D9871A"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EXECUTIVE OFFICE OF ENVIRONMENTAL AFFAIRS</w:t>
            </w:r>
          </w:p>
        </w:tc>
        <w:tc>
          <w:tcPr>
            <w:tcW w:w="1080" w:type="dxa"/>
            <w:tcBorders>
              <w:top w:val="nil"/>
              <w:left w:val="nil"/>
              <w:bottom w:val="single" w:sz="4" w:space="0" w:color="auto"/>
              <w:right w:val="single" w:sz="4" w:space="0" w:color="auto"/>
            </w:tcBorders>
            <w:vAlign w:val="bottom"/>
            <w:hideMark/>
          </w:tcPr>
          <w:p w14:paraId="0520A5E0"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$54,525,558</w:t>
            </w:r>
          </w:p>
        </w:tc>
        <w:tc>
          <w:tcPr>
            <w:tcW w:w="990" w:type="dxa"/>
            <w:tcBorders>
              <w:top w:val="nil"/>
              <w:left w:val="nil"/>
              <w:bottom w:val="single" w:sz="4" w:space="0" w:color="auto"/>
              <w:right w:val="single" w:sz="4" w:space="0" w:color="auto"/>
            </w:tcBorders>
            <w:shd w:val="clear" w:color="000000" w:fill="DCE6F1"/>
            <w:noWrap/>
            <w:vAlign w:val="bottom"/>
            <w:hideMark/>
          </w:tcPr>
          <w:p w14:paraId="5088230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$3,271,533</w:t>
            </w:r>
          </w:p>
        </w:tc>
        <w:tc>
          <w:tcPr>
            <w:tcW w:w="1080" w:type="dxa"/>
            <w:tcBorders>
              <w:top w:val="nil"/>
              <w:left w:val="nil"/>
              <w:bottom w:val="single" w:sz="4" w:space="0" w:color="auto"/>
              <w:right w:val="single" w:sz="4" w:space="0" w:color="auto"/>
            </w:tcBorders>
            <w:shd w:val="clear" w:color="000000" w:fill="DCE6F1"/>
            <w:noWrap/>
            <w:vAlign w:val="bottom"/>
            <w:hideMark/>
          </w:tcPr>
          <w:p w14:paraId="11B53E55"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$2,159,593</w:t>
            </w:r>
          </w:p>
        </w:tc>
        <w:tc>
          <w:tcPr>
            <w:tcW w:w="720" w:type="dxa"/>
            <w:tcBorders>
              <w:top w:val="nil"/>
              <w:left w:val="nil"/>
              <w:bottom w:val="single" w:sz="4" w:space="0" w:color="auto"/>
              <w:right w:val="single" w:sz="4" w:space="0" w:color="auto"/>
            </w:tcBorders>
            <w:shd w:val="clear" w:color="000000" w:fill="DCE6F1"/>
            <w:vAlign w:val="bottom"/>
            <w:hideMark/>
          </w:tcPr>
          <w:p w14:paraId="7124F47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66.01%</w:t>
            </w:r>
          </w:p>
        </w:tc>
        <w:tc>
          <w:tcPr>
            <w:tcW w:w="900" w:type="dxa"/>
            <w:tcBorders>
              <w:top w:val="nil"/>
              <w:left w:val="nil"/>
              <w:bottom w:val="single" w:sz="4" w:space="0" w:color="auto"/>
              <w:right w:val="single" w:sz="4" w:space="0" w:color="auto"/>
            </w:tcBorders>
            <w:shd w:val="clear" w:color="000000" w:fill="DCE6F1"/>
            <w:vAlign w:val="bottom"/>
            <w:hideMark/>
          </w:tcPr>
          <w:p w14:paraId="31C3F5F7"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-$1,111,941</w:t>
            </w:r>
          </w:p>
        </w:tc>
        <w:tc>
          <w:tcPr>
            <w:tcW w:w="900" w:type="dxa"/>
            <w:tcBorders>
              <w:top w:val="nil"/>
              <w:left w:val="nil"/>
              <w:bottom w:val="single" w:sz="4" w:space="0" w:color="auto"/>
              <w:right w:val="single" w:sz="4" w:space="0" w:color="auto"/>
            </w:tcBorders>
            <w:shd w:val="clear" w:color="000000" w:fill="FAC8B8"/>
            <w:vAlign w:val="bottom"/>
            <w:hideMark/>
          </w:tcPr>
          <w:p w14:paraId="45BFD222"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$6,543,067</w:t>
            </w:r>
          </w:p>
        </w:tc>
        <w:tc>
          <w:tcPr>
            <w:tcW w:w="892" w:type="dxa"/>
            <w:tcBorders>
              <w:top w:val="nil"/>
              <w:left w:val="nil"/>
              <w:bottom w:val="single" w:sz="4" w:space="0" w:color="auto"/>
              <w:right w:val="single" w:sz="4" w:space="0" w:color="auto"/>
            </w:tcBorders>
            <w:shd w:val="clear" w:color="000000" w:fill="FAC8B8"/>
            <w:vAlign w:val="bottom"/>
            <w:hideMark/>
          </w:tcPr>
          <w:p w14:paraId="6AED2E2D"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$6,659,832</w:t>
            </w:r>
          </w:p>
        </w:tc>
        <w:tc>
          <w:tcPr>
            <w:tcW w:w="744" w:type="dxa"/>
            <w:tcBorders>
              <w:top w:val="nil"/>
              <w:left w:val="nil"/>
              <w:bottom w:val="single" w:sz="4" w:space="0" w:color="auto"/>
              <w:right w:val="single" w:sz="4" w:space="0" w:color="auto"/>
            </w:tcBorders>
            <w:shd w:val="clear" w:color="000000" w:fill="FAC8B8"/>
            <w:vAlign w:val="bottom"/>
            <w:hideMark/>
          </w:tcPr>
          <w:p w14:paraId="28116DA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101.78%</w:t>
            </w:r>
          </w:p>
        </w:tc>
        <w:tc>
          <w:tcPr>
            <w:tcW w:w="925" w:type="dxa"/>
            <w:tcBorders>
              <w:top w:val="nil"/>
              <w:left w:val="nil"/>
              <w:bottom w:val="single" w:sz="4" w:space="0" w:color="auto"/>
              <w:right w:val="single" w:sz="4" w:space="0" w:color="auto"/>
            </w:tcBorders>
            <w:shd w:val="clear" w:color="000000" w:fill="FAC8B8"/>
            <w:vAlign w:val="bottom"/>
            <w:hideMark/>
          </w:tcPr>
          <w:p w14:paraId="3FA8A2DE"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$116,765</w:t>
            </w:r>
          </w:p>
        </w:tc>
        <w:tc>
          <w:tcPr>
            <w:tcW w:w="949" w:type="dxa"/>
            <w:tcBorders>
              <w:top w:val="nil"/>
              <w:left w:val="nil"/>
              <w:bottom w:val="single" w:sz="4" w:space="0" w:color="auto"/>
              <w:right w:val="single" w:sz="4" w:space="0" w:color="auto"/>
            </w:tcBorders>
            <w:vAlign w:val="bottom"/>
            <w:hideMark/>
          </w:tcPr>
          <w:p w14:paraId="437CFA83"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$1,363,139</w:t>
            </w:r>
          </w:p>
        </w:tc>
        <w:tc>
          <w:tcPr>
            <w:tcW w:w="935" w:type="dxa"/>
            <w:tcBorders>
              <w:top w:val="nil"/>
              <w:left w:val="nil"/>
              <w:bottom w:val="single" w:sz="4" w:space="0" w:color="auto"/>
              <w:right w:val="single" w:sz="4" w:space="0" w:color="auto"/>
            </w:tcBorders>
            <w:vAlign w:val="bottom"/>
            <w:hideMark/>
          </w:tcPr>
          <w:p w14:paraId="2CA34197"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$12,451,660</w:t>
            </w:r>
          </w:p>
        </w:tc>
        <w:tc>
          <w:tcPr>
            <w:tcW w:w="766" w:type="dxa"/>
            <w:tcBorders>
              <w:top w:val="nil"/>
              <w:left w:val="nil"/>
              <w:bottom w:val="single" w:sz="4" w:space="0" w:color="auto"/>
              <w:right w:val="single" w:sz="4" w:space="0" w:color="auto"/>
            </w:tcBorders>
            <w:vAlign w:val="bottom"/>
            <w:hideMark/>
          </w:tcPr>
          <w:p w14:paraId="0E181B12"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913.45%</w:t>
            </w:r>
          </w:p>
        </w:tc>
        <w:tc>
          <w:tcPr>
            <w:tcW w:w="835" w:type="dxa"/>
            <w:tcBorders>
              <w:top w:val="nil"/>
              <w:left w:val="nil"/>
              <w:bottom w:val="single" w:sz="4" w:space="0" w:color="auto"/>
              <w:right w:val="single" w:sz="4" w:space="0" w:color="auto"/>
            </w:tcBorders>
            <w:vAlign w:val="bottom"/>
            <w:hideMark/>
          </w:tcPr>
          <w:p w14:paraId="4DD33384"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$11,088,520</w:t>
            </w:r>
          </w:p>
        </w:tc>
      </w:tr>
      <w:tr w:rsidR="007577F6" w:rsidRPr="007577F6" w14:paraId="4080DDC0" w14:textId="77777777" w:rsidTr="0014292E">
        <w:trPr>
          <w:trHeight w:val="300"/>
          <w:tblHeader/>
        </w:trPr>
        <w:tc>
          <w:tcPr>
            <w:tcW w:w="540" w:type="dxa"/>
            <w:tcBorders>
              <w:top w:val="nil"/>
              <w:left w:val="single" w:sz="4" w:space="0" w:color="auto"/>
              <w:bottom w:val="single" w:sz="4" w:space="0" w:color="auto"/>
              <w:right w:val="single" w:sz="4" w:space="0" w:color="auto"/>
            </w:tcBorders>
            <w:vAlign w:val="bottom"/>
            <w:hideMark/>
          </w:tcPr>
          <w:p w14:paraId="6348DB33"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EOL</w:t>
            </w:r>
          </w:p>
        </w:tc>
        <w:tc>
          <w:tcPr>
            <w:tcW w:w="1440" w:type="dxa"/>
            <w:tcBorders>
              <w:top w:val="nil"/>
              <w:left w:val="nil"/>
              <w:bottom w:val="single" w:sz="4" w:space="0" w:color="auto"/>
              <w:right w:val="single" w:sz="4" w:space="0" w:color="auto"/>
            </w:tcBorders>
            <w:vAlign w:val="bottom"/>
            <w:hideMark/>
          </w:tcPr>
          <w:p w14:paraId="7D0E209F"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DEPARTMENT OF WORKFORCE DEVELOPMENT</w:t>
            </w:r>
          </w:p>
        </w:tc>
        <w:tc>
          <w:tcPr>
            <w:tcW w:w="1080" w:type="dxa"/>
            <w:tcBorders>
              <w:top w:val="nil"/>
              <w:left w:val="nil"/>
              <w:bottom w:val="single" w:sz="4" w:space="0" w:color="auto"/>
              <w:right w:val="single" w:sz="4" w:space="0" w:color="auto"/>
            </w:tcBorders>
            <w:vAlign w:val="bottom"/>
            <w:hideMark/>
          </w:tcPr>
          <w:p w14:paraId="22065F96"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$28,226,186</w:t>
            </w:r>
          </w:p>
        </w:tc>
        <w:tc>
          <w:tcPr>
            <w:tcW w:w="990" w:type="dxa"/>
            <w:tcBorders>
              <w:top w:val="nil"/>
              <w:left w:val="nil"/>
              <w:bottom w:val="single" w:sz="4" w:space="0" w:color="auto"/>
              <w:right w:val="single" w:sz="4" w:space="0" w:color="auto"/>
            </w:tcBorders>
            <w:shd w:val="clear" w:color="000000" w:fill="DCE6F1"/>
            <w:noWrap/>
            <w:vAlign w:val="bottom"/>
            <w:hideMark/>
          </w:tcPr>
          <w:p w14:paraId="698DBFA7"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$1,693,571</w:t>
            </w:r>
          </w:p>
        </w:tc>
        <w:tc>
          <w:tcPr>
            <w:tcW w:w="1080" w:type="dxa"/>
            <w:tcBorders>
              <w:top w:val="nil"/>
              <w:left w:val="nil"/>
              <w:bottom w:val="single" w:sz="4" w:space="0" w:color="auto"/>
              <w:right w:val="single" w:sz="4" w:space="0" w:color="auto"/>
            </w:tcBorders>
            <w:shd w:val="clear" w:color="000000" w:fill="DCE6F1"/>
            <w:noWrap/>
            <w:vAlign w:val="bottom"/>
            <w:hideMark/>
          </w:tcPr>
          <w:p w14:paraId="7DFE526A"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$1,878,522</w:t>
            </w:r>
          </w:p>
        </w:tc>
        <w:tc>
          <w:tcPr>
            <w:tcW w:w="720" w:type="dxa"/>
            <w:tcBorders>
              <w:top w:val="nil"/>
              <w:left w:val="nil"/>
              <w:bottom w:val="single" w:sz="4" w:space="0" w:color="auto"/>
              <w:right w:val="single" w:sz="4" w:space="0" w:color="auto"/>
            </w:tcBorders>
            <w:shd w:val="clear" w:color="000000" w:fill="DCE6F1"/>
            <w:vAlign w:val="bottom"/>
            <w:hideMark/>
          </w:tcPr>
          <w:p w14:paraId="20ACAA2A"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110.92%</w:t>
            </w:r>
          </w:p>
        </w:tc>
        <w:tc>
          <w:tcPr>
            <w:tcW w:w="900" w:type="dxa"/>
            <w:tcBorders>
              <w:top w:val="nil"/>
              <w:left w:val="nil"/>
              <w:bottom w:val="single" w:sz="4" w:space="0" w:color="auto"/>
              <w:right w:val="single" w:sz="4" w:space="0" w:color="auto"/>
            </w:tcBorders>
            <w:shd w:val="clear" w:color="000000" w:fill="DCE6F1"/>
            <w:vAlign w:val="bottom"/>
            <w:hideMark/>
          </w:tcPr>
          <w:p w14:paraId="1B08D843"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$184,951</w:t>
            </w:r>
          </w:p>
        </w:tc>
        <w:tc>
          <w:tcPr>
            <w:tcW w:w="900" w:type="dxa"/>
            <w:tcBorders>
              <w:top w:val="nil"/>
              <w:left w:val="nil"/>
              <w:bottom w:val="single" w:sz="4" w:space="0" w:color="auto"/>
              <w:right w:val="single" w:sz="4" w:space="0" w:color="auto"/>
            </w:tcBorders>
            <w:shd w:val="clear" w:color="000000" w:fill="FAC8B8"/>
            <w:vAlign w:val="bottom"/>
            <w:hideMark/>
          </w:tcPr>
          <w:p w14:paraId="3D5D555C"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$3,387,142</w:t>
            </w:r>
          </w:p>
        </w:tc>
        <w:tc>
          <w:tcPr>
            <w:tcW w:w="892" w:type="dxa"/>
            <w:tcBorders>
              <w:top w:val="nil"/>
              <w:left w:val="nil"/>
              <w:bottom w:val="single" w:sz="4" w:space="0" w:color="auto"/>
              <w:right w:val="single" w:sz="4" w:space="0" w:color="auto"/>
            </w:tcBorders>
            <w:shd w:val="clear" w:color="000000" w:fill="FAC8B8"/>
            <w:vAlign w:val="bottom"/>
            <w:hideMark/>
          </w:tcPr>
          <w:p w14:paraId="40A08E27"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$2,236,951</w:t>
            </w:r>
          </w:p>
        </w:tc>
        <w:tc>
          <w:tcPr>
            <w:tcW w:w="744" w:type="dxa"/>
            <w:tcBorders>
              <w:top w:val="nil"/>
              <w:left w:val="nil"/>
              <w:bottom w:val="single" w:sz="4" w:space="0" w:color="auto"/>
              <w:right w:val="single" w:sz="4" w:space="0" w:color="auto"/>
            </w:tcBorders>
            <w:shd w:val="clear" w:color="000000" w:fill="FAC8B8"/>
            <w:vAlign w:val="bottom"/>
            <w:hideMark/>
          </w:tcPr>
          <w:p w14:paraId="6A7A3EF0"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66.04%</w:t>
            </w:r>
          </w:p>
        </w:tc>
        <w:tc>
          <w:tcPr>
            <w:tcW w:w="925" w:type="dxa"/>
            <w:tcBorders>
              <w:top w:val="nil"/>
              <w:left w:val="nil"/>
              <w:bottom w:val="single" w:sz="4" w:space="0" w:color="auto"/>
              <w:right w:val="single" w:sz="4" w:space="0" w:color="auto"/>
            </w:tcBorders>
            <w:shd w:val="clear" w:color="000000" w:fill="FAC8B8"/>
            <w:vAlign w:val="bottom"/>
            <w:hideMark/>
          </w:tcPr>
          <w:p w14:paraId="6ECD760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-$1,150,191</w:t>
            </w:r>
          </w:p>
        </w:tc>
        <w:tc>
          <w:tcPr>
            <w:tcW w:w="949" w:type="dxa"/>
            <w:tcBorders>
              <w:top w:val="nil"/>
              <w:left w:val="nil"/>
              <w:bottom w:val="single" w:sz="4" w:space="0" w:color="auto"/>
              <w:right w:val="single" w:sz="4" w:space="0" w:color="auto"/>
            </w:tcBorders>
            <w:vAlign w:val="bottom"/>
            <w:hideMark/>
          </w:tcPr>
          <w:p w14:paraId="5B3683AC"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$705,655</w:t>
            </w:r>
          </w:p>
        </w:tc>
        <w:tc>
          <w:tcPr>
            <w:tcW w:w="935" w:type="dxa"/>
            <w:tcBorders>
              <w:top w:val="nil"/>
              <w:left w:val="nil"/>
              <w:bottom w:val="single" w:sz="4" w:space="0" w:color="auto"/>
              <w:right w:val="single" w:sz="4" w:space="0" w:color="auto"/>
            </w:tcBorders>
            <w:vAlign w:val="bottom"/>
            <w:hideMark/>
          </w:tcPr>
          <w:p w14:paraId="55664B1A"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$2,139,506</w:t>
            </w:r>
          </w:p>
        </w:tc>
        <w:tc>
          <w:tcPr>
            <w:tcW w:w="766" w:type="dxa"/>
            <w:tcBorders>
              <w:top w:val="nil"/>
              <w:left w:val="nil"/>
              <w:bottom w:val="single" w:sz="4" w:space="0" w:color="auto"/>
              <w:right w:val="single" w:sz="4" w:space="0" w:color="auto"/>
            </w:tcBorders>
            <w:vAlign w:val="bottom"/>
            <w:hideMark/>
          </w:tcPr>
          <w:p w14:paraId="505C1AAE"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303.19%</w:t>
            </w:r>
          </w:p>
        </w:tc>
        <w:tc>
          <w:tcPr>
            <w:tcW w:w="835" w:type="dxa"/>
            <w:tcBorders>
              <w:top w:val="nil"/>
              <w:left w:val="nil"/>
              <w:bottom w:val="single" w:sz="4" w:space="0" w:color="auto"/>
              <w:right w:val="single" w:sz="4" w:space="0" w:color="auto"/>
            </w:tcBorders>
            <w:vAlign w:val="bottom"/>
            <w:hideMark/>
          </w:tcPr>
          <w:p w14:paraId="7878772C"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$1,433,851</w:t>
            </w:r>
          </w:p>
        </w:tc>
      </w:tr>
      <w:tr w:rsidR="007577F6" w:rsidRPr="007577F6" w14:paraId="0415C77D" w14:textId="77777777" w:rsidTr="0014292E">
        <w:trPr>
          <w:trHeight w:val="300"/>
          <w:tblHeader/>
        </w:trPr>
        <w:tc>
          <w:tcPr>
            <w:tcW w:w="540" w:type="dxa"/>
            <w:tcBorders>
              <w:top w:val="nil"/>
              <w:left w:val="single" w:sz="4" w:space="0" w:color="auto"/>
              <w:bottom w:val="single" w:sz="4" w:space="0" w:color="auto"/>
              <w:right w:val="single" w:sz="4" w:space="0" w:color="auto"/>
            </w:tcBorders>
            <w:vAlign w:val="bottom"/>
            <w:hideMark/>
          </w:tcPr>
          <w:p w14:paraId="2AC7F7E0"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EPS</w:t>
            </w:r>
          </w:p>
        </w:tc>
        <w:tc>
          <w:tcPr>
            <w:tcW w:w="1440" w:type="dxa"/>
            <w:tcBorders>
              <w:top w:val="nil"/>
              <w:left w:val="nil"/>
              <w:bottom w:val="single" w:sz="4" w:space="0" w:color="auto"/>
              <w:right w:val="single" w:sz="4" w:space="0" w:color="auto"/>
            </w:tcBorders>
            <w:vAlign w:val="bottom"/>
            <w:hideMark/>
          </w:tcPr>
          <w:p w14:paraId="547D2025"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EXECUTIVE OFFICE OF PUBLIC SAFETY &amp; SECURITY</w:t>
            </w:r>
          </w:p>
        </w:tc>
        <w:tc>
          <w:tcPr>
            <w:tcW w:w="1080" w:type="dxa"/>
            <w:tcBorders>
              <w:top w:val="nil"/>
              <w:left w:val="nil"/>
              <w:bottom w:val="single" w:sz="4" w:space="0" w:color="auto"/>
              <w:right w:val="single" w:sz="4" w:space="0" w:color="auto"/>
            </w:tcBorders>
            <w:vAlign w:val="bottom"/>
            <w:hideMark/>
          </w:tcPr>
          <w:p w14:paraId="5F470820"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$92,367,605</w:t>
            </w:r>
          </w:p>
        </w:tc>
        <w:tc>
          <w:tcPr>
            <w:tcW w:w="990" w:type="dxa"/>
            <w:tcBorders>
              <w:top w:val="nil"/>
              <w:left w:val="nil"/>
              <w:bottom w:val="single" w:sz="4" w:space="0" w:color="auto"/>
              <w:right w:val="single" w:sz="4" w:space="0" w:color="auto"/>
            </w:tcBorders>
            <w:shd w:val="clear" w:color="000000" w:fill="DCE6F1"/>
            <w:noWrap/>
            <w:vAlign w:val="bottom"/>
            <w:hideMark/>
          </w:tcPr>
          <w:p w14:paraId="430FA7EA"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$5,542,056</w:t>
            </w:r>
          </w:p>
        </w:tc>
        <w:tc>
          <w:tcPr>
            <w:tcW w:w="1080" w:type="dxa"/>
            <w:tcBorders>
              <w:top w:val="nil"/>
              <w:left w:val="nil"/>
              <w:bottom w:val="single" w:sz="4" w:space="0" w:color="auto"/>
              <w:right w:val="single" w:sz="4" w:space="0" w:color="auto"/>
            </w:tcBorders>
            <w:shd w:val="clear" w:color="000000" w:fill="DCE6F1"/>
            <w:noWrap/>
            <w:vAlign w:val="bottom"/>
            <w:hideMark/>
          </w:tcPr>
          <w:p w14:paraId="4AA99240"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$8,593,168</w:t>
            </w:r>
          </w:p>
        </w:tc>
        <w:tc>
          <w:tcPr>
            <w:tcW w:w="720" w:type="dxa"/>
            <w:tcBorders>
              <w:top w:val="nil"/>
              <w:left w:val="nil"/>
              <w:bottom w:val="single" w:sz="4" w:space="0" w:color="auto"/>
              <w:right w:val="single" w:sz="4" w:space="0" w:color="auto"/>
            </w:tcBorders>
            <w:shd w:val="clear" w:color="000000" w:fill="DCE6F1"/>
            <w:vAlign w:val="bottom"/>
            <w:hideMark/>
          </w:tcPr>
          <w:p w14:paraId="665C7DB6"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155.05%</w:t>
            </w:r>
          </w:p>
        </w:tc>
        <w:tc>
          <w:tcPr>
            <w:tcW w:w="900" w:type="dxa"/>
            <w:tcBorders>
              <w:top w:val="nil"/>
              <w:left w:val="nil"/>
              <w:bottom w:val="single" w:sz="4" w:space="0" w:color="auto"/>
              <w:right w:val="single" w:sz="4" w:space="0" w:color="auto"/>
            </w:tcBorders>
            <w:shd w:val="clear" w:color="000000" w:fill="DCE6F1"/>
            <w:vAlign w:val="bottom"/>
            <w:hideMark/>
          </w:tcPr>
          <w:p w14:paraId="054F8E81"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$3,051,111</w:t>
            </w:r>
          </w:p>
        </w:tc>
        <w:tc>
          <w:tcPr>
            <w:tcW w:w="900" w:type="dxa"/>
            <w:tcBorders>
              <w:top w:val="nil"/>
              <w:left w:val="nil"/>
              <w:bottom w:val="single" w:sz="4" w:space="0" w:color="auto"/>
              <w:right w:val="single" w:sz="4" w:space="0" w:color="auto"/>
            </w:tcBorders>
            <w:shd w:val="clear" w:color="000000" w:fill="FAC8B8"/>
            <w:vAlign w:val="bottom"/>
            <w:hideMark/>
          </w:tcPr>
          <w:p w14:paraId="581AA71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$11,084,113</w:t>
            </w:r>
          </w:p>
        </w:tc>
        <w:tc>
          <w:tcPr>
            <w:tcW w:w="892" w:type="dxa"/>
            <w:tcBorders>
              <w:top w:val="nil"/>
              <w:left w:val="nil"/>
              <w:bottom w:val="single" w:sz="4" w:space="0" w:color="auto"/>
              <w:right w:val="single" w:sz="4" w:space="0" w:color="auto"/>
            </w:tcBorders>
            <w:shd w:val="clear" w:color="000000" w:fill="FAC8B8"/>
            <w:vAlign w:val="bottom"/>
            <w:hideMark/>
          </w:tcPr>
          <w:p w14:paraId="11899226"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$10,136,231</w:t>
            </w:r>
          </w:p>
        </w:tc>
        <w:tc>
          <w:tcPr>
            <w:tcW w:w="744" w:type="dxa"/>
            <w:tcBorders>
              <w:top w:val="nil"/>
              <w:left w:val="nil"/>
              <w:bottom w:val="single" w:sz="4" w:space="0" w:color="auto"/>
              <w:right w:val="single" w:sz="4" w:space="0" w:color="auto"/>
            </w:tcBorders>
            <w:shd w:val="clear" w:color="000000" w:fill="FAC8B8"/>
            <w:vAlign w:val="bottom"/>
            <w:hideMark/>
          </w:tcPr>
          <w:p w14:paraId="65B87F63"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91.45%</w:t>
            </w:r>
          </w:p>
        </w:tc>
        <w:tc>
          <w:tcPr>
            <w:tcW w:w="925" w:type="dxa"/>
            <w:tcBorders>
              <w:top w:val="nil"/>
              <w:left w:val="nil"/>
              <w:bottom w:val="single" w:sz="4" w:space="0" w:color="auto"/>
              <w:right w:val="single" w:sz="4" w:space="0" w:color="auto"/>
            </w:tcBorders>
            <w:shd w:val="clear" w:color="000000" w:fill="FAC8B8"/>
            <w:vAlign w:val="bottom"/>
            <w:hideMark/>
          </w:tcPr>
          <w:p w14:paraId="71FBF305"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-$947,882</w:t>
            </w:r>
          </w:p>
        </w:tc>
        <w:tc>
          <w:tcPr>
            <w:tcW w:w="949" w:type="dxa"/>
            <w:tcBorders>
              <w:top w:val="nil"/>
              <w:left w:val="nil"/>
              <w:bottom w:val="single" w:sz="4" w:space="0" w:color="auto"/>
              <w:right w:val="single" w:sz="4" w:space="0" w:color="auto"/>
            </w:tcBorders>
            <w:vAlign w:val="bottom"/>
            <w:hideMark/>
          </w:tcPr>
          <w:p w14:paraId="69A702E5"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$2,309,190</w:t>
            </w:r>
          </w:p>
        </w:tc>
        <w:tc>
          <w:tcPr>
            <w:tcW w:w="935" w:type="dxa"/>
            <w:tcBorders>
              <w:top w:val="nil"/>
              <w:left w:val="nil"/>
              <w:bottom w:val="single" w:sz="4" w:space="0" w:color="auto"/>
              <w:right w:val="single" w:sz="4" w:space="0" w:color="auto"/>
            </w:tcBorders>
            <w:vAlign w:val="bottom"/>
            <w:hideMark/>
          </w:tcPr>
          <w:p w14:paraId="4727039A"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$16,735,749</w:t>
            </w:r>
          </w:p>
        </w:tc>
        <w:tc>
          <w:tcPr>
            <w:tcW w:w="766" w:type="dxa"/>
            <w:tcBorders>
              <w:top w:val="nil"/>
              <w:left w:val="nil"/>
              <w:bottom w:val="single" w:sz="4" w:space="0" w:color="auto"/>
              <w:right w:val="single" w:sz="4" w:space="0" w:color="auto"/>
            </w:tcBorders>
            <w:vAlign w:val="bottom"/>
            <w:hideMark/>
          </w:tcPr>
          <w:p w14:paraId="3EC200D0"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724.75%</w:t>
            </w:r>
          </w:p>
        </w:tc>
        <w:tc>
          <w:tcPr>
            <w:tcW w:w="835" w:type="dxa"/>
            <w:tcBorders>
              <w:top w:val="nil"/>
              <w:left w:val="nil"/>
              <w:bottom w:val="single" w:sz="4" w:space="0" w:color="auto"/>
              <w:right w:val="single" w:sz="4" w:space="0" w:color="auto"/>
            </w:tcBorders>
            <w:vAlign w:val="bottom"/>
            <w:hideMark/>
          </w:tcPr>
          <w:p w14:paraId="33A60B8C"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$14,426,559</w:t>
            </w:r>
          </w:p>
        </w:tc>
      </w:tr>
      <w:tr w:rsidR="007577F6" w:rsidRPr="007577F6" w14:paraId="1E86CED0" w14:textId="77777777" w:rsidTr="0014292E">
        <w:trPr>
          <w:trHeight w:val="170"/>
          <w:tblHeader/>
        </w:trPr>
        <w:tc>
          <w:tcPr>
            <w:tcW w:w="540" w:type="dxa"/>
            <w:tcBorders>
              <w:top w:val="nil"/>
              <w:left w:val="single" w:sz="4" w:space="0" w:color="auto"/>
              <w:bottom w:val="single" w:sz="4" w:space="0" w:color="auto"/>
              <w:right w:val="single" w:sz="4" w:space="0" w:color="auto"/>
            </w:tcBorders>
            <w:vAlign w:val="bottom"/>
            <w:hideMark/>
          </w:tcPr>
          <w:p w14:paraId="5292C0C7"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GOV</w:t>
            </w:r>
          </w:p>
        </w:tc>
        <w:tc>
          <w:tcPr>
            <w:tcW w:w="1440" w:type="dxa"/>
            <w:tcBorders>
              <w:top w:val="nil"/>
              <w:left w:val="nil"/>
              <w:bottom w:val="single" w:sz="4" w:space="0" w:color="auto"/>
              <w:right w:val="single" w:sz="4" w:space="0" w:color="auto"/>
            </w:tcBorders>
            <w:vAlign w:val="bottom"/>
            <w:hideMark/>
          </w:tcPr>
          <w:p w14:paraId="62FA7F3D"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GOVERNORS OFFICE</w:t>
            </w:r>
          </w:p>
        </w:tc>
        <w:tc>
          <w:tcPr>
            <w:tcW w:w="1080" w:type="dxa"/>
            <w:tcBorders>
              <w:top w:val="nil"/>
              <w:left w:val="nil"/>
              <w:bottom w:val="single" w:sz="4" w:space="0" w:color="auto"/>
              <w:right w:val="single" w:sz="4" w:space="0" w:color="auto"/>
            </w:tcBorders>
            <w:vAlign w:val="bottom"/>
            <w:hideMark/>
          </w:tcPr>
          <w:p w14:paraId="3EF0250C"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$260,590</w:t>
            </w:r>
          </w:p>
        </w:tc>
        <w:tc>
          <w:tcPr>
            <w:tcW w:w="990" w:type="dxa"/>
            <w:tcBorders>
              <w:top w:val="nil"/>
              <w:left w:val="nil"/>
              <w:bottom w:val="single" w:sz="4" w:space="0" w:color="auto"/>
              <w:right w:val="single" w:sz="4" w:space="0" w:color="auto"/>
            </w:tcBorders>
            <w:shd w:val="clear" w:color="000000" w:fill="DCE6F1"/>
            <w:noWrap/>
            <w:vAlign w:val="bottom"/>
            <w:hideMark/>
          </w:tcPr>
          <w:p w14:paraId="1DCA07B1"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$15,635</w:t>
            </w:r>
          </w:p>
        </w:tc>
        <w:tc>
          <w:tcPr>
            <w:tcW w:w="1080" w:type="dxa"/>
            <w:tcBorders>
              <w:top w:val="nil"/>
              <w:left w:val="nil"/>
              <w:bottom w:val="single" w:sz="4" w:space="0" w:color="auto"/>
              <w:right w:val="single" w:sz="4" w:space="0" w:color="auto"/>
            </w:tcBorders>
            <w:shd w:val="clear" w:color="000000" w:fill="DCE6F1"/>
            <w:noWrap/>
            <w:vAlign w:val="bottom"/>
            <w:hideMark/>
          </w:tcPr>
          <w:p w14:paraId="6A95CBF8"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$35,641</w:t>
            </w:r>
          </w:p>
        </w:tc>
        <w:tc>
          <w:tcPr>
            <w:tcW w:w="720" w:type="dxa"/>
            <w:tcBorders>
              <w:top w:val="nil"/>
              <w:left w:val="nil"/>
              <w:bottom w:val="single" w:sz="4" w:space="0" w:color="auto"/>
              <w:right w:val="single" w:sz="4" w:space="0" w:color="auto"/>
            </w:tcBorders>
            <w:shd w:val="clear" w:color="000000" w:fill="DCE6F1"/>
            <w:vAlign w:val="bottom"/>
            <w:hideMark/>
          </w:tcPr>
          <w:p w14:paraId="0FBECB8E"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227.95%</w:t>
            </w:r>
          </w:p>
        </w:tc>
        <w:tc>
          <w:tcPr>
            <w:tcW w:w="900" w:type="dxa"/>
            <w:tcBorders>
              <w:top w:val="nil"/>
              <w:left w:val="nil"/>
              <w:bottom w:val="single" w:sz="4" w:space="0" w:color="auto"/>
              <w:right w:val="single" w:sz="4" w:space="0" w:color="auto"/>
            </w:tcBorders>
            <w:shd w:val="clear" w:color="000000" w:fill="DCE6F1"/>
            <w:vAlign w:val="bottom"/>
            <w:hideMark/>
          </w:tcPr>
          <w:p w14:paraId="2593ADA0"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$20,005</w:t>
            </w:r>
          </w:p>
        </w:tc>
        <w:tc>
          <w:tcPr>
            <w:tcW w:w="900" w:type="dxa"/>
            <w:tcBorders>
              <w:top w:val="nil"/>
              <w:left w:val="nil"/>
              <w:bottom w:val="single" w:sz="4" w:space="0" w:color="auto"/>
              <w:right w:val="single" w:sz="4" w:space="0" w:color="auto"/>
            </w:tcBorders>
            <w:shd w:val="clear" w:color="000000" w:fill="FAC8B8"/>
            <w:vAlign w:val="bottom"/>
            <w:hideMark/>
          </w:tcPr>
          <w:p w14:paraId="2D789EF4"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$31,271</w:t>
            </w:r>
          </w:p>
        </w:tc>
        <w:tc>
          <w:tcPr>
            <w:tcW w:w="892" w:type="dxa"/>
            <w:tcBorders>
              <w:top w:val="nil"/>
              <w:left w:val="nil"/>
              <w:bottom w:val="single" w:sz="4" w:space="0" w:color="auto"/>
              <w:right w:val="single" w:sz="4" w:space="0" w:color="auto"/>
            </w:tcBorders>
            <w:shd w:val="clear" w:color="000000" w:fill="FAC8B8"/>
            <w:vAlign w:val="bottom"/>
            <w:hideMark/>
          </w:tcPr>
          <w:p w14:paraId="0776C997"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$14,469</w:t>
            </w:r>
          </w:p>
        </w:tc>
        <w:tc>
          <w:tcPr>
            <w:tcW w:w="744" w:type="dxa"/>
            <w:tcBorders>
              <w:top w:val="nil"/>
              <w:left w:val="nil"/>
              <w:bottom w:val="single" w:sz="4" w:space="0" w:color="auto"/>
              <w:right w:val="single" w:sz="4" w:space="0" w:color="auto"/>
            </w:tcBorders>
            <w:shd w:val="clear" w:color="000000" w:fill="FAC8B8"/>
            <w:vAlign w:val="bottom"/>
            <w:hideMark/>
          </w:tcPr>
          <w:p w14:paraId="73205C40"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46.27%</w:t>
            </w:r>
          </w:p>
        </w:tc>
        <w:tc>
          <w:tcPr>
            <w:tcW w:w="925" w:type="dxa"/>
            <w:tcBorders>
              <w:top w:val="nil"/>
              <w:left w:val="nil"/>
              <w:bottom w:val="single" w:sz="4" w:space="0" w:color="auto"/>
              <w:right w:val="single" w:sz="4" w:space="0" w:color="auto"/>
            </w:tcBorders>
            <w:shd w:val="clear" w:color="000000" w:fill="FAC8B8"/>
            <w:vAlign w:val="bottom"/>
            <w:hideMark/>
          </w:tcPr>
          <w:p w14:paraId="3B7FFE82"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-$16,802</w:t>
            </w:r>
          </w:p>
        </w:tc>
        <w:tc>
          <w:tcPr>
            <w:tcW w:w="949" w:type="dxa"/>
            <w:tcBorders>
              <w:top w:val="nil"/>
              <w:left w:val="nil"/>
              <w:bottom w:val="single" w:sz="4" w:space="0" w:color="auto"/>
              <w:right w:val="single" w:sz="4" w:space="0" w:color="auto"/>
            </w:tcBorders>
            <w:vAlign w:val="bottom"/>
            <w:hideMark/>
          </w:tcPr>
          <w:p w14:paraId="3853936C"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$6,515</w:t>
            </w:r>
          </w:p>
        </w:tc>
        <w:tc>
          <w:tcPr>
            <w:tcW w:w="935" w:type="dxa"/>
            <w:tcBorders>
              <w:top w:val="nil"/>
              <w:left w:val="nil"/>
              <w:bottom w:val="single" w:sz="4" w:space="0" w:color="auto"/>
              <w:right w:val="single" w:sz="4" w:space="0" w:color="auto"/>
            </w:tcBorders>
            <w:vAlign w:val="bottom"/>
            <w:hideMark/>
          </w:tcPr>
          <w:p w14:paraId="794B7A0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$24,705</w:t>
            </w:r>
          </w:p>
        </w:tc>
        <w:tc>
          <w:tcPr>
            <w:tcW w:w="766" w:type="dxa"/>
            <w:tcBorders>
              <w:top w:val="nil"/>
              <w:left w:val="nil"/>
              <w:bottom w:val="single" w:sz="4" w:space="0" w:color="auto"/>
              <w:right w:val="single" w:sz="4" w:space="0" w:color="auto"/>
            </w:tcBorders>
            <w:vAlign w:val="bottom"/>
            <w:hideMark/>
          </w:tcPr>
          <w:p w14:paraId="5F95A95F"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379.21%</w:t>
            </w:r>
          </w:p>
        </w:tc>
        <w:tc>
          <w:tcPr>
            <w:tcW w:w="835" w:type="dxa"/>
            <w:tcBorders>
              <w:top w:val="nil"/>
              <w:left w:val="nil"/>
              <w:bottom w:val="single" w:sz="4" w:space="0" w:color="auto"/>
              <w:right w:val="single" w:sz="4" w:space="0" w:color="auto"/>
            </w:tcBorders>
            <w:vAlign w:val="bottom"/>
            <w:hideMark/>
          </w:tcPr>
          <w:p w14:paraId="0B8F9654"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$18,190</w:t>
            </w:r>
          </w:p>
        </w:tc>
      </w:tr>
      <w:tr w:rsidR="007577F6" w:rsidRPr="007577F6" w14:paraId="1A71248F" w14:textId="77777777" w:rsidTr="0014292E">
        <w:trPr>
          <w:trHeight w:val="300"/>
          <w:tblHeader/>
        </w:trPr>
        <w:tc>
          <w:tcPr>
            <w:tcW w:w="540" w:type="dxa"/>
            <w:tcBorders>
              <w:top w:val="nil"/>
              <w:left w:val="single" w:sz="4" w:space="0" w:color="auto"/>
              <w:bottom w:val="single" w:sz="4" w:space="0" w:color="auto"/>
              <w:right w:val="single" w:sz="4" w:space="0" w:color="auto"/>
            </w:tcBorders>
            <w:vAlign w:val="bottom"/>
            <w:hideMark/>
          </w:tcPr>
          <w:p w14:paraId="34B8C12D"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OSC</w:t>
            </w:r>
          </w:p>
        </w:tc>
        <w:tc>
          <w:tcPr>
            <w:tcW w:w="1440" w:type="dxa"/>
            <w:tcBorders>
              <w:top w:val="nil"/>
              <w:left w:val="nil"/>
              <w:bottom w:val="single" w:sz="4" w:space="0" w:color="auto"/>
              <w:right w:val="single" w:sz="4" w:space="0" w:color="auto"/>
            </w:tcBorders>
            <w:vAlign w:val="bottom"/>
            <w:hideMark/>
          </w:tcPr>
          <w:p w14:paraId="2ED7BD5B"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OFFICE OF THE COMPTROLLER</w:t>
            </w:r>
          </w:p>
        </w:tc>
        <w:tc>
          <w:tcPr>
            <w:tcW w:w="1080" w:type="dxa"/>
            <w:tcBorders>
              <w:top w:val="nil"/>
              <w:left w:val="nil"/>
              <w:bottom w:val="single" w:sz="4" w:space="0" w:color="auto"/>
              <w:right w:val="single" w:sz="4" w:space="0" w:color="auto"/>
            </w:tcBorders>
            <w:vAlign w:val="bottom"/>
            <w:hideMark/>
          </w:tcPr>
          <w:p w14:paraId="25881604"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$425,069</w:t>
            </w:r>
          </w:p>
        </w:tc>
        <w:tc>
          <w:tcPr>
            <w:tcW w:w="990" w:type="dxa"/>
            <w:tcBorders>
              <w:top w:val="nil"/>
              <w:left w:val="nil"/>
              <w:bottom w:val="single" w:sz="4" w:space="0" w:color="auto"/>
              <w:right w:val="single" w:sz="4" w:space="0" w:color="auto"/>
            </w:tcBorders>
            <w:shd w:val="clear" w:color="000000" w:fill="DCE6F1"/>
            <w:noWrap/>
            <w:vAlign w:val="bottom"/>
            <w:hideMark/>
          </w:tcPr>
          <w:p w14:paraId="70C155A4"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$25,504</w:t>
            </w:r>
          </w:p>
        </w:tc>
        <w:tc>
          <w:tcPr>
            <w:tcW w:w="1080" w:type="dxa"/>
            <w:tcBorders>
              <w:top w:val="nil"/>
              <w:left w:val="nil"/>
              <w:bottom w:val="single" w:sz="4" w:space="0" w:color="auto"/>
              <w:right w:val="single" w:sz="4" w:space="0" w:color="auto"/>
            </w:tcBorders>
            <w:shd w:val="clear" w:color="000000" w:fill="DCE6F1"/>
            <w:noWrap/>
            <w:vAlign w:val="bottom"/>
            <w:hideMark/>
          </w:tcPr>
          <w:p w14:paraId="43FF6BA4"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$100,462</w:t>
            </w:r>
          </w:p>
        </w:tc>
        <w:tc>
          <w:tcPr>
            <w:tcW w:w="720" w:type="dxa"/>
            <w:tcBorders>
              <w:top w:val="nil"/>
              <w:left w:val="nil"/>
              <w:bottom w:val="single" w:sz="4" w:space="0" w:color="auto"/>
              <w:right w:val="single" w:sz="4" w:space="0" w:color="auto"/>
            </w:tcBorders>
            <w:shd w:val="clear" w:color="000000" w:fill="DCE6F1"/>
            <w:vAlign w:val="bottom"/>
            <w:hideMark/>
          </w:tcPr>
          <w:p w14:paraId="38D13E2E"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393.90%</w:t>
            </w:r>
          </w:p>
        </w:tc>
        <w:tc>
          <w:tcPr>
            <w:tcW w:w="900" w:type="dxa"/>
            <w:tcBorders>
              <w:top w:val="nil"/>
              <w:left w:val="nil"/>
              <w:bottom w:val="single" w:sz="4" w:space="0" w:color="auto"/>
              <w:right w:val="single" w:sz="4" w:space="0" w:color="auto"/>
            </w:tcBorders>
            <w:shd w:val="clear" w:color="000000" w:fill="DCE6F1"/>
            <w:vAlign w:val="bottom"/>
            <w:hideMark/>
          </w:tcPr>
          <w:p w14:paraId="4E4B4F1D"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$74,958</w:t>
            </w:r>
          </w:p>
        </w:tc>
        <w:tc>
          <w:tcPr>
            <w:tcW w:w="900" w:type="dxa"/>
            <w:tcBorders>
              <w:top w:val="nil"/>
              <w:left w:val="nil"/>
              <w:bottom w:val="single" w:sz="4" w:space="0" w:color="auto"/>
              <w:right w:val="single" w:sz="4" w:space="0" w:color="auto"/>
            </w:tcBorders>
            <w:shd w:val="clear" w:color="000000" w:fill="FAC8B8"/>
            <w:vAlign w:val="bottom"/>
            <w:hideMark/>
          </w:tcPr>
          <w:p w14:paraId="3A26F4A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$51,008</w:t>
            </w:r>
          </w:p>
        </w:tc>
        <w:tc>
          <w:tcPr>
            <w:tcW w:w="892" w:type="dxa"/>
            <w:tcBorders>
              <w:top w:val="nil"/>
              <w:left w:val="nil"/>
              <w:bottom w:val="single" w:sz="4" w:space="0" w:color="auto"/>
              <w:right w:val="single" w:sz="4" w:space="0" w:color="auto"/>
            </w:tcBorders>
            <w:shd w:val="clear" w:color="000000" w:fill="FAC8B8"/>
            <w:vAlign w:val="bottom"/>
            <w:hideMark/>
          </w:tcPr>
          <w:p w14:paraId="0384CB2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$354,071</w:t>
            </w:r>
          </w:p>
        </w:tc>
        <w:tc>
          <w:tcPr>
            <w:tcW w:w="744" w:type="dxa"/>
            <w:tcBorders>
              <w:top w:val="nil"/>
              <w:left w:val="nil"/>
              <w:bottom w:val="single" w:sz="4" w:space="0" w:color="auto"/>
              <w:right w:val="single" w:sz="4" w:space="0" w:color="auto"/>
            </w:tcBorders>
            <w:shd w:val="clear" w:color="000000" w:fill="FAC8B8"/>
            <w:vAlign w:val="bottom"/>
            <w:hideMark/>
          </w:tcPr>
          <w:p w14:paraId="1872E6F2"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694.14%</w:t>
            </w:r>
          </w:p>
        </w:tc>
        <w:tc>
          <w:tcPr>
            <w:tcW w:w="925" w:type="dxa"/>
            <w:tcBorders>
              <w:top w:val="nil"/>
              <w:left w:val="nil"/>
              <w:bottom w:val="single" w:sz="4" w:space="0" w:color="auto"/>
              <w:right w:val="single" w:sz="4" w:space="0" w:color="auto"/>
            </w:tcBorders>
            <w:shd w:val="clear" w:color="000000" w:fill="FAC8B8"/>
            <w:vAlign w:val="bottom"/>
            <w:hideMark/>
          </w:tcPr>
          <w:p w14:paraId="0B129FD8"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$303,063</w:t>
            </w:r>
          </w:p>
        </w:tc>
        <w:tc>
          <w:tcPr>
            <w:tcW w:w="949" w:type="dxa"/>
            <w:tcBorders>
              <w:top w:val="nil"/>
              <w:left w:val="nil"/>
              <w:bottom w:val="single" w:sz="4" w:space="0" w:color="auto"/>
              <w:right w:val="single" w:sz="4" w:space="0" w:color="auto"/>
            </w:tcBorders>
            <w:vAlign w:val="bottom"/>
            <w:hideMark/>
          </w:tcPr>
          <w:p w14:paraId="648AD15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$10,627</w:t>
            </w:r>
          </w:p>
        </w:tc>
        <w:tc>
          <w:tcPr>
            <w:tcW w:w="935" w:type="dxa"/>
            <w:tcBorders>
              <w:top w:val="nil"/>
              <w:left w:val="nil"/>
              <w:bottom w:val="single" w:sz="4" w:space="0" w:color="auto"/>
              <w:right w:val="single" w:sz="4" w:space="0" w:color="auto"/>
            </w:tcBorders>
            <w:vAlign w:val="bottom"/>
            <w:hideMark/>
          </w:tcPr>
          <w:p w14:paraId="3C8E1FC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$219,575</w:t>
            </w:r>
          </w:p>
        </w:tc>
        <w:tc>
          <w:tcPr>
            <w:tcW w:w="766" w:type="dxa"/>
            <w:tcBorders>
              <w:top w:val="nil"/>
              <w:left w:val="nil"/>
              <w:bottom w:val="single" w:sz="4" w:space="0" w:color="auto"/>
              <w:right w:val="single" w:sz="4" w:space="0" w:color="auto"/>
            </w:tcBorders>
            <w:vAlign w:val="bottom"/>
            <w:hideMark/>
          </w:tcPr>
          <w:p w14:paraId="33668E22"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2066.26%</w:t>
            </w:r>
          </w:p>
        </w:tc>
        <w:tc>
          <w:tcPr>
            <w:tcW w:w="835" w:type="dxa"/>
            <w:tcBorders>
              <w:top w:val="nil"/>
              <w:left w:val="nil"/>
              <w:bottom w:val="single" w:sz="4" w:space="0" w:color="auto"/>
              <w:right w:val="single" w:sz="4" w:space="0" w:color="auto"/>
            </w:tcBorders>
            <w:vAlign w:val="bottom"/>
            <w:hideMark/>
          </w:tcPr>
          <w:p w14:paraId="00676A9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$208,949</w:t>
            </w:r>
          </w:p>
        </w:tc>
      </w:tr>
      <w:tr w:rsidR="007577F6" w:rsidRPr="007577F6" w14:paraId="01130877" w14:textId="77777777" w:rsidTr="0014292E">
        <w:trPr>
          <w:trHeight w:val="134"/>
          <w:tblHeader/>
        </w:trPr>
        <w:tc>
          <w:tcPr>
            <w:tcW w:w="540" w:type="dxa"/>
            <w:tcBorders>
              <w:top w:val="nil"/>
              <w:left w:val="nil"/>
              <w:bottom w:val="nil"/>
              <w:right w:val="single" w:sz="4" w:space="0" w:color="auto"/>
            </w:tcBorders>
            <w:vAlign w:val="bottom"/>
            <w:hideMark/>
          </w:tcPr>
          <w:p w14:paraId="0194458A"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 </w:t>
            </w:r>
          </w:p>
        </w:tc>
        <w:tc>
          <w:tcPr>
            <w:tcW w:w="1440" w:type="dxa"/>
            <w:tcBorders>
              <w:top w:val="nil"/>
              <w:left w:val="nil"/>
              <w:bottom w:val="nil"/>
              <w:right w:val="single" w:sz="4" w:space="0" w:color="auto"/>
            </w:tcBorders>
            <w:vAlign w:val="bottom"/>
            <w:hideMark/>
          </w:tcPr>
          <w:p w14:paraId="303C7AD5" w14:textId="77777777" w:rsidR="00F26C17" w:rsidRPr="007577F6" w:rsidRDefault="00F26C17" w:rsidP="00F26C17">
            <w:pPr>
              <w:spacing w:after="0" w:line="240" w:lineRule="auto"/>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 </w:t>
            </w:r>
          </w:p>
        </w:tc>
        <w:tc>
          <w:tcPr>
            <w:tcW w:w="1080" w:type="dxa"/>
            <w:tcBorders>
              <w:top w:val="nil"/>
              <w:left w:val="nil"/>
              <w:bottom w:val="nil"/>
              <w:right w:val="single" w:sz="4" w:space="0" w:color="auto"/>
            </w:tcBorders>
            <w:vAlign w:val="bottom"/>
            <w:hideMark/>
          </w:tcPr>
          <w:p w14:paraId="1B411627"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 </w:t>
            </w:r>
          </w:p>
        </w:tc>
        <w:tc>
          <w:tcPr>
            <w:tcW w:w="990" w:type="dxa"/>
            <w:tcBorders>
              <w:top w:val="nil"/>
              <w:left w:val="nil"/>
              <w:bottom w:val="nil"/>
              <w:right w:val="single" w:sz="4" w:space="0" w:color="auto"/>
            </w:tcBorders>
            <w:shd w:val="clear" w:color="000000" w:fill="DCE6F1"/>
            <w:noWrap/>
            <w:vAlign w:val="bottom"/>
            <w:hideMark/>
          </w:tcPr>
          <w:p w14:paraId="2AFBA658"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 </w:t>
            </w:r>
          </w:p>
        </w:tc>
        <w:tc>
          <w:tcPr>
            <w:tcW w:w="1080" w:type="dxa"/>
            <w:tcBorders>
              <w:top w:val="nil"/>
              <w:left w:val="nil"/>
              <w:bottom w:val="nil"/>
              <w:right w:val="single" w:sz="4" w:space="0" w:color="auto"/>
            </w:tcBorders>
            <w:shd w:val="clear" w:color="000000" w:fill="DCE6F1"/>
            <w:noWrap/>
            <w:vAlign w:val="bottom"/>
            <w:hideMark/>
          </w:tcPr>
          <w:p w14:paraId="13293F16"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 </w:t>
            </w:r>
          </w:p>
        </w:tc>
        <w:tc>
          <w:tcPr>
            <w:tcW w:w="720" w:type="dxa"/>
            <w:tcBorders>
              <w:top w:val="nil"/>
              <w:left w:val="nil"/>
              <w:bottom w:val="nil"/>
              <w:right w:val="single" w:sz="4" w:space="0" w:color="auto"/>
            </w:tcBorders>
            <w:shd w:val="clear" w:color="000000" w:fill="DCE6F1"/>
            <w:vAlign w:val="bottom"/>
            <w:hideMark/>
          </w:tcPr>
          <w:p w14:paraId="3065DC8D"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 </w:t>
            </w:r>
          </w:p>
        </w:tc>
        <w:tc>
          <w:tcPr>
            <w:tcW w:w="900" w:type="dxa"/>
            <w:tcBorders>
              <w:top w:val="nil"/>
              <w:left w:val="nil"/>
              <w:bottom w:val="nil"/>
              <w:right w:val="single" w:sz="4" w:space="0" w:color="auto"/>
            </w:tcBorders>
            <w:shd w:val="clear" w:color="000000" w:fill="DCE6F1"/>
            <w:vAlign w:val="bottom"/>
            <w:hideMark/>
          </w:tcPr>
          <w:p w14:paraId="4ECAD17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 </w:t>
            </w:r>
          </w:p>
        </w:tc>
        <w:tc>
          <w:tcPr>
            <w:tcW w:w="900" w:type="dxa"/>
            <w:tcBorders>
              <w:top w:val="nil"/>
              <w:left w:val="nil"/>
              <w:bottom w:val="nil"/>
              <w:right w:val="single" w:sz="4" w:space="0" w:color="auto"/>
            </w:tcBorders>
            <w:shd w:val="clear" w:color="000000" w:fill="FAC8B8"/>
            <w:vAlign w:val="bottom"/>
            <w:hideMark/>
          </w:tcPr>
          <w:p w14:paraId="55D347B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 </w:t>
            </w:r>
          </w:p>
        </w:tc>
        <w:tc>
          <w:tcPr>
            <w:tcW w:w="892" w:type="dxa"/>
            <w:tcBorders>
              <w:top w:val="nil"/>
              <w:left w:val="nil"/>
              <w:bottom w:val="nil"/>
              <w:right w:val="single" w:sz="4" w:space="0" w:color="auto"/>
            </w:tcBorders>
            <w:shd w:val="clear" w:color="000000" w:fill="FAC8B8"/>
            <w:vAlign w:val="bottom"/>
            <w:hideMark/>
          </w:tcPr>
          <w:p w14:paraId="2573A7ED"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 </w:t>
            </w:r>
          </w:p>
        </w:tc>
        <w:tc>
          <w:tcPr>
            <w:tcW w:w="744" w:type="dxa"/>
            <w:tcBorders>
              <w:top w:val="nil"/>
              <w:left w:val="nil"/>
              <w:bottom w:val="nil"/>
              <w:right w:val="single" w:sz="4" w:space="0" w:color="auto"/>
            </w:tcBorders>
            <w:shd w:val="clear" w:color="000000" w:fill="FAC8B8"/>
            <w:vAlign w:val="bottom"/>
            <w:hideMark/>
          </w:tcPr>
          <w:p w14:paraId="60FE0484"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 </w:t>
            </w:r>
          </w:p>
        </w:tc>
        <w:tc>
          <w:tcPr>
            <w:tcW w:w="925" w:type="dxa"/>
            <w:tcBorders>
              <w:top w:val="nil"/>
              <w:left w:val="nil"/>
              <w:bottom w:val="nil"/>
              <w:right w:val="single" w:sz="4" w:space="0" w:color="auto"/>
            </w:tcBorders>
            <w:shd w:val="clear" w:color="000000" w:fill="FAC8B8"/>
            <w:vAlign w:val="bottom"/>
            <w:hideMark/>
          </w:tcPr>
          <w:p w14:paraId="0C00187E"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 </w:t>
            </w:r>
          </w:p>
        </w:tc>
        <w:tc>
          <w:tcPr>
            <w:tcW w:w="949" w:type="dxa"/>
            <w:tcBorders>
              <w:top w:val="nil"/>
              <w:left w:val="nil"/>
              <w:bottom w:val="nil"/>
              <w:right w:val="single" w:sz="4" w:space="0" w:color="auto"/>
            </w:tcBorders>
            <w:vAlign w:val="bottom"/>
            <w:hideMark/>
          </w:tcPr>
          <w:p w14:paraId="7AB859C2"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 </w:t>
            </w:r>
          </w:p>
        </w:tc>
        <w:tc>
          <w:tcPr>
            <w:tcW w:w="935" w:type="dxa"/>
            <w:tcBorders>
              <w:top w:val="nil"/>
              <w:left w:val="nil"/>
              <w:bottom w:val="nil"/>
              <w:right w:val="single" w:sz="4" w:space="0" w:color="auto"/>
            </w:tcBorders>
            <w:vAlign w:val="bottom"/>
            <w:hideMark/>
          </w:tcPr>
          <w:p w14:paraId="0D586C54"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 </w:t>
            </w:r>
          </w:p>
        </w:tc>
        <w:tc>
          <w:tcPr>
            <w:tcW w:w="766" w:type="dxa"/>
            <w:tcBorders>
              <w:top w:val="nil"/>
              <w:left w:val="nil"/>
              <w:bottom w:val="nil"/>
              <w:right w:val="single" w:sz="4" w:space="0" w:color="auto"/>
            </w:tcBorders>
            <w:vAlign w:val="bottom"/>
            <w:hideMark/>
          </w:tcPr>
          <w:p w14:paraId="144087F1"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 </w:t>
            </w:r>
          </w:p>
        </w:tc>
        <w:tc>
          <w:tcPr>
            <w:tcW w:w="835" w:type="dxa"/>
            <w:tcBorders>
              <w:top w:val="nil"/>
              <w:left w:val="nil"/>
              <w:bottom w:val="nil"/>
              <w:right w:val="single" w:sz="4" w:space="0" w:color="auto"/>
            </w:tcBorders>
            <w:vAlign w:val="bottom"/>
            <w:hideMark/>
          </w:tcPr>
          <w:p w14:paraId="0AABEF96"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r w:rsidRPr="007577F6">
              <w:rPr>
                <w:rFonts w:ascii="Calibri" w:eastAsia="Times New Roman" w:hAnsi="Calibri"/>
                <w:color w:val="000000"/>
                <w:sz w:val="12"/>
                <w:szCs w:val="12"/>
                <w:lang w:val="en-US"/>
              </w:rPr>
              <w:t> </w:t>
            </w:r>
          </w:p>
        </w:tc>
      </w:tr>
      <w:tr w:rsidR="007577F6" w:rsidRPr="007577F6" w14:paraId="0F8CFBD5" w14:textId="77777777" w:rsidTr="0014292E">
        <w:trPr>
          <w:trHeight w:val="160"/>
          <w:tblHeader/>
        </w:trPr>
        <w:tc>
          <w:tcPr>
            <w:tcW w:w="1980" w:type="dxa"/>
            <w:gridSpan w:val="2"/>
            <w:tcBorders>
              <w:top w:val="single" w:sz="8" w:space="0" w:color="auto"/>
              <w:left w:val="single" w:sz="8" w:space="0" w:color="auto"/>
              <w:bottom w:val="single" w:sz="8" w:space="0" w:color="auto"/>
              <w:right w:val="single" w:sz="4" w:space="0" w:color="auto"/>
            </w:tcBorders>
            <w:noWrap/>
            <w:vAlign w:val="bottom"/>
            <w:hideMark/>
          </w:tcPr>
          <w:p w14:paraId="52386ED5" w14:textId="77777777" w:rsidR="00F26C17" w:rsidRPr="007577F6" w:rsidRDefault="00F26C17" w:rsidP="00F26C17">
            <w:pPr>
              <w:spacing w:after="0" w:line="240" w:lineRule="auto"/>
              <w:jc w:val="center"/>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EXECUTIVE BRANCH TOTAL</w:t>
            </w:r>
          </w:p>
        </w:tc>
        <w:tc>
          <w:tcPr>
            <w:tcW w:w="1080" w:type="dxa"/>
            <w:tcBorders>
              <w:top w:val="single" w:sz="8" w:space="0" w:color="auto"/>
              <w:left w:val="nil"/>
              <w:bottom w:val="single" w:sz="8" w:space="0" w:color="auto"/>
              <w:right w:val="single" w:sz="4" w:space="0" w:color="auto"/>
            </w:tcBorders>
            <w:noWrap/>
            <w:vAlign w:val="bottom"/>
            <w:hideMark/>
          </w:tcPr>
          <w:p w14:paraId="5A00C4A9"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$3,976,301,022</w:t>
            </w:r>
          </w:p>
        </w:tc>
        <w:tc>
          <w:tcPr>
            <w:tcW w:w="990" w:type="dxa"/>
            <w:tcBorders>
              <w:top w:val="single" w:sz="8" w:space="0" w:color="auto"/>
              <w:left w:val="nil"/>
              <w:bottom w:val="single" w:sz="8" w:space="0" w:color="auto"/>
              <w:right w:val="nil"/>
            </w:tcBorders>
            <w:shd w:val="clear" w:color="000000" w:fill="DCE6F1"/>
            <w:noWrap/>
            <w:vAlign w:val="bottom"/>
            <w:hideMark/>
          </w:tcPr>
          <w:p w14:paraId="6A85602F"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$238,578,061</w:t>
            </w:r>
          </w:p>
        </w:tc>
        <w:tc>
          <w:tcPr>
            <w:tcW w:w="1080" w:type="dxa"/>
            <w:tcBorders>
              <w:top w:val="single" w:sz="8" w:space="0" w:color="auto"/>
              <w:left w:val="single" w:sz="8" w:space="0" w:color="auto"/>
              <w:bottom w:val="single" w:sz="8" w:space="0" w:color="auto"/>
              <w:right w:val="single" w:sz="8" w:space="0" w:color="auto"/>
            </w:tcBorders>
            <w:shd w:val="clear" w:color="000000" w:fill="DCE6F1"/>
            <w:noWrap/>
            <w:hideMark/>
          </w:tcPr>
          <w:p w14:paraId="19C7CE48"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$246,260,169</w:t>
            </w:r>
          </w:p>
        </w:tc>
        <w:tc>
          <w:tcPr>
            <w:tcW w:w="720" w:type="dxa"/>
            <w:tcBorders>
              <w:top w:val="single" w:sz="8" w:space="0" w:color="auto"/>
              <w:left w:val="single" w:sz="4" w:space="0" w:color="auto"/>
              <w:bottom w:val="single" w:sz="8" w:space="0" w:color="auto"/>
              <w:right w:val="single" w:sz="4" w:space="0" w:color="auto"/>
            </w:tcBorders>
            <w:shd w:val="clear" w:color="000000" w:fill="DCE6F1"/>
            <w:noWrap/>
            <w:vAlign w:val="bottom"/>
            <w:hideMark/>
          </w:tcPr>
          <w:p w14:paraId="21416684"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103.22%</w:t>
            </w:r>
          </w:p>
        </w:tc>
        <w:tc>
          <w:tcPr>
            <w:tcW w:w="900" w:type="dxa"/>
            <w:tcBorders>
              <w:top w:val="single" w:sz="8" w:space="0" w:color="auto"/>
              <w:left w:val="nil"/>
              <w:bottom w:val="single" w:sz="8" w:space="0" w:color="auto"/>
              <w:right w:val="single" w:sz="4" w:space="0" w:color="auto"/>
            </w:tcBorders>
            <w:shd w:val="clear" w:color="000000" w:fill="DCE6F1"/>
            <w:noWrap/>
            <w:vAlign w:val="bottom"/>
            <w:hideMark/>
          </w:tcPr>
          <w:p w14:paraId="65069EEE"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$7,682,108</w:t>
            </w:r>
          </w:p>
        </w:tc>
        <w:tc>
          <w:tcPr>
            <w:tcW w:w="900" w:type="dxa"/>
            <w:tcBorders>
              <w:top w:val="single" w:sz="8" w:space="0" w:color="auto"/>
              <w:left w:val="nil"/>
              <w:bottom w:val="single" w:sz="8" w:space="0" w:color="auto"/>
              <w:right w:val="single" w:sz="4" w:space="0" w:color="auto"/>
            </w:tcBorders>
            <w:shd w:val="clear" w:color="000000" w:fill="FAC8B8"/>
            <w:noWrap/>
            <w:vAlign w:val="bottom"/>
            <w:hideMark/>
          </w:tcPr>
          <w:p w14:paraId="4A0C0D84"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$477,129,429</w:t>
            </w:r>
          </w:p>
        </w:tc>
        <w:tc>
          <w:tcPr>
            <w:tcW w:w="892" w:type="dxa"/>
            <w:tcBorders>
              <w:top w:val="single" w:sz="8" w:space="0" w:color="auto"/>
              <w:left w:val="nil"/>
              <w:bottom w:val="single" w:sz="8" w:space="0" w:color="auto"/>
              <w:right w:val="single" w:sz="4" w:space="0" w:color="auto"/>
            </w:tcBorders>
            <w:shd w:val="clear" w:color="000000" w:fill="FAC8B8"/>
            <w:noWrap/>
            <w:vAlign w:val="bottom"/>
            <w:hideMark/>
          </w:tcPr>
          <w:p w14:paraId="4B6F60DC"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$572,974,933</w:t>
            </w:r>
          </w:p>
        </w:tc>
        <w:tc>
          <w:tcPr>
            <w:tcW w:w="744" w:type="dxa"/>
            <w:tcBorders>
              <w:top w:val="single" w:sz="8" w:space="0" w:color="auto"/>
              <w:left w:val="nil"/>
              <w:bottom w:val="single" w:sz="8" w:space="0" w:color="auto"/>
              <w:right w:val="single" w:sz="4" w:space="0" w:color="auto"/>
            </w:tcBorders>
            <w:shd w:val="clear" w:color="000000" w:fill="FAC8B8"/>
            <w:noWrap/>
            <w:vAlign w:val="bottom"/>
            <w:hideMark/>
          </w:tcPr>
          <w:p w14:paraId="0AE3C4F2"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120.09%</w:t>
            </w:r>
          </w:p>
        </w:tc>
        <w:tc>
          <w:tcPr>
            <w:tcW w:w="925" w:type="dxa"/>
            <w:tcBorders>
              <w:top w:val="single" w:sz="8" w:space="0" w:color="auto"/>
              <w:left w:val="nil"/>
              <w:bottom w:val="single" w:sz="8" w:space="0" w:color="auto"/>
              <w:right w:val="single" w:sz="4" w:space="0" w:color="auto"/>
            </w:tcBorders>
            <w:shd w:val="clear" w:color="000000" w:fill="FAC8B8"/>
            <w:noWrap/>
            <w:vAlign w:val="bottom"/>
            <w:hideMark/>
          </w:tcPr>
          <w:p w14:paraId="5F073667"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$95,845,505</w:t>
            </w:r>
          </w:p>
        </w:tc>
        <w:tc>
          <w:tcPr>
            <w:tcW w:w="949" w:type="dxa"/>
            <w:tcBorders>
              <w:top w:val="single" w:sz="8" w:space="0" w:color="auto"/>
              <w:left w:val="nil"/>
              <w:bottom w:val="single" w:sz="8" w:space="0" w:color="auto"/>
              <w:right w:val="single" w:sz="4" w:space="0" w:color="auto"/>
            </w:tcBorders>
            <w:noWrap/>
            <w:vAlign w:val="bottom"/>
            <w:hideMark/>
          </w:tcPr>
          <w:p w14:paraId="32BEF9FD"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$99,401,965</w:t>
            </w:r>
          </w:p>
        </w:tc>
        <w:tc>
          <w:tcPr>
            <w:tcW w:w="935" w:type="dxa"/>
            <w:tcBorders>
              <w:top w:val="single" w:sz="8" w:space="0" w:color="auto"/>
              <w:left w:val="nil"/>
              <w:bottom w:val="single" w:sz="8" w:space="0" w:color="auto"/>
              <w:right w:val="single" w:sz="4" w:space="0" w:color="auto"/>
            </w:tcBorders>
            <w:noWrap/>
            <w:vAlign w:val="bottom"/>
            <w:hideMark/>
          </w:tcPr>
          <w:p w14:paraId="63894051"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$140,946,043</w:t>
            </w:r>
          </w:p>
        </w:tc>
        <w:tc>
          <w:tcPr>
            <w:tcW w:w="766" w:type="dxa"/>
            <w:tcBorders>
              <w:top w:val="single" w:sz="8" w:space="0" w:color="auto"/>
              <w:left w:val="nil"/>
              <w:bottom w:val="single" w:sz="8" w:space="0" w:color="auto"/>
              <w:right w:val="single" w:sz="4" w:space="0" w:color="auto"/>
            </w:tcBorders>
            <w:noWrap/>
            <w:vAlign w:val="bottom"/>
            <w:hideMark/>
          </w:tcPr>
          <w:p w14:paraId="2375425D"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141.79%</w:t>
            </w:r>
          </w:p>
        </w:tc>
        <w:tc>
          <w:tcPr>
            <w:tcW w:w="835" w:type="dxa"/>
            <w:tcBorders>
              <w:top w:val="single" w:sz="8" w:space="0" w:color="auto"/>
              <w:left w:val="nil"/>
              <w:bottom w:val="single" w:sz="8" w:space="0" w:color="auto"/>
              <w:right w:val="single" w:sz="4" w:space="0" w:color="auto"/>
            </w:tcBorders>
            <w:noWrap/>
            <w:vAlign w:val="bottom"/>
            <w:hideMark/>
          </w:tcPr>
          <w:p w14:paraId="647FA294"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$41,544,079</w:t>
            </w:r>
          </w:p>
        </w:tc>
      </w:tr>
      <w:tr w:rsidR="007577F6" w:rsidRPr="007577F6" w14:paraId="6FDBB663" w14:textId="77777777" w:rsidTr="002C392E">
        <w:trPr>
          <w:trHeight w:val="70"/>
          <w:tblHeader/>
        </w:trPr>
        <w:tc>
          <w:tcPr>
            <w:tcW w:w="540" w:type="dxa"/>
            <w:tcBorders>
              <w:top w:val="nil"/>
              <w:left w:val="nil"/>
              <w:bottom w:val="nil"/>
              <w:right w:val="nil"/>
            </w:tcBorders>
            <w:noWrap/>
            <w:vAlign w:val="bottom"/>
            <w:hideMark/>
          </w:tcPr>
          <w:p w14:paraId="2EA5DBB8" w14:textId="77777777" w:rsidR="00F26C17" w:rsidRPr="007577F6" w:rsidRDefault="00F26C17" w:rsidP="00F26C17">
            <w:pPr>
              <w:spacing w:after="0" w:line="240" w:lineRule="auto"/>
              <w:jc w:val="center"/>
              <w:rPr>
                <w:rFonts w:ascii="Calibri" w:eastAsia="Times New Roman" w:hAnsi="Calibri"/>
                <w:b/>
                <w:bCs/>
                <w:color w:val="000000"/>
                <w:sz w:val="12"/>
                <w:szCs w:val="12"/>
                <w:lang w:val="en-US"/>
              </w:rPr>
            </w:pPr>
          </w:p>
        </w:tc>
        <w:tc>
          <w:tcPr>
            <w:tcW w:w="1440" w:type="dxa"/>
            <w:tcBorders>
              <w:top w:val="nil"/>
              <w:left w:val="nil"/>
              <w:bottom w:val="nil"/>
              <w:right w:val="nil"/>
            </w:tcBorders>
            <w:noWrap/>
            <w:vAlign w:val="bottom"/>
            <w:hideMark/>
          </w:tcPr>
          <w:p w14:paraId="2BEAE44F" w14:textId="77777777" w:rsidR="00F26C17" w:rsidRPr="007577F6" w:rsidRDefault="00F26C17" w:rsidP="00F26C17">
            <w:pPr>
              <w:spacing w:after="0" w:line="240" w:lineRule="auto"/>
              <w:jc w:val="center"/>
              <w:rPr>
                <w:rFonts w:ascii="Calibri" w:eastAsia="Times New Roman" w:hAnsi="Calibri"/>
                <w:b/>
                <w:bCs/>
                <w:color w:val="000000"/>
                <w:sz w:val="12"/>
                <w:szCs w:val="12"/>
                <w:lang w:val="en-US"/>
              </w:rPr>
            </w:pPr>
          </w:p>
        </w:tc>
        <w:tc>
          <w:tcPr>
            <w:tcW w:w="1080" w:type="dxa"/>
            <w:tcBorders>
              <w:top w:val="nil"/>
              <w:left w:val="nil"/>
              <w:bottom w:val="nil"/>
              <w:right w:val="nil"/>
            </w:tcBorders>
            <w:noWrap/>
            <w:vAlign w:val="bottom"/>
            <w:hideMark/>
          </w:tcPr>
          <w:p w14:paraId="6D456298"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p>
        </w:tc>
        <w:tc>
          <w:tcPr>
            <w:tcW w:w="990" w:type="dxa"/>
            <w:tcBorders>
              <w:top w:val="nil"/>
              <w:left w:val="nil"/>
              <w:bottom w:val="nil"/>
              <w:right w:val="nil"/>
            </w:tcBorders>
            <w:shd w:val="clear" w:color="000000" w:fill="DCE6F1"/>
            <w:noWrap/>
            <w:vAlign w:val="bottom"/>
            <w:hideMark/>
          </w:tcPr>
          <w:p w14:paraId="19E44E64"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w:t>
            </w:r>
          </w:p>
        </w:tc>
        <w:tc>
          <w:tcPr>
            <w:tcW w:w="1080" w:type="dxa"/>
            <w:tcBorders>
              <w:top w:val="nil"/>
              <w:left w:val="nil"/>
              <w:bottom w:val="nil"/>
              <w:right w:val="nil"/>
            </w:tcBorders>
            <w:shd w:val="clear" w:color="000000" w:fill="DCE6F1"/>
            <w:noWrap/>
            <w:hideMark/>
          </w:tcPr>
          <w:p w14:paraId="66A01ED4"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w:t>
            </w:r>
          </w:p>
        </w:tc>
        <w:tc>
          <w:tcPr>
            <w:tcW w:w="720" w:type="dxa"/>
            <w:tcBorders>
              <w:top w:val="nil"/>
              <w:left w:val="nil"/>
              <w:bottom w:val="nil"/>
              <w:right w:val="nil"/>
            </w:tcBorders>
            <w:shd w:val="clear" w:color="000000" w:fill="DCE6F1"/>
            <w:noWrap/>
            <w:vAlign w:val="bottom"/>
            <w:hideMark/>
          </w:tcPr>
          <w:p w14:paraId="27CB9651"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w:t>
            </w:r>
          </w:p>
        </w:tc>
        <w:tc>
          <w:tcPr>
            <w:tcW w:w="900" w:type="dxa"/>
            <w:tcBorders>
              <w:top w:val="nil"/>
              <w:left w:val="nil"/>
              <w:bottom w:val="nil"/>
              <w:right w:val="nil"/>
            </w:tcBorders>
            <w:shd w:val="clear" w:color="000000" w:fill="DCE6F1"/>
            <w:noWrap/>
            <w:vAlign w:val="bottom"/>
            <w:hideMark/>
          </w:tcPr>
          <w:p w14:paraId="48525919"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w:t>
            </w:r>
          </w:p>
        </w:tc>
        <w:tc>
          <w:tcPr>
            <w:tcW w:w="900" w:type="dxa"/>
            <w:tcBorders>
              <w:top w:val="nil"/>
              <w:left w:val="nil"/>
              <w:bottom w:val="nil"/>
              <w:right w:val="nil"/>
            </w:tcBorders>
            <w:shd w:val="clear" w:color="000000" w:fill="FAC8B8"/>
            <w:noWrap/>
            <w:vAlign w:val="bottom"/>
            <w:hideMark/>
          </w:tcPr>
          <w:p w14:paraId="1A30EC5A"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w:t>
            </w:r>
          </w:p>
        </w:tc>
        <w:tc>
          <w:tcPr>
            <w:tcW w:w="892" w:type="dxa"/>
            <w:tcBorders>
              <w:top w:val="nil"/>
              <w:left w:val="nil"/>
              <w:bottom w:val="nil"/>
              <w:right w:val="nil"/>
            </w:tcBorders>
            <w:shd w:val="clear" w:color="000000" w:fill="FAC8B8"/>
            <w:noWrap/>
            <w:vAlign w:val="bottom"/>
            <w:hideMark/>
          </w:tcPr>
          <w:p w14:paraId="61E7EB1F"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w:t>
            </w:r>
          </w:p>
        </w:tc>
        <w:tc>
          <w:tcPr>
            <w:tcW w:w="744" w:type="dxa"/>
            <w:tcBorders>
              <w:top w:val="nil"/>
              <w:left w:val="nil"/>
              <w:bottom w:val="nil"/>
              <w:right w:val="nil"/>
            </w:tcBorders>
            <w:shd w:val="clear" w:color="000000" w:fill="FAC8B8"/>
            <w:noWrap/>
            <w:vAlign w:val="bottom"/>
            <w:hideMark/>
          </w:tcPr>
          <w:p w14:paraId="1933E778"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w:t>
            </w:r>
          </w:p>
        </w:tc>
        <w:tc>
          <w:tcPr>
            <w:tcW w:w="925" w:type="dxa"/>
            <w:tcBorders>
              <w:top w:val="nil"/>
              <w:left w:val="nil"/>
              <w:bottom w:val="nil"/>
              <w:right w:val="nil"/>
            </w:tcBorders>
            <w:shd w:val="clear" w:color="000000" w:fill="FAC8B8"/>
            <w:noWrap/>
            <w:vAlign w:val="bottom"/>
            <w:hideMark/>
          </w:tcPr>
          <w:p w14:paraId="7743ACF3"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w:t>
            </w:r>
          </w:p>
        </w:tc>
        <w:tc>
          <w:tcPr>
            <w:tcW w:w="949" w:type="dxa"/>
            <w:tcBorders>
              <w:top w:val="nil"/>
              <w:left w:val="nil"/>
              <w:bottom w:val="nil"/>
              <w:right w:val="nil"/>
            </w:tcBorders>
            <w:noWrap/>
            <w:vAlign w:val="bottom"/>
            <w:hideMark/>
          </w:tcPr>
          <w:p w14:paraId="7A4ED59E"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p>
        </w:tc>
        <w:tc>
          <w:tcPr>
            <w:tcW w:w="935" w:type="dxa"/>
            <w:tcBorders>
              <w:top w:val="nil"/>
              <w:left w:val="nil"/>
              <w:bottom w:val="nil"/>
              <w:right w:val="nil"/>
            </w:tcBorders>
            <w:noWrap/>
            <w:vAlign w:val="bottom"/>
            <w:hideMark/>
          </w:tcPr>
          <w:p w14:paraId="3D660B9B"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p>
        </w:tc>
        <w:tc>
          <w:tcPr>
            <w:tcW w:w="766" w:type="dxa"/>
            <w:tcBorders>
              <w:top w:val="nil"/>
              <w:left w:val="nil"/>
              <w:bottom w:val="nil"/>
              <w:right w:val="nil"/>
            </w:tcBorders>
            <w:noWrap/>
            <w:vAlign w:val="bottom"/>
            <w:hideMark/>
          </w:tcPr>
          <w:p w14:paraId="0ED800DE"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p>
        </w:tc>
        <w:tc>
          <w:tcPr>
            <w:tcW w:w="835" w:type="dxa"/>
            <w:tcBorders>
              <w:top w:val="nil"/>
              <w:left w:val="nil"/>
              <w:bottom w:val="nil"/>
              <w:right w:val="nil"/>
            </w:tcBorders>
            <w:noWrap/>
            <w:vAlign w:val="bottom"/>
            <w:hideMark/>
          </w:tcPr>
          <w:p w14:paraId="0FA60A09"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p>
        </w:tc>
      </w:tr>
      <w:tr w:rsidR="007577F6" w:rsidRPr="007577F6" w14:paraId="76C783C5" w14:textId="77777777" w:rsidTr="0014292E">
        <w:trPr>
          <w:trHeight w:val="330"/>
          <w:tblHeader/>
        </w:trPr>
        <w:tc>
          <w:tcPr>
            <w:tcW w:w="540" w:type="dxa"/>
            <w:tcBorders>
              <w:top w:val="nil"/>
              <w:left w:val="nil"/>
              <w:bottom w:val="nil"/>
              <w:right w:val="nil"/>
            </w:tcBorders>
            <w:noWrap/>
            <w:vAlign w:val="bottom"/>
            <w:hideMark/>
          </w:tcPr>
          <w:p w14:paraId="5AF0D9DE"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1440" w:type="dxa"/>
            <w:tcBorders>
              <w:top w:val="single" w:sz="8" w:space="0" w:color="auto"/>
              <w:left w:val="single" w:sz="8" w:space="0" w:color="auto"/>
              <w:bottom w:val="single" w:sz="8" w:space="0" w:color="auto"/>
              <w:right w:val="single" w:sz="8" w:space="0" w:color="auto"/>
            </w:tcBorders>
            <w:shd w:val="clear" w:color="000000" w:fill="006600"/>
            <w:noWrap/>
            <w:vAlign w:val="bottom"/>
            <w:hideMark/>
          </w:tcPr>
          <w:p w14:paraId="64E2F4AF" w14:textId="77777777" w:rsidR="00F26C17" w:rsidRPr="007577F6" w:rsidRDefault="00F26C17" w:rsidP="00F26C17">
            <w:pPr>
              <w:spacing w:after="0" w:line="240" w:lineRule="auto"/>
              <w:rPr>
                <w:rFonts w:ascii="Calibri" w:eastAsia="Times New Roman" w:hAnsi="Calibri"/>
                <w:b/>
                <w:bCs/>
                <w:color w:val="F0EA00"/>
                <w:sz w:val="12"/>
                <w:szCs w:val="12"/>
                <w:lang w:val="en-US"/>
              </w:rPr>
            </w:pPr>
            <w:r w:rsidRPr="007577F6">
              <w:rPr>
                <w:rFonts w:ascii="Calibri" w:eastAsia="Times New Roman" w:hAnsi="Calibri"/>
                <w:b/>
                <w:bCs/>
                <w:color w:val="F0EA00"/>
                <w:sz w:val="12"/>
                <w:szCs w:val="12"/>
                <w:lang w:val="en-US"/>
              </w:rPr>
              <w:t>MASS HOUSING</w:t>
            </w:r>
          </w:p>
        </w:tc>
        <w:tc>
          <w:tcPr>
            <w:tcW w:w="1080" w:type="dxa"/>
            <w:tcBorders>
              <w:top w:val="single" w:sz="8" w:space="0" w:color="auto"/>
              <w:left w:val="nil"/>
              <w:bottom w:val="single" w:sz="8" w:space="0" w:color="auto"/>
              <w:right w:val="single" w:sz="4" w:space="0" w:color="auto"/>
            </w:tcBorders>
            <w:shd w:val="clear" w:color="000000" w:fill="006600"/>
            <w:noWrap/>
            <w:vAlign w:val="bottom"/>
            <w:hideMark/>
          </w:tcPr>
          <w:p w14:paraId="71D1D203" w14:textId="77777777" w:rsidR="00F26C17" w:rsidRPr="007577F6" w:rsidRDefault="00F26C17" w:rsidP="007577F6">
            <w:pPr>
              <w:spacing w:after="0" w:line="240" w:lineRule="auto"/>
              <w:jc w:val="right"/>
              <w:rPr>
                <w:rFonts w:ascii="Calibri" w:eastAsia="Times New Roman" w:hAnsi="Calibri"/>
                <w:b/>
                <w:bCs/>
                <w:color w:val="F0EA00"/>
                <w:sz w:val="12"/>
                <w:szCs w:val="12"/>
                <w:lang w:val="en-US"/>
              </w:rPr>
            </w:pPr>
            <w:r w:rsidRPr="007577F6">
              <w:rPr>
                <w:rFonts w:ascii="Calibri" w:eastAsia="Times New Roman" w:hAnsi="Calibri"/>
                <w:b/>
                <w:bCs/>
                <w:color w:val="F0EA00"/>
                <w:sz w:val="12"/>
                <w:szCs w:val="12"/>
                <w:lang w:val="en-US"/>
              </w:rPr>
              <w:t>$14,523,438</w:t>
            </w:r>
          </w:p>
        </w:tc>
        <w:tc>
          <w:tcPr>
            <w:tcW w:w="990" w:type="dxa"/>
            <w:tcBorders>
              <w:top w:val="single" w:sz="8" w:space="0" w:color="auto"/>
              <w:left w:val="single" w:sz="8" w:space="0" w:color="auto"/>
              <w:bottom w:val="single" w:sz="8" w:space="0" w:color="auto"/>
              <w:right w:val="single" w:sz="4" w:space="0" w:color="auto"/>
            </w:tcBorders>
            <w:shd w:val="clear" w:color="000000" w:fill="006600"/>
            <w:noWrap/>
            <w:vAlign w:val="bottom"/>
            <w:hideMark/>
          </w:tcPr>
          <w:p w14:paraId="1972A146" w14:textId="77777777" w:rsidR="00F26C17" w:rsidRPr="007577F6" w:rsidRDefault="00F26C17" w:rsidP="007577F6">
            <w:pPr>
              <w:spacing w:after="0" w:line="240" w:lineRule="auto"/>
              <w:jc w:val="right"/>
              <w:rPr>
                <w:rFonts w:ascii="Calibri" w:eastAsia="Times New Roman" w:hAnsi="Calibri"/>
                <w:b/>
                <w:bCs/>
                <w:color w:val="F0EA00"/>
                <w:sz w:val="12"/>
                <w:szCs w:val="12"/>
                <w:lang w:val="en-US"/>
              </w:rPr>
            </w:pPr>
            <w:r w:rsidRPr="007577F6">
              <w:rPr>
                <w:rFonts w:ascii="Calibri" w:eastAsia="Times New Roman" w:hAnsi="Calibri"/>
                <w:b/>
                <w:bCs/>
                <w:color w:val="F0EA00"/>
                <w:sz w:val="12"/>
                <w:szCs w:val="12"/>
                <w:lang w:val="en-US"/>
              </w:rPr>
              <w:t>$871,406</w:t>
            </w:r>
          </w:p>
        </w:tc>
        <w:tc>
          <w:tcPr>
            <w:tcW w:w="1080" w:type="dxa"/>
            <w:tcBorders>
              <w:top w:val="single" w:sz="8" w:space="0" w:color="auto"/>
              <w:left w:val="single" w:sz="8" w:space="0" w:color="auto"/>
              <w:bottom w:val="single" w:sz="8" w:space="0" w:color="auto"/>
              <w:right w:val="single" w:sz="4" w:space="0" w:color="auto"/>
            </w:tcBorders>
            <w:shd w:val="clear" w:color="000000" w:fill="006600"/>
            <w:noWrap/>
            <w:vAlign w:val="bottom"/>
            <w:hideMark/>
          </w:tcPr>
          <w:p w14:paraId="5DA1A85C" w14:textId="77777777" w:rsidR="00F26C17" w:rsidRPr="007577F6" w:rsidRDefault="00F26C17" w:rsidP="007577F6">
            <w:pPr>
              <w:spacing w:after="0" w:line="240" w:lineRule="auto"/>
              <w:jc w:val="right"/>
              <w:rPr>
                <w:rFonts w:ascii="Calibri" w:eastAsia="Times New Roman" w:hAnsi="Calibri"/>
                <w:b/>
                <w:bCs/>
                <w:color w:val="F0EA00"/>
                <w:sz w:val="12"/>
                <w:szCs w:val="12"/>
                <w:lang w:val="en-US"/>
              </w:rPr>
            </w:pPr>
            <w:r w:rsidRPr="007577F6">
              <w:rPr>
                <w:rFonts w:ascii="Calibri" w:eastAsia="Times New Roman" w:hAnsi="Calibri"/>
                <w:b/>
                <w:bCs/>
                <w:color w:val="F0EA00"/>
                <w:sz w:val="12"/>
                <w:szCs w:val="12"/>
                <w:lang w:val="en-US"/>
              </w:rPr>
              <w:t>$877,398</w:t>
            </w:r>
          </w:p>
        </w:tc>
        <w:tc>
          <w:tcPr>
            <w:tcW w:w="720" w:type="dxa"/>
            <w:tcBorders>
              <w:top w:val="single" w:sz="8" w:space="0" w:color="auto"/>
              <w:left w:val="single" w:sz="8" w:space="0" w:color="auto"/>
              <w:bottom w:val="single" w:sz="8" w:space="0" w:color="auto"/>
              <w:right w:val="single" w:sz="4" w:space="0" w:color="auto"/>
            </w:tcBorders>
            <w:shd w:val="clear" w:color="000000" w:fill="006600"/>
            <w:noWrap/>
            <w:vAlign w:val="bottom"/>
            <w:hideMark/>
          </w:tcPr>
          <w:p w14:paraId="1DC4B887" w14:textId="77777777" w:rsidR="00F26C17" w:rsidRPr="007577F6" w:rsidRDefault="00F26C17" w:rsidP="007577F6">
            <w:pPr>
              <w:spacing w:after="0" w:line="240" w:lineRule="auto"/>
              <w:jc w:val="right"/>
              <w:rPr>
                <w:rFonts w:ascii="Calibri" w:eastAsia="Times New Roman" w:hAnsi="Calibri"/>
                <w:b/>
                <w:bCs/>
                <w:color w:val="F0EA00"/>
                <w:sz w:val="12"/>
                <w:szCs w:val="12"/>
                <w:lang w:val="en-US"/>
              </w:rPr>
            </w:pPr>
            <w:r w:rsidRPr="007577F6">
              <w:rPr>
                <w:rFonts w:ascii="Calibri" w:eastAsia="Times New Roman" w:hAnsi="Calibri"/>
                <w:b/>
                <w:bCs/>
                <w:color w:val="F0EA00"/>
                <w:sz w:val="12"/>
                <w:szCs w:val="12"/>
                <w:lang w:val="en-US"/>
              </w:rPr>
              <w:t>100.69%</w:t>
            </w:r>
          </w:p>
        </w:tc>
        <w:tc>
          <w:tcPr>
            <w:tcW w:w="900" w:type="dxa"/>
            <w:tcBorders>
              <w:top w:val="single" w:sz="8" w:space="0" w:color="auto"/>
              <w:left w:val="single" w:sz="8" w:space="0" w:color="auto"/>
              <w:bottom w:val="single" w:sz="8" w:space="0" w:color="auto"/>
              <w:right w:val="single" w:sz="4" w:space="0" w:color="auto"/>
            </w:tcBorders>
            <w:shd w:val="clear" w:color="000000" w:fill="006600"/>
            <w:noWrap/>
            <w:vAlign w:val="bottom"/>
            <w:hideMark/>
          </w:tcPr>
          <w:p w14:paraId="1EE7C420" w14:textId="77777777" w:rsidR="00F26C17" w:rsidRPr="007577F6" w:rsidRDefault="00F26C17" w:rsidP="007577F6">
            <w:pPr>
              <w:spacing w:after="0" w:line="240" w:lineRule="auto"/>
              <w:jc w:val="right"/>
              <w:rPr>
                <w:rFonts w:ascii="Calibri" w:eastAsia="Times New Roman" w:hAnsi="Calibri"/>
                <w:b/>
                <w:bCs/>
                <w:color w:val="F0EA00"/>
                <w:sz w:val="12"/>
                <w:szCs w:val="12"/>
                <w:lang w:val="en-US"/>
              </w:rPr>
            </w:pPr>
            <w:r w:rsidRPr="007577F6">
              <w:rPr>
                <w:rFonts w:ascii="Calibri" w:eastAsia="Times New Roman" w:hAnsi="Calibri"/>
                <w:b/>
                <w:bCs/>
                <w:color w:val="F0EA00"/>
                <w:sz w:val="12"/>
                <w:szCs w:val="12"/>
                <w:lang w:val="en-US"/>
              </w:rPr>
              <w:t>$5,992</w:t>
            </w:r>
          </w:p>
        </w:tc>
        <w:tc>
          <w:tcPr>
            <w:tcW w:w="900" w:type="dxa"/>
            <w:tcBorders>
              <w:top w:val="single" w:sz="8" w:space="0" w:color="auto"/>
              <w:left w:val="nil"/>
              <w:bottom w:val="single" w:sz="8" w:space="0" w:color="auto"/>
              <w:right w:val="single" w:sz="4" w:space="0" w:color="auto"/>
            </w:tcBorders>
            <w:shd w:val="clear" w:color="000000" w:fill="006600"/>
            <w:noWrap/>
            <w:vAlign w:val="bottom"/>
            <w:hideMark/>
          </w:tcPr>
          <w:p w14:paraId="3C5BB221" w14:textId="77777777" w:rsidR="00F26C17" w:rsidRPr="007577F6" w:rsidRDefault="00F26C17" w:rsidP="007577F6">
            <w:pPr>
              <w:spacing w:after="0" w:line="240" w:lineRule="auto"/>
              <w:jc w:val="right"/>
              <w:rPr>
                <w:rFonts w:ascii="Calibri" w:eastAsia="Times New Roman" w:hAnsi="Calibri"/>
                <w:b/>
                <w:bCs/>
                <w:color w:val="F0EA00"/>
                <w:sz w:val="12"/>
                <w:szCs w:val="12"/>
                <w:lang w:val="en-US"/>
              </w:rPr>
            </w:pPr>
            <w:r w:rsidRPr="007577F6">
              <w:rPr>
                <w:rFonts w:ascii="Calibri" w:eastAsia="Times New Roman" w:hAnsi="Calibri"/>
                <w:b/>
                <w:bCs/>
                <w:color w:val="F0EA00"/>
                <w:sz w:val="12"/>
                <w:szCs w:val="12"/>
                <w:lang w:val="en-US"/>
              </w:rPr>
              <w:t>$1,742,813</w:t>
            </w:r>
          </w:p>
        </w:tc>
        <w:tc>
          <w:tcPr>
            <w:tcW w:w="892" w:type="dxa"/>
            <w:tcBorders>
              <w:top w:val="single" w:sz="8" w:space="0" w:color="auto"/>
              <w:left w:val="nil"/>
              <w:bottom w:val="single" w:sz="8" w:space="0" w:color="auto"/>
              <w:right w:val="single" w:sz="4" w:space="0" w:color="auto"/>
            </w:tcBorders>
            <w:shd w:val="clear" w:color="000000" w:fill="006600"/>
            <w:noWrap/>
            <w:vAlign w:val="bottom"/>
            <w:hideMark/>
          </w:tcPr>
          <w:p w14:paraId="24CD5FCD" w14:textId="77777777" w:rsidR="00F26C17" w:rsidRPr="007577F6" w:rsidRDefault="00F26C17" w:rsidP="007577F6">
            <w:pPr>
              <w:spacing w:after="0" w:line="240" w:lineRule="auto"/>
              <w:jc w:val="right"/>
              <w:rPr>
                <w:rFonts w:ascii="Calibri" w:eastAsia="Times New Roman" w:hAnsi="Calibri"/>
                <w:b/>
                <w:bCs/>
                <w:color w:val="F0EA00"/>
                <w:sz w:val="12"/>
                <w:szCs w:val="12"/>
                <w:lang w:val="en-US"/>
              </w:rPr>
            </w:pPr>
            <w:r w:rsidRPr="007577F6">
              <w:rPr>
                <w:rFonts w:ascii="Calibri" w:eastAsia="Times New Roman" w:hAnsi="Calibri"/>
                <w:b/>
                <w:bCs/>
                <w:color w:val="F0EA00"/>
                <w:sz w:val="12"/>
                <w:szCs w:val="12"/>
                <w:lang w:val="en-US"/>
              </w:rPr>
              <w:t>$1,349,562</w:t>
            </w:r>
          </w:p>
        </w:tc>
        <w:tc>
          <w:tcPr>
            <w:tcW w:w="744" w:type="dxa"/>
            <w:tcBorders>
              <w:top w:val="single" w:sz="8" w:space="0" w:color="auto"/>
              <w:left w:val="nil"/>
              <w:bottom w:val="single" w:sz="8" w:space="0" w:color="auto"/>
              <w:right w:val="single" w:sz="4" w:space="0" w:color="auto"/>
            </w:tcBorders>
            <w:shd w:val="clear" w:color="000000" w:fill="006600"/>
            <w:noWrap/>
            <w:vAlign w:val="bottom"/>
            <w:hideMark/>
          </w:tcPr>
          <w:p w14:paraId="75E0FDB5" w14:textId="77777777" w:rsidR="00F26C17" w:rsidRPr="007577F6" w:rsidRDefault="00F26C17" w:rsidP="007577F6">
            <w:pPr>
              <w:spacing w:after="0" w:line="240" w:lineRule="auto"/>
              <w:jc w:val="right"/>
              <w:rPr>
                <w:rFonts w:ascii="Calibri" w:eastAsia="Times New Roman" w:hAnsi="Calibri"/>
                <w:b/>
                <w:bCs/>
                <w:color w:val="F0EA00"/>
                <w:sz w:val="12"/>
                <w:szCs w:val="12"/>
                <w:lang w:val="en-US"/>
              </w:rPr>
            </w:pPr>
            <w:r w:rsidRPr="007577F6">
              <w:rPr>
                <w:rFonts w:ascii="Calibri" w:eastAsia="Times New Roman" w:hAnsi="Calibri"/>
                <w:b/>
                <w:bCs/>
                <w:color w:val="F0EA00"/>
                <w:sz w:val="12"/>
                <w:szCs w:val="12"/>
                <w:lang w:val="en-US"/>
              </w:rPr>
              <w:t>77.44%</w:t>
            </w:r>
          </w:p>
        </w:tc>
        <w:tc>
          <w:tcPr>
            <w:tcW w:w="925" w:type="dxa"/>
            <w:tcBorders>
              <w:top w:val="single" w:sz="8" w:space="0" w:color="auto"/>
              <w:left w:val="nil"/>
              <w:bottom w:val="single" w:sz="8" w:space="0" w:color="auto"/>
              <w:right w:val="single" w:sz="4" w:space="0" w:color="auto"/>
            </w:tcBorders>
            <w:shd w:val="clear" w:color="000000" w:fill="006600"/>
            <w:noWrap/>
            <w:vAlign w:val="bottom"/>
            <w:hideMark/>
          </w:tcPr>
          <w:p w14:paraId="5371F879" w14:textId="77777777" w:rsidR="00F26C17" w:rsidRPr="007577F6" w:rsidRDefault="00F26C17" w:rsidP="007577F6">
            <w:pPr>
              <w:spacing w:after="0" w:line="240" w:lineRule="auto"/>
              <w:jc w:val="right"/>
              <w:rPr>
                <w:rFonts w:ascii="Calibri" w:eastAsia="Times New Roman" w:hAnsi="Calibri"/>
                <w:b/>
                <w:bCs/>
                <w:color w:val="F0EA00"/>
                <w:sz w:val="12"/>
                <w:szCs w:val="12"/>
                <w:lang w:val="en-US"/>
              </w:rPr>
            </w:pPr>
            <w:r w:rsidRPr="007577F6">
              <w:rPr>
                <w:rFonts w:ascii="Calibri" w:eastAsia="Times New Roman" w:hAnsi="Calibri"/>
                <w:b/>
                <w:bCs/>
                <w:color w:val="F0EA00"/>
                <w:sz w:val="12"/>
                <w:szCs w:val="12"/>
                <w:lang w:val="en-US"/>
              </w:rPr>
              <w:t>-$393,251</w:t>
            </w:r>
          </w:p>
        </w:tc>
        <w:tc>
          <w:tcPr>
            <w:tcW w:w="949" w:type="dxa"/>
            <w:tcBorders>
              <w:top w:val="single" w:sz="8" w:space="0" w:color="auto"/>
              <w:left w:val="nil"/>
              <w:bottom w:val="single" w:sz="8" w:space="0" w:color="auto"/>
              <w:right w:val="single" w:sz="4" w:space="0" w:color="auto"/>
            </w:tcBorders>
            <w:shd w:val="clear" w:color="000000" w:fill="006600"/>
            <w:noWrap/>
            <w:vAlign w:val="bottom"/>
            <w:hideMark/>
          </w:tcPr>
          <w:p w14:paraId="56560D34" w14:textId="77777777" w:rsidR="00F26C17" w:rsidRPr="007577F6" w:rsidRDefault="00F26C17" w:rsidP="007577F6">
            <w:pPr>
              <w:spacing w:after="0" w:line="240" w:lineRule="auto"/>
              <w:jc w:val="right"/>
              <w:rPr>
                <w:rFonts w:ascii="Calibri" w:eastAsia="Times New Roman" w:hAnsi="Calibri"/>
                <w:b/>
                <w:bCs/>
                <w:color w:val="F0EA00"/>
                <w:sz w:val="12"/>
                <w:szCs w:val="12"/>
                <w:lang w:val="en-US"/>
              </w:rPr>
            </w:pPr>
            <w:r w:rsidRPr="007577F6">
              <w:rPr>
                <w:rFonts w:ascii="Calibri" w:eastAsia="Times New Roman" w:hAnsi="Calibri"/>
                <w:b/>
                <w:bCs/>
                <w:color w:val="F0EA00"/>
                <w:sz w:val="12"/>
                <w:szCs w:val="12"/>
                <w:lang w:val="en-US"/>
              </w:rPr>
              <w:t>$0</w:t>
            </w:r>
          </w:p>
        </w:tc>
        <w:tc>
          <w:tcPr>
            <w:tcW w:w="935" w:type="dxa"/>
            <w:tcBorders>
              <w:top w:val="single" w:sz="8" w:space="0" w:color="auto"/>
              <w:left w:val="nil"/>
              <w:bottom w:val="single" w:sz="8" w:space="0" w:color="auto"/>
              <w:right w:val="single" w:sz="4" w:space="0" w:color="auto"/>
            </w:tcBorders>
            <w:shd w:val="clear" w:color="000000" w:fill="006600"/>
            <w:noWrap/>
            <w:vAlign w:val="bottom"/>
            <w:hideMark/>
          </w:tcPr>
          <w:p w14:paraId="3E45562A" w14:textId="77777777" w:rsidR="00F26C17" w:rsidRPr="007577F6" w:rsidRDefault="00F26C17" w:rsidP="007577F6">
            <w:pPr>
              <w:spacing w:after="0" w:line="240" w:lineRule="auto"/>
              <w:jc w:val="right"/>
              <w:rPr>
                <w:rFonts w:ascii="Calibri" w:eastAsia="Times New Roman" w:hAnsi="Calibri"/>
                <w:b/>
                <w:bCs/>
                <w:color w:val="F0EA00"/>
                <w:sz w:val="12"/>
                <w:szCs w:val="12"/>
                <w:lang w:val="en-US"/>
              </w:rPr>
            </w:pPr>
            <w:r w:rsidRPr="007577F6">
              <w:rPr>
                <w:rFonts w:ascii="Calibri" w:eastAsia="Times New Roman" w:hAnsi="Calibri"/>
                <w:b/>
                <w:bCs/>
                <w:color w:val="F0EA00"/>
                <w:sz w:val="12"/>
                <w:szCs w:val="12"/>
                <w:lang w:val="en-US"/>
              </w:rPr>
              <w:t>$0</w:t>
            </w:r>
          </w:p>
        </w:tc>
        <w:tc>
          <w:tcPr>
            <w:tcW w:w="766" w:type="dxa"/>
            <w:tcBorders>
              <w:top w:val="single" w:sz="8" w:space="0" w:color="auto"/>
              <w:left w:val="nil"/>
              <w:bottom w:val="single" w:sz="8" w:space="0" w:color="auto"/>
              <w:right w:val="single" w:sz="4" w:space="0" w:color="auto"/>
            </w:tcBorders>
            <w:shd w:val="clear" w:color="000000" w:fill="006600"/>
            <w:noWrap/>
            <w:vAlign w:val="bottom"/>
            <w:hideMark/>
          </w:tcPr>
          <w:p w14:paraId="05074DAC" w14:textId="77777777" w:rsidR="00F26C17" w:rsidRPr="007577F6" w:rsidRDefault="00F26C17" w:rsidP="007577F6">
            <w:pPr>
              <w:spacing w:after="0" w:line="240" w:lineRule="auto"/>
              <w:jc w:val="right"/>
              <w:rPr>
                <w:rFonts w:ascii="Calibri" w:eastAsia="Times New Roman" w:hAnsi="Calibri"/>
                <w:b/>
                <w:bCs/>
                <w:color w:val="F0EA00"/>
                <w:sz w:val="12"/>
                <w:szCs w:val="12"/>
                <w:lang w:val="en-US"/>
              </w:rPr>
            </w:pPr>
            <w:r w:rsidRPr="007577F6">
              <w:rPr>
                <w:rFonts w:ascii="Calibri" w:eastAsia="Times New Roman" w:hAnsi="Calibri"/>
                <w:b/>
                <w:bCs/>
                <w:color w:val="F0EA00"/>
                <w:sz w:val="12"/>
                <w:szCs w:val="12"/>
                <w:lang w:val="en-US"/>
              </w:rPr>
              <w:t>$0</w:t>
            </w:r>
          </w:p>
        </w:tc>
        <w:tc>
          <w:tcPr>
            <w:tcW w:w="835" w:type="dxa"/>
            <w:tcBorders>
              <w:top w:val="single" w:sz="8" w:space="0" w:color="auto"/>
              <w:left w:val="nil"/>
              <w:bottom w:val="single" w:sz="8" w:space="0" w:color="auto"/>
              <w:right w:val="single" w:sz="8" w:space="0" w:color="auto"/>
            </w:tcBorders>
            <w:shd w:val="clear" w:color="000000" w:fill="006600"/>
            <w:noWrap/>
            <w:vAlign w:val="bottom"/>
            <w:hideMark/>
          </w:tcPr>
          <w:p w14:paraId="043B6CBF" w14:textId="77777777" w:rsidR="00F26C17" w:rsidRPr="007577F6" w:rsidRDefault="00F26C17" w:rsidP="007577F6">
            <w:pPr>
              <w:spacing w:after="0" w:line="240" w:lineRule="auto"/>
              <w:jc w:val="right"/>
              <w:rPr>
                <w:rFonts w:ascii="Calibri" w:eastAsia="Times New Roman" w:hAnsi="Calibri"/>
                <w:b/>
                <w:bCs/>
                <w:color w:val="F0EA00"/>
                <w:sz w:val="12"/>
                <w:szCs w:val="12"/>
                <w:lang w:val="en-US"/>
              </w:rPr>
            </w:pPr>
            <w:r w:rsidRPr="007577F6">
              <w:rPr>
                <w:rFonts w:ascii="Calibri" w:eastAsia="Times New Roman" w:hAnsi="Calibri"/>
                <w:b/>
                <w:bCs/>
                <w:color w:val="F0EA00"/>
                <w:sz w:val="12"/>
                <w:szCs w:val="12"/>
                <w:lang w:val="en-US"/>
              </w:rPr>
              <w:t>$0</w:t>
            </w:r>
          </w:p>
        </w:tc>
      </w:tr>
      <w:tr w:rsidR="007577F6" w:rsidRPr="007577F6" w14:paraId="0E414E2B" w14:textId="77777777" w:rsidTr="002C392E">
        <w:trPr>
          <w:trHeight w:val="50"/>
          <w:tblHeader/>
        </w:trPr>
        <w:tc>
          <w:tcPr>
            <w:tcW w:w="540" w:type="dxa"/>
            <w:tcBorders>
              <w:top w:val="nil"/>
              <w:left w:val="nil"/>
              <w:bottom w:val="nil"/>
              <w:right w:val="nil"/>
            </w:tcBorders>
            <w:noWrap/>
            <w:vAlign w:val="bottom"/>
            <w:hideMark/>
          </w:tcPr>
          <w:p w14:paraId="5F171918" w14:textId="77777777" w:rsidR="00F26C17" w:rsidRPr="007577F6" w:rsidRDefault="00F26C17" w:rsidP="00F26C17">
            <w:pPr>
              <w:spacing w:after="0" w:line="240" w:lineRule="auto"/>
              <w:rPr>
                <w:rFonts w:ascii="Calibri" w:eastAsia="Times New Roman" w:hAnsi="Calibri"/>
                <w:color w:val="000000"/>
                <w:sz w:val="14"/>
                <w:szCs w:val="14"/>
                <w:lang w:val="en-US"/>
              </w:rPr>
            </w:pPr>
          </w:p>
        </w:tc>
        <w:tc>
          <w:tcPr>
            <w:tcW w:w="1440" w:type="dxa"/>
            <w:tcBorders>
              <w:top w:val="nil"/>
              <w:left w:val="nil"/>
              <w:bottom w:val="nil"/>
              <w:right w:val="nil"/>
            </w:tcBorders>
            <w:vAlign w:val="bottom"/>
            <w:hideMark/>
          </w:tcPr>
          <w:p w14:paraId="142AA9BA"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1080" w:type="dxa"/>
            <w:tcBorders>
              <w:top w:val="nil"/>
              <w:left w:val="nil"/>
              <w:bottom w:val="nil"/>
              <w:right w:val="nil"/>
            </w:tcBorders>
            <w:noWrap/>
            <w:vAlign w:val="bottom"/>
            <w:hideMark/>
          </w:tcPr>
          <w:p w14:paraId="43BE0FA6"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p>
        </w:tc>
        <w:tc>
          <w:tcPr>
            <w:tcW w:w="990" w:type="dxa"/>
            <w:tcBorders>
              <w:top w:val="nil"/>
              <w:left w:val="nil"/>
              <w:bottom w:val="nil"/>
              <w:right w:val="nil"/>
            </w:tcBorders>
            <w:noWrap/>
            <w:vAlign w:val="bottom"/>
            <w:hideMark/>
          </w:tcPr>
          <w:p w14:paraId="6D6B2D4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p>
        </w:tc>
        <w:tc>
          <w:tcPr>
            <w:tcW w:w="1080" w:type="dxa"/>
            <w:tcBorders>
              <w:top w:val="nil"/>
              <w:left w:val="nil"/>
              <w:bottom w:val="nil"/>
              <w:right w:val="nil"/>
            </w:tcBorders>
            <w:noWrap/>
            <w:hideMark/>
          </w:tcPr>
          <w:p w14:paraId="43B575D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p>
        </w:tc>
        <w:tc>
          <w:tcPr>
            <w:tcW w:w="720" w:type="dxa"/>
            <w:tcBorders>
              <w:top w:val="nil"/>
              <w:left w:val="nil"/>
              <w:bottom w:val="nil"/>
              <w:right w:val="nil"/>
            </w:tcBorders>
            <w:noWrap/>
            <w:vAlign w:val="bottom"/>
            <w:hideMark/>
          </w:tcPr>
          <w:p w14:paraId="237723B5"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p>
        </w:tc>
        <w:tc>
          <w:tcPr>
            <w:tcW w:w="900" w:type="dxa"/>
            <w:tcBorders>
              <w:top w:val="nil"/>
              <w:left w:val="nil"/>
              <w:bottom w:val="nil"/>
              <w:right w:val="nil"/>
            </w:tcBorders>
            <w:noWrap/>
            <w:vAlign w:val="bottom"/>
            <w:hideMark/>
          </w:tcPr>
          <w:p w14:paraId="2CA1A5B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p>
        </w:tc>
        <w:tc>
          <w:tcPr>
            <w:tcW w:w="900" w:type="dxa"/>
            <w:tcBorders>
              <w:top w:val="nil"/>
              <w:left w:val="nil"/>
              <w:bottom w:val="nil"/>
              <w:right w:val="nil"/>
            </w:tcBorders>
            <w:noWrap/>
            <w:vAlign w:val="bottom"/>
            <w:hideMark/>
          </w:tcPr>
          <w:p w14:paraId="505FBBA4"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p>
        </w:tc>
        <w:tc>
          <w:tcPr>
            <w:tcW w:w="892" w:type="dxa"/>
            <w:tcBorders>
              <w:top w:val="nil"/>
              <w:left w:val="nil"/>
              <w:bottom w:val="nil"/>
              <w:right w:val="nil"/>
            </w:tcBorders>
            <w:noWrap/>
            <w:vAlign w:val="bottom"/>
            <w:hideMark/>
          </w:tcPr>
          <w:p w14:paraId="03AE7213"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p>
        </w:tc>
        <w:tc>
          <w:tcPr>
            <w:tcW w:w="744" w:type="dxa"/>
            <w:tcBorders>
              <w:top w:val="nil"/>
              <w:left w:val="nil"/>
              <w:bottom w:val="nil"/>
              <w:right w:val="nil"/>
            </w:tcBorders>
            <w:noWrap/>
            <w:vAlign w:val="bottom"/>
            <w:hideMark/>
          </w:tcPr>
          <w:p w14:paraId="565B012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p>
        </w:tc>
        <w:tc>
          <w:tcPr>
            <w:tcW w:w="925" w:type="dxa"/>
            <w:tcBorders>
              <w:top w:val="nil"/>
              <w:left w:val="nil"/>
              <w:bottom w:val="nil"/>
              <w:right w:val="nil"/>
            </w:tcBorders>
            <w:noWrap/>
            <w:vAlign w:val="bottom"/>
            <w:hideMark/>
          </w:tcPr>
          <w:p w14:paraId="7C48A64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p>
        </w:tc>
        <w:tc>
          <w:tcPr>
            <w:tcW w:w="949" w:type="dxa"/>
            <w:tcBorders>
              <w:top w:val="nil"/>
              <w:left w:val="nil"/>
              <w:bottom w:val="nil"/>
              <w:right w:val="nil"/>
            </w:tcBorders>
            <w:noWrap/>
            <w:vAlign w:val="bottom"/>
            <w:hideMark/>
          </w:tcPr>
          <w:p w14:paraId="0A202C4B"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p>
        </w:tc>
        <w:tc>
          <w:tcPr>
            <w:tcW w:w="935" w:type="dxa"/>
            <w:tcBorders>
              <w:top w:val="nil"/>
              <w:left w:val="nil"/>
              <w:bottom w:val="nil"/>
              <w:right w:val="nil"/>
            </w:tcBorders>
            <w:noWrap/>
            <w:vAlign w:val="bottom"/>
            <w:hideMark/>
          </w:tcPr>
          <w:p w14:paraId="0F4FF0C5"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p>
        </w:tc>
        <w:tc>
          <w:tcPr>
            <w:tcW w:w="766" w:type="dxa"/>
            <w:tcBorders>
              <w:top w:val="nil"/>
              <w:left w:val="nil"/>
              <w:bottom w:val="nil"/>
              <w:right w:val="nil"/>
            </w:tcBorders>
            <w:noWrap/>
            <w:vAlign w:val="bottom"/>
            <w:hideMark/>
          </w:tcPr>
          <w:p w14:paraId="08D47FE6"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p>
        </w:tc>
        <w:tc>
          <w:tcPr>
            <w:tcW w:w="835" w:type="dxa"/>
            <w:tcBorders>
              <w:top w:val="nil"/>
              <w:left w:val="nil"/>
              <w:bottom w:val="nil"/>
              <w:right w:val="nil"/>
            </w:tcBorders>
            <w:noWrap/>
            <w:vAlign w:val="bottom"/>
            <w:hideMark/>
          </w:tcPr>
          <w:p w14:paraId="5B3B5539" w14:textId="77777777" w:rsidR="00F26C17" w:rsidRPr="007577F6" w:rsidRDefault="00F26C17" w:rsidP="007577F6">
            <w:pPr>
              <w:spacing w:after="0" w:line="240" w:lineRule="auto"/>
              <w:jc w:val="right"/>
              <w:rPr>
                <w:rFonts w:ascii="Calibri" w:eastAsia="Times New Roman" w:hAnsi="Calibri"/>
                <w:color w:val="000000"/>
                <w:sz w:val="12"/>
                <w:szCs w:val="12"/>
                <w:lang w:val="en-US"/>
              </w:rPr>
            </w:pPr>
          </w:p>
        </w:tc>
      </w:tr>
      <w:tr w:rsidR="007577F6" w:rsidRPr="007577F6" w14:paraId="219D65C0" w14:textId="77777777" w:rsidTr="0014292E">
        <w:trPr>
          <w:trHeight w:val="187"/>
          <w:tblHeader/>
        </w:trPr>
        <w:tc>
          <w:tcPr>
            <w:tcW w:w="540" w:type="dxa"/>
            <w:tcBorders>
              <w:top w:val="nil"/>
              <w:left w:val="nil"/>
              <w:bottom w:val="nil"/>
              <w:right w:val="nil"/>
            </w:tcBorders>
            <w:noWrap/>
            <w:vAlign w:val="bottom"/>
            <w:hideMark/>
          </w:tcPr>
          <w:p w14:paraId="7A606EA8" w14:textId="77777777" w:rsidR="00F26C17" w:rsidRPr="007577F6" w:rsidRDefault="00F26C17" w:rsidP="00F26C17">
            <w:pPr>
              <w:spacing w:after="0" w:line="240" w:lineRule="auto"/>
              <w:rPr>
                <w:rFonts w:ascii="Calibri" w:eastAsia="Times New Roman" w:hAnsi="Calibri"/>
                <w:color w:val="000000"/>
                <w:sz w:val="14"/>
                <w:szCs w:val="14"/>
                <w:lang w:val="en-US"/>
              </w:rPr>
            </w:pPr>
          </w:p>
        </w:tc>
        <w:tc>
          <w:tcPr>
            <w:tcW w:w="1440" w:type="dxa"/>
            <w:tcBorders>
              <w:top w:val="single" w:sz="8" w:space="0" w:color="auto"/>
              <w:left w:val="single" w:sz="8" w:space="0" w:color="auto"/>
              <w:bottom w:val="single" w:sz="8" w:space="0" w:color="auto"/>
              <w:right w:val="single" w:sz="4" w:space="0" w:color="auto"/>
            </w:tcBorders>
            <w:vAlign w:val="bottom"/>
            <w:hideMark/>
          </w:tcPr>
          <w:p w14:paraId="60821538"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TOTALS</w:t>
            </w:r>
          </w:p>
        </w:tc>
        <w:tc>
          <w:tcPr>
            <w:tcW w:w="1080" w:type="dxa"/>
            <w:tcBorders>
              <w:top w:val="single" w:sz="8" w:space="0" w:color="auto"/>
              <w:left w:val="nil"/>
              <w:bottom w:val="single" w:sz="8" w:space="0" w:color="auto"/>
              <w:right w:val="single" w:sz="4" w:space="0" w:color="auto"/>
            </w:tcBorders>
            <w:noWrap/>
            <w:vAlign w:val="bottom"/>
            <w:hideMark/>
          </w:tcPr>
          <w:p w14:paraId="7974FEA6"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$3,990,824,460</w:t>
            </w:r>
          </w:p>
        </w:tc>
        <w:tc>
          <w:tcPr>
            <w:tcW w:w="990" w:type="dxa"/>
            <w:tcBorders>
              <w:top w:val="single" w:sz="8" w:space="0" w:color="auto"/>
              <w:left w:val="nil"/>
              <w:bottom w:val="single" w:sz="8" w:space="0" w:color="auto"/>
              <w:right w:val="single" w:sz="4" w:space="0" w:color="auto"/>
            </w:tcBorders>
            <w:noWrap/>
            <w:vAlign w:val="bottom"/>
            <w:hideMark/>
          </w:tcPr>
          <w:p w14:paraId="185A296F"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$239,449,467</w:t>
            </w:r>
          </w:p>
        </w:tc>
        <w:tc>
          <w:tcPr>
            <w:tcW w:w="1080" w:type="dxa"/>
            <w:tcBorders>
              <w:top w:val="single" w:sz="8" w:space="0" w:color="auto"/>
              <w:left w:val="nil"/>
              <w:bottom w:val="single" w:sz="8" w:space="0" w:color="auto"/>
              <w:right w:val="single" w:sz="4" w:space="0" w:color="auto"/>
            </w:tcBorders>
            <w:noWrap/>
            <w:vAlign w:val="bottom"/>
            <w:hideMark/>
          </w:tcPr>
          <w:p w14:paraId="55F43601"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$247,137,567</w:t>
            </w:r>
          </w:p>
        </w:tc>
        <w:tc>
          <w:tcPr>
            <w:tcW w:w="720" w:type="dxa"/>
            <w:tcBorders>
              <w:top w:val="single" w:sz="8" w:space="0" w:color="auto"/>
              <w:left w:val="nil"/>
              <w:bottom w:val="single" w:sz="8" w:space="0" w:color="auto"/>
              <w:right w:val="single" w:sz="4" w:space="0" w:color="auto"/>
            </w:tcBorders>
            <w:noWrap/>
            <w:vAlign w:val="bottom"/>
            <w:hideMark/>
          </w:tcPr>
          <w:p w14:paraId="14C8A46D"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103.21%</w:t>
            </w:r>
          </w:p>
        </w:tc>
        <w:tc>
          <w:tcPr>
            <w:tcW w:w="900" w:type="dxa"/>
            <w:tcBorders>
              <w:top w:val="single" w:sz="8" w:space="0" w:color="auto"/>
              <w:left w:val="nil"/>
              <w:bottom w:val="single" w:sz="8" w:space="0" w:color="auto"/>
              <w:right w:val="single" w:sz="4" w:space="0" w:color="auto"/>
            </w:tcBorders>
            <w:noWrap/>
            <w:vAlign w:val="bottom"/>
            <w:hideMark/>
          </w:tcPr>
          <w:p w14:paraId="705897D3"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$7,688,100</w:t>
            </w:r>
          </w:p>
        </w:tc>
        <w:tc>
          <w:tcPr>
            <w:tcW w:w="900" w:type="dxa"/>
            <w:tcBorders>
              <w:top w:val="single" w:sz="8" w:space="0" w:color="auto"/>
              <w:left w:val="nil"/>
              <w:bottom w:val="single" w:sz="8" w:space="0" w:color="auto"/>
              <w:right w:val="single" w:sz="4" w:space="0" w:color="auto"/>
            </w:tcBorders>
            <w:noWrap/>
            <w:vAlign w:val="bottom"/>
            <w:hideMark/>
          </w:tcPr>
          <w:p w14:paraId="11C57CA1"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$478,872,242</w:t>
            </w:r>
          </w:p>
        </w:tc>
        <w:tc>
          <w:tcPr>
            <w:tcW w:w="892" w:type="dxa"/>
            <w:tcBorders>
              <w:top w:val="single" w:sz="8" w:space="0" w:color="auto"/>
              <w:left w:val="nil"/>
              <w:bottom w:val="single" w:sz="8" w:space="0" w:color="auto"/>
              <w:right w:val="single" w:sz="4" w:space="0" w:color="auto"/>
            </w:tcBorders>
            <w:noWrap/>
            <w:vAlign w:val="bottom"/>
            <w:hideMark/>
          </w:tcPr>
          <w:p w14:paraId="604AF372"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$574,324,495</w:t>
            </w:r>
          </w:p>
        </w:tc>
        <w:tc>
          <w:tcPr>
            <w:tcW w:w="744" w:type="dxa"/>
            <w:tcBorders>
              <w:top w:val="single" w:sz="8" w:space="0" w:color="auto"/>
              <w:left w:val="nil"/>
              <w:bottom w:val="single" w:sz="8" w:space="0" w:color="auto"/>
              <w:right w:val="single" w:sz="4" w:space="0" w:color="auto"/>
            </w:tcBorders>
            <w:noWrap/>
            <w:vAlign w:val="bottom"/>
            <w:hideMark/>
          </w:tcPr>
          <w:p w14:paraId="366A36C7"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119.93%</w:t>
            </w:r>
          </w:p>
        </w:tc>
        <w:tc>
          <w:tcPr>
            <w:tcW w:w="925" w:type="dxa"/>
            <w:tcBorders>
              <w:top w:val="single" w:sz="8" w:space="0" w:color="auto"/>
              <w:left w:val="nil"/>
              <w:bottom w:val="single" w:sz="8" w:space="0" w:color="auto"/>
              <w:right w:val="single" w:sz="4" w:space="0" w:color="auto"/>
            </w:tcBorders>
            <w:noWrap/>
            <w:vAlign w:val="bottom"/>
            <w:hideMark/>
          </w:tcPr>
          <w:p w14:paraId="23C44C62"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$95,452,254</w:t>
            </w:r>
          </w:p>
        </w:tc>
        <w:tc>
          <w:tcPr>
            <w:tcW w:w="949" w:type="dxa"/>
            <w:tcBorders>
              <w:top w:val="single" w:sz="8" w:space="0" w:color="auto"/>
              <w:left w:val="nil"/>
              <w:bottom w:val="single" w:sz="8" w:space="0" w:color="auto"/>
              <w:right w:val="single" w:sz="4" w:space="0" w:color="auto"/>
            </w:tcBorders>
            <w:noWrap/>
            <w:vAlign w:val="bottom"/>
            <w:hideMark/>
          </w:tcPr>
          <w:p w14:paraId="3CB30825"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$99,401,965</w:t>
            </w:r>
          </w:p>
        </w:tc>
        <w:tc>
          <w:tcPr>
            <w:tcW w:w="935" w:type="dxa"/>
            <w:tcBorders>
              <w:top w:val="single" w:sz="8" w:space="0" w:color="auto"/>
              <w:left w:val="nil"/>
              <w:bottom w:val="single" w:sz="8" w:space="0" w:color="auto"/>
              <w:right w:val="single" w:sz="4" w:space="0" w:color="auto"/>
            </w:tcBorders>
            <w:noWrap/>
            <w:vAlign w:val="bottom"/>
            <w:hideMark/>
          </w:tcPr>
          <w:p w14:paraId="3B4C444A"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$140,946,043</w:t>
            </w:r>
          </w:p>
        </w:tc>
        <w:tc>
          <w:tcPr>
            <w:tcW w:w="766" w:type="dxa"/>
            <w:tcBorders>
              <w:top w:val="single" w:sz="8" w:space="0" w:color="auto"/>
              <w:left w:val="nil"/>
              <w:bottom w:val="single" w:sz="8" w:space="0" w:color="auto"/>
              <w:right w:val="single" w:sz="4" w:space="0" w:color="auto"/>
            </w:tcBorders>
            <w:noWrap/>
            <w:vAlign w:val="bottom"/>
            <w:hideMark/>
          </w:tcPr>
          <w:p w14:paraId="77E4A458"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141.79%</w:t>
            </w:r>
          </w:p>
        </w:tc>
        <w:tc>
          <w:tcPr>
            <w:tcW w:w="835" w:type="dxa"/>
            <w:tcBorders>
              <w:top w:val="single" w:sz="8" w:space="0" w:color="auto"/>
              <w:left w:val="nil"/>
              <w:bottom w:val="single" w:sz="8" w:space="0" w:color="auto"/>
              <w:right w:val="single" w:sz="4" w:space="0" w:color="auto"/>
            </w:tcBorders>
            <w:noWrap/>
            <w:vAlign w:val="bottom"/>
            <w:hideMark/>
          </w:tcPr>
          <w:p w14:paraId="1981BF87" w14:textId="77777777" w:rsidR="00F26C17" w:rsidRPr="007577F6" w:rsidRDefault="00F26C17" w:rsidP="007577F6">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$41,544,079</w:t>
            </w:r>
          </w:p>
        </w:tc>
      </w:tr>
      <w:tr w:rsidR="007577F6" w:rsidRPr="007577F6" w14:paraId="596A8C75" w14:textId="77777777" w:rsidTr="002C392E">
        <w:trPr>
          <w:trHeight w:val="52"/>
          <w:tblHeader/>
        </w:trPr>
        <w:tc>
          <w:tcPr>
            <w:tcW w:w="540" w:type="dxa"/>
            <w:tcBorders>
              <w:top w:val="nil"/>
              <w:left w:val="nil"/>
              <w:bottom w:val="nil"/>
              <w:right w:val="nil"/>
            </w:tcBorders>
            <w:noWrap/>
            <w:vAlign w:val="bottom"/>
            <w:hideMark/>
          </w:tcPr>
          <w:p w14:paraId="2E554A12" w14:textId="77777777" w:rsidR="00F26C17" w:rsidRPr="007577F6" w:rsidRDefault="00F26C17" w:rsidP="00F26C17">
            <w:pPr>
              <w:spacing w:after="0" w:line="240" w:lineRule="auto"/>
              <w:rPr>
                <w:rFonts w:ascii="Calibri" w:eastAsia="Times New Roman" w:hAnsi="Calibri"/>
                <w:color w:val="000000"/>
                <w:sz w:val="14"/>
                <w:szCs w:val="14"/>
                <w:lang w:val="en-US"/>
              </w:rPr>
            </w:pPr>
          </w:p>
        </w:tc>
        <w:tc>
          <w:tcPr>
            <w:tcW w:w="1440" w:type="dxa"/>
            <w:tcBorders>
              <w:top w:val="nil"/>
              <w:left w:val="nil"/>
              <w:bottom w:val="nil"/>
              <w:right w:val="nil"/>
            </w:tcBorders>
            <w:noWrap/>
            <w:vAlign w:val="bottom"/>
            <w:hideMark/>
          </w:tcPr>
          <w:p w14:paraId="19076DC8"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1080" w:type="dxa"/>
            <w:tcBorders>
              <w:top w:val="nil"/>
              <w:left w:val="nil"/>
              <w:bottom w:val="nil"/>
              <w:right w:val="nil"/>
            </w:tcBorders>
            <w:noWrap/>
            <w:vAlign w:val="bottom"/>
            <w:hideMark/>
          </w:tcPr>
          <w:p w14:paraId="4D0B51F2"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990" w:type="dxa"/>
            <w:tcBorders>
              <w:top w:val="nil"/>
              <w:left w:val="nil"/>
              <w:bottom w:val="nil"/>
              <w:right w:val="nil"/>
            </w:tcBorders>
            <w:noWrap/>
            <w:vAlign w:val="bottom"/>
            <w:hideMark/>
          </w:tcPr>
          <w:p w14:paraId="465384E9"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1080" w:type="dxa"/>
            <w:tcBorders>
              <w:top w:val="nil"/>
              <w:left w:val="nil"/>
              <w:bottom w:val="nil"/>
              <w:right w:val="nil"/>
            </w:tcBorders>
            <w:noWrap/>
            <w:hideMark/>
          </w:tcPr>
          <w:p w14:paraId="0D1EA9E0"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720" w:type="dxa"/>
            <w:tcBorders>
              <w:top w:val="nil"/>
              <w:left w:val="nil"/>
              <w:bottom w:val="nil"/>
              <w:right w:val="nil"/>
            </w:tcBorders>
            <w:noWrap/>
            <w:vAlign w:val="bottom"/>
            <w:hideMark/>
          </w:tcPr>
          <w:p w14:paraId="6C67B7EF"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900" w:type="dxa"/>
            <w:tcBorders>
              <w:top w:val="nil"/>
              <w:left w:val="nil"/>
              <w:bottom w:val="nil"/>
              <w:right w:val="nil"/>
            </w:tcBorders>
            <w:noWrap/>
            <w:vAlign w:val="bottom"/>
            <w:hideMark/>
          </w:tcPr>
          <w:p w14:paraId="6208498D"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900" w:type="dxa"/>
            <w:tcBorders>
              <w:top w:val="nil"/>
              <w:left w:val="nil"/>
              <w:bottom w:val="nil"/>
              <w:right w:val="nil"/>
            </w:tcBorders>
            <w:noWrap/>
            <w:vAlign w:val="bottom"/>
            <w:hideMark/>
          </w:tcPr>
          <w:p w14:paraId="72FA9EA1"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892" w:type="dxa"/>
            <w:tcBorders>
              <w:top w:val="nil"/>
              <w:left w:val="nil"/>
              <w:bottom w:val="nil"/>
              <w:right w:val="nil"/>
            </w:tcBorders>
            <w:noWrap/>
            <w:vAlign w:val="bottom"/>
            <w:hideMark/>
          </w:tcPr>
          <w:p w14:paraId="13A482B9"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744" w:type="dxa"/>
            <w:tcBorders>
              <w:top w:val="nil"/>
              <w:left w:val="nil"/>
              <w:bottom w:val="nil"/>
              <w:right w:val="nil"/>
            </w:tcBorders>
            <w:noWrap/>
            <w:vAlign w:val="bottom"/>
            <w:hideMark/>
          </w:tcPr>
          <w:p w14:paraId="2937ACFA"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925" w:type="dxa"/>
            <w:tcBorders>
              <w:top w:val="nil"/>
              <w:left w:val="nil"/>
              <w:bottom w:val="nil"/>
              <w:right w:val="nil"/>
            </w:tcBorders>
            <w:noWrap/>
            <w:vAlign w:val="bottom"/>
            <w:hideMark/>
          </w:tcPr>
          <w:p w14:paraId="57F3CE62"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949" w:type="dxa"/>
            <w:tcBorders>
              <w:top w:val="nil"/>
              <w:left w:val="nil"/>
              <w:bottom w:val="nil"/>
              <w:right w:val="nil"/>
            </w:tcBorders>
            <w:noWrap/>
            <w:vAlign w:val="bottom"/>
            <w:hideMark/>
          </w:tcPr>
          <w:p w14:paraId="3F415E18"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935" w:type="dxa"/>
            <w:tcBorders>
              <w:top w:val="nil"/>
              <w:left w:val="nil"/>
              <w:bottom w:val="nil"/>
              <w:right w:val="nil"/>
            </w:tcBorders>
            <w:noWrap/>
            <w:vAlign w:val="bottom"/>
            <w:hideMark/>
          </w:tcPr>
          <w:p w14:paraId="49C3860D"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766" w:type="dxa"/>
            <w:tcBorders>
              <w:top w:val="nil"/>
              <w:left w:val="nil"/>
              <w:bottom w:val="nil"/>
              <w:right w:val="nil"/>
            </w:tcBorders>
            <w:noWrap/>
            <w:vAlign w:val="bottom"/>
            <w:hideMark/>
          </w:tcPr>
          <w:p w14:paraId="6CFA7790"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835" w:type="dxa"/>
            <w:tcBorders>
              <w:top w:val="nil"/>
              <w:left w:val="nil"/>
              <w:bottom w:val="nil"/>
              <w:right w:val="nil"/>
            </w:tcBorders>
            <w:noWrap/>
            <w:vAlign w:val="bottom"/>
            <w:hideMark/>
          </w:tcPr>
          <w:p w14:paraId="5FC9BD28" w14:textId="77777777" w:rsidR="00F26C17" w:rsidRPr="007577F6" w:rsidRDefault="00F26C17" w:rsidP="00F26C17">
            <w:pPr>
              <w:spacing w:after="0" w:line="240" w:lineRule="auto"/>
              <w:rPr>
                <w:rFonts w:ascii="Calibri" w:eastAsia="Times New Roman" w:hAnsi="Calibri"/>
                <w:color w:val="000000"/>
                <w:sz w:val="12"/>
                <w:szCs w:val="12"/>
                <w:lang w:val="en-US"/>
              </w:rPr>
            </w:pPr>
          </w:p>
        </w:tc>
      </w:tr>
      <w:tr w:rsidR="007577F6" w:rsidRPr="007577F6" w14:paraId="2DDBCC9B" w14:textId="77777777" w:rsidTr="0014292E">
        <w:trPr>
          <w:trHeight w:val="189"/>
          <w:tblHeader/>
        </w:trPr>
        <w:tc>
          <w:tcPr>
            <w:tcW w:w="540" w:type="dxa"/>
            <w:tcBorders>
              <w:top w:val="nil"/>
              <w:left w:val="nil"/>
              <w:bottom w:val="nil"/>
              <w:right w:val="nil"/>
            </w:tcBorders>
            <w:vAlign w:val="center"/>
            <w:hideMark/>
          </w:tcPr>
          <w:p w14:paraId="679B580B" w14:textId="77777777" w:rsidR="00F26C17" w:rsidRPr="007577F6" w:rsidRDefault="00F26C17" w:rsidP="00F26C17">
            <w:pPr>
              <w:spacing w:after="0" w:line="240" w:lineRule="auto"/>
              <w:rPr>
                <w:rFonts w:ascii="Calibri" w:eastAsia="Times New Roman" w:hAnsi="Calibri"/>
                <w:b/>
                <w:bCs/>
                <w:color w:val="000000"/>
                <w:sz w:val="14"/>
                <w:szCs w:val="14"/>
                <w:lang w:val="en-US"/>
              </w:rPr>
            </w:pPr>
          </w:p>
        </w:tc>
        <w:tc>
          <w:tcPr>
            <w:tcW w:w="1440" w:type="dxa"/>
            <w:tcBorders>
              <w:top w:val="nil"/>
              <w:left w:val="nil"/>
              <w:bottom w:val="nil"/>
              <w:right w:val="nil"/>
            </w:tcBorders>
            <w:noWrap/>
            <w:vAlign w:val="bottom"/>
            <w:hideMark/>
          </w:tcPr>
          <w:p w14:paraId="4D8D7B48"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1080" w:type="dxa"/>
            <w:tcBorders>
              <w:top w:val="nil"/>
              <w:left w:val="nil"/>
              <w:bottom w:val="nil"/>
              <w:right w:val="nil"/>
            </w:tcBorders>
            <w:vAlign w:val="bottom"/>
            <w:hideMark/>
          </w:tcPr>
          <w:p w14:paraId="47BF5877" w14:textId="77777777" w:rsidR="00F26C17" w:rsidRPr="008A6BEB" w:rsidRDefault="00F26C17" w:rsidP="00F26C17">
            <w:pPr>
              <w:spacing w:after="0" w:line="240" w:lineRule="auto"/>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 xml:space="preserve"> FY2014  Discretionary Budget </w:t>
            </w:r>
          </w:p>
        </w:tc>
        <w:tc>
          <w:tcPr>
            <w:tcW w:w="990" w:type="dxa"/>
            <w:tcBorders>
              <w:top w:val="nil"/>
              <w:left w:val="nil"/>
              <w:bottom w:val="nil"/>
              <w:right w:val="nil"/>
            </w:tcBorders>
            <w:vAlign w:val="bottom"/>
            <w:hideMark/>
          </w:tcPr>
          <w:p w14:paraId="12B1A8DF" w14:textId="77777777" w:rsidR="00F26C17" w:rsidRPr="008A6BEB" w:rsidRDefault="00F26C17" w:rsidP="00F26C17">
            <w:pPr>
              <w:spacing w:after="0" w:line="240" w:lineRule="auto"/>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 xml:space="preserve"> MBE is 6% </w:t>
            </w:r>
          </w:p>
        </w:tc>
        <w:tc>
          <w:tcPr>
            <w:tcW w:w="1080" w:type="dxa"/>
            <w:tcBorders>
              <w:top w:val="nil"/>
              <w:left w:val="nil"/>
              <w:bottom w:val="nil"/>
              <w:right w:val="nil"/>
            </w:tcBorders>
            <w:vAlign w:val="bottom"/>
            <w:hideMark/>
          </w:tcPr>
          <w:p w14:paraId="44A82C1B" w14:textId="77777777" w:rsidR="00F26C17" w:rsidRPr="008A6BEB" w:rsidRDefault="00F26C17" w:rsidP="00F26C17">
            <w:pPr>
              <w:spacing w:after="0" w:line="240" w:lineRule="auto"/>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MBE actual $</w:t>
            </w:r>
          </w:p>
        </w:tc>
        <w:tc>
          <w:tcPr>
            <w:tcW w:w="720" w:type="dxa"/>
            <w:tcBorders>
              <w:top w:val="nil"/>
              <w:left w:val="nil"/>
              <w:bottom w:val="nil"/>
              <w:right w:val="nil"/>
            </w:tcBorders>
            <w:vAlign w:val="bottom"/>
            <w:hideMark/>
          </w:tcPr>
          <w:p w14:paraId="02B0F163" w14:textId="77777777" w:rsidR="00F26C17" w:rsidRPr="008A6BEB" w:rsidRDefault="00F26C17" w:rsidP="00F26C17">
            <w:pPr>
              <w:spacing w:after="0" w:line="240" w:lineRule="auto"/>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 xml:space="preserve"> MBE actual % </w:t>
            </w:r>
          </w:p>
        </w:tc>
        <w:tc>
          <w:tcPr>
            <w:tcW w:w="900" w:type="dxa"/>
            <w:tcBorders>
              <w:top w:val="nil"/>
              <w:left w:val="nil"/>
              <w:bottom w:val="nil"/>
              <w:right w:val="nil"/>
            </w:tcBorders>
            <w:vAlign w:val="bottom"/>
            <w:hideMark/>
          </w:tcPr>
          <w:p w14:paraId="592913D1" w14:textId="77777777" w:rsidR="00F26C17" w:rsidRPr="008A6BEB" w:rsidRDefault="00F26C17" w:rsidP="00F26C17">
            <w:pPr>
              <w:spacing w:after="0" w:line="240" w:lineRule="auto"/>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 xml:space="preserve"> MWBE firms are captured equally in MBE and WBE reporting </w:t>
            </w:r>
          </w:p>
        </w:tc>
        <w:tc>
          <w:tcPr>
            <w:tcW w:w="900" w:type="dxa"/>
            <w:tcBorders>
              <w:top w:val="nil"/>
              <w:left w:val="nil"/>
              <w:bottom w:val="nil"/>
              <w:right w:val="nil"/>
            </w:tcBorders>
            <w:vAlign w:val="bottom"/>
            <w:hideMark/>
          </w:tcPr>
          <w:p w14:paraId="17EA2341" w14:textId="77777777" w:rsidR="00F26C17" w:rsidRPr="008A6BEB" w:rsidRDefault="00F26C17" w:rsidP="00F26C17">
            <w:pPr>
              <w:spacing w:after="0" w:line="240" w:lineRule="auto"/>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WBE is 12%</w:t>
            </w:r>
          </w:p>
        </w:tc>
        <w:tc>
          <w:tcPr>
            <w:tcW w:w="892" w:type="dxa"/>
            <w:tcBorders>
              <w:top w:val="nil"/>
              <w:left w:val="nil"/>
              <w:bottom w:val="nil"/>
              <w:right w:val="nil"/>
            </w:tcBorders>
            <w:vAlign w:val="bottom"/>
            <w:hideMark/>
          </w:tcPr>
          <w:p w14:paraId="0C57356E" w14:textId="77777777" w:rsidR="00F26C17" w:rsidRPr="008A6BEB" w:rsidRDefault="00F26C17" w:rsidP="00F26C17">
            <w:pPr>
              <w:spacing w:after="0" w:line="240" w:lineRule="auto"/>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 xml:space="preserve"> WBE actual $ </w:t>
            </w:r>
          </w:p>
        </w:tc>
        <w:tc>
          <w:tcPr>
            <w:tcW w:w="744" w:type="dxa"/>
            <w:tcBorders>
              <w:top w:val="nil"/>
              <w:left w:val="nil"/>
              <w:bottom w:val="nil"/>
              <w:right w:val="nil"/>
            </w:tcBorders>
            <w:vAlign w:val="bottom"/>
            <w:hideMark/>
          </w:tcPr>
          <w:p w14:paraId="08A97503" w14:textId="77777777" w:rsidR="00F26C17" w:rsidRPr="008A6BEB" w:rsidRDefault="00F26C17" w:rsidP="00F26C17">
            <w:pPr>
              <w:spacing w:after="0" w:line="240" w:lineRule="auto"/>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WBE actual %</w:t>
            </w:r>
          </w:p>
        </w:tc>
        <w:tc>
          <w:tcPr>
            <w:tcW w:w="925" w:type="dxa"/>
            <w:tcBorders>
              <w:top w:val="nil"/>
              <w:left w:val="nil"/>
              <w:bottom w:val="nil"/>
              <w:right w:val="nil"/>
            </w:tcBorders>
            <w:vAlign w:val="bottom"/>
            <w:hideMark/>
          </w:tcPr>
          <w:p w14:paraId="67FAA278" w14:textId="77777777" w:rsidR="00F26C17" w:rsidRPr="008A6BEB" w:rsidRDefault="00F26C17" w:rsidP="00F26C17">
            <w:pPr>
              <w:spacing w:after="0" w:line="240" w:lineRule="auto"/>
              <w:rPr>
                <w:rFonts w:ascii="Calibri" w:eastAsia="Times New Roman" w:hAnsi="Calibri"/>
                <w:b/>
                <w:bCs/>
                <w:color w:val="000000"/>
                <w:sz w:val="12"/>
                <w:szCs w:val="12"/>
                <w:lang w:val="en-US"/>
              </w:rPr>
            </w:pPr>
          </w:p>
        </w:tc>
        <w:tc>
          <w:tcPr>
            <w:tcW w:w="949" w:type="dxa"/>
            <w:tcBorders>
              <w:top w:val="nil"/>
              <w:left w:val="nil"/>
              <w:bottom w:val="nil"/>
              <w:right w:val="nil"/>
            </w:tcBorders>
            <w:vAlign w:val="bottom"/>
            <w:hideMark/>
          </w:tcPr>
          <w:p w14:paraId="1537C025" w14:textId="77777777" w:rsidR="00F26C17" w:rsidRPr="008A6BEB" w:rsidRDefault="00F26C17" w:rsidP="00F26C17">
            <w:pPr>
              <w:spacing w:after="0" w:line="240" w:lineRule="auto"/>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 xml:space="preserve"> SBPP is 2.5% </w:t>
            </w:r>
          </w:p>
        </w:tc>
        <w:tc>
          <w:tcPr>
            <w:tcW w:w="935" w:type="dxa"/>
            <w:tcBorders>
              <w:top w:val="nil"/>
              <w:left w:val="nil"/>
              <w:bottom w:val="nil"/>
              <w:right w:val="nil"/>
            </w:tcBorders>
            <w:vAlign w:val="bottom"/>
            <w:hideMark/>
          </w:tcPr>
          <w:p w14:paraId="16D30A29" w14:textId="77777777" w:rsidR="00F26C17" w:rsidRPr="008A6BEB" w:rsidRDefault="00F26C17" w:rsidP="00F26C17">
            <w:pPr>
              <w:spacing w:after="0" w:line="240" w:lineRule="auto"/>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 xml:space="preserve"> SBPP actual $ </w:t>
            </w:r>
          </w:p>
        </w:tc>
        <w:tc>
          <w:tcPr>
            <w:tcW w:w="766" w:type="dxa"/>
            <w:tcBorders>
              <w:top w:val="nil"/>
              <w:left w:val="nil"/>
              <w:bottom w:val="nil"/>
              <w:right w:val="nil"/>
            </w:tcBorders>
            <w:noWrap/>
            <w:vAlign w:val="bottom"/>
            <w:hideMark/>
          </w:tcPr>
          <w:p w14:paraId="39397BA5" w14:textId="77777777" w:rsidR="00F26C17" w:rsidRPr="008A6BEB" w:rsidRDefault="00F26C17" w:rsidP="00F26C17">
            <w:pPr>
              <w:spacing w:after="0" w:line="240" w:lineRule="auto"/>
              <w:rPr>
                <w:rFonts w:ascii="Calibri" w:eastAsia="Times New Roman" w:hAnsi="Calibri"/>
                <w:b/>
                <w:bCs/>
                <w:color w:val="000000"/>
                <w:sz w:val="12"/>
                <w:szCs w:val="12"/>
                <w:lang w:val="en-US"/>
              </w:rPr>
            </w:pPr>
            <w:r w:rsidRPr="008A6BEB">
              <w:rPr>
                <w:rFonts w:ascii="Calibri" w:eastAsia="Times New Roman" w:hAnsi="Calibri"/>
                <w:b/>
                <w:bCs/>
                <w:color w:val="000000"/>
                <w:sz w:val="12"/>
                <w:szCs w:val="12"/>
                <w:lang w:val="en-US"/>
              </w:rPr>
              <w:t>SBPP Actual %</w:t>
            </w:r>
          </w:p>
        </w:tc>
        <w:tc>
          <w:tcPr>
            <w:tcW w:w="835" w:type="dxa"/>
            <w:tcBorders>
              <w:top w:val="nil"/>
              <w:left w:val="nil"/>
              <w:bottom w:val="nil"/>
              <w:right w:val="nil"/>
            </w:tcBorders>
            <w:noWrap/>
            <w:vAlign w:val="bottom"/>
            <w:hideMark/>
          </w:tcPr>
          <w:p w14:paraId="6D493DFC" w14:textId="77777777" w:rsidR="00F26C17" w:rsidRPr="008A6BEB" w:rsidRDefault="00F26C17" w:rsidP="00F26C17">
            <w:pPr>
              <w:spacing w:after="0" w:line="240" w:lineRule="auto"/>
              <w:rPr>
                <w:rFonts w:ascii="Calibri" w:eastAsia="Times New Roman" w:hAnsi="Calibri"/>
                <w:b/>
                <w:bCs/>
                <w:color w:val="000000"/>
                <w:sz w:val="12"/>
                <w:szCs w:val="12"/>
                <w:lang w:val="en-US"/>
              </w:rPr>
            </w:pPr>
          </w:p>
        </w:tc>
      </w:tr>
      <w:tr w:rsidR="007577F6" w:rsidRPr="007577F6" w14:paraId="2B22A1F5" w14:textId="77777777" w:rsidTr="0014292E">
        <w:trPr>
          <w:trHeight w:val="268"/>
          <w:tblHeader/>
        </w:trPr>
        <w:tc>
          <w:tcPr>
            <w:tcW w:w="540" w:type="dxa"/>
            <w:tcBorders>
              <w:top w:val="nil"/>
              <w:left w:val="nil"/>
              <w:bottom w:val="nil"/>
              <w:right w:val="nil"/>
            </w:tcBorders>
            <w:noWrap/>
            <w:vAlign w:val="bottom"/>
            <w:hideMark/>
          </w:tcPr>
          <w:p w14:paraId="64452B0D" w14:textId="77777777" w:rsidR="00F26C17" w:rsidRPr="007577F6" w:rsidRDefault="00F26C17" w:rsidP="00F26C17">
            <w:pPr>
              <w:spacing w:after="0" w:line="240" w:lineRule="auto"/>
              <w:rPr>
                <w:rFonts w:ascii="Calibri" w:eastAsia="Times New Roman" w:hAnsi="Calibri"/>
                <w:color w:val="000000"/>
                <w:sz w:val="14"/>
                <w:szCs w:val="14"/>
                <w:lang w:val="en-US"/>
              </w:rPr>
            </w:pPr>
          </w:p>
        </w:tc>
        <w:tc>
          <w:tcPr>
            <w:tcW w:w="1440" w:type="dxa"/>
            <w:tcBorders>
              <w:top w:val="single" w:sz="8" w:space="0" w:color="auto"/>
              <w:left w:val="single" w:sz="8" w:space="0" w:color="auto"/>
              <w:bottom w:val="single" w:sz="8" w:space="0" w:color="auto"/>
              <w:right w:val="nil"/>
            </w:tcBorders>
            <w:shd w:val="clear" w:color="000000" w:fill="D9D9D9"/>
            <w:vAlign w:val="bottom"/>
            <w:hideMark/>
          </w:tcPr>
          <w:p w14:paraId="4C917C45"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EXECUTIVE BRANCH BENCHMARK TOTALS</w:t>
            </w:r>
          </w:p>
        </w:tc>
        <w:tc>
          <w:tcPr>
            <w:tcW w:w="1080"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04594826" w14:textId="77777777" w:rsidR="00F26C17" w:rsidRPr="007577F6" w:rsidRDefault="00F26C17" w:rsidP="007577F6">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xml:space="preserve">$3,976,301,022 </w:t>
            </w:r>
          </w:p>
        </w:tc>
        <w:tc>
          <w:tcPr>
            <w:tcW w:w="990" w:type="dxa"/>
            <w:tcBorders>
              <w:top w:val="single" w:sz="8" w:space="0" w:color="auto"/>
              <w:left w:val="nil"/>
              <w:bottom w:val="single" w:sz="4" w:space="0" w:color="auto"/>
              <w:right w:val="single" w:sz="4" w:space="0" w:color="auto"/>
            </w:tcBorders>
            <w:shd w:val="clear" w:color="000000" w:fill="D9D9D9"/>
            <w:noWrap/>
            <w:vAlign w:val="bottom"/>
            <w:hideMark/>
          </w:tcPr>
          <w:p w14:paraId="70318E8D" w14:textId="77777777" w:rsidR="00F26C17" w:rsidRPr="007577F6" w:rsidRDefault="007577F6"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w:t>
            </w:r>
            <w:r w:rsidR="00F26C17" w:rsidRPr="007577F6">
              <w:rPr>
                <w:rFonts w:ascii="Calibri" w:eastAsia="Times New Roman" w:hAnsi="Calibri"/>
                <w:b/>
                <w:bCs/>
                <w:color w:val="000000"/>
                <w:sz w:val="12"/>
                <w:szCs w:val="12"/>
                <w:lang w:val="en-US"/>
              </w:rPr>
              <w:t xml:space="preserve">238,578,061 </w:t>
            </w:r>
          </w:p>
        </w:tc>
        <w:tc>
          <w:tcPr>
            <w:tcW w:w="1080" w:type="dxa"/>
            <w:tcBorders>
              <w:top w:val="single" w:sz="8" w:space="0" w:color="auto"/>
              <w:left w:val="nil"/>
              <w:bottom w:val="single" w:sz="4" w:space="0" w:color="auto"/>
              <w:right w:val="single" w:sz="4" w:space="0" w:color="auto"/>
            </w:tcBorders>
            <w:shd w:val="clear" w:color="000000" w:fill="D9D9D9"/>
            <w:noWrap/>
            <w:vAlign w:val="bottom"/>
            <w:hideMark/>
          </w:tcPr>
          <w:p w14:paraId="3836B2A1" w14:textId="77777777" w:rsidR="00F26C17" w:rsidRPr="007577F6" w:rsidRDefault="00F26C17" w:rsidP="00F26C17">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$246,260,169</w:t>
            </w:r>
          </w:p>
        </w:tc>
        <w:tc>
          <w:tcPr>
            <w:tcW w:w="720" w:type="dxa"/>
            <w:tcBorders>
              <w:top w:val="single" w:sz="8" w:space="0" w:color="auto"/>
              <w:left w:val="nil"/>
              <w:bottom w:val="single" w:sz="4" w:space="0" w:color="auto"/>
              <w:right w:val="single" w:sz="8" w:space="0" w:color="auto"/>
            </w:tcBorders>
            <w:shd w:val="clear" w:color="000000" w:fill="D9D9D9"/>
            <w:noWrap/>
            <w:vAlign w:val="bottom"/>
            <w:hideMark/>
          </w:tcPr>
          <w:p w14:paraId="256FAAA0"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6.19%</w:t>
            </w:r>
          </w:p>
        </w:tc>
        <w:tc>
          <w:tcPr>
            <w:tcW w:w="900" w:type="dxa"/>
            <w:tcBorders>
              <w:top w:val="single" w:sz="8" w:space="0" w:color="auto"/>
              <w:left w:val="nil"/>
              <w:bottom w:val="single" w:sz="8" w:space="0" w:color="auto"/>
              <w:right w:val="nil"/>
            </w:tcBorders>
            <w:shd w:val="clear" w:color="000000" w:fill="D9D9D9"/>
            <w:noWrap/>
            <w:vAlign w:val="bottom"/>
            <w:hideMark/>
          </w:tcPr>
          <w:p w14:paraId="47F17153"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w:t>
            </w:r>
          </w:p>
        </w:tc>
        <w:tc>
          <w:tcPr>
            <w:tcW w:w="90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149555A5" w14:textId="77777777" w:rsidR="00F26C17" w:rsidRPr="007577F6" w:rsidRDefault="007577F6"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xml:space="preserve"> $</w:t>
            </w:r>
            <w:r w:rsidR="00F26C17" w:rsidRPr="007577F6">
              <w:rPr>
                <w:rFonts w:ascii="Calibri" w:eastAsia="Times New Roman" w:hAnsi="Calibri"/>
                <w:b/>
                <w:bCs/>
                <w:color w:val="000000"/>
                <w:sz w:val="12"/>
                <w:szCs w:val="12"/>
                <w:lang w:val="en-US"/>
              </w:rPr>
              <w:t xml:space="preserve">477,156,123 </w:t>
            </w:r>
          </w:p>
        </w:tc>
        <w:tc>
          <w:tcPr>
            <w:tcW w:w="892" w:type="dxa"/>
            <w:tcBorders>
              <w:top w:val="single" w:sz="8" w:space="0" w:color="auto"/>
              <w:left w:val="nil"/>
              <w:bottom w:val="single" w:sz="4" w:space="0" w:color="auto"/>
              <w:right w:val="single" w:sz="4" w:space="0" w:color="auto"/>
            </w:tcBorders>
            <w:shd w:val="clear" w:color="000000" w:fill="D9D9D9"/>
            <w:vAlign w:val="bottom"/>
            <w:hideMark/>
          </w:tcPr>
          <w:p w14:paraId="40036246"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xml:space="preserve">$572,974,933 </w:t>
            </w:r>
          </w:p>
        </w:tc>
        <w:tc>
          <w:tcPr>
            <w:tcW w:w="744" w:type="dxa"/>
            <w:tcBorders>
              <w:top w:val="single" w:sz="8" w:space="0" w:color="auto"/>
              <w:left w:val="nil"/>
              <w:bottom w:val="single" w:sz="4" w:space="0" w:color="auto"/>
              <w:right w:val="single" w:sz="8" w:space="0" w:color="auto"/>
            </w:tcBorders>
            <w:shd w:val="clear" w:color="000000" w:fill="D9D9D9"/>
            <w:vAlign w:val="bottom"/>
            <w:hideMark/>
          </w:tcPr>
          <w:p w14:paraId="5CDDEE45"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14.41%</w:t>
            </w:r>
          </w:p>
        </w:tc>
        <w:tc>
          <w:tcPr>
            <w:tcW w:w="925" w:type="dxa"/>
            <w:tcBorders>
              <w:top w:val="single" w:sz="8" w:space="0" w:color="auto"/>
              <w:left w:val="nil"/>
              <w:bottom w:val="single" w:sz="8" w:space="0" w:color="auto"/>
              <w:right w:val="nil"/>
            </w:tcBorders>
            <w:shd w:val="clear" w:color="000000" w:fill="D9D9D9"/>
            <w:vAlign w:val="bottom"/>
            <w:hideMark/>
          </w:tcPr>
          <w:p w14:paraId="490ABAE9"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w:t>
            </w:r>
          </w:p>
        </w:tc>
        <w:tc>
          <w:tcPr>
            <w:tcW w:w="949"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3BB1616C" w14:textId="77777777" w:rsidR="00F26C17" w:rsidRPr="007577F6" w:rsidRDefault="008D1927" w:rsidP="00F26C17">
            <w:pPr>
              <w:spacing w:after="0" w:line="240" w:lineRule="auto"/>
              <w:rPr>
                <w:rFonts w:ascii="Calibri" w:eastAsia="Times New Roman" w:hAnsi="Calibri"/>
                <w:b/>
                <w:bCs/>
                <w:color w:val="000000"/>
                <w:sz w:val="12"/>
                <w:szCs w:val="12"/>
                <w:lang w:val="en-US"/>
              </w:rPr>
            </w:pPr>
            <w:r>
              <w:rPr>
                <w:rFonts w:ascii="Calibri" w:eastAsia="Times New Roman" w:hAnsi="Calibri"/>
                <w:b/>
                <w:bCs/>
                <w:color w:val="000000"/>
                <w:sz w:val="12"/>
                <w:szCs w:val="12"/>
                <w:lang w:val="en-US"/>
              </w:rPr>
              <w:t>$</w:t>
            </w:r>
            <w:r w:rsidR="00F26C17" w:rsidRPr="007577F6">
              <w:rPr>
                <w:rFonts w:ascii="Calibri" w:eastAsia="Times New Roman" w:hAnsi="Calibri"/>
                <w:b/>
                <w:bCs/>
                <w:color w:val="000000"/>
                <w:sz w:val="12"/>
                <w:szCs w:val="12"/>
                <w:lang w:val="en-US"/>
              </w:rPr>
              <w:t xml:space="preserve">99,407,526 </w:t>
            </w:r>
          </w:p>
        </w:tc>
        <w:tc>
          <w:tcPr>
            <w:tcW w:w="935" w:type="dxa"/>
            <w:tcBorders>
              <w:top w:val="single" w:sz="8" w:space="0" w:color="auto"/>
              <w:left w:val="nil"/>
              <w:bottom w:val="single" w:sz="4" w:space="0" w:color="auto"/>
              <w:right w:val="single" w:sz="4" w:space="0" w:color="auto"/>
            </w:tcBorders>
            <w:shd w:val="clear" w:color="000000" w:fill="D9D9D9"/>
            <w:vAlign w:val="bottom"/>
            <w:hideMark/>
          </w:tcPr>
          <w:p w14:paraId="1EF351D7" w14:textId="77777777" w:rsidR="00F26C17" w:rsidRPr="007577F6" w:rsidRDefault="008D1927" w:rsidP="00F26C17">
            <w:pPr>
              <w:spacing w:after="0" w:line="240" w:lineRule="auto"/>
              <w:rPr>
                <w:rFonts w:ascii="Calibri" w:eastAsia="Times New Roman" w:hAnsi="Calibri"/>
                <w:b/>
                <w:bCs/>
                <w:color w:val="000000"/>
                <w:sz w:val="12"/>
                <w:szCs w:val="12"/>
                <w:lang w:val="en-US"/>
              </w:rPr>
            </w:pPr>
            <w:r>
              <w:rPr>
                <w:rFonts w:ascii="Calibri" w:eastAsia="Times New Roman" w:hAnsi="Calibri"/>
                <w:b/>
                <w:bCs/>
                <w:color w:val="000000"/>
                <w:sz w:val="12"/>
                <w:szCs w:val="12"/>
                <w:lang w:val="en-US"/>
              </w:rPr>
              <w:t>$</w:t>
            </w:r>
            <w:r w:rsidR="00F26C17" w:rsidRPr="007577F6">
              <w:rPr>
                <w:rFonts w:ascii="Calibri" w:eastAsia="Times New Roman" w:hAnsi="Calibri"/>
                <w:b/>
                <w:bCs/>
                <w:color w:val="000000"/>
                <w:sz w:val="12"/>
                <w:szCs w:val="12"/>
                <w:lang w:val="en-US"/>
              </w:rPr>
              <w:t xml:space="preserve">140,946,043 </w:t>
            </w:r>
          </w:p>
        </w:tc>
        <w:tc>
          <w:tcPr>
            <w:tcW w:w="766" w:type="dxa"/>
            <w:tcBorders>
              <w:top w:val="single" w:sz="8" w:space="0" w:color="auto"/>
              <w:left w:val="nil"/>
              <w:bottom w:val="single" w:sz="4" w:space="0" w:color="auto"/>
              <w:right w:val="single" w:sz="8" w:space="0" w:color="auto"/>
            </w:tcBorders>
            <w:shd w:val="clear" w:color="000000" w:fill="D9D9D9"/>
            <w:vAlign w:val="bottom"/>
            <w:hideMark/>
          </w:tcPr>
          <w:p w14:paraId="77976444"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3.54%</w:t>
            </w:r>
          </w:p>
        </w:tc>
        <w:tc>
          <w:tcPr>
            <w:tcW w:w="835" w:type="dxa"/>
            <w:tcBorders>
              <w:top w:val="single" w:sz="8" w:space="0" w:color="auto"/>
              <w:left w:val="nil"/>
              <w:bottom w:val="single" w:sz="8" w:space="0" w:color="auto"/>
              <w:right w:val="single" w:sz="8" w:space="0" w:color="auto"/>
            </w:tcBorders>
            <w:shd w:val="clear" w:color="000000" w:fill="D9D9D9"/>
            <w:vAlign w:val="bottom"/>
            <w:hideMark/>
          </w:tcPr>
          <w:p w14:paraId="05EE89A1"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w:t>
            </w:r>
          </w:p>
        </w:tc>
      </w:tr>
      <w:tr w:rsidR="007577F6" w:rsidRPr="007577F6" w14:paraId="0346EFD7" w14:textId="77777777" w:rsidTr="0014292E">
        <w:trPr>
          <w:trHeight w:val="277"/>
          <w:tblHeader/>
        </w:trPr>
        <w:tc>
          <w:tcPr>
            <w:tcW w:w="540" w:type="dxa"/>
            <w:tcBorders>
              <w:top w:val="nil"/>
              <w:left w:val="nil"/>
              <w:bottom w:val="nil"/>
              <w:right w:val="nil"/>
            </w:tcBorders>
            <w:noWrap/>
            <w:vAlign w:val="bottom"/>
            <w:hideMark/>
          </w:tcPr>
          <w:p w14:paraId="6AABFDE2" w14:textId="77777777" w:rsidR="00F26C17" w:rsidRPr="007577F6" w:rsidRDefault="00F26C17" w:rsidP="00F26C17">
            <w:pPr>
              <w:spacing w:after="0" w:line="240" w:lineRule="auto"/>
              <w:rPr>
                <w:rFonts w:ascii="Calibri" w:eastAsia="Times New Roman" w:hAnsi="Calibri"/>
                <w:color w:val="000000"/>
                <w:sz w:val="14"/>
                <w:szCs w:val="14"/>
                <w:lang w:val="en-US"/>
              </w:rPr>
            </w:pPr>
          </w:p>
        </w:tc>
        <w:tc>
          <w:tcPr>
            <w:tcW w:w="1440" w:type="dxa"/>
            <w:tcBorders>
              <w:top w:val="nil"/>
              <w:left w:val="single" w:sz="8" w:space="0" w:color="auto"/>
              <w:bottom w:val="single" w:sz="8" w:space="0" w:color="auto"/>
              <w:right w:val="nil"/>
            </w:tcBorders>
            <w:shd w:val="clear" w:color="000000" w:fill="D9D9D9"/>
            <w:vAlign w:val="bottom"/>
            <w:hideMark/>
          </w:tcPr>
          <w:p w14:paraId="6337A4AF"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TOTAL INCLUDING MASS HOUSING</w:t>
            </w:r>
          </w:p>
        </w:tc>
        <w:tc>
          <w:tcPr>
            <w:tcW w:w="1080" w:type="dxa"/>
            <w:tcBorders>
              <w:top w:val="nil"/>
              <w:left w:val="single" w:sz="8" w:space="0" w:color="auto"/>
              <w:bottom w:val="single" w:sz="8" w:space="0" w:color="auto"/>
              <w:right w:val="single" w:sz="4" w:space="0" w:color="auto"/>
            </w:tcBorders>
            <w:shd w:val="clear" w:color="000000" w:fill="D9D9D9"/>
            <w:noWrap/>
            <w:vAlign w:val="bottom"/>
            <w:hideMark/>
          </w:tcPr>
          <w:p w14:paraId="68B5C8C1" w14:textId="77777777" w:rsidR="00F26C17" w:rsidRPr="007577F6" w:rsidRDefault="00F26C17" w:rsidP="007577F6">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xml:space="preserve">$3,990,824,460 </w:t>
            </w:r>
          </w:p>
        </w:tc>
        <w:tc>
          <w:tcPr>
            <w:tcW w:w="990" w:type="dxa"/>
            <w:tcBorders>
              <w:top w:val="nil"/>
              <w:left w:val="nil"/>
              <w:bottom w:val="single" w:sz="8" w:space="0" w:color="auto"/>
              <w:right w:val="single" w:sz="4" w:space="0" w:color="auto"/>
            </w:tcBorders>
            <w:shd w:val="clear" w:color="000000" w:fill="D9D9D9"/>
            <w:noWrap/>
            <w:vAlign w:val="bottom"/>
            <w:hideMark/>
          </w:tcPr>
          <w:p w14:paraId="20E385A2" w14:textId="77777777" w:rsidR="00F26C17" w:rsidRPr="007577F6" w:rsidRDefault="007577F6"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w:t>
            </w:r>
            <w:r w:rsidR="00F26C17" w:rsidRPr="007577F6">
              <w:rPr>
                <w:rFonts w:ascii="Calibri" w:eastAsia="Times New Roman" w:hAnsi="Calibri"/>
                <w:b/>
                <w:bCs/>
                <w:color w:val="000000"/>
                <w:sz w:val="12"/>
                <w:szCs w:val="12"/>
                <w:lang w:val="en-US"/>
              </w:rPr>
              <w:t xml:space="preserve">239,449,468 </w:t>
            </w:r>
          </w:p>
        </w:tc>
        <w:tc>
          <w:tcPr>
            <w:tcW w:w="1080" w:type="dxa"/>
            <w:tcBorders>
              <w:top w:val="nil"/>
              <w:left w:val="nil"/>
              <w:bottom w:val="single" w:sz="8" w:space="0" w:color="auto"/>
              <w:right w:val="single" w:sz="4" w:space="0" w:color="auto"/>
            </w:tcBorders>
            <w:shd w:val="clear" w:color="000000" w:fill="D9D9D9"/>
            <w:noWrap/>
            <w:vAlign w:val="bottom"/>
            <w:hideMark/>
          </w:tcPr>
          <w:p w14:paraId="538A5272" w14:textId="77777777" w:rsidR="00F26C17" w:rsidRPr="007577F6" w:rsidRDefault="00F26C17" w:rsidP="00F26C17">
            <w:pPr>
              <w:spacing w:after="0" w:line="240" w:lineRule="auto"/>
              <w:jc w:val="right"/>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$247,137,567.25</w:t>
            </w:r>
          </w:p>
        </w:tc>
        <w:tc>
          <w:tcPr>
            <w:tcW w:w="720" w:type="dxa"/>
            <w:tcBorders>
              <w:top w:val="nil"/>
              <w:left w:val="nil"/>
              <w:bottom w:val="single" w:sz="8" w:space="0" w:color="auto"/>
              <w:right w:val="single" w:sz="8" w:space="0" w:color="auto"/>
            </w:tcBorders>
            <w:shd w:val="clear" w:color="000000" w:fill="D9D9D9"/>
            <w:noWrap/>
            <w:vAlign w:val="bottom"/>
            <w:hideMark/>
          </w:tcPr>
          <w:p w14:paraId="7C89BAE6"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6.19%</w:t>
            </w:r>
          </w:p>
        </w:tc>
        <w:tc>
          <w:tcPr>
            <w:tcW w:w="900" w:type="dxa"/>
            <w:tcBorders>
              <w:top w:val="nil"/>
              <w:left w:val="nil"/>
              <w:bottom w:val="single" w:sz="8" w:space="0" w:color="auto"/>
              <w:right w:val="nil"/>
            </w:tcBorders>
            <w:shd w:val="clear" w:color="000000" w:fill="D9D9D9"/>
            <w:noWrap/>
            <w:vAlign w:val="bottom"/>
            <w:hideMark/>
          </w:tcPr>
          <w:p w14:paraId="4AD40171"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w:t>
            </w:r>
          </w:p>
        </w:tc>
        <w:tc>
          <w:tcPr>
            <w:tcW w:w="900" w:type="dxa"/>
            <w:tcBorders>
              <w:top w:val="nil"/>
              <w:left w:val="single" w:sz="8" w:space="0" w:color="auto"/>
              <w:bottom w:val="single" w:sz="8" w:space="0" w:color="auto"/>
              <w:right w:val="single" w:sz="4" w:space="0" w:color="auto"/>
            </w:tcBorders>
            <w:shd w:val="clear" w:color="000000" w:fill="D9D9D9"/>
            <w:vAlign w:val="bottom"/>
            <w:hideMark/>
          </w:tcPr>
          <w:p w14:paraId="42481781" w14:textId="77777777" w:rsidR="00F26C17" w:rsidRPr="007577F6" w:rsidRDefault="007577F6"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xml:space="preserve"> $</w:t>
            </w:r>
            <w:r w:rsidR="00F26C17" w:rsidRPr="007577F6">
              <w:rPr>
                <w:rFonts w:ascii="Calibri" w:eastAsia="Times New Roman" w:hAnsi="Calibri"/>
                <w:b/>
                <w:bCs/>
                <w:color w:val="000000"/>
                <w:sz w:val="12"/>
                <w:szCs w:val="12"/>
                <w:lang w:val="en-US"/>
              </w:rPr>
              <w:t xml:space="preserve">478,898,935 </w:t>
            </w:r>
          </w:p>
        </w:tc>
        <w:tc>
          <w:tcPr>
            <w:tcW w:w="892" w:type="dxa"/>
            <w:tcBorders>
              <w:top w:val="nil"/>
              <w:left w:val="nil"/>
              <w:bottom w:val="single" w:sz="8" w:space="0" w:color="auto"/>
              <w:right w:val="single" w:sz="4" w:space="0" w:color="auto"/>
            </w:tcBorders>
            <w:shd w:val="clear" w:color="000000" w:fill="D9D9D9"/>
            <w:vAlign w:val="bottom"/>
            <w:hideMark/>
          </w:tcPr>
          <w:p w14:paraId="62BA8654"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xml:space="preserve">$574,324,495 </w:t>
            </w:r>
          </w:p>
        </w:tc>
        <w:tc>
          <w:tcPr>
            <w:tcW w:w="744" w:type="dxa"/>
            <w:tcBorders>
              <w:top w:val="nil"/>
              <w:left w:val="nil"/>
              <w:bottom w:val="single" w:sz="8" w:space="0" w:color="auto"/>
              <w:right w:val="single" w:sz="8" w:space="0" w:color="auto"/>
            </w:tcBorders>
            <w:shd w:val="clear" w:color="000000" w:fill="D9D9D9"/>
            <w:vAlign w:val="bottom"/>
            <w:hideMark/>
          </w:tcPr>
          <w:p w14:paraId="28C035E2"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14.39%</w:t>
            </w:r>
          </w:p>
        </w:tc>
        <w:tc>
          <w:tcPr>
            <w:tcW w:w="925" w:type="dxa"/>
            <w:tcBorders>
              <w:top w:val="nil"/>
              <w:left w:val="nil"/>
              <w:bottom w:val="single" w:sz="8" w:space="0" w:color="auto"/>
              <w:right w:val="nil"/>
            </w:tcBorders>
            <w:shd w:val="clear" w:color="000000" w:fill="D9D9D9"/>
            <w:vAlign w:val="bottom"/>
            <w:hideMark/>
          </w:tcPr>
          <w:p w14:paraId="70DFF21F"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w:t>
            </w:r>
          </w:p>
        </w:tc>
        <w:tc>
          <w:tcPr>
            <w:tcW w:w="949" w:type="dxa"/>
            <w:tcBorders>
              <w:top w:val="nil"/>
              <w:left w:val="single" w:sz="8" w:space="0" w:color="auto"/>
              <w:bottom w:val="single" w:sz="8" w:space="0" w:color="auto"/>
              <w:right w:val="single" w:sz="4" w:space="0" w:color="auto"/>
            </w:tcBorders>
            <w:shd w:val="clear" w:color="000000" w:fill="D9D9D9"/>
            <w:vAlign w:val="bottom"/>
            <w:hideMark/>
          </w:tcPr>
          <w:p w14:paraId="5A5872FD"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xml:space="preserve"> NA </w:t>
            </w:r>
          </w:p>
        </w:tc>
        <w:tc>
          <w:tcPr>
            <w:tcW w:w="935" w:type="dxa"/>
            <w:tcBorders>
              <w:top w:val="nil"/>
              <w:left w:val="nil"/>
              <w:bottom w:val="single" w:sz="8" w:space="0" w:color="auto"/>
              <w:right w:val="single" w:sz="4" w:space="0" w:color="auto"/>
            </w:tcBorders>
            <w:shd w:val="clear" w:color="000000" w:fill="D9D9D9"/>
            <w:vAlign w:val="bottom"/>
            <w:hideMark/>
          </w:tcPr>
          <w:p w14:paraId="0E404B20"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xml:space="preserve"> NA </w:t>
            </w:r>
          </w:p>
        </w:tc>
        <w:tc>
          <w:tcPr>
            <w:tcW w:w="766" w:type="dxa"/>
            <w:tcBorders>
              <w:top w:val="nil"/>
              <w:left w:val="nil"/>
              <w:bottom w:val="single" w:sz="8" w:space="0" w:color="auto"/>
              <w:right w:val="single" w:sz="8" w:space="0" w:color="auto"/>
            </w:tcBorders>
            <w:shd w:val="clear" w:color="000000" w:fill="D9D9D9"/>
            <w:vAlign w:val="bottom"/>
            <w:hideMark/>
          </w:tcPr>
          <w:p w14:paraId="538EBDBA"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xml:space="preserve"> NA </w:t>
            </w:r>
          </w:p>
        </w:tc>
        <w:tc>
          <w:tcPr>
            <w:tcW w:w="835" w:type="dxa"/>
            <w:tcBorders>
              <w:top w:val="nil"/>
              <w:left w:val="nil"/>
              <w:bottom w:val="single" w:sz="8" w:space="0" w:color="auto"/>
              <w:right w:val="single" w:sz="8" w:space="0" w:color="auto"/>
            </w:tcBorders>
            <w:shd w:val="clear" w:color="000000" w:fill="D9D9D9"/>
            <w:vAlign w:val="bottom"/>
            <w:hideMark/>
          </w:tcPr>
          <w:p w14:paraId="26115DC4" w14:textId="77777777" w:rsidR="00F26C17" w:rsidRPr="007577F6" w:rsidRDefault="00F26C17" w:rsidP="00F26C17">
            <w:pPr>
              <w:spacing w:after="0" w:line="240" w:lineRule="auto"/>
              <w:rPr>
                <w:rFonts w:ascii="Calibri" w:eastAsia="Times New Roman" w:hAnsi="Calibri"/>
                <w:b/>
                <w:bCs/>
                <w:color w:val="000000"/>
                <w:sz w:val="12"/>
                <w:szCs w:val="12"/>
                <w:lang w:val="en-US"/>
              </w:rPr>
            </w:pPr>
            <w:r w:rsidRPr="007577F6">
              <w:rPr>
                <w:rFonts w:ascii="Calibri" w:eastAsia="Times New Roman" w:hAnsi="Calibri"/>
                <w:b/>
                <w:bCs/>
                <w:color w:val="000000"/>
                <w:sz w:val="12"/>
                <w:szCs w:val="12"/>
                <w:lang w:val="en-US"/>
              </w:rPr>
              <w:t> </w:t>
            </w:r>
          </w:p>
        </w:tc>
      </w:tr>
      <w:tr w:rsidR="007577F6" w:rsidRPr="007577F6" w14:paraId="7DB89E7B" w14:textId="77777777" w:rsidTr="0014292E">
        <w:trPr>
          <w:trHeight w:val="50"/>
          <w:tblHeader/>
        </w:trPr>
        <w:tc>
          <w:tcPr>
            <w:tcW w:w="540" w:type="dxa"/>
            <w:tcBorders>
              <w:top w:val="nil"/>
              <w:left w:val="nil"/>
              <w:bottom w:val="nil"/>
              <w:right w:val="nil"/>
            </w:tcBorders>
            <w:noWrap/>
            <w:vAlign w:val="bottom"/>
            <w:hideMark/>
          </w:tcPr>
          <w:p w14:paraId="536BB118" w14:textId="77777777" w:rsidR="00F26C17" w:rsidRPr="007577F6" w:rsidRDefault="00F26C17" w:rsidP="00F26C17">
            <w:pPr>
              <w:spacing w:after="0" w:line="240" w:lineRule="auto"/>
              <w:rPr>
                <w:rFonts w:ascii="Calibri" w:eastAsia="Times New Roman" w:hAnsi="Calibri"/>
                <w:color w:val="000000"/>
                <w:sz w:val="14"/>
                <w:szCs w:val="14"/>
                <w:lang w:val="en-US"/>
              </w:rPr>
            </w:pPr>
          </w:p>
        </w:tc>
        <w:tc>
          <w:tcPr>
            <w:tcW w:w="1440" w:type="dxa"/>
            <w:tcBorders>
              <w:top w:val="nil"/>
              <w:left w:val="nil"/>
              <w:bottom w:val="nil"/>
              <w:right w:val="nil"/>
            </w:tcBorders>
            <w:noWrap/>
            <w:vAlign w:val="bottom"/>
            <w:hideMark/>
          </w:tcPr>
          <w:p w14:paraId="6575C314"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1080" w:type="dxa"/>
            <w:tcBorders>
              <w:top w:val="nil"/>
              <w:left w:val="nil"/>
              <w:bottom w:val="nil"/>
              <w:right w:val="nil"/>
            </w:tcBorders>
            <w:noWrap/>
            <w:vAlign w:val="bottom"/>
            <w:hideMark/>
          </w:tcPr>
          <w:p w14:paraId="71C9D38B"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990" w:type="dxa"/>
            <w:tcBorders>
              <w:top w:val="nil"/>
              <w:left w:val="nil"/>
              <w:bottom w:val="nil"/>
              <w:right w:val="nil"/>
            </w:tcBorders>
            <w:noWrap/>
            <w:vAlign w:val="bottom"/>
            <w:hideMark/>
          </w:tcPr>
          <w:p w14:paraId="66C5704F"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1080" w:type="dxa"/>
            <w:tcBorders>
              <w:top w:val="nil"/>
              <w:left w:val="nil"/>
              <w:bottom w:val="nil"/>
              <w:right w:val="nil"/>
            </w:tcBorders>
            <w:noWrap/>
            <w:vAlign w:val="bottom"/>
            <w:hideMark/>
          </w:tcPr>
          <w:p w14:paraId="3F72676F"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720" w:type="dxa"/>
            <w:tcBorders>
              <w:top w:val="nil"/>
              <w:left w:val="nil"/>
              <w:bottom w:val="nil"/>
              <w:right w:val="nil"/>
            </w:tcBorders>
            <w:noWrap/>
            <w:vAlign w:val="bottom"/>
            <w:hideMark/>
          </w:tcPr>
          <w:p w14:paraId="22F6D3E9"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900" w:type="dxa"/>
            <w:tcBorders>
              <w:top w:val="nil"/>
              <w:left w:val="nil"/>
              <w:bottom w:val="nil"/>
              <w:right w:val="nil"/>
            </w:tcBorders>
            <w:noWrap/>
            <w:vAlign w:val="bottom"/>
            <w:hideMark/>
          </w:tcPr>
          <w:p w14:paraId="722C492A"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900" w:type="dxa"/>
            <w:tcBorders>
              <w:top w:val="nil"/>
              <w:left w:val="nil"/>
              <w:bottom w:val="nil"/>
              <w:right w:val="nil"/>
            </w:tcBorders>
            <w:noWrap/>
            <w:vAlign w:val="bottom"/>
            <w:hideMark/>
          </w:tcPr>
          <w:p w14:paraId="27FFC0F4"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892" w:type="dxa"/>
            <w:tcBorders>
              <w:top w:val="nil"/>
              <w:left w:val="nil"/>
              <w:bottom w:val="nil"/>
              <w:right w:val="nil"/>
            </w:tcBorders>
            <w:noWrap/>
            <w:vAlign w:val="bottom"/>
            <w:hideMark/>
          </w:tcPr>
          <w:p w14:paraId="199A0B50"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744" w:type="dxa"/>
            <w:tcBorders>
              <w:top w:val="nil"/>
              <w:left w:val="nil"/>
              <w:bottom w:val="nil"/>
              <w:right w:val="nil"/>
            </w:tcBorders>
            <w:noWrap/>
            <w:vAlign w:val="bottom"/>
            <w:hideMark/>
          </w:tcPr>
          <w:p w14:paraId="45B0B828"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925" w:type="dxa"/>
            <w:tcBorders>
              <w:top w:val="nil"/>
              <w:left w:val="nil"/>
              <w:bottom w:val="nil"/>
              <w:right w:val="nil"/>
            </w:tcBorders>
            <w:noWrap/>
            <w:vAlign w:val="bottom"/>
            <w:hideMark/>
          </w:tcPr>
          <w:p w14:paraId="2795A3EF"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949" w:type="dxa"/>
            <w:tcBorders>
              <w:top w:val="nil"/>
              <w:left w:val="nil"/>
              <w:bottom w:val="nil"/>
              <w:right w:val="nil"/>
            </w:tcBorders>
            <w:noWrap/>
            <w:vAlign w:val="bottom"/>
            <w:hideMark/>
          </w:tcPr>
          <w:p w14:paraId="32BED3A7"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935" w:type="dxa"/>
            <w:tcBorders>
              <w:top w:val="nil"/>
              <w:left w:val="nil"/>
              <w:bottom w:val="nil"/>
              <w:right w:val="nil"/>
            </w:tcBorders>
            <w:noWrap/>
            <w:vAlign w:val="bottom"/>
            <w:hideMark/>
          </w:tcPr>
          <w:p w14:paraId="5DCA809D"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766" w:type="dxa"/>
            <w:tcBorders>
              <w:top w:val="nil"/>
              <w:left w:val="nil"/>
              <w:bottom w:val="nil"/>
              <w:right w:val="nil"/>
            </w:tcBorders>
            <w:noWrap/>
            <w:vAlign w:val="bottom"/>
            <w:hideMark/>
          </w:tcPr>
          <w:p w14:paraId="3CB4E3CC"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835" w:type="dxa"/>
            <w:tcBorders>
              <w:top w:val="nil"/>
              <w:left w:val="nil"/>
              <w:bottom w:val="nil"/>
              <w:right w:val="nil"/>
            </w:tcBorders>
            <w:noWrap/>
            <w:vAlign w:val="bottom"/>
            <w:hideMark/>
          </w:tcPr>
          <w:p w14:paraId="0293DE02" w14:textId="77777777" w:rsidR="00F26C17" w:rsidRPr="007577F6" w:rsidRDefault="00F26C17" w:rsidP="00F26C17">
            <w:pPr>
              <w:spacing w:after="0" w:line="240" w:lineRule="auto"/>
              <w:rPr>
                <w:rFonts w:ascii="Calibri" w:eastAsia="Times New Roman" w:hAnsi="Calibri"/>
                <w:color w:val="000000"/>
                <w:sz w:val="12"/>
                <w:szCs w:val="12"/>
                <w:lang w:val="en-US"/>
              </w:rPr>
            </w:pPr>
          </w:p>
        </w:tc>
      </w:tr>
      <w:tr w:rsidR="007577F6" w:rsidRPr="007577F6" w14:paraId="75ED8D5F" w14:textId="77777777" w:rsidTr="0014292E">
        <w:trPr>
          <w:trHeight w:val="124"/>
          <w:tblHeader/>
        </w:trPr>
        <w:tc>
          <w:tcPr>
            <w:tcW w:w="540" w:type="dxa"/>
            <w:tcBorders>
              <w:top w:val="nil"/>
              <w:left w:val="nil"/>
              <w:bottom w:val="nil"/>
              <w:right w:val="nil"/>
            </w:tcBorders>
            <w:noWrap/>
            <w:vAlign w:val="bottom"/>
            <w:hideMark/>
          </w:tcPr>
          <w:p w14:paraId="2EA4D7E3" w14:textId="77777777" w:rsidR="00F26C17" w:rsidRPr="007577F6" w:rsidRDefault="00F26C17" w:rsidP="00F26C17">
            <w:pPr>
              <w:spacing w:after="0" w:line="240" w:lineRule="auto"/>
              <w:rPr>
                <w:rFonts w:ascii="Calibri" w:eastAsia="Times New Roman" w:hAnsi="Calibri"/>
                <w:color w:val="000000"/>
                <w:sz w:val="14"/>
                <w:szCs w:val="14"/>
                <w:lang w:val="en-US"/>
              </w:rPr>
            </w:pPr>
          </w:p>
        </w:tc>
        <w:tc>
          <w:tcPr>
            <w:tcW w:w="3510" w:type="dxa"/>
            <w:gridSpan w:val="3"/>
            <w:tcBorders>
              <w:top w:val="single" w:sz="8" w:space="0" w:color="auto"/>
              <w:left w:val="single" w:sz="8" w:space="0" w:color="auto"/>
              <w:bottom w:val="single" w:sz="8" w:space="0" w:color="auto"/>
              <w:right w:val="nil"/>
            </w:tcBorders>
            <w:shd w:val="clear" w:color="000000" w:fill="0000FF"/>
            <w:noWrap/>
            <w:vAlign w:val="bottom"/>
            <w:hideMark/>
          </w:tcPr>
          <w:p w14:paraId="04FAEBF8" w14:textId="77777777" w:rsidR="00F26C17" w:rsidRPr="007577F6" w:rsidRDefault="00F26C17" w:rsidP="00F26C17">
            <w:pPr>
              <w:spacing w:after="0" w:line="240" w:lineRule="auto"/>
              <w:jc w:val="center"/>
              <w:rPr>
                <w:rFonts w:ascii="Calibri" w:eastAsia="Times New Roman" w:hAnsi="Calibri"/>
                <w:b/>
                <w:bCs/>
                <w:color w:val="DAEEF3"/>
                <w:sz w:val="12"/>
                <w:szCs w:val="12"/>
                <w:lang w:val="en-US"/>
              </w:rPr>
            </w:pPr>
            <w:r w:rsidRPr="007577F6">
              <w:rPr>
                <w:rFonts w:ascii="Calibri" w:eastAsia="Times New Roman" w:hAnsi="Calibri"/>
                <w:b/>
                <w:bCs/>
                <w:color w:val="DAEEF3"/>
                <w:sz w:val="12"/>
                <w:szCs w:val="12"/>
                <w:lang w:val="en-US"/>
              </w:rPr>
              <w:t>Good and Services: MBE, WBE and SBPP Total Spending Year to date</w:t>
            </w:r>
          </w:p>
        </w:tc>
        <w:tc>
          <w:tcPr>
            <w:tcW w:w="1080" w:type="dxa"/>
            <w:tcBorders>
              <w:top w:val="single" w:sz="8" w:space="0" w:color="auto"/>
              <w:left w:val="nil"/>
              <w:bottom w:val="single" w:sz="8" w:space="0" w:color="auto"/>
              <w:right w:val="single" w:sz="8" w:space="0" w:color="auto"/>
            </w:tcBorders>
            <w:shd w:val="clear" w:color="000000" w:fill="0000FF"/>
            <w:noWrap/>
            <w:vAlign w:val="bottom"/>
            <w:hideMark/>
          </w:tcPr>
          <w:p w14:paraId="293B4E08" w14:textId="77777777" w:rsidR="00F26C17" w:rsidRPr="007577F6" w:rsidRDefault="00F26C17" w:rsidP="00F26C17">
            <w:pPr>
              <w:spacing w:after="0" w:line="240" w:lineRule="auto"/>
              <w:jc w:val="right"/>
              <w:rPr>
                <w:rFonts w:ascii="Calibri" w:eastAsia="Times New Roman" w:hAnsi="Calibri"/>
                <w:b/>
                <w:bCs/>
                <w:color w:val="DAEEF3"/>
                <w:sz w:val="12"/>
                <w:szCs w:val="12"/>
                <w:lang w:val="en-US"/>
              </w:rPr>
            </w:pPr>
            <w:r w:rsidRPr="007577F6">
              <w:rPr>
                <w:rFonts w:ascii="Calibri" w:eastAsia="Times New Roman" w:hAnsi="Calibri"/>
                <w:b/>
                <w:bCs/>
                <w:color w:val="DAEEF3"/>
                <w:sz w:val="12"/>
                <w:szCs w:val="12"/>
                <w:lang w:val="en-US"/>
              </w:rPr>
              <w:t>$962,408,106</w:t>
            </w:r>
          </w:p>
        </w:tc>
        <w:tc>
          <w:tcPr>
            <w:tcW w:w="720" w:type="dxa"/>
            <w:tcBorders>
              <w:top w:val="nil"/>
              <w:left w:val="nil"/>
              <w:bottom w:val="nil"/>
              <w:right w:val="nil"/>
            </w:tcBorders>
            <w:noWrap/>
            <w:vAlign w:val="bottom"/>
            <w:hideMark/>
          </w:tcPr>
          <w:p w14:paraId="632D4093"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900" w:type="dxa"/>
            <w:tcBorders>
              <w:top w:val="nil"/>
              <w:left w:val="nil"/>
              <w:bottom w:val="nil"/>
              <w:right w:val="nil"/>
            </w:tcBorders>
            <w:noWrap/>
            <w:vAlign w:val="bottom"/>
            <w:hideMark/>
          </w:tcPr>
          <w:p w14:paraId="5A134608"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900" w:type="dxa"/>
            <w:tcBorders>
              <w:top w:val="nil"/>
              <w:left w:val="nil"/>
              <w:bottom w:val="nil"/>
              <w:right w:val="nil"/>
            </w:tcBorders>
            <w:noWrap/>
            <w:vAlign w:val="bottom"/>
            <w:hideMark/>
          </w:tcPr>
          <w:p w14:paraId="307279B3"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892" w:type="dxa"/>
            <w:tcBorders>
              <w:top w:val="nil"/>
              <w:left w:val="nil"/>
              <w:bottom w:val="nil"/>
              <w:right w:val="nil"/>
            </w:tcBorders>
            <w:noWrap/>
            <w:vAlign w:val="bottom"/>
            <w:hideMark/>
          </w:tcPr>
          <w:p w14:paraId="32B384DF"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744" w:type="dxa"/>
            <w:tcBorders>
              <w:top w:val="nil"/>
              <w:left w:val="nil"/>
              <w:bottom w:val="nil"/>
              <w:right w:val="nil"/>
            </w:tcBorders>
            <w:noWrap/>
            <w:vAlign w:val="bottom"/>
            <w:hideMark/>
          </w:tcPr>
          <w:p w14:paraId="2BFD255F"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925" w:type="dxa"/>
            <w:tcBorders>
              <w:top w:val="nil"/>
              <w:left w:val="nil"/>
              <w:bottom w:val="nil"/>
              <w:right w:val="nil"/>
            </w:tcBorders>
            <w:noWrap/>
            <w:vAlign w:val="bottom"/>
            <w:hideMark/>
          </w:tcPr>
          <w:p w14:paraId="298F767E"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949" w:type="dxa"/>
            <w:tcBorders>
              <w:top w:val="nil"/>
              <w:left w:val="nil"/>
              <w:bottom w:val="nil"/>
              <w:right w:val="nil"/>
            </w:tcBorders>
            <w:noWrap/>
            <w:vAlign w:val="bottom"/>
            <w:hideMark/>
          </w:tcPr>
          <w:p w14:paraId="7FC19676"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935" w:type="dxa"/>
            <w:tcBorders>
              <w:top w:val="nil"/>
              <w:left w:val="nil"/>
              <w:bottom w:val="nil"/>
              <w:right w:val="nil"/>
            </w:tcBorders>
            <w:noWrap/>
            <w:vAlign w:val="bottom"/>
            <w:hideMark/>
          </w:tcPr>
          <w:p w14:paraId="40B63324"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766" w:type="dxa"/>
            <w:tcBorders>
              <w:top w:val="nil"/>
              <w:left w:val="nil"/>
              <w:bottom w:val="nil"/>
              <w:right w:val="nil"/>
            </w:tcBorders>
            <w:noWrap/>
            <w:vAlign w:val="bottom"/>
            <w:hideMark/>
          </w:tcPr>
          <w:p w14:paraId="28D4B2BD" w14:textId="77777777" w:rsidR="00F26C17" w:rsidRPr="007577F6" w:rsidRDefault="00F26C17" w:rsidP="00F26C17">
            <w:pPr>
              <w:spacing w:after="0" w:line="240" w:lineRule="auto"/>
              <w:rPr>
                <w:rFonts w:ascii="Calibri" w:eastAsia="Times New Roman" w:hAnsi="Calibri"/>
                <w:color w:val="000000"/>
                <w:sz w:val="12"/>
                <w:szCs w:val="12"/>
                <w:lang w:val="en-US"/>
              </w:rPr>
            </w:pPr>
          </w:p>
        </w:tc>
        <w:tc>
          <w:tcPr>
            <w:tcW w:w="835" w:type="dxa"/>
            <w:tcBorders>
              <w:top w:val="nil"/>
              <w:left w:val="nil"/>
              <w:bottom w:val="nil"/>
              <w:right w:val="nil"/>
            </w:tcBorders>
            <w:noWrap/>
            <w:vAlign w:val="bottom"/>
            <w:hideMark/>
          </w:tcPr>
          <w:p w14:paraId="02D9BB28" w14:textId="77777777" w:rsidR="00F26C17" w:rsidRPr="007577F6" w:rsidRDefault="00F26C17" w:rsidP="00F26C17">
            <w:pPr>
              <w:spacing w:after="0" w:line="240" w:lineRule="auto"/>
              <w:rPr>
                <w:rFonts w:ascii="Calibri" w:eastAsia="Times New Roman" w:hAnsi="Calibri"/>
                <w:color w:val="000000"/>
                <w:sz w:val="12"/>
                <w:szCs w:val="12"/>
                <w:lang w:val="en-US"/>
              </w:rPr>
            </w:pPr>
          </w:p>
        </w:tc>
      </w:tr>
    </w:tbl>
    <w:p w14:paraId="35557D49" w14:textId="77777777" w:rsidR="001A0566" w:rsidRDefault="001A0566" w:rsidP="00C55994">
      <w:pPr>
        <w:jc w:val="center"/>
        <w:rPr>
          <w:sz w:val="16"/>
          <w:szCs w:val="16"/>
        </w:rPr>
      </w:pPr>
    </w:p>
    <w:tbl>
      <w:tblPr>
        <w:tblW w:w="13695" w:type="dxa"/>
        <w:tblInd w:w="-972" w:type="dxa"/>
        <w:tblLayout w:type="fixed"/>
        <w:tblLook w:val="04A0" w:firstRow="1" w:lastRow="0" w:firstColumn="1" w:lastColumn="0" w:noHBand="0" w:noVBand="1"/>
      </w:tblPr>
      <w:tblGrid>
        <w:gridCol w:w="664"/>
        <w:gridCol w:w="649"/>
        <w:gridCol w:w="4031"/>
        <w:gridCol w:w="1260"/>
        <w:gridCol w:w="1170"/>
        <w:gridCol w:w="1260"/>
        <w:gridCol w:w="1080"/>
        <w:gridCol w:w="1170"/>
        <w:gridCol w:w="1151"/>
        <w:gridCol w:w="1260"/>
      </w:tblGrid>
      <w:tr w:rsidR="003F0AFC" w:rsidRPr="003F0AFC" w14:paraId="286FFEE1" w14:textId="77777777" w:rsidTr="009050D8">
        <w:trPr>
          <w:trHeight w:val="575"/>
        </w:trPr>
        <w:tc>
          <w:tcPr>
            <w:tcW w:w="664" w:type="dxa"/>
            <w:tcBorders>
              <w:top w:val="single" w:sz="4" w:space="0" w:color="000000"/>
              <w:left w:val="single" w:sz="4" w:space="0" w:color="000000"/>
              <w:bottom w:val="nil"/>
              <w:right w:val="single" w:sz="4" w:space="0" w:color="000000"/>
            </w:tcBorders>
            <w:shd w:val="clear" w:color="000000" w:fill="E26B0A"/>
            <w:vAlign w:val="bottom"/>
            <w:hideMark/>
          </w:tcPr>
          <w:p w14:paraId="2BB4292B" w14:textId="77777777" w:rsidR="003F0AFC" w:rsidRPr="00E67D16" w:rsidRDefault="003F0AFC" w:rsidP="003F0AFC">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Secretariat</w:t>
            </w:r>
          </w:p>
        </w:tc>
        <w:tc>
          <w:tcPr>
            <w:tcW w:w="649" w:type="dxa"/>
            <w:tcBorders>
              <w:top w:val="single" w:sz="4" w:space="0" w:color="000000"/>
              <w:left w:val="nil"/>
              <w:bottom w:val="nil"/>
              <w:right w:val="single" w:sz="4" w:space="0" w:color="000000"/>
            </w:tcBorders>
            <w:shd w:val="clear" w:color="000000" w:fill="E26B0A"/>
            <w:vAlign w:val="bottom"/>
            <w:hideMark/>
          </w:tcPr>
          <w:p w14:paraId="399C33AF" w14:textId="77777777" w:rsidR="003F0AFC" w:rsidRPr="00E67D16" w:rsidRDefault="003F0AFC" w:rsidP="00F8162C">
            <w:pPr>
              <w:spacing w:after="0" w:line="240" w:lineRule="auto"/>
              <w:ind w:right="-89"/>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Agency Code</w:t>
            </w:r>
          </w:p>
        </w:tc>
        <w:tc>
          <w:tcPr>
            <w:tcW w:w="4031" w:type="dxa"/>
            <w:tcBorders>
              <w:top w:val="single" w:sz="4" w:space="0" w:color="auto"/>
              <w:left w:val="nil"/>
              <w:bottom w:val="nil"/>
              <w:right w:val="single" w:sz="4" w:space="0" w:color="auto"/>
            </w:tcBorders>
            <w:shd w:val="clear" w:color="000000" w:fill="E26B0A"/>
            <w:vAlign w:val="bottom"/>
            <w:hideMark/>
          </w:tcPr>
          <w:p w14:paraId="38778AFB" w14:textId="77777777" w:rsidR="003F0AFC" w:rsidRPr="00E67D16" w:rsidRDefault="003F0AFC" w:rsidP="003F0AFC">
            <w:pPr>
              <w:spacing w:after="0" w:line="240" w:lineRule="auto"/>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Department Name</w:t>
            </w:r>
          </w:p>
        </w:tc>
        <w:tc>
          <w:tcPr>
            <w:tcW w:w="1260" w:type="dxa"/>
            <w:tcBorders>
              <w:top w:val="single" w:sz="4" w:space="0" w:color="auto"/>
              <w:left w:val="nil"/>
              <w:bottom w:val="nil"/>
              <w:right w:val="single" w:sz="4" w:space="0" w:color="auto"/>
            </w:tcBorders>
            <w:shd w:val="clear" w:color="000000" w:fill="E26B0A"/>
            <w:vAlign w:val="bottom"/>
            <w:hideMark/>
          </w:tcPr>
          <w:p w14:paraId="5D1B80D2" w14:textId="77777777" w:rsidR="003F0AFC" w:rsidRPr="00E67D16" w:rsidRDefault="003F0AFC" w:rsidP="003F0AFC">
            <w:pPr>
              <w:spacing w:after="0" w:line="240" w:lineRule="auto"/>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FY2014 Discretionary Budget</w:t>
            </w:r>
          </w:p>
        </w:tc>
        <w:tc>
          <w:tcPr>
            <w:tcW w:w="1170" w:type="dxa"/>
            <w:tcBorders>
              <w:top w:val="single" w:sz="4" w:space="0" w:color="auto"/>
              <w:left w:val="nil"/>
              <w:bottom w:val="nil"/>
              <w:right w:val="single" w:sz="4" w:space="0" w:color="auto"/>
            </w:tcBorders>
            <w:shd w:val="clear" w:color="000000" w:fill="E26B0A"/>
            <w:vAlign w:val="bottom"/>
            <w:hideMark/>
          </w:tcPr>
          <w:p w14:paraId="0329D6A1" w14:textId="77777777" w:rsidR="003F0AFC" w:rsidRPr="00E67D16" w:rsidRDefault="003F0AFC" w:rsidP="003F0AFC">
            <w:pPr>
              <w:spacing w:after="0" w:line="240" w:lineRule="auto"/>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FY2014 MBE Benchmark 6% of Discretionary</w:t>
            </w:r>
          </w:p>
        </w:tc>
        <w:tc>
          <w:tcPr>
            <w:tcW w:w="1260" w:type="dxa"/>
            <w:tcBorders>
              <w:top w:val="single" w:sz="4" w:space="0" w:color="auto"/>
              <w:left w:val="nil"/>
              <w:bottom w:val="nil"/>
              <w:right w:val="single" w:sz="4" w:space="0" w:color="auto"/>
            </w:tcBorders>
            <w:shd w:val="clear" w:color="000000" w:fill="E26B0A"/>
            <w:vAlign w:val="bottom"/>
            <w:hideMark/>
          </w:tcPr>
          <w:p w14:paraId="771B85E6" w14:textId="77777777" w:rsidR="003F0AFC" w:rsidRPr="00E67D16" w:rsidRDefault="003F0AFC" w:rsidP="003F0AFC">
            <w:pPr>
              <w:spacing w:after="0" w:line="240" w:lineRule="auto"/>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 xml:space="preserve">MBE Expenditure FY2014 Final Spending Q4 </w:t>
            </w:r>
          </w:p>
        </w:tc>
        <w:tc>
          <w:tcPr>
            <w:tcW w:w="1080" w:type="dxa"/>
            <w:tcBorders>
              <w:top w:val="single" w:sz="4" w:space="0" w:color="auto"/>
              <w:left w:val="nil"/>
              <w:bottom w:val="nil"/>
              <w:right w:val="single" w:sz="4" w:space="0" w:color="auto"/>
            </w:tcBorders>
            <w:shd w:val="clear" w:color="000000" w:fill="E26B0A"/>
            <w:vAlign w:val="bottom"/>
            <w:hideMark/>
          </w:tcPr>
          <w:p w14:paraId="75ECB739" w14:textId="77777777" w:rsidR="003F0AFC" w:rsidRPr="00E67D16" w:rsidRDefault="003F0AFC" w:rsidP="003F0AFC">
            <w:pPr>
              <w:spacing w:after="0" w:line="240" w:lineRule="auto"/>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 xml:space="preserve">Subcontracting </w:t>
            </w:r>
          </w:p>
        </w:tc>
        <w:tc>
          <w:tcPr>
            <w:tcW w:w="1170" w:type="dxa"/>
            <w:tcBorders>
              <w:top w:val="single" w:sz="4" w:space="0" w:color="auto"/>
              <w:left w:val="nil"/>
              <w:bottom w:val="nil"/>
              <w:right w:val="single" w:sz="4" w:space="0" w:color="auto"/>
            </w:tcBorders>
            <w:shd w:val="clear" w:color="000000" w:fill="E26B0A"/>
            <w:vAlign w:val="bottom"/>
            <w:hideMark/>
          </w:tcPr>
          <w:p w14:paraId="153E016B" w14:textId="77777777" w:rsidR="003F0AFC" w:rsidRPr="00E67D16" w:rsidRDefault="003F0AFC" w:rsidP="003F0AFC">
            <w:pPr>
              <w:spacing w:after="0" w:line="240" w:lineRule="auto"/>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MBE FY2014 Total Final Spending</w:t>
            </w:r>
          </w:p>
        </w:tc>
        <w:tc>
          <w:tcPr>
            <w:tcW w:w="1151" w:type="dxa"/>
            <w:tcBorders>
              <w:top w:val="single" w:sz="4" w:space="0" w:color="auto"/>
              <w:left w:val="nil"/>
              <w:bottom w:val="nil"/>
              <w:right w:val="single" w:sz="4" w:space="0" w:color="auto"/>
            </w:tcBorders>
            <w:shd w:val="clear" w:color="000000" w:fill="E26B0A"/>
            <w:vAlign w:val="bottom"/>
            <w:hideMark/>
          </w:tcPr>
          <w:p w14:paraId="06C91528" w14:textId="77777777" w:rsidR="003F0AFC" w:rsidRPr="00E67D16" w:rsidRDefault="003F0AFC" w:rsidP="003F0AFC">
            <w:pPr>
              <w:spacing w:after="0" w:line="240" w:lineRule="auto"/>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MBE Year To Date Variance from 6% Benchmark as a percentage</w:t>
            </w:r>
          </w:p>
        </w:tc>
        <w:tc>
          <w:tcPr>
            <w:tcW w:w="1260" w:type="dxa"/>
            <w:tcBorders>
              <w:top w:val="single" w:sz="4" w:space="0" w:color="auto"/>
              <w:left w:val="nil"/>
              <w:bottom w:val="nil"/>
              <w:right w:val="single" w:sz="4" w:space="0" w:color="auto"/>
            </w:tcBorders>
            <w:shd w:val="clear" w:color="000000" w:fill="E26B0A"/>
            <w:vAlign w:val="bottom"/>
            <w:hideMark/>
          </w:tcPr>
          <w:p w14:paraId="6B3D443E" w14:textId="77777777" w:rsidR="003F0AFC" w:rsidRPr="00E67D16" w:rsidRDefault="003F0AFC" w:rsidP="003F0AFC">
            <w:pPr>
              <w:spacing w:after="0" w:line="240" w:lineRule="auto"/>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 xml:space="preserve">MBE Year to Date Variance from 6% Benchmark </w:t>
            </w:r>
            <w:proofErr w:type="spellStart"/>
            <w:r w:rsidRPr="00E67D16">
              <w:rPr>
                <w:rFonts w:ascii="Calibri" w:eastAsia="Times New Roman" w:hAnsi="Calibri"/>
                <w:b/>
                <w:bCs/>
                <w:color w:val="000000"/>
                <w:sz w:val="12"/>
                <w:szCs w:val="12"/>
                <w:lang w:val="en-US"/>
              </w:rPr>
              <w:t>Hn</w:t>
            </w:r>
            <w:proofErr w:type="spellEnd"/>
            <w:r w:rsidRPr="00E67D16">
              <w:rPr>
                <w:rFonts w:ascii="Calibri" w:eastAsia="Times New Roman" w:hAnsi="Calibri"/>
                <w:b/>
                <w:bCs/>
                <w:color w:val="000000"/>
                <w:sz w:val="12"/>
                <w:szCs w:val="12"/>
                <w:lang w:val="en-US"/>
              </w:rPr>
              <w:t xml:space="preserve"> dollars</w:t>
            </w:r>
          </w:p>
        </w:tc>
      </w:tr>
      <w:tr w:rsidR="003F0AFC" w:rsidRPr="003F0AFC" w14:paraId="337EE7D7" w14:textId="77777777" w:rsidTr="009050D8">
        <w:trPr>
          <w:trHeight w:val="170"/>
        </w:trPr>
        <w:tc>
          <w:tcPr>
            <w:tcW w:w="664" w:type="dxa"/>
            <w:tcBorders>
              <w:top w:val="single" w:sz="4" w:space="0" w:color="auto"/>
              <w:left w:val="single" w:sz="4" w:space="0" w:color="auto"/>
              <w:bottom w:val="single" w:sz="4" w:space="0" w:color="auto"/>
              <w:right w:val="single" w:sz="4" w:space="0" w:color="auto"/>
            </w:tcBorders>
            <w:vAlign w:val="bottom"/>
            <w:hideMark/>
          </w:tcPr>
          <w:p w14:paraId="6B91B70E"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49" w:type="dxa"/>
            <w:tcBorders>
              <w:top w:val="single" w:sz="4" w:space="0" w:color="auto"/>
              <w:left w:val="nil"/>
              <w:bottom w:val="single" w:sz="4" w:space="0" w:color="auto"/>
              <w:right w:val="single" w:sz="4" w:space="0" w:color="auto"/>
            </w:tcBorders>
            <w:vAlign w:val="bottom"/>
            <w:hideMark/>
          </w:tcPr>
          <w:p w14:paraId="50289290"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ALA</w:t>
            </w:r>
          </w:p>
        </w:tc>
        <w:tc>
          <w:tcPr>
            <w:tcW w:w="4031" w:type="dxa"/>
            <w:tcBorders>
              <w:top w:val="single" w:sz="4" w:space="0" w:color="auto"/>
              <w:left w:val="nil"/>
              <w:bottom w:val="single" w:sz="4" w:space="0" w:color="auto"/>
              <w:right w:val="single" w:sz="4" w:space="0" w:color="auto"/>
            </w:tcBorders>
            <w:vAlign w:val="bottom"/>
            <w:hideMark/>
          </w:tcPr>
          <w:p w14:paraId="3F8B8F88"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ADMINISTRATIVE LAW APPEALS DIVISION</w:t>
            </w:r>
          </w:p>
        </w:tc>
        <w:tc>
          <w:tcPr>
            <w:tcW w:w="1260" w:type="dxa"/>
            <w:tcBorders>
              <w:top w:val="single" w:sz="4" w:space="0" w:color="auto"/>
              <w:left w:val="nil"/>
              <w:bottom w:val="single" w:sz="4" w:space="0" w:color="auto"/>
              <w:right w:val="single" w:sz="4" w:space="0" w:color="auto"/>
            </w:tcBorders>
            <w:vAlign w:val="bottom"/>
            <w:hideMark/>
          </w:tcPr>
          <w:p w14:paraId="680E197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$11,300</w:t>
            </w:r>
          </w:p>
        </w:tc>
        <w:tc>
          <w:tcPr>
            <w:tcW w:w="1170" w:type="dxa"/>
            <w:tcBorders>
              <w:top w:val="single" w:sz="4" w:space="0" w:color="auto"/>
              <w:left w:val="nil"/>
              <w:bottom w:val="single" w:sz="4" w:space="0" w:color="auto"/>
              <w:right w:val="single" w:sz="4" w:space="0" w:color="auto"/>
            </w:tcBorders>
            <w:vAlign w:val="bottom"/>
            <w:hideMark/>
          </w:tcPr>
          <w:p w14:paraId="7FF4BC6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$678</w:t>
            </w:r>
          </w:p>
        </w:tc>
        <w:tc>
          <w:tcPr>
            <w:tcW w:w="1260" w:type="dxa"/>
            <w:tcBorders>
              <w:top w:val="single" w:sz="4" w:space="0" w:color="auto"/>
              <w:left w:val="nil"/>
              <w:bottom w:val="single" w:sz="4" w:space="0" w:color="auto"/>
              <w:right w:val="single" w:sz="4" w:space="0" w:color="auto"/>
            </w:tcBorders>
            <w:vAlign w:val="bottom"/>
            <w:hideMark/>
          </w:tcPr>
          <w:p w14:paraId="6AEBCB9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$66,562</w:t>
            </w:r>
          </w:p>
        </w:tc>
        <w:tc>
          <w:tcPr>
            <w:tcW w:w="1080" w:type="dxa"/>
            <w:tcBorders>
              <w:top w:val="single" w:sz="4" w:space="0" w:color="auto"/>
              <w:left w:val="nil"/>
              <w:bottom w:val="single" w:sz="4" w:space="0" w:color="auto"/>
              <w:right w:val="single" w:sz="4" w:space="0" w:color="auto"/>
            </w:tcBorders>
            <w:vAlign w:val="bottom"/>
            <w:hideMark/>
          </w:tcPr>
          <w:p w14:paraId="72EF92A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single" w:sz="4" w:space="0" w:color="auto"/>
              <w:left w:val="nil"/>
              <w:bottom w:val="single" w:sz="4" w:space="0" w:color="auto"/>
              <w:right w:val="single" w:sz="4" w:space="0" w:color="auto"/>
            </w:tcBorders>
            <w:vAlign w:val="bottom"/>
            <w:hideMark/>
          </w:tcPr>
          <w:p w14:paraId="6BDA5FF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$66,562</w:t>
            </w:r>
          </w:p>
        </w:tc>
        <w:tc>
          <w:tcPr>
            <w:tcW w:w="1151" w:type="dxa"/>
            <w:tcBorders>
              <w:top w:val="single" w:sz="4" w:space="0" w:color="auto"/>
              <w:left w:val="nil"/>
              <w:bottom w:val="single" w:sz="4" w:space="0" w:color="auto"/>
              <w:right w:val="single" w:sz="4" w:space="0" w:color="auto"/>
            </w:tcBorders>
            <w:vAlign w:val="bottom"/>
            <w:hideMark/>
          </w:tcPr>
          <w:p w14:paraId="33A1843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9817.33%</w:t>
            </w:r>
          </w:p>
        </w:tc>
        <w:tc>
          <w:tcPr>
            <w:tcW w:w="1260" w:type="dxa"/>
            <w:tcBorders>
              <w:top w:val="single" w:sz="4" w:space="0" w:color="auto"/>
              <w:left w:val="nil"/>
              <w:bottom w:val="single" w:sz="4" w:space="0" w:color="auto"/>
              <w:right w:val="single" w:sz="4" w:space="0" w:color="auto"/>
            </w:tcBorders>
            <w:vAlign w:val="bottom"/>
            <w:hideMark/>
          </w:tcPr>
          <w:p w14:paraId="56591B7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$65,884</w:t>
            </w:r>
          </w:p>
        </w:tc>
      </w:tr>
      <w:tr w:rsidR="003F0AFC" w:rsidRPr="003F0AFC" w14:paraId="4D1FF49C" w14:textId="77777777" w:rsidTr="009050D8">
        <w:trPr>
          <w:trHeight w:val="60"/>
        </w:trPr>
        <w:tc>
          <w:tcPr>
            <w:tcW w:w="664" w:type="dxa"/>
            <w:tcBorders>
              <w:top w:val="nil"/>
              <w:left w:val="single" w:sz="4" w:space="0" w:color="auto"/>
              <w:bottom w:val="single" w:sz="4" w:space="0" w:color="auto"/>
              <w:right w:val="single" w:sz="4" w:space="0" w:color="auto"/>
            </w:tcBorders>
            <w:vAlign w:val="bottom"/>
            <w:hideMark/>
          </w:tcPr>
          <w:p w14:paraId="2690ED83"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49" w:type="dxa"/>
            <w:tcBorders>
              <w:top w:val="nil"/>
              <w:left w:val="nil"/>
              <w:bottom w:val="single" w:sz="4" w:space="0" w:color="auto"/>
              <w:right w:val="single" w:sz="4" w:space="0" w:color="auto"/>
            </w:tcBorders>
            <w:vAlign w:val="bottom"/>
            <w:hideMark/>
          </w:tcPr>
          <w:p w14:paraId="20F47C3B"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ATB</w:t>
            </w:r>
          </w:p>
        </w:tc>
        <w:tc>
          <w:tcPr>
            <w:tcW w:w="4031" w:type="dxa"/>
            <w:tcBorders>
              <w:top w:val="nil"/>
              <w:left w:val="nil"/>
              <w:bottom w:val="single" w:sz="4" w:space="0" w:color="auto"/>
              <w:right w:val="single" w:sz="4" w:space="0" w:color="auto"/>
            </w:tcBorders>
            <w:vAlign w:val="bottom"/>
            <w:hideMark/>
          </w:tcPr>
          <w:p w14:paraId="5E4E9B67"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APPELLATE TAX BOARD</w:t>
            </w:r>
          </w:p>
        </w:tc>
        <w:tc>
          <w:tcPr>
            <w:tcW w:w="1260" w:type="dxa"/>
            <w:tcBorders>
              <w:top w:val="nil"/>
              <w:left w:val="nil"/>
              <w:bottom w:val="single" w:sz="4" w:space="0" w:color="auto"/>
              <w:right w:val="single" w:sz="4" w:space="0" w:color="auto"/>
            </w:tcBorders>
            <w:vAlign w:val="bottom"/>
            <w:hideMark/>
          </w:tcPr>
          <w:p w14:paraId="08ACB28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$20,191</w:t>
            </w:r>
          </w:p>
        </w:tc>
        <w:tc>
          <w:tcPr>
            <w:tcW w:w="1170" w:type="dxa"/>
            <w:tcBorders>
              <w:top w:val="nil"/>
              <w:left w:val="nil"/>
              <w:bottom w:val="single" w:sz="4" w:space="0" w:color="auto"/>
              <w:right w:val="single" w:sz="4" w:space="0" w:color="auto"/>
            </w:tcBorders>
            <w:vAlign w:val="bottom"/>
            <w:hideMark/>
          </w:tcPr>
          <w:p w14:paraId="644AE04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$1,211</w:t>
            </w:r>
          </w:p>
        </w:tc>
        <w:tc>
          <w:tcPr>
            <w:tcW w:w="1260" w:type="dxa"/>
            <w:tcBorders>
              <w:top w:val="nil"/>
              <w:left w:val="nil"/>
              <w:bottom w:val="single" w:sz="4" w:space="0" w:color="auto"/>
              <w:right w:val="single" w:sz="4" w:space="0" w:color="auto"/>
            </w:tcBorders>
            <w:vAlign w:val="bottom"/>
            <w:hideMark/>
          </w:tcPr>
          <w:p w14:paraId="278A025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$5,549</w:t>
            </w:r>
          </w:p>
        </w:tc>
        <w:tc>
          <w:tcPr>
            <w:tcW w:w="1080" w:type="dxa"/>
            <w:tcBorders>
              <w:top w:val="nil"/>
              <w:left w:val="nil"/>
              <w:bottom w:val="single" w:sz="4" w:space="0" w:color="auto"/>
              <w:right w:val="single" w:sz="4" w:space="0" w:color="auto"/>
            </w:tcBorders>
            <w:vAlign w:val="bottom"/>
            <w:hideMark/>
          </w:tcPr>
          <w:p w14:paraId="7487BC0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646751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$5,549</w:t>
            </w:r>
          </w:p>
        </w:tc>
        <w:tc>
          <w:tcPr>
            <w:tcW w:w="1151" w:type="dxa"/>
            <w:tcBorders>
              <w:top w:val="nil"/>
              <w:left w:val="nil"/>
              <w:bottom w:val="single" w:sz="4" w:space="0" w:color="auto"/>
              <w:right w:val="single" w:sz="4" w:space="0" w:color="auto"/>
            </w:tcBorders>
            <w:vAlign w:val="bottom"/>
            <w:hideMark/>
          </w:tcPr>
          <w:p w14:paraId="28071E6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458.01%</w:t>
            </w:r>
          </w:p>
        </w:tc>
        <w:tc>
          <w:tcPr>
            <w:tcW w:w="1260" w:type="dxa"/>
            <w:tcBorders>
              <w:top w:val="nil"/>
              <w:left w:val="nil"/>
              <w:bottom w:val="single" w:sz="4" w:space="0" w:color="auto"/>
              <w:right w:val="single" w:sz="4" w:space="0" w:color="auto"/>
            </w:tcBorders>
            <w:vAlign w:val="bottom"/>
            <w:hideMark/>
          </w:tcPr>
          <w:p w14:paraId="3426BCA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$4,337</w:t>
            </w:r>
          </w:p>
        </w:tc>
      </w:tr>
      <w:tr w:rsidR="003F0AFC" w:rsidRPr="003F0AFC" w14:paraId="14A7BB5A" w14:textId="77777777" w:rsidTr="009050D8">
        <w:trPr>
          <w:trHeight w:val="89"/>
        </w:trPr>
        <w:tc>
          <w:tcPr>
            <w:tcW w:w="664" w:type="dxa"/>
            <w:tcBorders>
              <w:top w:val="nil"/>
              <w:left w:val="single" w:sz="4" w:space="0" w:color="auto"/>
              <w:bottom w:val="single" w:sz="4" w:space="0" w:color="auto"/>
              <w:right w:val="single" w:sz="4" w:space="0" w:color="auto"/>
            </w:tcBorders>
            <w:vAlign w:val="bottom"/>
            <w:hideMark/>
          </w:tcPr>
          <w:p w14:paraId="5DF7E960"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49" w:type="dxa"/>
            <w:tcBorders>
              <w:top w:val="nil"/>
              <w:left w:val="nil"/>
              <w:bottom w:val="single" w:sz="4" w:space="0" w:color="auto"/>
              <w:right w:val="single" w:sz="4" w:space="0" w:color="auto"/>
            </w:tcBorders>
            <w:vAlign w:val="bottom"/>
            <w:hideMark/>
          </w:tcPr>
          <w:p w14:paraId="0AC0E683"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BSB</w:t>
            </w:r>
          </w:p>
        </w:tc>
        <w:tc>
          <w:tcPr>
            <w:tcW w:w="4031" w:type="dxa"/>
            <w:tcBorders>
              <w:top w:val="nil"/>
              <w:left w:val="nil"/>
              <w:bottom w:val="single" w:sz="4" w:space="0" w:color="auto"/>
              <w:right w:val="single" w:sz="4" w:space="0" w:color="auto"/>
            </w:tcBorders>
            <w:vAlign w:val="bottom"/>
            <w:hideMark/>
          </w:tcPr>
          <w:p w14:paraId="2557F2E1"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BUREAU OF THE STATE HOUSE</w:t>
            </w:r>
          </w:p>
        </w:tc>
        <w:tc>
          <w:tcPr>
            <w:tcW w:w="1260" w:type="dxa"/>
            <w:tcBorders>
              <w:top w:val="nil"/>
              <w:left w:val="nil"/>
              <w:bottom w:val="single" w:sz="4" w:space="0" w:color="auto"/>
              <w:right w:val="single" w:sz="4" w:space="0" w:color="auto"/>
            </w:tcBorders>
            <w:vAlign w:val="bottom"/>
            <w:hideMark/>
          </w:tcPr>
          <w:p w14:paraId="3A0D599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$1,229,156</w:t>
            </w:r>
          </w:p>
        </w:tc>
        <w:tc>
          <w:tcPr>
            <w:tcW w:w="1170" w:type="dxa"/>
            <w:tcBorders>
              <w:top w:val="nil"/>
              <w:left w:val="nil"/>
              <w:bottom w:val="single" w:sz="4" w:space="0" w:color="auto"/>
              <w:right w:val="single" w:sz="4" w:space="0" w:color="auto"/>
            </w:tcBorders>
            <w:vAlign w:val="bottom"/>
            <w:hideMark/>
          </w:tcPr>
          <w:p w14:paraId="2D31A92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$73,749</w:t>
            </w:r>
          </w:p>
        </w:tc>
        <w:tc>
          <w:tcPr>
            <w:tcW w:w="1260" w:type="dxa"/>
            <w:tcBorders>
              <w:top w:val="nil"/>
              <w:left w:val="nil"/>
              <w:bottom w:val="single" w:sz="4" w:space="0" w:color="auto"/>
              <w:right w:val="single" w:sz="4" w:space="0" w:color="auto"/>
            </w:tcBorders>
            <w:vAlign w:val="bottom"/>
            <w:hideMark/>
          </w:tcPr>
          <w:p w14:paraId="65330DB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$928</w:t>
            </w:r>
          </w:p>
        </w:tc>
        <w:tc>
          <w:tcPr>
            <w:tcW w:w="1080" w:type="dxa"/>
            <w:tcBorders>
              <w:top w:val="nil"/>
              <w:left w:val="nil"/>
              <w:bottom w:val="single" w:sz="4" w:space="0" w:color="auto"/>
              <w:right w:val="single" w:sz="4" w:space="0" w:color="auto"/>
            </w:tcBorders>
            <w:vAlign w:val="bottom"/>
            <w:hideMark/>
          </w:tcPr>
          <w:p w14:paraId="72A2096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D50CD0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$928</w:t>
            </w:r>
          </w:p>
        </w:tc>
        <w:tc>
          <w:tcPr>
            <w:tcW w:w="1151" w:type="dxa"/>
            <w:tcBorders>
              <w:top w:val="nil"/>
              <w:left w:val="nil"/>
              <w:bottom w:val="single" w:sz="4" w:space="0" w:color="auto"/>
              <w:right w:val="single" w:sz="4" w:space="0" w:color="auto"/>
            </w:tcBorders>
            <w:vAlign w:val="bottom"/>
            <w:hideMark/>
          </w:tcPr>
          <w:p w14:paraId="2FD5659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1.26%</w:t>
            </w:r>
          </w:p>
        </w:tc>
        <w:tc>
          <w:tcPr>
            <w:tcW w:w="1260" w:type="dxa"/>
            <w:tcBorders>
              <w:top w:val="nil"/>
              <w:left w:val="nil"/>
              <w:bottom w:val="single" w:sz="4" w:space="0" w:color="auto"/>
              <w:right w:val="single" w:sz="4" w:space="0" w:color="auto"/>
            </w:tcBorders>
            <w:vAlign w:val="bottom"/>
            <w:hideMark/>
          </w:tcPr>
          <w:p w14:paraId="28A6737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-$72,821</w:t>
            </w:r>
          </w:p>
        </w:tc>
      </w:tr>
      <w:tr w:rsidR="003F0AFC" w:rsidRPr="003F0AFC" w14:paraId="40B3E6B6" w14:textId="77777777" w:rsidTr="009050D8">
        <w:trPr>
          <w:trHeight w:val="179"/>
        </w:trPr>
        <w:tc>
          <w:tcPr>
            <w:tcW w:w="664" w:type="dxa"/>
            <w:tcBorders>
              <w:top w:val="nil"/>
              <w:left w:val="single" w:sz="4" w:space="0" w:color="auto"/>
              <w:bottom w:val="single" w:sz="4" w:space="0" w:color="auto"/>
              <w:right w:val="single" w:sz="4" w:space="0" w:color="auto"/>
            </w:tcBorders>
            <w:vAlign w:val="bottom"/>
            <w:hideMark/>
          </w:tcPr>
          <w:p w14:paraId="01CB247F"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49" w:type="dxa"/>
            <w:tcBorders>
              <w:top w:val="nil"/>
              <w:left w:val="nil"/>
              <w:bottom w:val="single" w:sz="4" w:space="0" w:color="auto"/>
              <w:right w:val="single" w:sz="4" w:space="0" w:color="auto"/>
            </w:tcBorders>
            <w:vAlign w:val="bottom"/>
            <w:hideMark/>
          </w:tcPr>
          <w:p w14:paraId="6943C379"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DCP</w:t>
            </w:r>
          </w:p>
        </w:tc>
        <w:tc>
          <w:tcPr>
            <w:tcW w:w="4031" w:type="dxa"/>
            <w:tcBorders>
              <w:top w:val="nil"/>
              <w:left w:val="nil"/>
              <w:bottom w:val="single" w:sz="4" w:space="0" w:color="auto"/>
              <w:right w:val="single" w:sz="4" w:space="0" w:color="auto"/>
            </w:tcBorders>
            <w:vAlign w:val="bottom"/>
            <w:hideMark/>
          </w:tcPr>
          <w:p w14:paraId="67AEE0A8"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CAPITAL ASSET MANAGEMENT AND MAINTENANCE DIVISION</w:t>
            </w:r>
          </w:p>
        </w:tc>
        <w:tc>
          <w:tcPr>
            <w:tcW w:w="1260" w:type="dxa"/>
            <w:tcBorders>
              <w:top w:val="nil"/>
              <w:left w:val="nil"/>
              <w:bottom w:val="single" w:sz="4" w:space="0" w:color="auto"/>
              <w:right w:val="single" w:sz="4" w:space="0" w:color="auto"/>
            </w:tcBorders>
            <w:vAlign w:val="bottom"/>
            <w:hideMark/>
          </w:tcPr>
          <w:p w14:paraId="3AED8CD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$6,430,949</w:t>
            </w:r>
          </w:p>
        </w:tc>
        <w:tc>
          <w:tcPr>
            <w:tcW w:w="1170" w:type="dxa"/>
            <w:tcBorders>
              <w:top w:val="nil"/>
              <w:left w:val="nil"/>
              <w:bottom w:val="single" w:sz="4" w:space="0" w:color="auto"/>
              <w:right w:val="single" w:sz="4" w:space="0" w:color="auto"/>
            </w:tcBorders>
            <w:vAlign w:val="bottom"/>
            <w:hideMark/>
          </w:tcPr>
          <w:p w14:paraId="4641A91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$385,857</w:t>
            </w:r>
          </w:p>
        </w:tc>
        <w:tc>
          <w:tcPr>
            <w:tcW w:w="1260" w:type="dxa"/>
            <w:tcBorders>
              <w:top w:val="nil"/>
              <w:left w:val="nil"/>
              <w:bottom w:val="single" w:sz="4" w:space="0" w:color="auto"/>
              <w:right w:val="single" w:sz="4" w:space="0" w:color="auto"/>
            </w:tcBorders>
            <w:vAlign w:val="bottom"/>
            <w:hideMark/>
          </w:tcPr>
          <w:p w14:paraId="6001AB8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$5,976,452</w:t>
            </w:r>
          </w:p>
        </w:tc>
        <w:tc>
          <w:tcPr>
            <w:tcW w:w="1080" w:type="dxa"/>
            <w:tcBorders>
              <w:top w:val="nil"/>
              <w:left w:val="nil"/>
              <w:bottom w:val="single" w:sz="4" w:space="0" w:color="auto"/>
              <w:right w:val="single" w:sz="4" w:space="0" w:color="auto"/>
            </w:tcBorders>
            <w:vAlign w:val="bottom"/>
            <w:hideMark/>
          </w:tcPr>
          <w:p w14:paraId="3B1E4CC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4738BD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$5,976,452</w:t>
            </w:r>
          </w:p>
        </w:tc>
        <w:tc>
          <w:tcPr>
            <w:tcW w:w="1151" w:type="dxa"/>
            <w:tcBorders>
              <w:top w:val="nil"/>
              <w:left w:val="nil"/>
              <w:bottom w:val="single" w:sz="4" w:space="0" w:color="auto"/>
              <w:right w:val="single" w:sz="4" w:space="0" w:color="auto"/>
            </w:tcBorders>
            <w:vAlign w:val="bottom"/>
            <w:hideMark/>
          </w:tcPr>
          <w:p w14:paraId="2FC8770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1548.88%</w:t>
            </w:r>
          </w:p>
        </w:tc>
        <w:tc>
          <w:tcPr>
            <w:tcW w:w="1260" w:type="dxa"/>
            <w:tcBorders>
              <w:top w:val="nil"/>
              <w:left w:val="nil"/>
              <w:bottom w:val="single" w:sz="4" w:space="0" w:color="auto"/>
              <w:right w:val="single" w:sz="4" w:space="0" w:color="auto"/>
            </w:tcBorders>
            <w:vAlign w:val="bottom"/>
            <w:hideMark/>
          </w:tcPr>
          <w:p w14:paraId="388AD25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$5,590,595</w:t>
            </w:r>
          </w:p>
        </w:tc>
      </w:tr>
      <w:tr w:rsidR="003F0AFC" w:rsidRPr="003F0AFC" w14:paraId="6F1EFA9C" w14:textId="77777777" w:rsidTr="009050D8">
        <w:trPr>
          <w:trHeight w:val="170"/>
        </w:trPr>
        <w:tc>
          <w:tcPr>
            <w:tcW w:w="664" w:type="dxa"/>
            <w:tcBorders>
              <w:top w:val="nil"/>
              <w:left w:val="single" w:sz="4" w:space="0" w:color="auto"/>
              <w:bottom w:val="single" w:sz="4" w:space="0" w:color="auto"/>
              <w:right w:val="single" w:sz="4" w:space="0" w:color="auto"/>
            </w:tcBorders>
            <w:vAlign w:val="bottom"/>
            <w:hideMark/>
          </w:tcPr>
          <w:p w14:paraId="50A6BA2B"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49" w:type="dxa"/>
            <w:tcBorders>
              <w:top w:val="nil"/>
              <w:left w:val="nil"/>
              <w:bottom w:val="single" w:sz="4" w:space="0" w:color="auto"/>
              <w:right w:val="single" w:sz="4" w:space="0" w:color="auto"/>
            </w:tcBorders>
            <w:vAlign w:val="bottom"/>
            <w:hideMark/>
          </w:tcPr>
          <w:p w14:paraId="2740EC99"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CSC</w:t>
            </w:r>
          </w:p>
        </w:tc>
        <w:tc>
          <w:tcPr>
            <w:tcW w:w="4031" w:type="dxa"/>
            <w:tcBorders>
              <w:top w:val="nil"/>
              <w:left w:val="nil"/>
              <w:bottom w:val="single" w:sz="4" w:space="0" w:color="auto"/>
              <w:right w:val="single" w:sz="4" w:space="0" w:color="auto"/>
            </w:tcBorders>
            <w:vAlign w:val="bottom"/>
            <w:hideMark/>
          </w:tcPr>
          <w:p w14:paraId="00C16F6B"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CIVIL SERVICE COMMISSION</w:t>
            </w:r>
          </w:p>
        </w:tc>
        <w:tc>
          <w:tcPr>
            <w:tcW w:w="1260" w:type="dxa"/>
            <w:tcBorders>
              <w:top w:val="nil"/>
              <w:left w:val="nil"/>
              <w:bottom w:val="single" w:sz="4" w:space="0" w:color="auto"/>
              <w:right w:val="single" w:sz="4" w:space="0" w:color="auto"/>
            </w:tcBorders>
            <w:vAlign w:val="bottom"/>
            <w:hideMark/>
          </w:tcPr>
          <w:p w14:paraId="17DC1A7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$12,710</w:t>
            </w:r>
          </w:p>
        </w:tc>
        <w:tc>
          <w:tcPr>
            <w:tcW w:w="1170" w:type="dxa"/>
            <w:tcBorders>
              <w:top w:val="nil"/>
              <w:left w:val="nil"/>
              <w:bottom w:val="single" w:sz="4" w:space="0" w:color="auto"/>
              <w:right w:val="single" w:sz="4" w:space="0" w:color="auto"/>
            </w:tcBorders>
            <w:vAlign w:val="bottom"/>
            <w:hideMark/>
          </w:tcPr>
          <w:p w14:paraId="71EF07D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$763</w:t>
            </w:r>
          </w:p>
        </w:tc>
        <w:tc>
          <w:tcPr>
            <w:tcW w:w="1260" w:type="dxa"/>
            <w:tcBorders>
              <w:top w:val="nil"/>
              <w:left w:val="nil"/>
              <w:bottom w:val="single" w:sz="4" w:space="0" w:color="auto"/>
              <w:right w:val="single" w:sz="4" w:space="0" w:color="auto"/>
            </w:tcBorders>
            <w:vAlign w:val="bottom"/>
            <w:hideMark/>
          </w:tcPr>
          <w:p w14:paraId="7A0D921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$2,869</w:t>
            </w:r>
          </w:p>
        </w:tc>
        <w:tc>
          <w:tcPr>
            <w:tcW w:w="1080" w:type="dxa"/>
            <w:tcBorders>
              <w:top w:val="nil"/>
              <w:left w:val="nil"/>
              <w:bottom w:val="single" w:sz="4" w:space="0" w:color="auto"/>
              <w:right w:val="single" w:sz="4" w:space="0" w:color="auto"/>
            </w:tcBorders>
            <w:vAlign w:val="bottom"/>
            <w:hideMark/>
          </w:tcPr>
          <w:p w14:paraId="75A9AA9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902F61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$2,869</w:t>
            </w:r>
          </w:p>
        </w:tc>
        <w:tc>
          <w:tcPr>
            <w:tcW w:w="1151" w:type="dxa"/>
            <w:tcBorders>
              <w:top w:val="nil"/>
              <w:left w:val="nil"/>
              <w:bottom w:val="single" w:sz="4" w:space="0" w:color="auto"/>
              <w:right w:val="single" w:sz="4" w:space="0" w:color="auto"/>
            </w:tcBorders>
            <w:vAlign w:val="bottom"/>
            <w:hideMark/>
          </w:tcPr>
          <w:p w14:paraId="51A6CA7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376.17%</w:t>
            </w:r>
          </w:p>
        </w:tc>
        <w:tc>
          <w:tcPr>
            <w:tcW w:w="1260" w:type="dxa"/>
            <w:tcBorders>
              <w:top w:val="nil"/>
              <w:left w:val="nil"/>
              <w:bottom w:val="single" w:sz="4" w:space="0" w:color="auto"/>
              <w:right w:val="single" w:sz="4" w:space="0" w:color="auto"/>
            </w:tcBorders>
            <w:vAlign w:val="bottom"/>
            <w:hideMark/>
          </w:tcPr>
          <w:p w14:paraId="06B1D40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$2,106</w:t>
            </w:r>
          </w:p>
        </w:tc>
      </w:tr>
      <w:tr w:rsidR="003F0AFC" w:rsidRPr="003F0AFC" w14:paraId="7A4E1534" w14:textId="77777777" w:rsidTr="009050D8">
        <w:trPr>
          <w:trHeight w:val="60"/>
        </w:trPr>
        <w:tc>
          <w:tcPr>
            <w:tcW w:w="664" w:type="dxa"/>
            <w:tcBorders>
              <w:top w:val="nil"/>
              <w:left w:val="single" w:sz="4" w:space="0" w:color="auto"/>
              <w:bottom w:val="single" w:sz="4" w:space="0" w:color="auto"/>
              <w:right w:val="single" w:sz="4" w:space="0" w:color="auto"/>
            </w:tcBorders>
            <w:vAlign w:val="bottom"/>
            <w:hideMark/>
          </w:tcPr>
          <w:p w14:paraId="1281211F"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49" w:type="dxa"/>
            <w:tcBorders>
              <w:top w:val="nil"/>
              <w:left w:val="nil"/>
              <w:bottom w:val="single" w:sz="4" w:space="0" w:color="auto"/>
              <w:right w:val="single" w:sz="4" w:space="0" w:color="auto"/>
            </w:tcBorders>
            <w:vAlign w:val="bottom"/>
            <w:hideMark/>
          </w:tcPr>
          <w:p w14:paraId="7EE04BD8"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DOR</w:t>
            </w:r>
          </w:p>
        </w:tc>
        <w:tc>
          <w:tcPr>
            <w:tcW w:w="4031" w:type="dxa"/>
            <w:tcBorders>
              <w:top w:val="nil"/>
              <w:left w:val="nil"/>
              <w:bottom w:val="single" w:sz="4" w:space="0" w:color="auto"/>
              <w:right w:val="single" w:sz="4" w:space="0" w:color="auto"/>
            </w:tcBorders>
            <w:vAlign w:val="bottom"/>
            <w:hideMark/>
          </w:tcPr>
          <w:p w14:paraId="7DCA9666"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REVENUE</w:t>
            </w:r>
          </w:p>
        </w:tc>
        <w:tc>
          <w:tcPr>
            <w:tcW w:w="1260" w:type="dxa"/>
            <w:tcBorders>
              <w:top w:val="nil"/>
              <w:left w:val="nil"/>
              <w:bottom w:val="single" w:sz="4" w:space="0" w:color="auto"/>
              <w:right w:val="single" w:sz="4" w:space="0" w:color="auto"/>
            </w:tcBorders>
            <w:vAlign w:val="bottom"/>
            <w:hideMark/>
          </w:tcPr>
          <w:p w14:paraId="5FF8CDD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$52,810,218</w:t>
            </w:r>
          </w:p>
        </w:tc>
        <w:tc>
          <w:tcPr>
            <w:tcW w:w="1170" w:type="dxa"/>
            <w:tcBorders>
              <w:top w:val="nil"/>
              <w:left w:val="nil"/>
              <w:bottom w:val="single" w:sz="4" w:space="0" w:color="auto"/>
              <w:right w:val="single" w:sz="4" w:space="0" w:color="auto"/>
            </w:tcBorders>
            <w:vAlign w:val="bottom"/>
            <w:hideMark/>
          </w:tcPr>
          <w:p w14:paraId="66FDF55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$3,168,613</w:t>
            </w:r>
          </w:p>
        </w:tc>
        <w:tc>
          <w:tcPr>
            <w:tcW w:w="1260" w:type="dxa"/>
            <w:tcBorders>
              <w:top w:val="nil"/>
              <w:left w:val="nil"/>
              <w:bottom w:val="single" w:sz="4" w:space="0" w:color="auto"/>
              <w:right w:val="single" w:sz="4" w:space="0" w:color="auto"/>
            </w:tcBorders>
            <w:vAlign w:val="bottom"/>
            <w:hideMark/>
          </w:tcPr>
          <w:p w14:paraId="37B9FFF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$306,174</w:t>
            </w:r>
          </w:p>
        </w:tc>
        <w:tc>
          <w:tcPr>
            <w:tcW w:w="1080" w:type="dxa"/>
            <w:tcBorders>
              <w:top w:val="nil"/>
              <w:left w:val="nil"/>
              <w:bottom w:val="single" w:sz="4" w:space="0" w:color="auto"/>
              <w:right w:val="single" w:sz="4" w:space="0" w:color="auto"/>
            </w:tcBorders>
            <w:vAlign w:val="bottom"/>
            <w:hideMark/>
          </w:tcPr>
          <w:p w14:paraId="759CAB9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$169,901</w:t>
            </w:r>
          </w:p>
        </w:tc>
        <w:tc>
          <w:tcPr>
            <w:tcW w:w="1170" w:type="dxa"/>
            <w:tcBorders>
              <w:top w:val="nil"/>
              <w:left w:val="nil"/>
              <w:bottom w:val="single" w:sz="4" w:space="0" w:color="auto"/>
              <w:right w:val="single" w:sz="4" w:space="0" w:color="auto"/>
            </w:tcBorders>
            <w:vAlign w:val="bottom"/>
            <w:hideMark/>
          </w:tcPr>
          <w:p w14:paraId="1670E24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$476,075</w:t>
            </w:r>
          </w:p>
        </w:tc>
        <w:tc>
          <w:tcPr>
            <w:tcW w:w="1151" w:type="dxa"/>
            <w:tcBorders>
              <w:top w:val="nil"/>
              <w:left w:val="nil"/>
              <w:bottom w:val="single" w:sz="4" w:space="0" w:color="auto"/>
              <w:right w:val="single" w:sz="4" w:space="0" w:color="auto"/>
            </w:tcBorders>
            <w:vAlign w:val="bottom"/>
            <w:hideMark/>
          </w:tcPr>
          <w:p w14:paraId="03A4BC3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15.02%</w:t>
            </w:r>
          </w:p>
        </w:tc>
        <w:tc>
          <w:tcPr>
            <w:tcW w:w="1260" w:type="dxa"/>
            <w:tcBorders>
              <w:top w:val="nil"/>
              <w:left w:val="nil"/>
              <w:bottom w:val="single" w:sz="4" w:space="0" w:color="auto"/>
              <w:right w:val="single" w:sz="4" w:space="0" w:color="auto"/>
            </w:tcBorders>
            <w:vAlign w:val="bottom"/>
            <w:hideMark/>
          </w:tcPr>
          <w:p w14:paraId="61D66E3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-$2,692,538</w:t>
            </w:r>
          </w:p>
        </w:tc>
      </w:tr>
      <w:tr w:rsidR="003F0AFC" w:rsidRPr="003F0AFC" w14:paraId="15B19B11" w14:textId="77777777" w:rsidTr="009050D8">
        <w:trPr>
          <w:trHeight w:val="170"/>
        </w:trPr>
        <w:tc>
          <w:tcPr>
            <w:tcW w:w="664" w:type="dxa"/>
            <w:tcBorders>
              <w:top w:val="nil"/>
              <w:left w:val="single" w:sz="4" w:space="0" w:color="auto"/>
              <w:bottom w:val="single" w:sz="4" w:space="0" w:color="auto"/>
              <w:right w:val="single" w:sz="4" w:space="0" w:color="auto"/>
            </w:tcBorders>
            <w:vAlign w:val="bottom"/>
            <w:hideMark/>
          </w:tcPr>
          <w:p w14:paraId="20907011"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49" w:type="dxa"/>
            <w:tcBorders>
              <w:top w:val="nil"/>
              <w:left w:val="nil"/>
              <w:bottom w:val="single" w:sz="4" w:space="0" w:color="auto"/>
              <w:right w:val="single" w:sz="4" w:space="0" w:color="auto"/>
            </w:tcBorders>
            <w:vAlign w:val="bottom"/>
            <w:hideMark/>
          </w:tcPr>
          <w:p w14:paraId="6027FF89"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ADD</w:t>
            </w:r>
          </w:p>
        </w:tc>
        <w:tc>
          <w:tcPr>
            <w:tcW w:w="4031" w:type="dxa"/>
            <w:tcBorders>
              <w:top w:val="nil"/>
              <w:left w:val="nil"/>
              <w:bottom w:val="single" w:sz="4" w:space="0" w:color="auto"/>
              <w:right w:val="single" w:sz="4" w:space="0" w:color="auto"/>
            </w:tcBorders>
            <w:vAlign w:val="bottom"/>
            <w:hideMark/>
          </w:tcPr>
          <w:p w14:paraId="79830FEB"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DEVELOPMENTAL DISABILITIES COUNCIL</w:t>
            </w:r>
          </w:p>
        </w:tc>
        <w:tc>
          <w:tcPr>
            <w:tcW w:w="1260" w:type="dxa"/>
            <w:tcBorders>
              <w:top w:val="nil"/>
              <w:left w:val="nil"/>
              <w:bottom w:val="single" w:sz="4" w:space="0" w:color="auto"/>
              <w:right w:val="single" w:sz="4" w:space="0" w:color="auto"/>
            </w:tcBorders>
            <w:vAlign w:val="bottom"/>
            <w:hideMark/>
          </w:tcPr>
          <w:p w14:paraId="3406B2D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$151,435</w:t>
            </w:r>
          </w:p>
        </w:tc>
        <w:tc>
          <w:tcPr>
            <w:tcW w:w="1170" w:type="dxa"/>
            <w:tcBorders>
              <w:top w:val="nil"/>
              <w:left w:val="nil"/>
              <w:bottom w:val="single" w:sz="4" w:space="0" w:color="auto"/>
              <w:right w:val="single" w:sz="4" w:space="0" w:color="auto"/>
            </w:tcBorders>
            <w:vAlign w:val="bottom"/>
            <w:hideMark/>
          </w:tcPr>
          <w:p w14:paraId="0006CCE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$9,086</w:t>
            </w:r>
          </w:p>
        </w:tc>
        <w:tc>
          <w:tcPr>
            <w:tcW w:w="1260" w:type="dxa"/>
            <w:tcBorders>
              <w:top w:val="nil"/>
              <w:left w:val="nil"/>
              <w:bottom w:val="single" w:sz="4" w:space="0" w:color="auto"/>
              <w:right w:val="single" w:sz="4" w:space="0" w:color="auto"/>
            </w:tcBorders>
            <w:vAlign w:val="bottom"/>
            <w:hideMark/>
          </w:tcPr>
          <w:p w14:paraId="1FF0612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$4,353</w:t>
            </w:r>
          </w:p>
        </w:tc>
        <w:tc>
          <w:tcPr>
            <w:tcW w:w="1080" w:type="dxa"/>
            <w:tcBorders>
              <w:top w:val="nil"/>
              <w:left w:val="nil"/>
              <w:bottom w:val="single" w:sz="4" w:space="0" w:color="auto"/>
              <w:right w:val="single" w:sz="4" w:space="0" w:color="auto"/>
            </w:tcBorders>
            <w:vAlign w:val="bottom"/>
            <w:hideMark/>
          </w:tcPr>
          <w:p w14:paraId="63CB48A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8AF9E2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$4,353</w:t>
            </w:r>
          </w:p>
        </w:tc>
        <w:tc>
          <w:tcPr>
            <w:tcW w:w="1151" w:type="dxa"/>
            <w:tcBorders>
              <w:top w:val="nil"/>
              <w:left w:val="nil"/>
              <w:bottom w:val="single" w:sz="4" w:space="0" w:color="auto"/>
              <w:right w:val="single" w:sz="4" w:space="0" w:color="auto"/>
            </w:tcBorders>
            <w:vAlign w:val="bottom"/>
            <w:hideMark/>
          </w:tcPr>
          <w:p w14:paraId="545292A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47.90%</w:t>
            </w:r>
          </w:p>
        </w:tc>
        <w:tc>
          <w:tcPr>
            <w:tcW w:w="1260" w:type="dxa"/>
            <w:tcBorders>
              <w:top w:val="nil"/>
              <w:left w:val="nil"/>
              <w:bottom w:val="single" w:sz="4" w:space="0" w:color="auto"/>
              <w:right w:val="single" w:sz="4" w:space="0" w:color="auto"/>
            </w:tcBorders>
            <w:vAlign w:val="bottom"/>
            <w:hideMark/>
          </w:tcPr>
          <w:p w14:paraId="7ED03C9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-$4,734</w:t>
            </w:r>
          </w:p>
        </w:tc>
      </w:tr>
      <w:tr w:rsidR="003F0AFC" w:rsidRPr="003F0AFC" w14:paraId="015514D3" w14:textId="77777777" w:rsidTr="009050D8">
        <w:trPr>
          <w:trHeight w:val="107"/>
        </w:trPr>
        <w:tc>
          <w:tcPr>
            <w:tcW w:w="664" w:type="dxa"/>
            <w:tcBorders>
              <w:top w:val="nil"/>
              <w:left w:val="single" w:sz="4" w:space="0" w:color="auto"/>
              <w:bottom w:val="single" w:sz="4" w:space="0" w:color="auto"/>
              <w:right w:val="single" w:sz="4" w:space="0" w:color="auto"/>
            </w:tcBorders>
            <w:vAlign w:val="bottom"/>
            <w:hideMark/>
          </w:tcPr>
          <w:p w14:paraId="59969ACA"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49" w:type="dxa"/>
            <w:tcBorders>
              <w:top w:val="nil"/>
              <w:left w:val="nil"/>
              <w:bottom w:val="single" w:sz="4" w:space="0" w:color="auto"/>
              <w:right w:val="single" w:sz="4" w:space="0" w:color="auto"/>
            </w:tcBorders>
            <w:vAlign w:val="bottom"/>
            <w:hideMark/>
          </w:tcPr>
          <w:p w14:paraId="01BD1965"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OSD</w:t>
            </w:r>
          </w:p>
        </w:tc>
        <w:tc>
          <w:tcPr>
            <w:tcW w:w="4031" w:type="dxa"/>
            <w:tcBorders>
              <w:top w:val="nil"/>
              <w:left w:val="nil"/>
              <w:bottom w:val="single" w:sz="4" w:space="0" w:color="auto"/>
              <w:right w:val="single" w:sz="4" w:space="0" w:color="auto"/>
            </w:tcBorders>
            <w:vAlign w:val="bottom"/>
            <w:hideMark/>
          </w:tcPr>
          <w:p w14:paraId="4E83DB48"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DIVISION OF OPERATIONAL SERVICES</w:t>
            </w:r>
          </w:p>
        </w:tc>
        <w:tc>
          <w:tcPr>
            <w:tcW w:w="1260" w:type="dxa"/>
            <w:tcBorders>
              <w:top w:val="nil"/>
              <w:left w:val="nil"/>
              <w:bottom w:val="single" w:sz="4" w:space="0" w:color="auto"/>
              <w:right w:val="single" w:sz="4" w:space="0" w:color="auto"/>
            </w:tcBorders>
            <w:vAlign w:val="bottom"/>
            <w:hideMark/>
          </w:tcPr>
          <w:p w14:paraId="33803DB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$404,058</w:t>
            </w:r>
          </w:p>
        </w:tc>
        <w:tc>
          <w:tcPr>
            <w:tcW w:w="1170" w:type="dxa"/>
            <w:tcBorders>
              <w:top w:val="nil"/>
              <w:left w:val="nil"/>
              <w:bottom w:val="single" w:sz="4" w:space="0" w:color="auto"/>
              <w:right w:val="single" w:sz="4" w:space="0" w:color="auto"/>
            </w:tcBorders>
            <w:vAlign w:val="bottom"/>
            <w:hideMark/>
          </w:tcPr>
          <w:p w14:paraId="59CC56D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$24,243</w:t>
            </w:r>
          </w:p>
        </w:tc>
        <w:tc>
          <w:tcPr>
            <w:tcW w:w="1260" w:type="dxa"/>
            <w:tcBorders>
              <w:top w:val="nil"/>
              <w:left w:val="nil"/>
              <w:bottom w:val="single" w:sz="4" w:space="0" w:color="auto"/>
              <w:right w:val="single" w:sz="4" w:space="0" w:color="auto"/>
            </w:tcBorders>
            <w:vAlign w:val="bottom"/>
            <w:hideMark/>
          </w:tcPr>
          <w:p w14:paraId="0F2B78C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$50,663</w:t>
            </w:r>
          </w:p>
        </w:tc>
        <w:tc>
          <w:tcPr>
            <w:tcW w:w="1080" w:type="dxa"/>
            <w:tcBorders>
              <w:top w:val="nil"/>
              <w:left w:val="nil"/>
              <w:bottom w:val="single" w:sz="4" w:space="0" w:color="auto"/>
              <w:right w:val="single" w:sz="4" w:space="0" w:color="auto"/>
            </w:tcBorders>
            <w:vAlign w:val="bottom"/>
            <w:hideMark/>
          </w:tcPr>
          <w:p w14:paraId="11C43C0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03F05E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$50,663</w:t>
            </w:r>
          </w:p>
        </w:tc>
        <w:tc>
          <w:tcPr>
            <w:tcW w:w="1151" w:type="dxa"/>
            <w:tcBorders>
              <w:top w:val="nil"/>
              <w:left w:val="nil"/>
              <w:bottom w:val="single" w:sz="4" w:space="0" w:color="auto"/>
              <w:right w:val="single" w:sz="4" w:space="0" w:color="auto"/>
            </w:tcBorders>
            <w:vAlign w:val="bottom"/>
            <w:hideMark/>
          </w:tcPr>
          <w:p w14:paraId="7CD214F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208.97%</w:t>
            </w:r>
          </w:p>
        </w:tc>
        <w:tc>
          <w:tcPr>
            <w:tcW w:w="1260" w:type="dxa"/>
            <w:tcBorders>
              <w:top w:val="nil"/>
              <w:left w:val="nil"/>
              <w:bottom w:val="single" w:sz="4" w:space="0" w:color="auto"/>
              <w:right w:val="single" w:sz="4" w:space="0" w:color="auto"/>
            </w:tcBorders>
            <w:vAlign w:val="bottom"/>
            <w:hideMark/>
          </w:tcPr>
          <w:p w14:paraId="227BC58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$26,419</w:t>
            </w:r>
          </w:p>
        </w:tc>
      </w:tr>
      <w:tr w:rsidR="003F0AFC" w:rsidRPr="003F0AFC" w14:paraId="214216D6" w14:textId="77777777" w:rsidTr="009050D8">
        <w:trPr>
          <w:trHeight w:val="60"/>
        </w:trPr>
        <w:tc>
          <w:tcPr>
            <w:tcW w:w="664" w:type="dxa"/>
            <w:tcBorders>
              <w:top w:val="nil"/>
              <w:left w:val="single" w:sz="4" w:space="0" w:color="auto"/>
              <w:bottom w:val="single" w:sz="4" w:space="0" w:color="auto"/>
              <w:right w:val="single" w:sz="4" w:space="0" w:color="auto"/>
            </w:tcBorders>
            <w:vAlign w:val="bottom"/>
            <w:hideMark/>
          </w:tcPr>
          <w:p w14:paraId="380C9B26"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49" w:type="dxa"/>
            <w:tcBorders>
              <w:top w:val="nil"/>
              <w:left w:val="nil"/>
              <w:bottom w:val="single" w:sz="4" w:space="0" w:color="auto"/>
              <w:right w:val="single" w:sz="4" w:space="0" w:color="auto"/>
            </w:tcBorders>
            <w:vAlign w:val="bottom"/>
            <w:hideMark/>
          </w:tcPr>
          <w:p w14:paraId="56A8D8FF"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4031" w:type="dxa"/>
            <w:tcBorders>
              <w:top w:val="nil"/>
              <w:left w:val="nil"/>
              <w:bottom w:val="single" w:sz="4" w:space="0" w:color="auto"/>
              <w:right w:val="single" w:sz="4" w:space="0" w:color="auto"/>
            </w:tcBorders>
            <w:vAlign w:val="bottom"/>
            <w:hideMark/>
          </w:tcPr>
          <w:p w14:paraId="26998BED"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EXECUTIVE OFFICE FOR ADMINISTRATION AND FINANCE</w:t>
            </w:r>
          </w:p>
        </w:tc>
        <w:tc>
          <w:tcPr>
            <w:tcW w:w="1260" w:type="dxa"/>
            <w:tcBorders>
              <w:top w:val="nil"/>
              <w:left w:val="nil"/>
              <w:bottom w:val="single" w:sz="4" w:space="0" w:color="auto"/>
              <w:right w:val="single" w:sz="4" w:space="0" w:color="auto"/>
            </w:tcBorders>
            <w:vAlign w:val="bottom"/>
            <w:hideMark/>
          </w:tcPr>
          <w:p w14:paraId="6B99BC0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$27,941,762</w:t>
            </w:r>
          </w:p>
        </w:tc>
        <w:tc>
          <w:tcPr>
            <w:tcW w:w="1170" w:type="dxa"/>
            <w:tcBorders>
              <w:top w:val="nil"/>
              <w:left w:val="nil"/>
              <w:bottom w:val="single" w:sz="4" w:space="0" w:color="auto"/>
              <w:right w:val="single" w:sz="4" w:space="0" w:color="auto"/>
            </w:tcBorders>
            <w:vAlign w:val="bottom"/>
            <w:hideMark/>
          </w:tcPr>
          <w:p w14:paraId="03CFCDA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$1,676,506</w:t>
            </w:r>
          </w:p>
        </w:tc>
        <w:tc>
          <w:tcPr>
            <w:tcW w:w="1260" w:type="dxa"/>
            <w:tcBorders>
              <w:top w:val="nil"/>
              <w:left w:val="nil"/>
              <w:bottom w:val="single" w:sz="4" w:space="0" w:color="auto"/>
              <w:right w:val="single" w:sz="4" w:space="0" w:color="auto"/>
            </w:tcBorders>
            <w:vAlign w:val="bottom"/>
            <w:hideMark/>
          </w:tcPr>
          <w:p w14:paraId="56109F6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$1,753,254</w:t>
            </w:r>
          </w:p>
        </w:tc>
        <w:tc>
          <w:tcPr>
            <w:tcW w:w="1080" w:type="dxa"/>
            <w:tcBorders>
              <w:top w:val="nil"/>
              <w:left w:val="nil"/>
              <w:bottom w:val="single" w:sz="4" w:space="0" w:color="auto"/>
              <w:right w:val="single" w:sz="4" w:space="0" w:color="auto"/>
            </w:tcBorders>
            <w:vAlign w:val="bottom"/>
            <w:hideMark/>
          </w:tcPr>
          <w:p w14:paraId="56BF632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74B558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$1,753,254</w:t>
            </w:r>
          </w:p>
        </w:tc>
        <w:tc>
          <w:tcPr>
            <w:tcW w:w="1151" w:type="dxa"/>
            <w:tcBorders>
              <w:top w:val="nil"/>
              <w:left w:val="nil"/>
              <w:bottom w:val="single" w:sz="4" w:space="0" w:color="auto"/>
              <w:right w:val="single" w:sz="4" w:space="0" w:color="auto"/>
            </w:tcBorders>
            <w:vAlign w:val="bottom"/>
            <w:hideMark/>
          </w:tcPr>
          <w:p w14:paraId="701D537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104.58%</w:t>
            </w:r>
          </w:p>
        </w:tc>
        <w:tc>
          <w:tcPr>
            <w:tcW w:w="1260" w:type="dxa"/>
            <w:tcBorders>
              <w:top w:val="nil"/>
              <w:left w:val="nil"/>
              <w:bottom w:val="single" w:sz="4" w:space="0" w:color="auto"/>
              <w:right w:val="single" w:sz="4" w:space="0" w:color="auto"/>
            </w:tcBorders>
            <w:vAlign w:val="bottom"/>
            <w:hideMark/>
          </w:tcPr>
          <w:p w14:paraId="3017EF3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$76,748</w:t>
            </w:r>
          </w:p>
        </w:tc>
      </w:tr>
      <w:tr w:rsidR="003F0AFC" w:rsidRPr="003F0AFC" w14:paraId="1DF3A334" w14:textId="77777777" w:rsidTr="009050D8">
        <w:trPr>
          <w:trHeight w:val="170"/>
        </w:trPr>
        <w:tc>
          <w:tcPr>
            <w:tcW w:w="664" w:type="dxa"/>
            <w:tcBorders>
              <w:top w:val="nil"/>
              <w:left w:val="single" w:sz="4" w:space="0" w:color="auto"/>
              <w:bottom w:val="single" w:sz="4" w:space="0" w:color="auto"/>
              <w:right w:val="single" w:sz="4" w:space="0" w:color="auto"/>
            </w:tcBorders>
            <w:vAlign w:val="bottom"/>
            <w:hideMark/>
          </w:tcPr>
          <w:p w14:paraId="7F72C623"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49" w:type="dxa"/>
            <w:tcBorders>
              <w:top w:val="nil"/>
              <w:left w:val="nil"/>
              <w:bottom w:val="single" w:sz="4" w:space="0" w:color="auto"/>
              <w:right w:val="single" w:sz="4" w:space="0" w:color="auto"/>
            </w:tcBorders>
            <w:vAlign w:val="bottom"/>
            <w:hideMark/>
          </w:tcPr>
          <w:p w14:paraId="712827F8"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LIB</w:t>
            </w:r>
          </w:p>
        </w:tc>
        <w:tc>
          <w:tcPr>
            <w:tcW w:w="4031" w:type="dxa"/>
            <w:tcBorders>
              <w:top w:val="nil"/>
              <w:left w:val="nil"/>
              <w:bottom w:val="single" w:sz="4" w:space="0" w:color="auto"/>
              <w:right w:val="single" w:sz="4" w:space="0" w:color="auto"/>
            </w:tcBorders>
            <w:vAlign w:val="bottom"/>
            <w:hideMark/>
          </w:tcPr>
          <w:p w14:paraId="2C924DA8"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GEORGE FINGOLD LIBRARY</w:t>
            </w:r>
          </w:p>
        </w:tc>
        <w:tc>
          <w:tcPr>
            <w:tcW w:w="1260" w:type="dxa"/>
            <w:tcBorders>
              <w:top w:val="nil"/>
              <w:left w:val="nil"/>
              <w:bottom w:val="single" w:sz="4" w:space="0" w:color="auto"/>
              <w:right w:val="single" w:sz="4" w:space="0" w:color="auto"/>
            </w:tcBorders>
            <w:vAlign w:val="bottom"/>
            <w:hideMark/>
          </w:tcPr>
          <w:p w14:paraId="03B9E38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$779,058</w:t>
            </w:r>
          </w:p>
        </w:tc>
        <w:tc>
          <w:tcPr>
            <w:tcW w:w="1170" w:type="dxa"/>
            <w:tcBorders>
              <w:top w:val="nil"/>
              <w:left w:val="nil"/>
              <w:bottom w:val="single" w:sz="4" w:space="0" w:color="auto"/>
              <w:right w:val="single" w:sz="4" w:space="0" w:color="auto"/>
            </w:tcBorders>
            <w:vAlign w:val="bottom"/>
            <w:hideMark/>
          </w:tcPr>
          <w:p w14:paraId="0D5B509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$46,743</w:t>
            </w:r>
          </w:p>
        </w:tc>
        <w:tc>
          <w:tcPr>
            <w:tcW w:w="1260" w:type="dxa"/>
            <w:tcBorders>
              <w:top w:val="nil"/>
              <w:left w:val="nil"/>
              <w:bottom w:val="single" w:sz="4" w:space="0" w:color="auto"/>
              <w:right w:val="single" w:sz="4" w:space="0" w:color="auto"/>
            </w:tcBorders>
            <w:vAlign w:val="bottom"/>
            <w:hideMark/>
          </w:tcPr>
          <w:p w14:paraId="032EBB4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$3,479</w:t>
            </w:r>
          </w:p>
        </w:tc>
        <w:tc>
          <w:tcPr>
            <w:tcW w:w="1080" w:type="dxa"/>
            <w:tcBorders>
              <w:top w:val="nil"/>
              <w:left w:val="nil"/>
              <w:bottom w:val="single" w:sz="4" w:space="0" w:color="auto"/>
              <w:right w:val="single" w:sz="4" w:space="0" w:color="auto"/>
            </w:tcBorders>
            <w:vAlign w:val="bottom"/>
            <w:hideMark/>
          </w:tcPr>
          <w:p w14:paraId="32D4065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B02EB4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$3,479</w:t>
            </w:r>
          </w:p>
        </w:tc>
        <w:tc>
          <w:tcPr>
            <w:tcW w:w="1151" w:type="dxa"/>
            <w:tcBorders>
              <w:top w:val="nil"/>
              <w:left w:val="nil"/>
              <w:bottom w:val="single" w:sz="4" w:space="0" w:color="auto"/>
              <w:right w:val="single" w:sz="4" w:space="0" w:color="auto"/>
            </w:tcBorders>
            <w:vAlign w:val="bottom"/>
            <w:hideMark/>
          </w:tcPr>
          <w:p w14:paraId="0A08E6D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7.44%</w:t>
            </w:r>
          </w:p>
        </w:tc>
        <w:tc>
          <w:tcPr>
            <w:tcW w:w="1260" w:type="dxa"/>
            <w:tcBorders>
              <w:top w:val="nil"/>
              <w:left w:val="nil"/>
              <w:bottom w:val="single" w:sz="4" w:space="0" w:color="auto"/>
              <w:right w:val="single" w:sz="4" w:space="0" w:color="auto"/>
            </w:tcBorders>
            <w:vAlign w:val="bottom"/>
            <w:hideMark/>
          </w:tcPr>
          <w:p w14:paraId="128BF2F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-$43,265</w:t>
            </w:r>
          </w:p>
        </w:tc>
      </w:tr>
      <w:tr w:rsidR="003F0AFC" w:rsidRPr="003F0AFC" w14:paraId="3DBE96F8" w14:textId="77777777" w:rsidTr="009050D8">
        <w:trPr>
          <w:trHeight w:val="170"/>
        </w:trPr>
        <w:tc>
          <w:tcPr>
            <w:tcW w:w="664" w:type="dxa"/>
            <w:tcBorders>
              <w:top w:val="nil"/>
              <w:left w:val="single" w:sz="4" w:space="0" w:color="auto"/>
              <w:bottom w:val="single" w:sz="4" w:space="0" w:color="auto"/>
              <w:right w:val="single" w:sz="4" w:space="0" w:color="auto"/>
            </w:tcBorders>
            <w:vAlign w:val="bottom"/>
            <w:hideMark/>
          </w:tcPr>
          <w:p w14:paraId="26C8B658"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49" w:type="dxa"/>
            <w:tcBorders>
              <w:top w:val="nil"/>
              <w:left w:val="nil"/>
              <w:bottom w:val="single" w:sz="4" w:space="0" w:color="auto"/>
              <w:right w:val="single" w:sz="4" w:space="0" w:color="auto"/>
            </w:tcBorders>
            <w:vAlign w:val="bottom"/>
            <w:hideMark/>
          </w:tcPr>
          <w:p w14:paraId="7D080723"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GIC</w:t>
            </w:r>
          </w:p>
        </w:tc>
        <w:tc>
          <w:tcPr>
            <w:tcW w:w="4031" w:type="dxa"/>
            <w:tcBorders>
              <w:top w:val="nil"/>
              <w:left w:val="nil"/>
              <w:bottom w:val="single" w:sz="4" w:space="0" w:color="auto"/>
              <w:right w:val="single" w:sz="4" w:space="0" w:color="auto"/>
            </w:tcBorders>
            <w:vAlign w:val="bottom"/>
            <w:hideMark/>
          </w:tcPr>
          <w:p w14:paraId="3806BA42"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GROUP INSURANCE COMMISSION</w:t>
            </w:r>
          </w:p>
        </w:tc>
        <w:tc>
          <w:tcPr>
            <w:tcW w:w="1260" w:type="dxa"/>
            <w:tcBorders>
              <w:top w:val="nil"/>
              <w:left w:val="nil"/>
              <w:bottom w:val="single" w:sz="4" w:space="0" w:color="auto"/>
              <w:right w:val="single" w:sz="4" w:space="0" w:color="auto"/>
            </w:tcBorders>
            <w:vAlign w:val="bottom"/>
            <w:hideMark/>
          </w:tcPr>
          <w:p w14:paraId="7524493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$3,530,011</w:t>
            </w:r>
          </w:p>
        </w:tc>
        <w:tc>
          <w:tcPr>
            <w:tcW w:w="1170" w:type="dxa"/>
            <w:tcBorders>
              <w:top w:val="nil"/>
              <w:left w:val="nil"/>
              <w:bottom w:val="single" w:sz="4" w:space="0" w:color="auto"/>
              <w:right w:val="single" w:sz="4" w:space="0" w:color="auto"/>
            </w:tcBorders>
            <w:vAlign w:val="bottom"/>
            <w:hideMark/>
          </w:tcPr>
          <w:p w14:paraId="0C19E1F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$211,801</w:t>
            </w:r>
          </w:p>
        </w:tc>
        <w:tc>
          <w:tcPr>
            <w:tcW w:w="1260" w:type="dxa"/>
            <w:tcBorders>
              <w:top w:val="nil"/>
              <w:left w:val="nil"/>
              <w:bottom w:val="single" w:sz="4" w:space="0" w:color="auto"/>
              <w:right w:val="single" w:sz="4" w:space="0" w:color="auto"/>
            </w:tcBorders>
            <w:vAlign w:val="bottom"/>
            <w:hideMark/>
          </w:tcPr>
          <w:p w14:paraId="57FF1EB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$18,920</w:t>
            </w:r>
          </w:p>
        </w:tc>
        <w:tc>
          <w:tcPr>
            <w:tcW w:w="1080" w:type="dxa"/>
            <w:tcBorders>
              <w:top w:val="nil"/>
              <w:left w:val="nil"/>
              <w:bottom w:val="single" w:sz="4" w:space="0" w:color="auto"/>
              <w:right w:val="single" w:sz="4" w:space="0" w:color="auto"/>
            </w:tcBorders>
            <w:vAlign w:val="bottom"/>
            <w:hideMark/>
          </w:tcPr>
          <w:p w14:paraId="714B409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6EF95AA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$18,920</w:t>
            </w:r>
          </w:p>
        </w:tc>
        <w:tc>
          <w:tcPr>
            <w:tcW w:w="1151" w:type="dxa"/>
            <w:tcBorders>
              <w:top w:val="nil"/>
              <w:left w:val="nil"/>
              <w:bottom w:val="single" w:sz="4" w:space="0" w:color="auto"/>
              <w:right w:val="single" w:sz="4" w:space="0" w:color="auto"/>
            </w:tcBorders>
            <w:vAlign w:val="bottom"/>
            <w:hideMark/>
          </w:tcPr>
          <w:p w14:paraId="6F16F63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8.93%</w:t>
            </w:r>
          </w:p>
        </w:tc>
        <w:tc>
          <w:tcPr>
            <w:tcW w:w="1260" w:type="dxa"/>
            <w:tcBorders>
              <w:top w:val="nil"/>
              <w:left w:val="nil"/>
              <w:bottom w:val="single" w:sz="4" w:space="0" w:color="auto"/>
              <w:right w:val="single" w:sz="4" w:space="0" w:color="auto"/>
            </w:tcBorders>
            <w:vAlign w:val="bottom"/>
            <w:hideMark/>
          </w:tcPr>
          <w:p w14:paraId="5EF024B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-$192,881</w:t>
            </w:r>
          </w:p>
        </w:tc>
      </w:tr>
      <w:tr w:rsidR="003F0AFC" w:rsidRPr="003F0AFC" w14:paraId="3E913766" w14:textId="77777777" w:rsidTr="009050D8">
        <w:trPr>
          <w:trHeight w:val="62"/>
        </w:trPr>
        <w:tc>
          <w:tcPr>
            <w:tcW w:w="664" w:type="dxa"/>
            <w:tcBorders>
              <w:top w:val="nil"/>
              <w:left w:val="single" w:sz="4" w:space="0" w:color="auto"/>
              <w:bottom w:val="single" w:sz="4" w:space="0" w:color="auto"/>
              <w:right w:val="single" w:sz="4" w:space="0" w:color="auto"/>
            </w:tcBorders>
            <w:vAlign w:val="bottom"/>
            <w:hideMark/>
          </w:tcPr>
          <w:p w14:paraId="53B26AEE"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49" w:type="dxa"/>
            <w:tcBorders>
              <w:top w:val="nil"/>
              <w:left w:val="nil"/>
              <w:bottom w:val="single" w:sz="4" w:space="0" w:color="auto"/>
              <w:right w:val="single" w:sz="4" w:space="0" w:color="auto"/>
            </w:tcBorders>
            <w:vAlign w:val="bottom"/>
            <w:hideMark/>
          </w:tcPr>
          <w:p w14:paraId="7EBD0732"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HRD</w:t>
            </w:r>
          </w:p>
        </w:tc>
        <w:tc>
          <w:tcPr>
            <w:tcW w:w="4031" w:type="dxa"/>
            <w:tcBorders>
              <w:top w:val="nil"/>
              <w:left w:val="nil"/>
              <w:bottom w:val="single" w:sz="4" w:space="0" w:color="auto"/>
              <w:right w:val="single" w:sz="4" w:space="0" w:color="auto"/>
            </w:tcBorders>
            <w:vAlign w:val="bottom"/>
            <w:hideMark/>
          </w:tcPr>
          <w:p w14:paraId="34CA0818"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HUMAN RESOURCES DIVISION</w:t>
            </w:r>
          </w:p>
        </w:tc>
        <w:tc>
          <w:tcPr>
            <w:tcW w:w="1260" w:type="dxa"/>
            <w:tcBorders>
              <w:top w:val="nil"/>
              <w:left w:val="nil"/>
              <w:bottom w:val="single" w:sz="4" w:space="0" w:color="auto"/>
              <w:right w:val="single" w:sz="4" w:space="0" w:color="auto"/>
            </w:tcBorders>
            <w:vAlign w:val="bottom"/>
            <w:hideMark/>
          </w:tcPr>
          <w:p w14:paraId="45A54F2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$918,431</w:t>
            </w:r>
          </w:p>
        </w:tc>
        <w:tc>
          <w:tcPr>
            <w:tcW w:w="1170" w:type="dxa"/>
            <w:tcBorders>
              <w:top w:val="nil"/>
              <w:left w:val="nil"/>
              <w:bottom w:val="single" w:sz="4" w:space="0" w:color="auto"/>
              <w:right w:val="single" w:sz="4" w:space="0" w:color="auto"/>
            </w:tcBorders>
            <w:vAlign w:val="bottom"/>
            <w:hideMark/>
          </w:tcPr>
          <w:p w14:paraId="71DB054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$55,106</w:t>
            </w:r>
          </w:p>
        </w:tc>
        <w:tc>
          <w:tcPr>
            <w:tcW w:w="1260" w:type="dxa"/>
            <w:tcBorders>
              <w:top w:val="nil"/>
              <w:left w:val="nil"/>
              <w:bottom w:val="single" w:sz="4" w:space="0" w:color="auto"/>
              <w:right w:val="single" w:sz="4" w:space="0" w:color="auto"/>
            </w:tcBorders>
            <w:vAlign w:val="bottom"/>
            <w:hideMark/>
          </w:tcPr>
          <w:p w14:paraId="7A665AC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$29,433</w:t>
            </w:r>
          </w:p>
        </w:tc>
        <w:tc>
          <w:tcPr>
            <w:tcW w:w="1080" w:type="dxa"/>
            <w:tcBorders>
              <w:top w:val="nil"/>
              <w:left w:val="nil"/>
              <w:bottom w:val="single" w:sz="4" w:space="0" w:color="auto"/>
              <w:right w:val="single" w:sz="4" w:space="0" w:color="auto"/>
            </w:tcBorders>
            <w:vAlign w:val="bottom"/>
            <w:hideMark/>
          </w:tcPr>
          <w:p w14:paraId="43B519A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5A5C64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$29,433</w:t>
            </w:r>
          </w:p>
        </w:tc>
        <w:tc>
          <w:tcPr>
            <w:tcW w:w="1151" w:type="dxa"/>
            <w:tcBorders>
              <w:top w:val="nil"/>
              <w:left w:val="nil"/>
              <w:bottom w:val="single" w:sz="4" w:space="0" w:color="auto"/>
              <w:right w:val="single" w:sz="4" w:space="0" w:color="auto"/>
            </w:tcBorders>
            <w:vAlign w:val="bottom"/>
            <w:hideMark/>
          </w:tcPr>
          <w:p w14:paraId="13B55F6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53.41%</w:t>
            </w:r>
          </w:p>
        </w:tc>
        <w:tc>
          <w:tcPr>
            <w:tcW w:w="1260" w:type="dxa"/>
            <w:tcBorders>
              <w:top w:val="nil"/>
              <w:left w:val="nil"/>
              <w:bottom w:val="single" w:sz="4" w:space="0" w:color="auto"/>
              <w:right w:val="single" w:sz="4" w:space="0" w:color="auto"/>
            </w:tcBorders>
            <w:vAlign w:val="bottom"/>
            <w:hideMark/>
          </w:tcPr>
          <w:p w14:paraId="3018B2D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-$25,673</w:t>
            </w:r>
          </w:p>
        </w:tc>
      </w:tr>
      <w:tr w:rsidR="003F0AFC" w:rsidRPr="003F0AFC" w14:paraId="6E015600" w14:textId="77777777" w:rsidTr="009050D8">
        <w:trPr>
          <w:trHeight w:val="125"/>
        </w:trPr>
        <w:tc>
          <w:tcPr>
            <w:tcW w:w="664" w:type="dxa"/>
            <w:tcBorders>
              <w:top w:val="nil"/>
              <w:left w:val="single" w:sz="4" w:space="0" w:color="auto"/>
              <w:bottom w:val="single" w:sz="4" w:space="0" w:color="auto"/>
              <w:right w:val="single" w:sz="4" w:space="0" w:color="auto"/>
            </w:tcBorders>
            <w:vAlign w:val="bottom"/>
            <w:hideMark/>
          </w:tcPr>
          <w:p w14:paraId="6407095D"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49" w:type="dxa"/>
            <w:tcBorders>
              <w:top w:val="nil"/>
              <w:left w:val="nil"/>
              <w:bottom w:val="single" w:sz="4" w:space="0" w:color="auto"/>
              <w:right w:val="single" w:sz="4" w:space="0" w:color="auto"/>
            </w:tcBorders>
            <w:vAlign w:val="bottom"/>
            <w:hideMark/>
          </w:tcPr>
          <w:p w14:paraId="7CFF0F4C"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ITD</w:t>
            </w:r>
          </w:p>
        </w:tc>
        <w:tc>
          <w:tcPr>
            <w:tcW w:w="4031" w:type="dxa"/>
            <w:tcBorders>
              <w:top w:val="nil"/>
              <w:left w:val="nil"/>
              <w:bottom w:val="single" w:sz="4" w:space="0" w:color="auto"/>
              <w:right w:val="single" w:sz="4" w:space="0" w:color="auto"/>
            </w:tcBorders>
            <w:vAlign w:val="bottom"/>
            <w:hideMark/>
          </w:tcPr>
          <w:p w14:paraId="5FFAC0A2"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INFORMATION TECHNOLOGY DIVISION</w:t>
            </w:r>
          </w:p>
        </w:tc>
        <w:tc>
          <w:tcPr>
            <w:tcW w:w="1260" w:type="dxa"/>
            <w:tcBorders>
              <w:top w:val="nil"/>
              <w:left w:val="nil"/>
              <w:bottom w:val="single" w:sz="4" w:space="0" w:color="auto"/>
              <w:right w:val="single" w:sz="4" w:space="0" w:color="auto"/>
            </w:tcBorders>
            <w:vAlign w:val="bottom"/>
            <w:hideMark/>
          </w:tcPr>
          <w:p w14:paraId="31BCE19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$6,070,217</w:t>
            </w:r>
          </w:p>
        </w:tc>
        <w:tc>
          <w:tcPr>
            <w:tcW w:w="1170" w:type="dxa"/>
            <w:tcBorders>
              <w:top w:val="nil"/>
              <w:left w:val="nil"/>
              <w:bottom w:val="single" w:sz="4" w:space="0" w:color="auto"/>
              <w:right w:val="single" w:sz="4" w:space="0" w:color="auto"/>
            </w:tcBorders>
            <w:vAlign w:val="bottom"/>
            <w:hideMark/>
          </w:tcPr>
          <w:p w14:paraId="3627366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$364,213</w:t>
            </w:r>
          </w:p>
        </w:tc>
        <w:tc>
          <w:tcPr>
            <w:tcW w:w="1260" w:type="dxa"/>
            <w:tcBorders>
              <w:top w:val="nil"/>
              <w:left w:val="nil"/>
              <w:bottom w:val="single" w:sz="4" w:space="0" w:color="auto"/>
              <w:right w:val="single" w:sz="4" w:space="0" w:color="auto"/>
            </w:tcBorders>
            <w:vAlign w:val="bottom"/>
            <w:hideMark/>
          </w:tcPr>
          <w:p w14:paraId="195F9B8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$2,632,464</w:t>
            </w:r>
          </w:p>
        </w:tc>
        <w:tc>
          <w:tcPr>
            <w:tcW w:w="1080" w:type="dxa"/>
            <w:tcBorders>
              <w:top w:val="nil"/>
              <w:left w:val="nil"/>
              <w:bottom w:val="single" w:sz="4" w:space="0" w:color="auto"/>
              <w:right w:val="single" w:sz="4" w:space="0" w:color="auto"/>
            </w:tcBorders>
            <w:vAlign w:val="bottom"/>
            <w:hideMark/>
          </w:tcPr>
          <w:p w14:paraId="03DEA97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0190EA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$2,632,464</w:t>
            </w:r>
          </w:p>
        </w:tc>
        <w:tc>
          <w:tcPr>
            <w:tcW w:w="1151" w:type="dxa"/>
            <w:tcBorders>
              <w:top w:val="nil"/>
              <w:left w:val="nil"/>
              <w:bottom w:val="single" w:sz="4" w:space="0" w:color="auto"/>
              <w:right w:val="single" w:sz="4" w:space="0" w:color="auto"/>
            </w:tcBorders>
            <w:vAlign w:val="bottom"/>
            <w:hideMark/>
          </w:tcPr>
          <w:p w14:paraId="2C5317B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722.78%</w:t>
            </w:r>
          </w:p>
        </w:tc>
        <w:tc>
          <w:tcPr>
            <w:tcW w:w="1260" w:type="dxa"/>
            <w:tcBorders>
              <w:top w:val="nil"/>
              <w:left w:val="nil"/>
              <w:bottom w:val="single" w:sz="4" w:space="0" w:color="auto"/>
              <w:right w:val="single" w:sz="4" w:space="0" w:color="auto"/>
            </w:tcBorders>
            <w:vAlign w:val="bottom"/>
            <w:hideMark/>
          </w:tcPr>
          <w:p w14:paraId="0AC2CB6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$2,268,251</w:t>
            </w:r>
          </w:p>
        </w:tc>
      </w:tr>
      <w:tr w:rsidR="003F0AFC" w:rsidRPr="003F0AFC" w14:paraId="08DF937A" w14:textId="77777777" w:rsidTr="009050D8">
        <w:trPr>
          <w:trHeight w:val="179"/>
        </w:trPr>
        <w:tc>
          <w:tcPr>
            <w:tcW w:w="664" w:type="dxa"/>
            <w:tcBorders>
              <w:top w:val="nil"/>
              <w:left w:val="single" w:sz="4" w:space="0" w:color="auto"/>
              <w:bottom w:val="single" w:sz="4" w:space="0" w:color="auto"/>
              <w:right w:val="single" w:sz="4" w:space="0" w:color="auto"/>
            </w:tcBorders>
            <w:vAlign w:val="bottom"/>
            <w:hideMark/>
          </w:tcPr>
          <w:p w14:paraId="444D3151"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49" w:type="dxa"/>
            <w:tcBorders>
              <w:top w:val="nil"/>
              <w:left w:val="nil"/>
              <w:bottom w:val="single" w:sz="4" w:space="0" w:color="auto"/>
              <w:right w:val="single" w:sz="4" w:space="0" w:color="auto"/>
            </w:tcBorders>
            <w:vAlign w:val="bottom"/>
            <w:hideMark/>
          </w:tcPr>
          <w:p w14:paraId="6069B8E1"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OHA</w:t>
            </w:r>
          </w:p>
        </w:tc>
        <w:tc>
          <w:tcPr>
            <w:tcW w:w="4031" w:type="dxa"/>
            <w:tcBorders>
              <w:top w:val="nil"/>
              <w:left w:val="nil"/>
              <w:bottom w:val="single" w:sz="4" w:space="0" w:color="auto"/>
              <w:right w:val="single" w:sz="4" w:space="0" w:color="auto"/>
            </w:tcBorders>
            <w:vAlign w:val="bottom"/>
            <w:hideMark/>
          </w:tcPr>
          <w:p w14:paraId="52E68261"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MASSACHUSETTS OFFICE ON DISABILITY</w:t>
            </w:r>
          </w:p>
        </w:tc>
        <w:tc>
          <w:tcPr>
            <w:tcW w:w="1260" w:type="dxa"/>
            <w:tcBorders>
              <w:top w:val="nil"/>
              <w:left w:val="nil"/>
              <w:bottom w:val="single" w:sz="4" w:space="0" w:color="auto"/>
              <w:right w:val="single" w:sz="4" w:space="0" w:color="auto"/>
            </w:tcBorders>
            <w:vAlign w:val="bottom"/>
            <w:hideMark/>
          </w:tcPr>
          <w:p w14:paraId="702499A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$64,967</w:t>
            </w:r>
          </w:p>
        </w:tc>
        <w:tc>
          <w:tcPr>
            <w:tcW w:w="1170" w:type="dxa"/>
            <w:tcBorders>
              <w:top w:val="nil"/>
              <w:left w:val="nil"/>
              <w:bottom w:val="single" w:sz="4" w:space="0" w:color="auto"/>
              <w:right w:val="single" w:sz="4" w:space="0" w:color="auto"/>
            </w:tcBorders>
            <w:vAlign w:val="bottom"/>
            <w:hideMark/>
          </w:tcPr>
          <w:p w14:paraId="47269FE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$3,898</w:t>
            </w:r>
          </w:p>
        </w:tc>
        <w:tc>
          <w:tcPr>
            <w:tcW w:w="1260" w:type="dxa"/>
            <w:tcBorders>
              <w:top w:val="nil"/>
              <w:left w:val="nil"/>
              <w:bottom w:val="single" w:sz="4" w:space="0" w:color="auto"/>
              <w:right w:val="single" w:sz="4" w:space="0" w:color="auto"/>
            </w:tcBorders>
            <w:vAlign w:val="bottom"/>
            <w:hideMark/>
          </w:tcPr>
          <w:p w14:paraId="2FD09E9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$5,909</w:t>
            </w:r>
          </w:p>
        </w:tc>
        <w:tc>
          <w:tcPr>
            <w:tcW w:w="1080" w:type="dxa"/>
            <w:tcBorders>
              <w:top w:val="nil"/>
              <w:left w:val="nil"/>
              <w:bottom w:val="single" w:sz="4" w:space="0" w:color="auto"/>
              <w:right w:val="single" w:sz="4" w:space="0" w:color="auto"/>
            </w:tcBorders>
            <w:vAlign w:val="bottom"/>
            <w:hideMark/>
          </w:tcPr>
          <w:p w14:paraId="716183A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504E50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$5,909</w:t>
            </w:r>
          </w:p>
        </w:tc>
        <w:tc>
          <w:tcPr>
            <w:tcW w:w="1151" w:type="dxa"/>
            <w:tcBorders>
              <w:top w:val="nil"/>
              <w:left w:val="nil"/>
              <w:bottom w:val="single" w:sz="4" w:space="0" w:color="auto"/>
              <w:right w:val="single" w:sz="4" w:space="0" w:color="auto"/>
            </w:tcBorders>
            <w:vAlign w:val="bottom"/>
            <w:hideMark/>
          </w:tcPr>
          <w:p w14:paraId="67D40AE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151.58%</w:t>
            </w:r>
          </w:p>
        </w:tc>
        <w:tc>
          <w:tcPr>
            <w:tcW w:w="1260" w:type="dxa"/>
            <w:tcBorders>
              <w:top w:val="nil"/>
              <w:left w:val="nil"/>
              <w:bottom w:val="single" w:sz="4" w:space="0" w:color="auto"/>
              <w:right w:val="single" w:sz="4" w:space="0" w:color="auto"/>
            </w:tcBorders>
            <w:vAlign w:val="bottom"/>
            <w:hideMark/>
          </w:tcPr>
          <w:p w14:paraId="4CB2F7F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$2,011</w:t>
            </w:r>
          </w:p>
        </w:tc>
      </w:tr>
      <w:tr w:rsidR="003F0AFC" w:rsidRPr="003F0AFC" w14:paraId="7D44BC9E" w14:textId="77777777" w:rsidTr="009050D8">
        <w:trPr>
          <w:trHeight w:val="134"/>
        </w:trPr>
        <w:tc>
          <w:tcPr>
            <w:tcW w:w="664" w:type="dxa"/>
            <w:tcBorders>
              <w:top w:val="nil"/>
              <w:left w:val="single" w:sz="4" w:space="0" w:color="auto"/>
              <w:bottom w:val="single" w:sz="4" w:space="0" w:color="auto"/>
              <w:right w:val="single" w:sz="4" w:space="0" w:color="auto"/>
            </w:tcBorders>
            <w:vAlign w:val="bottom"/>
            <w:hideMark/>
          </w:tcPr>
          <w:p w14:paraId="04297382"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49" w:type="dxa"/>
            <w:tcBorders>
              <w:top w:val="nil"/>
              <w:left w:val="nil"/>
              <w:bottom w:val="single" w:sz="4" w:space="0" w:color="auto"/>
              <w:right w:val="single" w:sz="4" w:space="0" w:color="auto"/>
            </w:tcBorders>
            <w:vAlign w:val="bottom"/>
            <w:hideMark/>
          </w:tcPr>
          <w:p w14:paraId="454100F1"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PER</w:t>
            </w:r>
          </w:p>
        </w:tc>
        <w:tc>
          <w:tcPr>
            <w:tcW w:w="4031" w:type="dxa"/>
            <w:tcBorders>
              <w:top w:val="nil"/>
              <w:left w:val="nil"/>
              <w:bottom w:val="single" w:sz="4" w:space="0" w:color="auto"/>
              <w:right w:val="single" w:sz="4" w:space="0" w:color="auto"/>
            </w:tcBorders>
            <w:vAlign w:val="bottom"/>
            <w:hideMark/>
          </w:tcPr>
          <w:p w14:paraId="69CDF8A9"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PUBLIC EMPLOYEE RETIREMENT ADMINISTRATION</w:t>
            </w:r>
          </w:p>
        </w:tc>
        <w:tc>
          <w:tcPr>
            <w:tcW w:w="1260" w:type="dxa"/>
            <w:tcBorders>
              <w:top w:val="nil"/>
              <w:left w:val="nil"/>
              <w:bottom w:val="single" w:sz="4" w:space="0" w:color="auto"/>
              <w:right w:val="single" w:sz="4" w:space="0" w:color="auto"/>
            </w:tcBorders>
            <w:vAlign w:val="bottom"/>
            <w:hideMark/>
          </w:tcPr>
          <w:p w14:paraId="1DC966C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$500,835</w:t>
            </w:r>
          </w:p>
        </w:tc>
        <w:tc>
          <w:tcPr>
            <w:tcW w:w="1170" w:type="dxa"/>
            <w:tcBorders>
              <w:top w:val="nil"/>
              <w:left w:val="nil"/>
              <w:bottom w:val="single" w:sz="4" w:space="0" w:color="auto"/>
              <w:right w:val="single" w:sz="4" w:space="0" w:color="auto"/>
            </w:tcBorders>
            <w:vAlign w:val="bottom"/>
            <w:hideMark/>
          </w:tcPr>
          <w:p w14:paraId="5279A68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$30,050</w:t>
            </w:r>
          </w:p>
        </w:tc>
        <w:tc>
          <w:tcPr>
            <w:tcW w:w="1260" w:type="dxa"/>
            <w:tcBorders>
              <w:top w:val="nil"/>
              <w:left w:val="nil"/>
              <w:bottom w:val="single" w:sz="4" w:space="0" w:color="auto"/>
              <w:right w:val="single" w:sz="4" w:space="0" w:color="auto"/>
            </w:tcBorders>
            <w:vAlign w:val="bottom"/>
            <w:hideMark/>
          </w:tcPr>
          <w:p w14:paraId="1FF6840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$26,900</w:t>
            </w:r>
          </w:p>
        </w:tc>
        <w:tc>
          <w:tcPr>
            <w:tcW w:w="1080" w:type="dxa"/>
            <w:tcBorders>
              <w:top w:val="nil"/>
              <w:left w:val="nil"/>
              <w:bottom w:val="single" w:sz="4" w:space="0" w:color="auto"/>
              <w:right w:val="single" w:sz="4" w:space="0" w:color="auto"/>
            </w:tcBorders>
            <w:vAlign w:val="bottom"/>
            <w:hideMark/>
          </w:tcPr>
          <w:p w14:paraId="4F32D09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6B79DDF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$26,900</w:t>
            </w:r>
          </w:p>
        </w:tc>
        <w:tc>
          <w:tcPr>
            <w:tcW w:w="1151" w:type="dxa"/>
            <w:tcBorders>
              <w:top w:val="nil"/>
              <w:left w:val="nil"/>
              <w:bottom w:val="single" w:sz="4" w:space="0" w:color="auto"/>
              <w:right w:val="single" w:sz="4" w:space="0" w:color="auto"/>
            </w:tcBorders>
            <w:vAlign w:val="bottom"/>
            <w:hideMark/>
          </w:tcPr>
          <w:p w14:paraId="3D4633A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89.52%</w:t>
            </w:r>
          </w:p>
        </w:tc>
        <w:tc>
          <w:tcPr>
            <w:tcW w:w="1260" w:type="dxa"/>
            <w:tcBorders>
              <w:top w:val="nil"/>
              <w:left w:val="nil"/>
              <w:bottom w:val="single" w:sz="4" w:space="0" w:color="auto"/>
              <w:right w:val="single" w:sz="4" w:space="0" w:color="auto"/>
            </w:tcBorders>
            <w:vAlign w:val="bottom"/>
            <w:hideMark/>
          </w:tcPr>
          <w:p w14:paraId="4937D07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-$3,150</w:t>
            </w:r>
          </w:p>
        </w:tc>
      </w:tr>
      <w:tr w:rsidR="003F0AFC" w:rsidRPr="003F0AFC" w14:paraId="05C4AE11" w14:textId="77777777" w:rsidTr="009050D8">
        <w:trPr>
          <w:trHeight w:val="116"/>
        </w:trPr>
        <w:tc>
          <w:tcPr>
            <w:tcW w:w="664" w:type="dxa"/>
            <w:tcBorders>
              <w:top w:val="nil"/>
              <w:left w:val="single" w:sz="4" w:space="0" w:color="auto"/>
              <w:bottom w:val="nil"/>
              <w:right w:val="single" w:sz="4" w:space="0" w:color="auto"/>
            </w:tcBorders>
            <w:vAlign w:val="bottom"/>
            <w:hideMark/>
          </w:tcPr>
          <w:p w14:paraId="5104E85E"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49" w:type="dxa"/>
            <w:tcBorders>
              <w:top w:val="nil"/>
              <w:left w:val="nil"/>
              <w:bottom w:val="nil"/>
              <w:right w:val="single" w:sz="4" w:space="0" w:color="auto"/>
            </w:tcBorders>
            <w:vAlign w:val="bottom"/>
            <w:hideMark/>
          </w:tcPr>
          <w:p w14:paraId="44533870"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TRB</w:t>
            </w:r>
          </w:p>
        </w:tc>
        <w:tc>
          <w:tcPr>
            <w:tcW w:w="4031" w:type="dxa"/>
            <w:tcBorders>
              <w:top w:val="nil"/>
              <w:left w:val="nil"/>
              <w:bottom w:val="nil"/>
              <w:right w:val="single" w:sz="4" w:space="0" w:color="auto"/>
            </w:tcBorders>
            <w:vAlign w:val="bottom"/>
            <w:hideMark/>
          </w:tcPr>
          <w:p w14:paraId="47A8F5CE"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TEACHERS RETIREMENT BOARD</w:t>
            </w:r>
          </w:p>
        </w:tc>
        <w:tc>
          <w:tcPr>
            <w:tcW w:w="1260" w:type="dxa"/>
            <w:tcBorders>
              <w:top w:val="nil"/>
              <w:left w:val="nil"/>
              <w:bottom w:val="nil"/>
              <w:right w:val="single" w:sz="4" w:space="0" w:color="auto"/>
            </w:tcBorders>
            <w:vAlign w:val="bottom"/>
            <w:hideMark/>
          </w:tcPr>
          <w:p w14:paraId="37EAC6D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$2,781,597</w:t>
            </w:r>
          </w:p>
        </w:tc>
        <w:tc>
          <w:tcPr>
            <w:tcW w:w="1170" w:type="dxa"/>
            <w:tcBorders>
              <w:top w:val="nil"/>
              <w:left w:val="nil"/>
              <w:bottom w:val="nil"/>
              <w:right w:val="single" w:sz="4" w:space="0" w:color="auto"/>
            </w:tcBorders>
            <w:vAlign w:val="bottom"/>
            <w:hideMark/>
          </w:tcPr>
          <w:p w14:paraId="44DBDCC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$166,896</w:t>
            </w:r>
          </w:p>
        </w:tc>
        <w:tc>
          <w:tcPr>
            <w:tcW w:w="1260" w:type="dxa"/>
            <w:tcBorders>
              <w:top w:val="nil"/>
              <w:left w:val="nil"/>
              <w:bottom w:val="nil"/>
              <w:right w:val="single" w:sz="4" w:space="0" w:color="auto"/>
            </w:tcBorders>
            <w:vAlign w:val="bottom"/>
            <w:hideMark/>
          </w:tcPr>
          <w:p w14:paraId="41B0DB7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$221,597</w:t>
            </w:r>
          </w:p>
        </w:tc>
        <w:tc>
          <w:tcPr>
            <w:tcW w:w="1080" w:type="dxa"/>
            <w:tcBorders>
              <w:top w:val="nil"/>
              <w:left w:val="nil"/>
              <w:bottom w:val="nil"/>
              <w:right w:val="single" w:sz="4" w:space="0" w:color="auto"/>
            </w:tcBorders>
            <w:vAlign w:val="bottom"/>
            <w:hideMark/>
          </w:tcPr>
          <w:p w14:paraId="38E027A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0A5E90E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$221,597</w:t>
            </w:r>
          </w:p>
        </w:tc>
        <w:tc>
          <w:tcPr>
            <w:tcW w:w="1151" w:type="dxa"/>
            <w:tcBorders>
              <w:top w:val="nil"/>
              <w:left w:val="nil"/>
              <w:bottom w:val="nil"/>
              <w:right w:val="single" w:sz="4" w:space="0" w:color="auto"/>
            </w:tcBorders>
            <w:vAlign w:val="bottom"/>
            <w:hideMark/>
          </w:tcPr>
          <w:p w14:paraId="68E8E5B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132.78%</w:t>
            </w:r>
          </w:p>
        </w:tc>
        <w:tc>
          <w:tcPr>
            <w:tcW w:w="1260" w:type="dxa"/>
            <w:tcBorders>
              <w:top w:val="nil"/>
              <w:left w:val="nil"/>
              <w:bottom w:val="nil"/>
              <w:right w:val="single" w:sz="4" w:space="0" w:color="auto"/>
            </w:tcBorders>
            <w:vAlign w:val="bottom"/>
            <w:hideMark/>
          </w:tcPr>
          <w:p w14:paraId="49C0D55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$54,701</w:t>
            </w:r>
          </w:p>
        </w:tc>
      </w:tr>
      <w:tr w:rsidR="003F0AFC" w:rsidRPr="003F0AFC" w14:paraId="04DA15D9" w14:textId="77777777" w:rsidTr="009050D8">
        <w:trPr>
          <w:trHeight w:val="52"/>
        </w:trPr>
        <w:tc>
          <w:tcPr>
            <w:tcW w:w="5344" w:type="dxa"/>
            <w:gridSpan w:val="3"/>
            <w:tcBorders>
              <w:top w:val="single" w:sz="8" w:space="0" w:color="auto"/>
              <w:left w:val="single" w:sz="8" w:space="0" w:color="auto"/>
              <w:bottom w:val="single" w:sz="8" w:space="0" w:color="auto"/>
              <w:right w:val="single" w:sz="4" w:space="0" w:color="auto"/>
            </w:tcBorders>
            <w:shd w:val="clear" w:color="000000" w:fill="E26B0A"/>
            <w:vAlign w:val="bottom"/>
            <w:hideMark/>
          </w:tcPr>
          <w:p w14:paraId="65567EA4" w14:textId="77777777" w:rsidR="003F0AFC" w:rsidRPr="00E67D16" w:rsidRDefault="003F0AFC" w:rsidP="00F8162C">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424549D2"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$103,656,895</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772DDADF"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$6,219,414</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35329832"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$11,105,504</w:t>
            </w:r>
          </w:p>
        </w:tc>
        <w:tc>
          <w:tcPr>
            <w:tcW w:w="1080" w:type="dxa"/>
            <w:tcBorders>
              <w:top w:val="single" w:sz="8" w:space="0" w:color="auto"/>
              <w:left w:val="nil"/>
              <w:bottom w:val="single" w:sz="8" w:space="0" w:color="auto"/>
              <w:right w:val="single" w:sz="4" w:space="0" w:color="auto"/>
            </w:tcBorders>
            <w:shd w:val="clear" w:color="000000" w:fill="E26B0A"/>
            <w:vAlign w:val="bottom"/>
            <w:hideMark/>
          </w:tcPr>
          <w:p w14:paraId="71058151"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$169,901</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7B3EE161"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$11,275,405</w:t>
            </w:r>
          </w:p>
        </w:tc>
        <w:tc>
          <w:tcPr>
            <w:tcW w:w="1151" w:type="dxa"/>
            <w:tcBorders>
              <w:top w:val="single" w:sz="8" w:space="0" w:color="auto"/>
              <w:left w:val="nil"/>
              <w:bottom w:val="single" w:sz="8" w:space="0" w:color="auto"/>
              <w:right w:val="single" w:sz="4" w:space="0" w:color="auto"/>
            </w:tcBorders>
            <w:shd w:val="clear" w:color="000000" w:fill="E26B0A"/>
            <w:vAlign w:val="bottom"/>
            <w:hideMark/>
          </w:tcPr>
          <w:p w14:paraId="3659483D"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181.29%</w:t>
            </w:r>
          </w:p>
        </w:tc>
        <w:tc>
          <w:tcPr>
            <w:tcW w:w="1260" w:type="dxa"/>
            <w:tcBorders>
              <w:top w:val="single" w:sz="8" w:space="0" w:color="auto"/>
              <w:left w:val="nil"/>
              <w:bottom w:val="single" w:sz="8" w:space="0" w:color="auto"/>
              <w:right w:val="single" w:sz="8" w:space="0" w:color="auto"/>
            </w:tcBorders>
            <w:shd w:val="clear" w:color="000000" w:fill="E26B0A"/>
            <w:vAlign w:val="bottom"/>
            <w:hideMark/>
          </w:tcPr>
          <w:p w14:paraId="1A352BB2"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$5,055,992</w:t>
            </w:r>
          </w:p>
        </w:tc>
      </w:tr>
      <w:tr w:rsidR="003F0AFC" w:rsidRPr="003F0AFC" w14:paraId="32A76198" w14:textId="77777777" w:rsidTr="009050D8">
        <w:trPr>
          <w:trHeight w:val="88"/>
        </w:trPr>
        <w:tc>
          <w:tcPr>
            <w:tcW w:w="664" w:type="dxa"/>
            <w:tcBorders>
              <w:top w:val="nil"/>
              <w:left w:val="single" w:sz="4" w:space="0" w:color="auto"/>
              <w:bottom w:val="nil"/>
              <w:right w:val="single" w:sz="4" w:space="0" w:color="auto"/>
            </w:tcBorders>
            <w:vAlign w:val="bottom"/>
            <w:hideMark/>
          </w:tcPr>
          <w:p w14:paraId="3D84D291"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CAD</w:t>
            </w:r>
          </w:p>
        </w:tc>
        <w:tc>
          <w:tcPr>
            <w:tcW w:w="649" w:type="dxa"/>
            <w:tcBorders>
              <w:top w:val="nil"/>
              <w:left w:val="nil"/>
              <w:bottom w:val="nil"/>
              <w:right w:val="single" w:sz="4" w:space="0" w:color="auto"/>
            </w:tcBorders>
            <w:vAlign w:val="bottom"/>
            <w:hideMark/>
          </w:tcPr>
          <w:p w14:paraId="2B8EC903"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CAD</w:t>
            </w:r>
          </w:p>
        </w:tc>
        <w:tc>
          <w:tcPr>
            <w:tcW w:w="4031" w:type="dxa"/>
            <w:tcBorders>
              <w:top w:val="nil"/>
              <w:left w:val="nil"/>
              <w:bottom w:val="nil"/>
              <w:right w:val="single" w:sz="4" w:space="0" w:color="auto"/>
            </w:tcBorders>
            <w:vAlign w:val="bottom"/>
            <w:hideMark/>
          </w:tcPr>
          <w:p w14:paraId="1FC244BE"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COMMISSION AGAINST DISCRIMINATION</w:t>
            </w:r>
          </w:p>
        </w:tc>
        <w:tc>
          <w:tcPr>
            <w:tcW w:w="1260" w:type="dxa"/>
            <w:tcBorders>
              <w:top w:val="nil"/>
              <w:left w:val="nil"/>
              <w:bottom w:val="nil"/>
              <w:right w:val="single" w:sz="4" w:space="0" w:color="auto"/>
            </w:tcBorders>
            <w:vAlign w:val="bottom"/>
            <w:hideMark/>
          </w:tcPr>
          <w:p w14:paraId="7AD3FFE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$227,692</w:t>
            </w:r>
          </w:p>
        </w:tc>
        <w:tc>
          <w:tcPr>
            <w:tcW w:w="1170" w:type="dxa"/>
            <w:tcBorders>
              <w:top w:val="nil"/>
              <w:left w:val="nil"/>
              <w:bottom w:val="nil"/>
              <w:right w:val="single" w:sz="4" w:space="0" w:color="auto"/>
            </w:tcBorders>
            <w:vAlign w:val="bottom"/>
            <w:hideMark/>
          </w:tcPr>
          <w:p w14:paraId="320CC9F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$13,662</w:t>
            </w:r>
          </w:p>
        </w:tc>
        <w:tc>
          <w:tcPr>
            <w:tcW w:w="1260" w:type="dxa"/>
            <w:tcBorders>
              <w:top w:val="nil"/>
              <w:left w:val="nil"/>
              <w:bottom w:val="nil"/>
              <w:right w:val="single" w:sz="4" w:space="0" w:color="auto"/>
            </w:tcBorders>
            <w:vAlign w:val="bottom"/>
            <w:hideMark/>
          </w:tcPr>
          <w:p w14:paraId="2FADA1A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$21,282</w:t>
            </w:r>
          </w:p>
        </w:tc>
        <w:tc>
          <w:tcPr>
            <w:tcW w:w="1080" w:type="dxa"/>
            <w:tcBorders>
              <w:top w:val="nil"/>
              <w:left w:val="nil"/>
              <w:bottom w:val="nil"/>
              <w:right w:val="single" w:sz="4" w:space="0" w:color="auto"/>
            </w:tcBorders>
            <w:vAlign w:val="bottom"/>
            <w:hideMark/>
          </w:tcPr>
          <w:p w14:paraId="331EC2E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3E2900B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$21,282</w:t>
            </w:r>
          </w:p>
        </w:tc>
        <w:tc>
          <w:tcPr>
            <w:tcW w:w="1151" w:type="dxa"/>
            <w:tcBorders>
              <w:top w:val="nil"/>
              <w:left w:val="nil"/>
              <w:bottom w:val="nil"/>
              <w:right w:val="single" w:sz="4" w:space="0" w:color="auto"/>
            </w:tcBorders>
            <w:vAlign w:val="bottom"/>
            <w:hideMark/>
          </w:tcPr>
          <w:p w14:paraId="460C9D8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155.78%</w:t>
            </w:r>
          </w:p>
        </w:tc>
        <w:tc>
          <w:tcPr>
            <w:tcW w:w="1260" w:type="dxa"/>
            <w:tcBorders>
              <w:top w:val="nil"/>
              <w:left w:val="nil"/>
              <w:bottom w:val="nil"/>
              <w:right w:val="single" w:sz="4" w:space="0" w:color="auto"/>
            </w:tcBorders>
            <w:vAlign w:val="bottom"/>
            <w:hideMark/>
          </w:tcPr>
          <w:p w14:paraId="6D034CD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$7,621</w:t>
            </w:r>
          </w:p>
        </w:tc>
      </w:tr>
      <w:tr w:rsidR="003F0AFC" w:rsidRPr="003F0AFC" w14:paraId="56AB4E4D" w14:textId="77777777" w:rsidTr="009050D8">
        <w:trPr>
          <w:trHeight w:val="61"/>
        </w:trPr>
        <w:tc>
          <w:tcPr>
            <w:tcW w:w="5344" w:type="dxa"/>
            <w:gridSpan w:val="3"/>
            <w:tcBorders>
              <w:top w:val="single" w:sz="8" w:space="0" w:color="auto"/>
              <w:left w:val="single" w:sz="8" w:space="0" w:color="auto"/>
              <w:bottom w:val="single" w:sz="8" w:space="0" w:color="auto"/>
              <w:right w:val="single" w:sz="4" w:space="0" w:color="auto"/>
            </w:tcBorders>
            <w:shd w:val="clear" w:color="000000" w:fill="E26B0A"/>
            <w:vAlign w:val="bottom"/>
            <w:hideMark/>
          </w:tcPr>
          <w:p w14:paraId="5A57D25E" w14:textId="77777777" w:rsidR="003F0AFC" w:rsidRPr="00E67D16" w:rsidRDefault="003F0AFC" w:rsidP="00F8162C">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762E4B4B"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$227,692</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690B72B5"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$13,662</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773C6A55"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$21,282</w:t>
            </w:r>
          </w:p>
        </w:tc>
        <w:tc>
          <w:tcPr>
            <w:tcW w:w="1080" w:type="dxa"/>
            <w:tcBorders>
              <w:top w:val="single" w:sz="8" w:space="0" w:color="auto"/>
              <w:left w:val="nil"/>
              <w:bottom w:val="single" w:sz="8" w:space="0" w:color="auto"/>
              <w:right w:val="single" w:sz="4" w:space="0" w:color="auto"/>
            </w:tcBorders>
            <w:shd w:val="clear" w:color="000000" w:fill="E26B0A"/>
            <w:vAlign w:val="bottom"/>
            <w:hideMark/>
          </w:tcPr>
          <w:p w14:paraId="63C84440"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14EF3161"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$21,282</w:t>
            </w:r>
          </w:p>
        </w:tc>
        <w:tc>
          <w:tcPr>
            <w:tcW w:w="1151" w:type="dxa"/>
            <w:tcBorders>
              <w:top w:val="single" w:sz="8" w:space="0" w:color="auto"/>
              <w:left w:val="nil"/>
              <w:bottom w:val="single" w:sz="8" w:space="0" w:color="auto"/>
              <w:right w:val="single" w:sz="4" w:space="0" w:color="auto"/>
            </w:tcBorders>
            <w:shd w:val="clear" w:color="000000" w:fill="E26B0A"/>
            <w:vAlign w:val="bottom"/>
            <w:hideMark/>
          </w:tcPr>
          <w:p w14:paraId="37461FD2"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155.78%</w:t>
            </w:r>
          </w:p>
        </w:tc>
        <w:tc>
          <w:tcPr>
            <w:tcW w:w="1260" w:type="dxa"/>
            <w:tcBorders>
              <w:top w:val="single" w:sz="8" w:space="0" w:color="auto"/>
              <w:left w:val="nil"/>
              <w:bottom w:val="single" w:sz="8" w:space="0" w:color="auto"/>
              <w:right w:val="single" w:sz="8" w:space="0" w:color="auto"/>
            </w:tcBorders>
            <w:shd w:val="clear" w:color="000000" w:fill="E26B0A"/>
            <w:vAlign w:val="bottom"/>
            <w:hideMark/>
          </w:tcPr>
          <w:p w14:paraId="183F7D01"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$7,621</w:t>
            </w:r>
          </w:p>
        </w:tc>
      </w:tr>
      <w:tr w:rsidR="003F0AFC" w:rsidRPr="003F0AFC" w14:paraId="2BEDDB1E" w14:textId="77777777" w:rsidTr="009050D8">
        <w:trPr>
          <w:trHeight w:val="52"/>
        </w:trPr>
        <w:tc>
          <w:tcPr>
            <w:tcW w:w="664" w:type="dxa"/>
            <w:tcBorders>
              <w:top w:val="nil"/>
              <w:left w:val="single" w:sz="4" w:space="0" w:color="auto"/>
              <w:bottom w:val="nil"/>
              <w:right w:val="single" w:sz="4" w:space="0" w:color="auto"/>
            </w:tcBorders>
            <w:vAlign w:val="bottom"/>
            <w:hideMark/>
          </w:tcPr>
          <w:p w14:paraId="04E7CFFF"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CHIA</w:t>
            </w:r>
          </w:p>
        </w:tc>
        <w:tc>
          <w:tcPr>
            <w:tcW w:w="649" w:type="dxa"/>
            <w:tcBorders>
              <w:top w:val="nil"/>
              <w:left w:val="nil"/>
              <w:bottom w:val="nil"/>
              <w:right w:val="single" w:sz="4" w:space="0" w:color="auto"/>
            </w:tcBorders>
            <w:vAlign w:val="bottom"/>
            <w:hideMark/>
          </w:tcPr>
          <w:p w14:paraId="4C230BF4"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HCF</w:t>
            </w:r>
          </w:p>
        </w:tc>
        <w:tc>
          <w:tcPr>
            <w:tcW w:w="4031" w:type="dxa"/>
            <w:tcBorders>
              <w:top w:val="nil"/>
              <w:left w:val="nil"/>
              <w:bottom w:val="nil"/>
              <w:right w:val="single" w:sz="4" w:space="0" w:color="auto"/>
            </w:tcBorders>
            <w:vAlign w:val="bottom"/>
            <w:hideMark/>
          </w:tcPr>
          <w:p w14:paraId="778E70D2"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CENTER FOR HEALTH INFORMATION &amp; ANALYSIS</w:t>
            </w:r>
          </w:p>
        </w:tc>
        <w:tc>
          <w:tcPr>
            <w:tcW w:w="1260" w:type="dxa"/>
            <w:tcBorders>
              <w:top w:val="nil"/>
              <w:left w:val="nil"/>
              <w:bottom w:val="nil"/>
              <w:right w:val="single" w:sz="4" w:space="0" w:color="auto"/>
            </w:tcBorders>
            <w:vAlign w:val="bottom"/>
            <w:hideMark/>
          </w:tcPr>
          <w:p w14:paraId="2E8B18A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$14,256,492</w:t>
            </w:r>
          </w:p>
        </w:tc>
        <w:tc>
          <w:tcPr>
            <w:tcW w:w="1170" w:type="dxa"/>
            <w:tcBorders>
              <w:top w:val="nil"/>
              <w:left w:val="nil"/>
              <w:bottom w:val="nil"/>
              <w:right w:val="single" w:sz="4" w:space="0" w:color="auto"/>
            </w:tcBorders>
            <w:vAlign w:val="bottom"/>
            <w:hideMark/>
          </w:tcPr>
          <w:p w14:paraId="293EB6B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$855,390</w:t>
            </w:r>
          </w:p>
        </w:tc>
        <w:tc>
          <w:tcPr>
            <w:tcW w:w="1260" w:type="dxa"/>
            <w:tcBorders>
              <w:top w:val="nil"/>
              <w:left w:val="nil"/>
              <w:bottom w:val="nil"/>
              <w:right w:val="single" w:sz="4" w:space="0" w:color="auto"/>
            </w:tcBorders>
            <w:vAlign w:val="bottom"/>
            <w:hideMark/>
          </w:tcPr>
          <w:p w14:paraId="65F516D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$1,513,660</w:t>
            </w:r>
          </w:p>
        </w:tc>
        <w:tc>
          <w:tcPr>
            <w:tcW w:w="1080" w:type="dxa"/>
            <w:tcBorders>
              <w:top w:val="nil"/>
              <w:left w:val="nil"/>
              <w:bottom w:val="nil"/>
              <w:right w:val="single" w:sz="4" w:space="0" w:color="auto"/>
            </w:tcBorders>
            <w:vAlign w:val="bottom"/>
            <w:hideMark/>
          </w:tcPr>
          <w:p w14:paraId="067B5B4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45698CB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$1,513,660</w:t>
            </w:r>
          </w:p>
        </w:tc>
        <w:tc>
          <w:tcPr>
            <w:tcW w:w="1151" w:type="dxa"/>
            <w:tcBorders>
              <w:top w:val="nil"/>
              <w:left w:val="nil"/>
              <w:bottom w:val="nil"/>
              <w:right w:val="single" w:sz="4" w:space="0" w:color="auto"/>
            </w:tcBorders>
            <w:vAlign w:val="bottom"/>
            <w:hideMark/>
          </w:tcPr>
          <w:p w14:paraId="7D47D46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176.96%</w:t>
            </w:r>
          </w:p>
        </w:tc>
        <w:tc>
          <w:tcPr>
            <w:tcW w:w="1260" w:type="dxa"/>
            <w:tcBorders>
              <w:top w:val="nil"/>
              <w:left w:val="nil"/>
              <w:bottom w:val="nil"/>
              <w:right w:val="single" w:sz="4" w:space="0" w:color="auto"/>
            </w:tcBorders>
            <w:vAlign w:val="bottom"/>
            <w:hideMark/>
          </w:tcPr>
          <w:p w14:paraId="47ABFBF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$658,270</w:t>
            </w:r>
          </w:p>
        </w:tc>
      </w:tr>
      <w:tr w:rsidR="003F0AFC" w:rsidRPr="003F0AFC" w14:paraId="788D850A" w14:textId="77777777" w:rsidTr="009050D8">
        <w:trPr>
          <w:trHeight w:val="61"/>
        </w:trPr>
        <w:tc>
          <w:tcPr>
            <w:tcW w:w="5344" w:type="dxa"/>
            <w:gridSpan w:val="3"/>
            <w:tcBorders>
              <w:top w:val="single" w:sz="8" w:space="0" w:color="auto"/>
              <w:left w:val="single" w:sz="8" w:space="0" w:color="auto"/>
              <w:bottom w:val="single" w:sz="8" w:space="0" w:color="auto"/>
              <w:right w:val="single" w:sz="4" w:space="0" w:color="auto"/>
            </w:tcBorders>
            <w:shd w:val="clear" w:color="000000" w:fill="E26B0A"/>
            <w:vAlign w:val="bottom"/>
            <w:hideMark/>
          </w:tcPr>
          <w:p w14:paraId="5EFBE410" w14:textId="77777777" w:rsidR="003F0AFC" w:rsidRPr="00E67D16" w:rsidRDefault="003F0AFC" w:rsidP="00F8162C">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006935AC"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$14,256,492</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5F3CC4A0"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$855,390</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3950105C"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$1,513,660</w:t>
            </w:r>
          </w:p>
        </w:tc>
        <w:tc>
          <w:tcPr>
            <w:tcW w:w="1080" w:type="dxa"/>
            <w:tcBorders>
              <w:top w:val="single" w:sz="8" w:space="0" w:color="auto"/>
              <w:left w:val="nil"/>
              <w:bottom w:val="single" w:sz="8" w:space="0" w:color="auto"/>
              <w:right w:val="single" w:sz="4" w:space="0" w:color="auto"/>
            </w:tcBorders>
            <w:shd w:val="clear" w:color="000000" w:fill="E26B0A"/>
            <w:vAlign w:val="bottom"/>
            <w:hideMark/>
          </w:tcPr>
          <w:p w14:paraId="4F90604E"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70CB63BA"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$1,513,660</w:t>
            </w:r>
          </w:p>
        </w:tc>
        <w:tc>
          <w:tcPr>
            <w:tcW w:w="1151" w:type="dxa"/>
            <w:tcBorders>
              <w:top w:val="single" w:sz="8" w:space="0" w:color="auto"/>
              <w:left w:val="nil"/>
              <w:bottom w:val="single" w:sz="8" w:space="0" w:color="auto"/>
              <w:right w:val="single" w:sz="4" w:space="0" w:color="auto"/>
            </w:tcBorders>
            <w:shd w:val="clear" w:color="000000" w:fill="E26B0A"/>
            <w:vAlign w:val="bottom"/>
            <w:hideMark/>
          </w:tcPr>
          <w:p w14:paraId="45BDDD24"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176.96%</w:t>
            </w:r>
          </w:p>
        </w:tc>
        <w:tc>
          <w:tcPr>
            <w:tcW w:w="1260" w:type="dxa"/>
            <w:tcBorders>
              <w:top w:val="single" w:sz="8" w:space="0" w:color="auto"/>
              <w:left w:val="nil"/>
              <w:bottom w:val="single" w:sz="8" w:space="0" w:color="auto"/>
              <w:right w:val="single" w:sz="8" w:space="0" w:color="auto"/>
            </w:tcBorders>
            <w:shd w:val="clear" w:color="000000" w:fill="E26B0A"/>
            <w:vAlign w:val="bottom"/>
            <w:hideMark/>
          </w:tcPr>
          <w:p w14:paraId="1FD9909C"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$658,270</w:t>
            </w:r>
          </w:p>
        </w:tc>
      </w:tr>
      <w:tr w:rsidR="003F0AFC" w:rsidRPr="003F0AFC" w14:paraId="3E52BD99" w14:textId="77777777" w:rsidTr="009050D8">
        <w:trPr>
          <w:trHeight w:val="160"/>
        </w:trPr>
        <w:tc>
          <w:tcPr>
            <w:tcW w:w="664" w:type="dxa"/>
            <w:tcBorders>
              <w:top w:val="nil"/>
              <w:left w:val="single" w:sz="4" w:space="0" w:color="auto"/>
              <w:bottom w:val="nil"/>
              <w:right w:val="single" w:sz="4" w:space="0" w:color="auto"/>
            </w:tcBorders>
            <w:vAlign w:val="bottom"/>
            <w:hideMark/>
          </w:tcPr>
          <w:p w14:paraId="6835BEB3"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DAC</w:t>
            </w:r>
          </w:p>
        </w:tc>
        <w:tc>
          <w:tcPr>
            <w:tcW w:w="649" w:type="dxa"/>
            <w:tcBorders>
              <w:top w:val="nil"/>
              <w:left w:val="nil"/>
              <w:bottom w:val="nil"/>
              <w:right w:val="single" w:sz="4" w:space="0" w:color="auto"/>
            </w:tcBorders>
            <w:vAlign w:val="bottom"/>
            <w:hideMark/>
          </w:tcPr>
          <w:p w14:paraId="70E1D2C8"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DAC</w:t>
            </w:r>
          </w:p>
        </w:tc>
        <w:tc>
          <w:tcPr>
            <w:tcW w:w="4031" w:type="dxa"/>
            <w:tcBorders>
              <w:top w:val="nil"/>
              <w:left w:val="nil"/>
              <w:bottom w:val="nil"/>
              <w:right w:val="single" w:sz="4" w:space="0" w:color="auto"/>
            </w:tcBorders>
            <w:vAlign w:val="bottom"/>
            <w:hideMark/>
          </w:tcPr>
          <w:p w14:paraId="2260493B"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DISABLED PERSONS PROTECTION COMMISSION</w:t>
            </w:r>
          </w:p>
        </w:tc>
        <w:tc>
          <w:tcPr>
            <w:tcW w:w="1260" w:type="dxa"/>
            <w:tcBorders>
              <w:top w:val="nil"/>
              <w:left w:val="nil"/>
              <w:bottom w:val="nil"/>
              <w:right w:val="single" w:sz="4" w:space="0" w:color="auto"/>
            </w:tcBorders>
            <w:vAlign w:val="bottom"/>
            <w:hideMark/>
          </w:tcPr>
          <w:p w14:paraId="62E6189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$111,224</w:t>
            </w:r>
          </w:p>
        </w:tc>
        <w:tc>
          <w:tcPr>
            <w:tcW w:w="1170" w:type="dxa"/>
            <w:tcBorders>
              <w:top w:val="nil"/>
              <w:left w:val="nil"/>
              <w:bottom w:val="nil"/>
              <w:right w:val="single" w:sz="4" w:space="0" w:color="auto"/>
            </w:tcBorders>
            <w:vAlign w:val="bottom"/>
            <w:hideMark/>
          </w:tcPr>
          <w:p w14:paraId="304AA05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$6,673</w:t>
            </w:r>
          </w:p>
        </w:tc>
        <w:tc>
          <w:tcPr>
            <w:tcW w:w="1260" w:type="dxa"/>
            <w:tcBorders>
              <w:top w:val="nil"/>
              <w:left w:val="nil"/>
              <w:bottom w:val="nil"/>
              <w:right w:val="single" w:sz="4" w:space="0" w:color="auto"/>
            </w:tcBorders>
            <w:vAlign w:val="bottom"/>
            <w:hideMark/>
          </w:tcPr>
          <w:p w14:paraId="39F50B2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$34,541</w:t>
            </w:r>
          </w:p>
        </w:tc>
        <w:tc>
          <w:tcPr>
            <w:tcW w:w="1080" w:type="dxa"/>
            <w:tcBorders>
              <w:top w:val="nil"/>
              <w:left w:val="nil"/>
              <w:bottom w:val="nil"/>
              <w:right w:val="single" w:sz="4" w:space="0" w:color="auto"/>
            </w:tcBorders>
            <w:vAlign w:val="bottom"/>
            <w:hideMark/>
          </w:tcPr>
          <w:p w14:paraId="08B8EAA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390FA1B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$34,541</w:t>
            </w:r>
          </w:p>
        </w:tc>
        <w:tc>
          <w:tcPr>
            <w:tcW w:w="1151" w:type="dxa"/>
            <w:tcBorders>
              <w:top w:val="nil"/>
              <w:left w:val="nil"/>
              <w:bottom w:val="nil"/>
              <w:right w:val="single" w:sz="4" w:space="0" w:color="auto"/>
            </w:tcBorders>
            <w:vAlign w:val="bottom"/>
            <w:hideMark/>
          </w:tcPr>
          <w:p w14:paraId="27BC1CD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517.59%</w:t>
            </w:r>
          </w:p>
        </w:tc>
        <w:tc>
          <w:tcPr>
            <w:tcW w:w="1260" w:type="dxa"/>
            <w:tcBorders>
              <w:top w:val="nil"/>
              <w:left w:val="nil"/>
              <w:bottom w:val="nil"/>
              <w:right w:val="single" w:sz="4" w:space="0" w:color="auto"/>
            </w:tcBorders>
            <w:vAlign w:val="bottom"/>
            <w:hideMark/>
          </w:tcPr>
          <w:p w14:paraId="76ABF7E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$27,868</w:t>
            </w:r>
          </w:p>
        </w:tc>
      </w:tr>
      <w:tr w:rsidR="003F0AFC" w:rsidRPr="003F0AFC" w14:paraId="6D7DAA8A" w14:textId="77777777" w:rsidTr="009050D8">
        <w:trPr>
          <w:trHeight w:val="50"/>
        </w:trPr>
        <w:tc>
          <w:tcPr>
            <w:tcW w:w="5344" w:type="dxa"/>
            <w:gridSpan w:val="3"/>
            <w:tcBorders>
              <w:top w:val="single" w:sz="8" w:space="0" w:color="auto"/>
              <w:left w:val="single" w:sz="8" w:space="0" w:color="auto"/>
              <w:bottom w:val="single" w:sz="8" w:space="0" w:color="auto"/>
              <w:right w:val="single" w:sz="4" w:space="0" w:color="auto"/>
            </w:tcBorders>
            <w:shd w:val="clear" w:color="000000" w:fill="E26B0A"/>
            <w:vAlign w:val="bottom"/>
            <w:hideMark/>
          </w:tcPr>
          <w:p w14:paraId="07407E83" w14:textId="77777777" w:rsidR="003F0AFC" w:rsidRPr="00E67D16" w:rsidRDefault="003F0AFC" w:rsidP="00F8162C">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50421898"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$111,224</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12B6511E"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$6,673</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7752B3D4"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$34,541</w:t>
            </w:r>
          </w:p>
        </w:tc>
        <w:tc>
          <w:tcPr>
            <w:tcW w:w="1080" w:type="dxa"/>
            <w:tcBorders>
              <w:top w:val="single" w:sz="8" w:space="0" w:color="auto"/>
              <w:left w:val="nil"/>
              <w:bottom w:val="single" w:sz="8" w:space="0" w:color="auto"/>
              <w:right w:val="single" w:sz="4" w:space="0" w:color="auto"/>
            </w:tcBorders>
            <w:shd w:val="clear" w:color="000000" w:fill="E26B0A"/>
            <w:vAlign w:val="bottom"/>
            <w:hideMark/>
          </w:tcPr>
          <w:p w14:paraId="3AC9B43E"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67147B79"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$34,541</w:t>
            </w:r>
          </w:p>
        </w:tc>
        <w:tc>
          <w:tcPr>
            <w:tcW w:w="1151" w:type="dxa"/>
            <w:tcBorders>
              <w:top w:val="single" w:sz="8" w:space="0" w:color="auto"/>
              <w:left w:val="nil"/>
              <w:bottom w:val="single" w:sz="8" w:space="0" w:color="auto"/>
              <w:right w:val="single" w:sz="4" w:space="0" w:color="auto"/>
            </w:tcBorders>
            <w:shd w:val="clear" w:color="000000" w:fill="E26B0A"/>
            <w:vAlign w:val="bottom"/>
            <w:hideMark/>
          </w:tcPr>
          <w:p w14:paraId="17D1BFB4"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517.59%</w:t>
            </w:r>
          </w:p>
        </w:tc>
        <w:tc>
          <w:tcPr>
            <w:tcW w:w="1260" w:type="dxa"/>
            <w:tcBorders>
              <w:top w:val="single" w:sz="8" w:space="0" w:color="auto"/>
              <w:left w:val="nil"/>
              <w:bottom w:val="single" w:sz="8" w:space="0" w:color="auto"/>
              <w:right w:val="single" w:sz="8" w:space="0" w:color="auto"/>
            </w:tcBorders>
            <w:shd w:val="clear" w:color="000000" w:fill="E26B0A"/>
            <w:vAlign w:val="bottom"/>
            <w:hideMark/>
          </w:tcPr>
          <w:p w14:paraId="64B421B3"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$27,868</w:t>
            </w:r>
          </w:p>
        </w:tc>
      </w:tr>
      <w:tr w:rsidR="003F0AFC" w:rsidRPr="003F0AFC" w14:paraId="4A3C833F" w14:textId="77777777" w:rsidTr="009050D8">
        <w:trPr>
          <w:trHeight w:val="97"/>
        </w:trPr>
        <w:tc>
          <w:tcPr>
            <w:tcW w:w="664" w:type="dxa"/>
            <w:tcBorders>
              <w:top w:val="nil"/>
              <w:left w:val="single" w:sz="4" w:space="0" w:color="auto"/>
              <w:bottom w:val="nil"/>
              <w:right w:val="single" w:sz="4" w:space="0" w:color="auto"/>
            </w:tcBorders>
            <w:vAlign w:val="bottom"/>
            <w:hideMark/>
          </w:tcPr>
          <w:p w14:paraId="09045A29"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DOT</w:t>
            </w:r>
          </w:p>
        </w:tc>
        <w:tc>
          <w:tcPr>
            <w:tcW w:w="649" w:type="dxa"/>
            <w:tcBorders>
              <w:top w:val="nil"/>
              <w:left w:val="nil"/>
              <w:bottom w:val="nil"/>
              <w:right w:val="single" w:sz="4" w:space="0" w:color="auto"/>
            </w:tcBorders>
            <w:vAlign w:val="bottom"/>
            <w:hideMark/>
          </w:tcPr>
          <w:p w14:paraId="07038B46"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DOT</w:t>
            </w:r>
          </w:p>
        </w:tc>
        <w:tc>
          <w:tcPr>
            <w:tcW w:w="4031" w:type="dxa"/>
            <w:tcBorders>
              <w:top w:val="nil"/>
              <w:left w:val="nil"/>
              <w:bottom w:val="nil"/>
              <w:right w:val="single" w:sz="4" w:space="0" w:color="auto"/>
            </w:tcBorders>
            <w:vAlign w:val="bottom"/>
            <w:hideMark/>
          </w:tcPr>
          <w:p w14:paraId="2E02AEA2"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MASSACHUSETTS DEPARTMENT OF TRANSPORTATION</w:t>
            </w:r>
          </w:p>
        </w:tc>
        <w:tc>
          <w:tcPr>
            <w:tcW w:w="1260" w:type="dxa"/>
            <w:tcBorders>
              <w:top w:val="nil"/>
              <w:left w:val="nil"/>
              <w:bottom w:val="nil"/>
              <w:right w:val="single" w:sz="4" w:space="0" w:color="auto"/>
            </w:tcBorders>
            <w:vAlign w:val="bottom"/>
            <w:hideMark/>
          </w:tcPr>
          <w:p w14:paraId="37F24B2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$184,059,403</w:t>
            </w:r>
          </w:p>
        </w:tc>
        <w:tc>
          <w:tcPr>
            <w:tcW w:w="1170" w:type="dxa"/>
            <w:tcBorders>
              <w:top w:val="nil"/>
              <w:left w:val="nil"/>
              <w:bottom w:val="nil"/>
              <w:right w:val="single" w:sz="4" w:space="0" w:color="auto"/>
            </w:tcBorders>
            <w:vAlign w:val="bottom"/>
            <w:hideMark/>
          </w:tcPr>
          <w:p w14:paraId="6539E9E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$11,043,564</w:t>
            </w:r>
          </w:p>
        </w:tc>
        <w:tc>
          <w:tcPr>
            <w:tcW w:w="1260" w:type="dxa"/>
            <w:tcBorders>
              <w:top w:val="nil"/>
              <w:left w:val="nil"/>
              <w:bottom w:val="nil"/>
              <w:right w:val="single" w:sz="4" w:space="0" w:color="auto"/>
            </w:tcBorders>
            <w:vAlign w:val="bottom"/>
            <w:hideMark/>
          </w:tcPr>
          <w:p w14:paraId="79CE97A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$40,111,605</w:t>
            </w:r>
          </w:p>
        </w:tc>
        <w:tc>
          <w:tcPr>
            <w:tcW w:w="1080" w:type="dxa"/>
            <w:tcBorders>
              <w:top w:val="nil"/>
              <w:left w:val="nil"/>
              <w:bottom w:val="nil"/>
              <w:right w:val="single" w:sz="4" w:space="0" w:color="auto"/>
            </w:tcBorders>
            <w:vAlign w:val="bottom"/>
            <w:hideMark/>
          </w:tcPr>
          <w:p w14:paraId="059DF5D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17ECBD8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$40,111,605</w:t>
            </w:r>
          </w:p>
        </w:tc>
        <w:tc>
          <w:tcPr>
            <w:tcW w:w="1151" w:type="dxa"/>
            <w:tcBorders>
              <w:top w:val="nil"/>
              <w:left w:val="nil"/>
              <w:bottom w:val="nil"/>
              <w:right w:val="single" w:sz="4" w:space="0" w:color="auto"/>
            </w:tcBorders>
            <w:vAlign w:val="bottom"/>
            <w:hideMark/>
          </w:tcPr>
          <w:p w14:paraId="702FB30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363.21%</w:t>
            </w:r>
          </w:p>
        </w:tc>
        <w:tc>
          <w:tcPr>
            <w:tcW w:w="1260" w:type="dxa"/>
            <w:tcBorders>
              <w:top w:val="nil"/>
              <w:left w:val="nil"/>
              <w:bottom w:val="nil"/>
              <w:right w:val="single" w:sz="4" w:space="0" w:color="auto"/>
            </w:tcBorders>
            <w:vAlign w:val="bottom"/>
            <w:hideMark/>
          </w:tcPr>
          <w:p w14:paraId="70F38B8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$29,068,041</w:t>
            </w:r>
          </w:p>
        </w:tc>
      </w:tr>
      <w:tr w:rsidR="003F0AFC" w:rsidRPr="003F0AFC" w14:paraId="4A773199" w14:textId="77777777" w:rsidTr="009050D8">
        <w:trPr>
          <w:trHeight w:val="160"/>
        </w:trPr>
        <w:tc>
          <w:tcPr>
            <w:tcW w:w="5344" w:type="dxa"/>
            <w:gridSpan w:val="3"/>
            <w:tcBorders>
              <w:top w:val="single" w:sz="8" w:space="0" w:color="auto"/>
              <w:left w:val="single" w:sz="8" w:space="0" w:color="auto"/>
              <w:bottom w:val="single" w:sz="8" w:space="0" w:color="auto"/>
              <w:right w:val="single" w:sz="4" w:space="0" w:color="auto"/>
            </w:tcBorders>
            <w:shd w:val="clear" w:color="000000" w:fill="E26B0A"/>
            <w:vAlign w:val="bottom"/>
            <w:hideMark/>
          </w:tcPr>
          <w:p w14:paraId="0E83F390" w14:textId="77777777" w:rsidR="003F0AFC" w:rsidRPr="00E67D16" w:rsidRDefault="003F0AFC" w:rsidP="00F8162C">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77238F76"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$184,281,851</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2A438BE4"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$11,056,911</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7C5A8490"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$40,180,688</w:t>
            </w:r>
          </w:p>
        </w:tc>
        <w:tc>
          <w:tcPr>
            <w:tcW w:w="1080" w:type="dxa"/>
            <w:tcBorders>
              <w:top w:val="single" w:sz="8" w:space="0" w:color="auto"/>
              <w:left w:val="nil"/>
              <w:bottom w:val="single" w:sz="8" w:space="0" w:color="auto"/>
              <w:right w:val="single" w:sz="4" w:space="0" w:color="auto"/>
            </w:tcBorders>
            <w:shd w:val="clear" w:color="000000" w:fill="E26B0A"/>
            <w:vAlign w:val="bottom"/>
            <w:hideMark/>
          </w:tcPr>
          <w:p w14:paraId="379C873E"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0AFD23FA"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$40,180,688</w:t>
            </w:r>
          </w:p>
        </w:tc>
        <w:tc>
          <w:tcPr>
            <w:tcW w:w="1151" w:type="dxa"/>
            <w:tcBorders>
              <w:top w:val="single" w:sz="8" w:space="0" w:color="auto"/>
              <w:left w:val="nil"/>
              <w:bottom w:val="single" w:sz="8" w:space="0" w:color="auto"/>
              <w:right w:val="single" w:sz="4" w:space="0" w:color="auto"/>
            </w:tcBorders>
            <w:shd w:val="clear" w:color="000000" w:fill="E26B0A"/>
            <w:vAlign w:val="bottom"/>
            <w:hideMark/>
          </w:tcPr>
          <w:p w14:paraId="2C59E81E"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363.40%</w:t>
            </w:r>
          </w:p>
        </w:tc>
        <w:tc>
          <w:tcPr>
            <w:tcW w:w="1260" w:type="dxa"/>
            <w:tcBorders>
              <w:top w:val="single" w:sz="8" w:space="0" w:color="auto"/>
              <w:left w:val="nil"/>
              <w:bottom w:val="single" w:sz="8" w:space="0" w:color="auto"/>
              <w:right w:val="single" w:sz="8" w:space="0" w:color="auto"/>
            </w:tcBorders>
            <w:shd w:val="clear" w:color="000000" w:fill="E26B0A"/>
            <w:vAlign w:val="bottom"/>
            <w:hideMark/>
          </w:tcPr>
          <w:p w14:paraId="102A8684"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$29,123,777</w:t>
            </w:r>
          </w:p>
        </w:tc>
      </w:tr>
      <w:tr w:rsidR="003F0AFC" w:rsidRPr="003F0AFC" w14:paraId="5502F9D5" w14:textId="77777777" w:rsidTr="009050D8">
        <w:trPr>
          <w:trHeight w:val="160"/>
        </w:trPr>
        <w:tc>
          <w:tcPr>
            <w:tcW w:w="664" w:type="dxa"/>
            <w:tcBorders>
              <w:top w:val="nil"/>
              <w:left w:val="single" w:sz="4" w:space="0" w:color="auto"/>
              <w:bottom w:val="single" w:sz="4" w:space="0" w:color="auto"/>
              <w:right w:val="single" w:sz="4" w:space="0" w:color="auto"/>
            </w:tcBorders>
            <w:vAlign w:val="bottom"/>
            <w:hideMark/>
          </w:tcPr>
          <w:p w14:paraId="59B68489"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EDU</w:t>
            </w:r>
          </w:p>
        </w:tc>
        <w:tc>
          <w:tcPr>
            <w:tcW w:w="649" w:type="dxa"/>
            <w:tcBorders>
              <w:top w:val="nil"/>
              <w:left w:val="nil"/>
              <w:bottom w:val="single" w:sz="4" w:space="0" w:color="auto"/>
              <w:right w:val="single" w:sz="4" w:space="0" w:color="auto"/>
            </w:tcBorders>
            <w:vAlign w:val="bottom"/>
            <w:hideMark/>
          </w:tcPr>
          <w:p w14:paraId="4A076053"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EEC</w:t>
            </w:r>
          </w:p>
        </w:tc>
        <w:tc>
          <w:tcPr>
            <w:tcW w:w="4031" w:type="dxa"/>
            <w:tcBorders>
              <w:top w:val="nil"/>
              <w:left w:val="nil"/>
              <w:bottom w:val="single" w:sz="4" w:space="0" w:color="auto"/>
              <w:right w:val="single" w:sz="4" w:space="0" w:color="auto"/>
            </w:tcBorders>
            <w:vAlign w:val="bottom"/>
            <w:hideMark/>
          </w:tcPr>
          <w:p w14:paraId="180720DA"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EARLY EDUCATION &amp; CARE</w:t>
            </w:r>
          </w:p>
        </w:tc>
        <w:tc>
          <w:tcPr>
            <w:tcW w:w="1260" w:type="dxa"/>
            <w:tcBorders>
              <w:top w:val="nil"/>
              <w:left w:val="nil"/>
              <w:bottom w:val="single" w:sz="4" w:space="0" w:color="auto"/>
              <w:right w:val="single" w:sz="4" w:space="0" w:color="auto"/>
            </w:tcBorders>
            <w:vAlign w:val="bottom"/>
            <w:hideMark/>
          </w:tcPr>
          <w:p w14:paraId="648416B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$216,704,151</w:t>
            </w:r>
          </w:p>
        </w:tc>
        <w:tc>
          <w:tcPr>
            <w:tcW w:w="1170" w:type="dxa"/>
            <w:tcBorders>
              <w:top w:val="nil"/>
              <w:left w:val="nil"/>
              <w:bottom w:val="single" w:sz="4" w:space="0" w:color="auto"/>
              <w:right w:val="single" w:sz="4" w:space="0" w:color="auto"/>
            </w:tcBorders>
            <w:vAlign w:val="bottom"/>
            <w:hideMark/>
          </w:tcPr>
          <w:p w14:paraId="3A6894A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$13,002,249</w:t>
            </w:r>
          </w:p>
        </w:tc>
        <w:tc>
          <w:tcPr>
            <w:tcW w:w="1260" w:type="dxa"/>
            <w:tcBorders>
              <w:top w:val="nil"/>
              <w:left w:val="nil"/>
              <w:bottom w:val="single" w:sz="4" w:space="0" w:color="auto"/>
              <w:right w:val="single" w:sz="4" w:space="0" w:color="auto"/>
            </w:tcBorders>
            <w:vAlign w:val="bottom"/>
            <w:hideMark/>
          </w:tcPr>
          <w:p w14:paraId="591B44D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$20,267,398</w:t>
            </w:r>
          </w:p>
        </w:tc>
        <w:tc>
          <w:tcPr>
            <w:tcW w:w="1080" w:type="dxa"/>
            <w:tcBorders>
              <w:top w:val="nil"/>
              <w:left w:val="nil"/>
              <w:bottom w:val="single" w:sz="4" w:space="0" w:color="auto"/>
              <w:right w:val="single" w:sz="4" w:space="0" w:color="auto"/>
            </w:tcBorders>
            <w:vAlign w:val="bottom"/>
            <w:hideMark/>
          </w:tcPr>
          <w:p w14:paraId="062C260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$8,266,517</w:t>
            </w:r>
          </w:p>
        </w:tc>
        <w:tc>
          <w:tcPr>
            <w:tcW w:w="1170" w:type="dxa"/>
            <w:tcBorders>
              <w:top w:val="nil"/>
              <w:left w:val="nil"/>
              <w:bottom w:val="single" w:sz="4" w:space="0" w:color="auto"/>
              <w:right w:val="single" w:sz="4" w:space="0" w:color="auto"/>
            </w:tcBorders>
            <w:vAlign w:val="bottom"/>
            <w:hideMark/>
          </w:tcPr>
          <w:p w14:paraId="66BC7A9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$28,533,915</w:t>
            </w:r>
          </w:p>
        </w:tc>
        <w:tc>
          <w:tcPr>
            <w:tcW w:w="1151" w:type="dxa"/>
            <w:tcBorders>
              <w:top w:val="nil"/>
              <w:left w:val="nil"/>
              <w:bottom w:val="single" w:sz="4" w:space="0" w:color="auto"/>
              <w:right w:val="single" w:sz="4" w:space="0" w:color="auto"/>
            </w:tcBorders>
            <w:vAlign w:val="bottom"/>
            <w:hideMark/>
          </w:tcPr>
          <w:p w14:paraId="67B6EF3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219.45%</w:t>
            </w:r>
          </w:p>
        </w:tc>
        <w:tc>
          <w:tcPr>
            <w:tcW w:w="1260" w:type="dxa"/>
            <w:tcBorders>
              <w:top w:val="nil"/>
              <w:left w:val="nil"/>
              <w:bottom w:val="single" w:sz="4" w:space="0" w:color="auto"/>
              <w:right w:val="single" w:sz="4" w:space="0" w:color="auto"/>
            </w:tcBorders>
            <w:vAlign w:val="bottom"/>
            <w:hideMark/>
          </w:tcPr>
          <w:p w14:paraId="7003989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$15,531,666</w:t>
            </w:r>
          </w:p>
        </w:tc>
      </w:tr>
      <w:tr w:rsidR="003F0AFC" w:rsidRPr="003F0AFC" w14:paraId="6ED9BD7A" w14:textId="77777777" w:rsidTr="009050D8">
        <w:trPr>
          <w:trHeight w:val="60"/>
        </w:trPr>
        <w:tc>
          <w:tcPr>
            <w:tcW w:w="664" w:type="dxa"/>
            <w:tcBorders>
              <w:top w:val="nil"/>
              <w:left w:val="single" w:sz="4" w:space="0" w:color="auto"/>
              <w:bottom w:val="single" w:sz="4" w:space="0" w:color="auto"/>
              <w:right w:val="single" w:sz="4" w:space="0" w:color="auto"/>
            </w:tcBorders>
            <w:vAlign w:val="bottom"/>
            <w:hideMark/>
          </w:tcPr>
          <w:p w14:paraId="6E3733C6"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EDU</w:t>
            </w:r>
          </w:p>
        </w:tc>
        <w:tc>
          <w:tcPr>
            <w:tcW w:w="649" w:type="dxa"/>
            <w:tcBorders>
              <w:top w:val="nil"/>
              <w:left w:val="nil"/>
              <w:bottom w:val="single" w:sz="4" w:space="0" w:color="auto"/>
              <w:right w:val="single" w:sz="4" w:space="0" w:color="auto"/>
            </w:tcBorders>
            <w:vAlign w:val="bottom"/>
            <w:hideMark/>
          </w:tcPr>
          <w:p w14:paraId="56CA1323"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DOE</w:t>
            </w:r>
          </w:p>
        </w:tc>
        <w:tc>
          <w:tcPr>
            <w:tcW w:w="4031" w:type="dxa"/>
            <w:tcBorders>
              <w:top w:val="nil"/>
              <w:left w:val="nil"/>
              <w:bottom w:val="single" w:sz="4" w:space="0" w:color="auto"/>
              <w:right w:val="single" w:sz="4" w:space="0" w:color="auto"/>
            </w:tcBorders>
            <w:vAlign w:val="bottom"/>
            <w:hideMark/>
          </w:tcPr>
          <w:p w14:paraId="214D083F"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ELEMENTARY &amp; SECONDARY EDUCATION</w:t>
            </w:r>
          </w:p>
        </w:tc>
        <w:tc>
          <w:tcPr>
            <w:tcW w:w="1260" w:type="dxa"/>
            <w:tcBorders>
              <w:top w:val="nil"/>
              <w:left w:val="nil"/>
              <w:bottom w:val="single" w:sz="4" w:space="0" w:color="auto"/>
              <w:right w:val="single" w:sz="4" w:space="0" w:color="auto"/>
            </w:tcBorders>
            <w:vAlign w:val="bottom"/>
            <w:hideMark/>
          </w:tcPr>
          <w:p w14:paraId="23422D4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$30,084,499</w:t>
            </w:r>
          </w:p>
        </w:tc>
        <w:tc>
          <w:tcPr>
            <w:tcW w:w="1170" w:type="dxa"/>
            <w:tcBorders>
              <w:top w:val="nil"/>
              <w:left w:val="nil"/>
              <w:bottom w:val="single" w:sz="4" w:space="0" w:color="auto"/>
              <w:right w:val="single" w:sz="4" w:space="0" w:color="auto"/>
            </w:tcBorders>
            <w:vAlign w:val="bottom"/>
            <w:hideMark/>
          </w:tcPr>
          <w:p w14:paraId="3CCF04A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$1,805,070</w:t>
            </w:r>
          </w:p>
        </w:tc>
        <w:tc>
          <w:tcPr>
            <w:tcW w:w="1260" w:type="dxa"/>
            <w:tcBorders>
              <w:top w:val="nil"/>
              <w:left w:val="nil"/>
              <w:bottom w:val="single" w:sz="4" w:space="0" w:color="auto"/>
              <w:right w:val="single" w:sz="4" w:space="0" w:color="auto"/>
            </w:tcBorders>
            <w:vAlign w:val="bottom"/>
            <w:hideMark/>
          </w:tcPr>
          <w:p w14:paraId="6CF380E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$555,941</w:t>
            </w:r>
          </w:p>
        </w:tc>
        <w:tc>
          <w:tcPr>
            <w:tcW w:w="1080" w:type="dxa"/>
            <w:tcBorders>
              <w:top w:val="nil"/>
              <w:left w:val="nil"/>
              <w:bottom w:val="single" w:sz="4" w:space="0" w:color="auto"/>
              <w:right w:val="single" w:sz="4" w:space="0" w:color="auto"/>
            </w:tcBorders>
            <w:vAlign w:val="bottom"/>
            <w:hideMark/>
          </w:tcPr>
          <w:p w14:paraId="54A4AA6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C2B24B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$555,941</w:t>
            </w:r>
          </w:p>
        </w:tc>
        <w:tc>
          <w:tcPr>
            <w:tcW w:w="1151" w:type="dxa"/>
            <w:tcBorders>
              <w:top w:val="nil"/>
              <w:left w:val="nil"/>
              <w:bottom w:val="single" w:sz="4" w:space="0" w:color="auto"/>
              <w:right w:val="single" w:sz="4" w:space="0" w:color="auto"/>
            </w:tcBorders>
            <w:vAlign w:val="bottom"/>
            <w:hideMark/>
          </w:tcPr>
          <w:p w14:paraId="2E2B4EE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30.80%</w:t>
            </w:r>
          </w:p>
        </w:tc>
        <w:tc>
          <w:tcPr>
            <w:tcW w:w="1260" w:type="dxa"/>
            <w:tcBorders>
              <w:top w:val="nil"/>
              <w:left w:val="nil"/>
              <w:bottom w:val="single" w:sz="4" w:space="0" w:color="auto"/>
              <w:right w:val="single" w:sz="4" w:space="0" w:color="auto"/>
            </w:tcBorders>
            <w:vAlign w:val="bottom"/>
            <w:hideMark/>
          </w:tcPr>
          <w:p w14:paraId="4E7EBB0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-$1,249,129</w:t>
            </w:r>
          </w:p>
        </w:tc>
      </w:tr>
      <w:tr w:rsidR="003F0AFC" w:rsidRPr="003F0AFC" w14:paraId="685E88C8" w14:textId="77777777" w:rsidTr="009050D8">
        <w:trPr>
          <w:trHeight w:val="170"/>
        </w:trPr>
        <w:tc>
          <w:tcPr>
            <w:tcW w:w="664" w:type="dxa"/>
            <w:tcBorders>
              <w:top w:val="nil"/>
              <w:left w:val="single" w:sz="4" w:space="0" w:color="auto"/>
              <w:bottom w:val="single" w:sz="4" w:space="0" w:color="auto"/>
              <w:right w:val="single" w:sz="4" w:space="0" w:color="auto"/>
            </w:tcBorders>
            <w:vAlign w:val="bottom"/>
            <w:hideMark/>
          </w:tcPr>
          <w:p w14:paraId="3246EB88"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EDU</w:t>
            </w:r>
          </w:p>
        </w:tc>
        <w:tc>
          <w:tcPr>
            <w:tcW w:w="649" w:type="dxa"/>
            <w:tcBorders>
              <w:top w:val="nil"/>
              <w:left w:val="nil"/>
              <w:bottom w:val="single" w:sz="4" w:space="0" w:color="auto"/>
              <w:right w:val="single" w:sz="4" w:space="0" w:color="auto"/>
            </w:tcBorders>
            <w:vAlign w:val="bottom"/>
            <w:hideMark/>
          </w:tcPr>
          <w:p w14:paraId="65C67DC5"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RGT</w:t>
            </w:r>
          </w:p>
        </w:tc>
        <w:tc>
          <w:tcPr>
            <w:tcW w:w="4031" w:type="dxa"/>
            <w:tcBorders>
              <w:top w:val="nil"/>
              <w:left w:val="nil"/>
              <w:bottom w:val="single" w:sz="4" w:space="0" w:color="auto"/>
              <w:right w:val="single" w:sz="4" w:space="0" w:color="auto"/>
            </w:tcBorders>
            <w:vAlign w:val="bottom"/>
            <w:hideMark/>
          </w:tcPr>
          <w:p w14:paraId="0AD3E5B5"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HIGHER EDUCATION</w:t>
            </w:r>
          </w:p>
        </w:tc>
        <w:tc>
          <w:tcPr>
            <w:tcW w:w="1260" w:type="dxa"/>
            <w:tcBorders>
              <w:top w:val="nil"/>
              <w:left w:val="nil"/>
              <w:bottom w:val="single" w:sz="4" w:space="0" w:color="auto"/>
              <w:right w:val="single" w:sz="4" w:space="0" w:color="auto"/>
            </w:tcBorders>
            <w:vAlign w:val="bottom"/>
            <w:hideMark/>
          </w:tcPr>
          <w:p w14:paraId="7E1FFCE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$901,011</w:t>
            </w:r>
          </w:p>
        </w:tc>
        <w:tc>
          <w:tcPr>
            <w:tcW w:w="1170" w:type="dxa"/>
            <w:tcBorders>
              <w:top w:val="nil"/>
              <w:left w:val="nil"/>
              <w:bottom w:val="single" w:sz="4" w:space="0" w:color="auto"/>
              <w:right w:val="single" w:sz="4" w:space="0" w:color="auto"/>
            </w:tcBorders>
            <w:vAlign w:val="bottom"/>
            <w:hideMark/>
          </w:tcPr>
          <w:p w14:paraId="2C3569C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$54,061</w:t>
            </w:r>
          </w:p>
        </w:tc>
        <w:tc>
          <w:tcPr>
            <w:tcW w:w="1260" w:type="dxa"/>
            <w:tcBorders>
              <w:top w:val="nil"/>
              <w:left w:val="nil"/>
              <w:bottom w:val="single" w:sz="4" w:space="0" w:color="auto"/>
              <w:right w:val="single" w:sz="4" w:space="0" w:color="auto"/>
            </w:tcBorders>
            <w:vAlign w:val="bottom"/>
            <w:hideMark/>
          </w:tcPr>
          <w:p w14:paraId="1827E4E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$46,009</w:t>
            </w:r>
          </w:p>
        </w:tc>
        <w:tc>
          <w:tcPr>
            <w:tcW w:w="1080" w:type="dxa"/>
            <w:tcBorders>
              <w:top w:val="nil"/>
              <w:left w:val="nil"/>
              <w:bottom w:val="single" w:sz="4" w:space="0" w:color="auto"/>
              <w:right w:val="single" w:sz="4" w:space="0" w:color="auto"/>
            </w:tcBorders>
            <w:vAlign w:val="bottom"/>
            <w:hideMark/>
          </w:tcPr>
          <w:p w14:paraId="4D85B4E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D790DB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$46,009</w:t>
            </w:r>
          </w:p>
        </w:tc>
        <w:tc>
          <w:tcPr>
            <w:tcW w:w="1151" w:type="dxa"/>
            <w:tcBorders>
              <w:top w:val="nil"/>
              <w:left w:val="nil"/>
              <w:bottom w:val="single" w:sz="4" w:space="0" w:color="auto"/>
              <w:right w:val="single" w:sz="4" w:space="0" w:color="auto"/>
            </w:tcBorders>
            <w:vAlign w:val="bottom"/>
            <w:hideMark/>
          </w:tcPr>
          <w:p w14:paraId="480F96C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85.11%</w:t>
            </w:r>
          </w:p>
        </w:tc>
        <w:tc>
          <w:tcPr>
            <w:tcW w:w="1260" w:type="dxa"/>
            <w:tcBorders>
              <w:top w:val="nil"/>
              <w:left w:val="nil"/>
              <w:bottom w:val="single" w:sz="4" w:space="0" w:color="auto"/>
              <w:right w:val="single" w:sz="4" w:space="0" w:color="auto"/>
            </w:tcBorders>
            <w:vAlign w:val="bottom"/>
            <w:hideMark/>
          </w:tcPr>
          <w:p w14:paraId="1918D2E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-$8,052</w:t>
            </w:r>
          </w:p>
        </w:tc>
      </w:tr>
      <w:tr w:rsidR="003F0AFC" w:rsidRPr="003F0AFC" w14:paraId="76EC9301" w14:textId="77777777" w:rsidTr="009050D8">
        <w:trPr>
          <w:trHeight w:val="170"/>
        </w:trPr>
        <w:tc>
          <w:tcPr>
            <w:tcW w:w="664" w:type="dxa"/>
            <w:tcBorders>
              <w:top w:val="nil"/>
              <w:left w:val="single" w:sz="4" w:space="0" w:color="auto"/>
              <w:bottom w:val="nil"/>
              <w:right w:val="single" w:sz="4" w:space="0" w:color="auto"/>
            </w:tcBorders>
            <w:vAlign w:val="bottom"/>
            <w:hideMark/>
          </w:tcPr>
          <w:p w14:paraId="0DB23D59"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EDU</w:t>
            </w:r>
          </w:p>
        </w:tc>
        <w:tc>
          <w:tcPr>
            <w:tcW w:w="649" w:type="dxa"/>
            <w:tcBorders>
              <w:top w:val="nil"/>
              <w:left w:val="nil"/>
              <w:bottom w:val="nil"/>
              <w:right w:val="single" w:sz="4" w:space="0" w:color="auto"/>
            </w:tcBorders>
            <w:vAlign w:val="bottom"/>
            <w:hideMark/>
          </w:tcPr>
          <w:p w14:paraId="09E826E6"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EDU</w:t>
            </w:r>
          </w:p>
        </w:tc>
        <w:tc>
          <w:tcPr>
            <w:tcW w:w="4031" w:type="dxa"/>
            <w:tcBorders>
              <w:top w:val="nil"/>
              <w:left w:val="nil"/>
              <w:bottom w:val="nil"/>
              <w:right w:val="single" w:sz="4" w:space="0" w:color="auto"/>
            </w:tcBorders>
            <w:vAlign w:val="bottom"/>
            <w:hideMark/>
          </w:tcPr>
          <w:p w14:paraId="2A28F56F"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EXECUTIVE OFFICE OF EDUCATION</w:t>
            </w:r>
          </w:p>
        </w:tc>
        <w:tc>
          <w:tcPr>
            <w:tcW w:w="1260" w:type="dxa"/>
            <w:tcBorders>
              <w:top w:val="nil"/>
              <w:left w:val="nil"/>
              <w:bottom w:val="nil"/>
              <w:right w:val="single" w:sz="4" w:space="0" w:color="auto"/>
            </w:tcBorders>
            <w:vAlign w:val="bottom"/>
            <w:hideMark/>
          </w:tcPr>
          <w:p w14:paraId="005C7FC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$26,713,276</w:t>
            </w:r>
          </w:p>
        </w:tc>
        <w:tc>
          <w:tcPr>
            <w:tcW w:w="1170" w:type="dxa"/>
            <w:tcBorders>
              <w:top w:val="nil"/>
              <w:left w:val="nil"/>
              <w:bottom w:val="nil"/>
              <w:right w:val="single" w:sz="4" w:space="0" w:color="auto"/>
            </w:tcBorders>
            <w:vAlign w:val="bottom"/>
            <w:hideMark/>
          </w:tcPr>
          <w:p w14:paraId="779F216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$1,602,797</w:t>
            </w:r>
          </w:p>
        </w:tc>
        <w:tc>
          <w:tcPr>
            <w:tcW w:w="1260" w:type="dxa"/>
            <w:tcBorders>
              <w:top w:val="nil"/>
              <w:left w:val="nil"/>
              <w:bottom w:val="nil"/>
              <w:right w:val="single" w:sz="4" w:space="0" w:color="auto"/>
            </w:tcBorders>
            <w:vAlign w:val="bottom"/>
            <w:hideMark/>
          </w:tcPr>
          <w:p w14:paraId="2ED14F0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$1,043,072</w:t>
            </w:r>
          </w:p>
        </w:tc>
        <w:tc>
          <w:tcPr>
            <w:tcW w:w="1080" w:type="dxa"/>
            <w:tcBorders>
              <w:top w:val="nil"/>
              <w:left w:val="nil"/>
              <w:bottom w:val="nil"/>
              <w:right w:val="single" w:sz="4" w:space="0" w:color="auto"/>
            </w:tcBorders>
            <w:vAlign w:val="bottom"/>
            <w:hideMark/>
          </w:tcPr>
          <w:p w14:paraId="2ED182E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3697BD1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$1,043,072</w:t>
            </w:r>
          </w:p>
        </w:tc>
        <w:tc>
          <w:tcPr>
            <w:tcW w:w="1151" w:type="dxa"/>
            <w:tcBorders>
              <w:top w:val="nil"/>
              <w:left w:val="nil"/>
              <w:bottom w:val="nil"/>
              <w:right w:val="single" w:sz="4" w:space="0" w:color="auto"/>
            </w:tcBorders>
            <w:vAlign w:val="bottom"/>
            <w:hideMark/>
          </w:tcPr>
          <w:p w14:paraId="763D3D9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65.08%</w:t>
            </w:r>
          </w:p>
        </w:tc>
        <w:tc>
          <w:tcPr>
            <w:tcW w:w="1260" w:type="dxa"/>
            <w:tcBorders>
              <w:top w:val="nil"/>
              <w:left w:val="nil"/>
              <w:bottom w:val="nil"/>
              <w:right w:val="single" w:sz="4" w:space="0" w:color="auto"/>
            </w:tcBorders>
            <w:vAlign w:val="bottom"/>
            <w:hideMark/>
          </w:tcPr>
          <w:p w14:paraId="2671CDB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-$559,724</w:t>
            </w:r>
          </w:p>
        </w:tc>
      </w:tr>
      <w:tr w:rsidR="003F0AFC" w:rsidRPr="003F0AFC" w14:paraId="09CE3846" w14:textId="77777777" w:rsidTr="009050D8">
        <w:trPr>
          <w:trHeight w:val="142"/>
        </w:trPr>
        <w:tc>
          <w:tcPr>
            <w:tcW w:w="5344" w:type="dxa"/>
            <w:gridSpan w:val="3"/>
            <w:tcBorders>
              <w:top w:val="single" w:sz="8" w:space="0" w:color="auto"/>
              <w:left w:val="single" w:sz="8" w:space="0" w:color="auto"/>
              <w:bottom w:val="single" w:sz="8" w:space="0" w:color="auto"/>
              <w:right w:val="single" w:sz="4" w:space="0" w:color="auto"/>
            </w:tcBorders>
            <w:shd w:val="clear" w:color="000000" w:fill="E26B0A"/>
            <w:vAlign w:val="bottom"/>
            <w:hideMark/>
          </w:tcPr>
          <w:p w14:paraId="6CD084CC" w14:textId="77777777" w:rsidR="003F0AFC" w:rsidRPr="00E67D16" w:rsidRDefault="003F0AFC" w:rsidP="00F8162C">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168374A2"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$274,402,937</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4C1E1B54"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$16,464,176</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3A0B535C"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$21,912,421</w:t>
            </w:r>
          </w:p>
        </w:tc>
        <w:tc>
          <w:tcPr>
            <w:tcW w:w="1080" w:type="dxa"/>
            <w:tcBorders>
              <w:top w:val="single" w:sz="8" w:space="0" w:color="auto"/>
              <w:left w:val="nil"/>
              <w:bottom w:val="single" w:sz="8" w:space="0" w:color="auto"/>
              <w:right w:val="single" w:sz="4" w:space="0" w:color="auto"/>
            </w:tcBorders>
            <w:shd w:val="clear" w:color="000000" w:fill="E26B0A"/>
            <w:vAlign w:val="bottom"/>
            <w:hideMark/>
          </w:tcPr>
          <w:p w14:paraId="5F89D533"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$8,266,517</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45C4EB21"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$30,178,938</w:t>
            </w:r>
          </w:p>
        </w:tc>
        <w:tc>
          <w:tcPr>
            <w:tcW w:w="1151" w:type="dxa"/>
            <w:tcBorders>
              <w:top w:val="single" w:sz="8" w:space="0" w:color="auto"/>
              <w:left w:val="nil"/>
              <w:bottom w:val="single" w:sz="8" w:space="0" w:color="auto"/>
              <w:right w:val="single" w:sz="4" w:space="0" w:color="auto"/>
            </w:tcBorders>
            <w:shd w:val="clear" w:color="000000" w:fill="E26B0A"/>
            <w:vAlign w:val="bottom"/>
            <w:hideMark/>
          </w:tcPr>
          <w:p w14:paraId="2E7D3684"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183.30%</w:t>
            </w:r>
          </w:p>
        </w:tc>
        <w:tc>
          <w:tcPr>
            <w:tcW w:w="1260" w:type="dxa"/>
            <w:tcBorders>
              <w:top w:val="single" w:sz="8" w:space="0" w:color="auto"/>
              <w:left w:val="nil"/>
              <w:bottom w:val="single" w:sz="8" w:space="0" w:color="auto"/>
              <w:right w:val="single" w:sz="8" w:space="0" w:color="auto"/>
            </w:tcBorders>
            <w:shd w:val="clear" w:color="000000" w:fill="E26B0A"/>
            <w:vAlign w:val="bottom"/>
            <w:hideMark/>
          </w:tcPr>
          <w:p w14:paraId="14A14484"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$13,714,762</w:t>
            </w:r>
          </w:p>
        </w:tc>
      </w:tr>
      <w:tr w:rsidR="003F0AFC" w:rsidRPr="003F0AFC" w14:paraId="7172F3AF" w14:textId="77777777" w:rsidTr="009050D8">
        <w:trPr>
          <w:trHeight w:val="160"/>
        </w:trPr>
        <w:tc>
          <w:tcPr>
            <w:tcW w:w="664" w:type="dxa"/>
            <w:tcBorders>
              <w:top w:val="nil"/>
              <w:left w:val="single" w:sz="4" w:space="0" w:color="auto"/>
              <w:bottom w:val="single" w:sz="4" w:space="0" w:color="auto"/>
              <w:right w:val="single" w:sz="4" w:space="0" w:color="auto"/>
            </w:tcBorders>
            <w:vAlign w:val="bottom"/>
            <w:hideMark/>
          </w:tcPr>
          <w:p w14:paraId="4751915F"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49" w:type="dxa"/>
            <w:tcBorders>
              <w:top w:val="nil"/>
              <w:left w:val="nil"/>
              <w:bottom w:val="single" w:sz="4" w:space="0" w:color="auto"/>
              <w:right w:val="single" w:sz="4" w:space="0" w:color="auto"/>
            </w:tcBorders>
            <w:vAlign w:val="bottom"/>
            <w:hideMark/>
          </w:tcPr>
          <w:p w14:paraId="1F42CF57"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SEA</w:t>
            </w:r>
          </w:p>
        </w:tc>
        <w:tc>
          <w:tcPr>
            <w:tcW w:w="4031" w:type="dxa"/>
            <w:tcBorders>
              <w:top w:val="nil"/>
              <w:left w:val="nil"/>
              <w:bottom w:val="single" w:sz="4" w:space="0" w:color="auto"/>
              <w:right w:val="single" w:sz="4" w:space="0" w:color="auto"/>
            </w:tcBorders>
            <w:vAlign w:val="bottom"/>
            <w:hideMark/>
          </w:tcPr>
          <w:p w14:paraId="611910AC"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BUSINESS AND TECHNOLOGY</w:t>
            </w:r>
          </w:p>
        </w:tc>
        <w:tc>
          <w:tcPr>
            <w:tcW w:w="1260" w:type="dxa"/>
            <w:tcBorders>
              <w:top w:val="nil"/>
              <w:left w:val="nil"/>
              <w:bottom w:val="single" w:sz="4" w:space="0" w:color="auto"/>
              <w:right w:val="single" w:sz="4" w:space="0" w:color="auto"/>
            </w:tcBorders>
            <w:vAlign w:val="bottom"/>
            <w:hideMark/>
          </w:tcPr>
          <w:p w14:paraId="19A18F0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$35,602</w:t>
            </w:r>
          </w:p>
        </w:tc>
        <w:tc>
          <w:tcPr>
            <w:tcW w:w="1170" w:type="dxa"/>
            <w:tcBorders>
              <w:top w:val="nil"/>
              <w:left w:val="nil"/>
              <w:bottom w:val="single" w:sz="4" w:space="0" w:color="auto"/>
              <w:right w:val="single" w:sz="4" w:space="0" w:color="auto"/>
            </w:tcBorders>
            <w:vAlign w:val="bottom"/>
            <w:hideMark/>
          </w:tcPr>
          <w:p w14:paraId="65F97CC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$2,136</w:t>
            </w:r>
          </w:p>
        </w:tc>
        <w:tc>
          <w:tcPr>
            <w:tcW w:w="1260" w:type="dxa"/>
            <w:tcBorders>
              <w:top w:val="nil"/>
              <w:left w:val="nil"/>
              <w:bottom w:val="single" w:sz="4" w:space="0" w:color="auto"/>
              <w:right w:val="single" w:sz="4" w:space="0" w:color="auto"/>
            </w:tcBorders>
            <w:vAlign w:val="bottom"/>
            <w:hideMark/>
          </w:tcPr>
          <w:p w14:paraId="2F359C3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$17,687</w:t>
            </w:r>
          </w:p>
        </w:tc>
        <w:tc>
          <w:tcPr>
            <w:tcW w:w="1080" w:type="dxa"/>
            <w:tcBorders>
              <w:top w:val="nil"/>
              <w:left w:val="nil"/>
              <w:bottom w:val="single" w:sz="4" w:space="0" w:color="auto"/>
              <w:right w:val="single" w:sz="4" w:space="0" w:color="auto"/>
            </w:tcBorders>
            <w:vAlign w:val="bottom"/>
            <w:hideMark/>
          </w:tcPr>
          <w:p w14:paraId="36B6B85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ACB54C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$17,687</w:t>
            </w:r>
          </w:p>
        </w:tc>
        <w:tc>
          <w:tcPr>
            <w:tcW w:w="1151" w:type="dxa"/>
            <w:tcBorders>
              <w:top w:val="nil"/>
              <w:left w:val="nil"/>
              <w:bottom w:val="single" w:sz="4" w:space="0" w:color="auto"/>
              <w:right w:val="single" w:sz="4" w:space="0" w:color="auto"/>
            </w:tcBorders>
            <w:vAlign w:val="bottom"/>
            <w:hideMark/>
          </w:tcPr>
          <w:p w14:paraId="057F0D7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827.98%</w:t>
            </w:r>
          </w:p>
        </w:tc>
        <w:tc>
          <w:tcPr>
            <w:tcW w:w="1260" w:type="dxa"/>
            <w:tcBorders>
              <w:top w:val="nil"/>
              <w:left w:val="nil"/>
              <w:bottom w:val="single" w:sz="4" w:space="0" w:color="auto"/>
              <w:right w:val="single" w:sz="4" w:space="0" w:color="auto"/>
            </w:tcBorders>
            <w:vAlign w:val="bottom"/>
            <w:hideMark/>
          </w:tcPr>
          <w:p w14:paraId="76352FA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$15,551</w:t>
            </w:r>
          </w:p>
        </w:tc>
      </w:tr>
      <w:tr w:rsidR="003F0AFC" w:rsidRPr="003F0AFC" w14:paraId="0C97D15F" w14:textId="77777777" w:rsidTr="009050D8">
        <w:trPr>
          <w:trHeight w:val="152"/>
        </w:trPr>
        <w:tc>
          <w:tcPr>
            <w:tcW w:w="664" w:type="dxa"/>
            <w:tcBorders>
              <w:top w:val="nil"/>
              <w:left w:val="single" w:sz="4" w:space="0" w:color="auto"/>
              <w:bottom w:val="single" w:sz="4" w:space="0" w:color="auto"/>
              <w:right w:val="single" w:sz="4" w:space="0" w:color="auto"/>
            </w:tcBorders>
            <w:vAlign w:val="bottom"/>
            <w:hideMark/>
          </w:tcPr>
          <w:p w14:paraId="61FB79E2"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49" w:type="dxa"/>
            <w:tcBorders>
              <w:top w:val="nil"/>
              <w:left w:val="nil"/>
              <w:bottom w:val="single" w:sz="4" w:space="0" w:color="auto"/>
              <w:right w:val="single" w:sz="4" w:space="0" w:color="auto"/>
            </w:tcBorders>
            <w:vAlign w:val="bottom"/>
            <w:hideMark/>
          </w:tcPr>
          <w:p w14:paraId="077FAFF1"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OCD</w:t>
            </w:r>
          </w:p>
        </w:tc>
        <w:tc>
          <w:tcPr>
            <w:tcW w:w="4031" w:type="dxa"/>
            <w:tcBorders>
              <w:top w:val="nil"/>
              <w:left w:val="nil"/>
              <w:bottom w:val="single" w:sz="4" w:space="0" w:color="auto"/>
              <w:right w:val="single" w:sz="4" w:space="0" w:color="auto"/>
            </w:tcBorders>
            <w:vAlign w:val="bottom"/>
            <w:hideMark/>
          </w:tcPr>
          <w:p w14:paraId="488D660D"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HOUSING AND COMMUNITY DEVELOPMENT</w:t>
            </w:r>
          </w:p>
        </w:tc>
        <w:tc>
          <w:tcPr>
            <w:tcW w:w="1260" w:type="dxa"/>
            <w:tcBorders>
              <w:top w:val="nil"/>
              <w:left w:val="nil"/>
              <w:bottom w:val="single" w:sz="4" w:space="0" w:color="auto"/>
              <w:right w:val="single" w:sz="4" w:space="0" w:color="auto"/>
            </w:tcBorders>
            <w:vAlign w:val="bottom"/>
            <w:hideMark/>
          </w:tcPr>
          <w:p w14:paraId="7390CEB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$157,534,825</w:t>
            </w:r>
          </w:p>
        </w:tc>
        <w:tc>
          <w:tcPr>
            <w:tcW w:w="1170" w:type="dxa"/>
            <w:tcBorders>
              <w:top w:val="nil"/>
              <w:left w:val="nil"/>
              <w:bottom w:val="single" w:sz="4" w:space="0" w:color="auto"/>
              <w:right w:val="single" w:sz="4" w:space="0" w:color="auto"/>
            </w:tcBorders>
            <w:vAlign w:val="bottom"/>
            <w:hideMark/>
          </w:tcPr>
          <w:p w14:paraId="15576C6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$9,452,090</w:t>
            </w:r>
          </w:p>
        </w:tc>
        <w:tc>
          <w:tcPr>
            <w:tcW w:w="1260" w:type="dxa"/>
            <w:tcBorders>
              <w:top w:val="nil"/>
              <w:left w:val="nil"/>
              <w:bottom w:val="single" w:sz="4" w:space="0" w:color="auto"/>
              <w:right w:val="single" w:sz="4" w:space="0" w:color="auto"/>
            </w:tcBorders>
            <w:vAlign w:val="bottom"/>
            <w:hideMark/>
          </w:tcPr>
          <w:p w14:paraId="55E71D3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$13,812,132</w:t>
            </w:r>
          </w:p>
        </w:tc>
        <w:tc>
          <w:tcPr>
            <w:tcW w:w="1080" w:type="dxa"/>
            <w:tcBorders>
              <w:top w:val="nil"/>
              <w:left w:val="nil"/>
              <w:bottom w:val="single" w:sz="4" w:space="0" w:color="auto"/>
              <w:right w:val="single" w:sz="4" w:space="0" w:color="auto"/>
            </w:tcBorders>
            <w:vAlign w:val="bottom"/>
            <w:hideMark/>
          </w:tcPr>
          <w:p w14:paraId="1E58806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441C1F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$13,812,132</w:t>
            </w:r>
          </w:p>
        </w:tc>
        <w:tc>
          <w:tcPr>
            <w:tcW w:w="1151" w:type="dxa"/>
            <w:tcBorders>
              <w:top w:val="nil"/>
              <w:left w:val="nil"/>
              <w:bottom w:val="single" w:sz="4" w:space="0" w:color="auto"/>
              <w:right w:val="single" w:sz="4" w:space="0" w:color="auto"/>
            </w:tcBorders>
            <w:vAlign w:val="bottom"/>
            <w:hideMark/>
          </w:tcPr>
          <w:p w14:paraId="29BAC11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146.13%</w:t>
            </w:r>
          </w:p>
        </w:tc>
        <w:tc>
          <w:tcPr>
            <w:tcW w:w="1260" w:type="dxa"/>
            <w:tcBorders>
              <w:top w:val="nil"/>
              <w:left w:val="nil"/>
              <w:bottom w:val="single" w:sz="4" w:space="0" w:color="auto"/>
              <w:right w:val="single" w:sz="4" w:space="0" w:color="auto"/>
            </w:tcBorders>
            <w:vAlign w:val="bottom"/>
            <w:hideMark/>
          </w:tcPr>
          <w:p w14:paraId="7C8EC7E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$4,360,043</w:t>
            </w:r>
          </w:p>
        </w:tc>
      </w:tr>
      <w:tr w:rsidR="003F0AFC" w:rsidRPr="003F0AFC" w14:paraId="2328E52E" w14:textId="77777777" w:rsidTr="009050D8">
        <w:trPr>
          <w:trHeight w:val="98"/>
        </w:trPr>
        <w:tc>
          <w:tcPr>
            <w:tcW w:w="664" w:type="dxa"/>
            <w:tcBorders>
              <w:top w:val="nil"/>
              <w:left w:val="single" w:sz="4" w:space="0" w:color="auto"/>
              <w:bottom w:val="single" w:sz="4" w:space="0" w:color="auto"/>
              <w:right w:val="single" w:sz="4" w:space="0" w:color="auto"/>
            </w:tcBorders>
            <w:vAlign w:val="bottom"/>
            <w:hideMark/>
          </w:tcPr>
          <w:p w14:paraId="3747E515"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49" w:type="dxa"/>
            <w:tcBorders>
              <w:top w:val="nil"/>
              <w:left w:val="nil"/>
              <w:bottom w:val="single" w:sz="4" w:space="0" w:color="auto"/>
              <w:right w:val="single" w:sz="4" w:space="0" w:color="auto"/>
            </w:tcBorders>
            <w:vAlign w:val="bottom"/>
            <w:hideMark/>
          </w:tcPr>
          <w:p w14:paraId="5C2C199D"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TAC</w:t>
            </w:r>
          </w:p>
        </w:tc>
        <w:tc>
          <w:tcPr>
            <w:tcW w:w="4031" w:type="dxa"/>
            <w:tcBorders>
              <w:top w:val="nil"/>
              <w:left w:val="nil"/>
              <w:bottom w:val="single" w:sz="4" w:space="0" w:color="auto"/>
              <w:right w:val="single" w:sz="4" w:space="0" w:color="auto"/>
            </w:tcBorders>
            <w:vAlign w:val="bottom"/>
            <w:hideMark/>
          </w:tcPr>
          <w:p w14:paraId="22DF84B6"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TELECOMMUNICATION AND CABLE</w:t>
            </w:r>
          </w:p>
        </w:tc>
        <w:tc>
          <w:tcPr>
            <w:tcW w:w="1260" w:type="dxa"/>
            <w:tcBorders>
              <w:top w:val="nil"/>
              <w:left w:val="nil"/>
              <w:bottom w:val="single" w:sz="4" w:space="0" w:color="auto"/>
              <w:right w:val="single" w:sz="4" w:space="0" w:color="auto"/>
            </w:tcBorders>
            <w:vAlign w:val="bottom"/>
            <w:hideMark/>
          </w:tcPr>
          <w:p w14:paraId="73F30A7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$215,916</w:t>
            </w:r>
          </w:p>
        </w:tc>
        <w:tc>
          <w:tcPr>
            <w:tcW w:w="1170" w:type="dxa"/>
            <w:tcBorders>
              <w:top w:val="nil"/>
              <w:left w:val="nil"/>
              <w:bottom w:val="single" w:sz="4" w:space="0" w:color="auto"/>
              <w:right w:val="single" w:sz="4" w:space="0" w:color="auto"/>
            </w:tcBorders>
            <w:vAlign w:val="bottom"/>
            <w:hideMark/>
          </w:tcPr>
          <w:p w14:paraId="4DE4601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$12,955</w:t>
            </w:r>
          </w:p>
        </w:tc>
        <w:tc>
          <w:tcPr>
            <w:tcW w:w="1260" w:type="dxa"/>
            <w:tcBorders>
              <w:top w:val="nil"/>
              <w:left w:val="nil"/>
              <w:bottom w:val="single" w:sz="4" w:space="0" w:color="auto"/>
              <w:right w:val="single" w:sz="4" w:space="0" w:color="auto"/>
            </w:tcBorders>
            <w:vAlign w:val="bottom"/>
            <w:hideMark/>
          </w:tcPr>
          <w:p w14:paraId="4D47913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$24,824</w:t>
            </w:r>
          </w:p>
        </w:tc>
        <w:tc>
          <w:tcPr>
            <w:tcW w:w="1080" w:type="dxa"/>
            <w:tcBorders>
              <w:top w:val="nil"/>
              <w:left w:val="nil"/>
              <w:bottom w:val="single" w:sz="4" w:space="0" w:color="auto"/>
              <w:right w:val="single" w:sz="4" w:space="0" w:color="auto"/>
            </w:tcBorders>
            <w:vAlign w:val="bottom"/>
            <w:hideMark/>
          </w:tcPr>
          <w:p w14:paraId="4D9A1D8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2C6ABEB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$24,824</w:t>
            </w:r>
          </w:p>
        </w:tc>
        <w:tc>
          <w:tcPr>
            <w:tcW w:w="1151" w:type="dxa"/>
            <w:tcBorders>
              <w:top w:val="nil"/>
              <w:left w:val="nil"/>
              <w:bottom w:val="single" w:sz="4" w:space="0" w:color="auto"/>
              <w:right w:val="single" w:sz="4" w:space="0" w:color="auto"/>
            </w:tcBorders>
            <w:vAlign w:val="bottom"/>
            <w:hideMark/>
          </w:tcPr>
          <w:p w14:paraId="162479E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191.62%</w:t>
            </w:r>
          </w:p>
        </w:tc>
        <w:tc>
          <w:tcPr>
            <w:tcW w:w="1260" w:type="dxa"/>
            <w:tcBorders>
              <w:top w:val="nil"/>
              <w:left w:val="nil"/>
              <w:bottom w:val="single" w:sz="4" w:space="0" w:color="auto"/>
              <w:right w:val="single" w:sz="4" w:space="0" w:color="auto"/>
            </w:tcBorders>
            <w:vAlign w:val="bottom"/>
            <w:hideMark/>
          </w:tcPr>
          <w:p w14:paraId="10658EE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$11,869</w:t>
            </w:r>
          </w:p>
        </w:tc>
      </w:tr>
      <w:tr w:rsidR="003F0AFC" w:rsidRPr="003F0AFC" w14:paraId="534E530F" w14:textId="77777777" w:rsidTr="009050D8">
        <w:trPr>
          <w:trHeight w:val="152"/>
        </w:trPr>
        <w:tc>
          <w:tcPr>
            <w:tcW w:w="664" w:type="dxa"/>
            <w:tcBorders>
              <w:top w:val="nil"/>
              <w:left w:val="single" w:sz="4" w:space="0" w:color="auto"/>
              <w:bottom w:val="single" w:sz="4" w:space="0" w:color="auto"/>
              <w:right w:val="single" w:sz="4" w:space="0" w:color="auto"/>
            </w:tcBorders>
            <w:vAlign w:val="bottom"/>
            <w:hideMark/>
          </w:tcPr>
          <w:p w14:paraId="72ECC955"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49" w:type="dxa"/>
            <w:tcBorders>
              <w:top w:val="nil"/>
              <w:left w:val="nil"/>
              <w:bottom w:val="single" w:sz="4" w:space="0" w:color="auto"/>
              <w:right w:val="single" w:sz="4" w:space="0" w:color="auto"/>
            </w:tcBorders>
            <w:vAlign w:val="bottom"/>
            <w:hideMark/>
          </w:tcPr>
          <w:p w14:paraId="00F4C7DB"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DOB</w:t>
            </w:r>
          </w:p>
        </w:tc>
        <w:tc>
          <w:tcPr>
            <w:tcW w:w="4031" w:type="dxa"/>
            <w:tcBorders>
              <w:top w:val="nil"/>
              <w:left w:val="nil"/>
              <w:bottom w:val="single" w:sz="4" w:space="0" w:color="auto"/>
              <w:right w:val="single" w:sz="4" w:space="0" w:color="auto"/>
            </w:tcBorders>
            <w:vAlign w:val="bottom"/>
            <w:hideMark/>
          </w:tcPr>
          <w:p w14:paraId="49A3C758"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DIVISION OF BANKS</w:t>
            </w:r>
          </w:p>
        </w:tc>
        <w:tc>
          <w:tcPr>
            <w:tcW w:w="1260" w:type="dxa"/>
            <w:tcBorders>
              <w:top w:val="nil"/>
              <w:left w:val="nil"/>
              <w:bottom w:val="single" w:sz="4" w:space="0" w:color="auto"/>
              <w:right w:val="single" w:sz="4" w:space="0" w:color="auto"/>
            </w:tcBorders>
            <w:vAlign w:val="bottom"/>
            <w:hideMark/>
          </w:tcPr>
          <w:p w14:paraId="2B2349F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$711,621</w:t>
            </w:r>
          </w:p>
        </w:tc>
        <w:tc>
          <w:tcPr>
            <w:tcW w:w="1170" w:type="dxa"/>
            <w:tcBorders>
              <w:top w:val="nil"/>
              <w:left w:val="nil"/>
              <w:bottom w:val="single" w:sz="4" w:space="0" w:color="auto"/>
              <w:right w:val="single" w:sz="4" w:space="0" w:color="auto"/>
            </w:tcBorders>
            <w:vAlign w:val="bottom"/>
            <w:hideMark/>
          </w:tcPr>
          <w:p w14:paraId="03D8991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$42,697</w:t>
            </w:r>
          </w:p>
        </w:tc>
        <w:tc>
          <w:tcPr>
            <w:tcW w:w="1260" w:type="dxa"/>
            <w:tcBorders>
              <w:top w:val="nil"/>
              <w:left w:val="nil"/>
              <w:bottom w:val="single" w:sz="4" w:space="0" w:color="auto"/>
              <w:right w:val="single" w:sz="4" w:space="0" w:color="auto"/>
            </w:tcBorders>
            <w:vAlign w:val="bottom"/>
            <w:hideMark/>
          </w:tcPr>
          <w:p w14:paraId="2775C87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$20,869</w:t>
            </w:r>
          </w:p>
        </w:tc>
        <w:tc>
          <w:tcPr>
            <w:tcW w:w="1080" w:type="dxa"/>
            <w:tcBorders>
              <w:top w:val="nil"/>
              <w:left w:val="nil"/>
              <w:bottom w:val="single" w:sz="4" w:space="0" w:color="auto"/>
              <w:right w:val="single" w:sz="4" w:space="0" w:color="auto"/>
            </w:tcBorders>
            <w:vAlign w:val="bottom"/>
            <w:hideMark/>
          </w:tcPr>
          <w:p w14:paraId="6C98778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02DC73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$20,869</w:t>
            </w:r>
          </w:p>
        </w:tc>
        <w:tc>
          <w:tcPr>
            <w:tcW w:w="1151" w:type="dxa"/>
            <w:tcBorders>
              <w:top w:val="nil"/>
              <w:left w:val="nil"/>
              <w:bottom w:val="single" w:sz="4" w:space="0" w:color="auto"/>
              <w:right w:val="single" w:sz="4" w:space="0" w:color="auto"/>
            </w:tcBorders>
            <w:vAlign w:val="bottom"/>
            <w:hideMark/>
          </w:tcPr>
          <w:p w14:paraId="67404EB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48.88%</w:t>
            </w:r>
          </w:p>
        </w:tc>
        <w:tc>
          <w:tcPr>
            <w:tcW w:w="1260" w:type="dxa"/>
            <w:tcBorders>
              <w:top w:val="nil"/>
              <w:left w:val="nil"/>
              <w:bottom w:val="single" w:sz="4" w:space="0" w:color="auto"/>
              <w:right w:val="single" w:sz="4" w:space="0" w:color="auto"/>
            </w:tcBorders>
            <w:vAlign w:val="bottom"/>
            <w:hideMark/>
          </w:tcPr>
          <w:p w14:paraId="2919869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-$21,828</w:t>
            </w:r>
          </w:p>
        </w:tc>
      </w:tr>
      <w:tr w:rsidR="003F0AFC" w:rsidRPr="003F0AFC" w14:paraId="391CDEC0" w14:textId="77777777" w:rsidTr="009050D8">
        <w:trPr>
          <w:trHeight w:val="125"/>
        </w:trPr>
        <w:tc>
          <w:tcPr>
            <w:tcW w:w="664" w:type="dxa"/>
            <w:tcBorders>
              <w:top w:val="nil"/>
              <w:left w:val="single" w:sz="4" w:space="0" w:color="auto"/>
              <w:bottom w:val="single" w:sz="4" w:space="0" w:color="auto"/>
              <w:right w:val="single" w:sz="4" w:space="0" w:color="auto"/>
            </w:tcBorders>
            <w:vAlign w:val="bottom"/>
            <w:hideMark/>
          </w:tcPr>
          <w:p w14:paraId="7ED5435B"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49" w:type="dxa"/>
            <w:tcBorders>
              <w:top w:val="nil"/>
              <w:left w:val="nil"/>
              <w:bottom w:val="single" w:sz="4" w:space="0" w:color="auto"/>
              <w:right w:val="single" w:sz="4" w:space="0" w:color="auto"/>
            </w:tcBorders>
            <w:vAlign w:val="bottom"/>
            <w:hideMark/>
          </w:tcPr>
          <w:p w14:paraId="56860340"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DOI</w:t>
            </w:r>
          </w:p>
        </w:tc>
        <w:tc>
          <w:tcPr>
            <w:tcW w:w="4031" w:type="dxa"/>
            <w:tcBorders>
              <w:top w:val="nil"/>
              <w:left w:val="nil"/>
              <w:bottom w:val="single" w:sz="4" w:space="0" w:color="auto"/>
              <w:right w:val="single" w:sz="4" w:space="0" w:color="auto"/>
            </w:tcBorders>
            <w:vAlign w:val="bottom"/>
            <w:hideMark/>
          </w:tcPr>
          <w:p w14:paraId="6E379E91"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DIVISION OF INSURANCE</w:t>
            </w:r>
          </w:p>
        </w:tc>
        <w:tc>
          <w:tcPr>
            <w:tcW w:w="1260" w:type="dxa"/>
            <w:tcBorders>
              <w:top w:val="nil"/>
              <w:left w:val="nil"/>
              <w:bottom w:val="single" w:sz="4" w:space="0" w:color="auto"/>
              <w:right w:val="single" w:sz="4" w:space="0" w:color="auto"/>
            </w:tcBorders>
            <w:vAlign w:val="bottom"/>
            <w:hideMark/>
          </w:tcPr>
          <w:p w14:paraId="66CB053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$1,032,010</w:t>
            </w:r>
          </w:p>
        </w:tc>
        <w:tc>
          <w:tcPr>
            <w:tcW w:w="1170" w:type="dxa"/>
            <w:tcBorders>
              <w:top w:val="nil"/>
              <w:left w:val="nil"/>
              <w:bottom w:val="single" w:sz="4" w:space="0" w:color="auto"/>
              <w:right w:val="single" w:sz="4" w:space="0" w:color="auto"/>
            </w:tcBorders>
            <w:vAlign w:val="bottom"/>
            <w:hideMark/>
          </w:tcPr>
          <w:p w14:paraId="1594794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$61,921</w:t>
            </w:r>
          </w:p>
        </w:tc>
        <w:tc>
          <w:tcPr>
            <w:tcW w:w="1260" w:type="dxa"/>
            <w:tcBorders>
              <w:top w:val="nil"/>
              <w:left w:val="nil"/>
              <w:bottom w:val="single" w:sz="4" w:space="0" w:color="auto"/>
              <w:right w:val="single" w:sz="4" w:space="0" w:color="auto"/>
            </w:tcBorders>
            <w:vAlign w:val="bottom"/>
            <w:hideMark/>
          </w:tcPr>
          <w:p w14:paraId="7BFD989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$222,488</w:t>
            </w:r>
          </w:p>
        </w:tc>
        <w:tc>
          <w:tcPr>
            <w:tcW w:w="1080" w:type="dxa"/>
            <w:tcBorders>
              <w:top w:val="nil"/>
              <w:left w:val="nil"/>
              <w:bottom w:val="single" w:sz="4" w:space="0" w:color="auto"/>
              <w:right w:val="single" w:sz="4" w:space="0" w:color="auto"/>
            </w:tcBorders>
            <w:vAlign w:val="bottom"/>
            <w:hideMark/>
          </w:tcPr>
          <w:p w14:paraId="4AD4E0F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63C6DEB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$222,488</w:t>
            </w:r>
          </w:p>
        </w:tc>
        <w:tc>
          <w:tcPr>
            <w:tcW w:w="1151" w:type="dxa"/>
            <w:tcBorders>
              <w:top w:val="nil"/>
              <w:left w:val="nil"/>
              <w:bottom w:val="single" w:sz="4" w:space="0" w:color="auto"/>
              <w:right w:val="single" w:sz="4" w:space="0" w:color="auto"/>
            </w:tcBorders>
            <w:vAlign w:val="bottom"/>
            <w:hideMark/>
          </w:tcPr>
          <w:p w14:paraId="5F5ABF7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359.31%</w:t>
            </w:r>
          </w:p>
        </w:tc>
        <w:tc>
          <w:tcPr>
            <w:tcW w:w="1260" w:type="dxa"/>
            <w:tcBorders>
              <w:top w:val="nil"/>
              <w:left w:val="nil"/>
              <w:bottom w:val="single" w:sz="4" w:space="0" w:color="auto"/>
              <w:right w:val="single" w:sz="4" w:space="0" w:color="auto"/>
            </w:tcBorders>
            <w:vAlign w:val="bottom"/>
            <w:hideMark/>
          </w:tcPr>
          <w:p w14:paraId="376F04E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$160,568</w:t>
            </w:r>
          </w:p>
        </w:tc>
      </w:tr>
      <w:tr w:rsidR="003F0AFC" w:rsidRPr="003F0AFC" w14:paraId="34CF060A" w14:textId="77777777" w:rsidTr="009050D8">
        <w:trPr>
          <w:trHeight w:val="98"/>
        </w:trPr>
        <w:tc>
          <w:tcPr>
            <w:tcW w:w="664" w:type="dxa"/>
            <w:tcBorders>
              <w:top w:val="nil"/>
              <w:left w:val="single" w:sz="4" w:space="0" w:color="auto"/>
              <w:bottom w:val="single" w:sz="4" w:space="0" w:color="auto"/>
              <w:right w:val="single" w:sz="4" w:space="0" w:color="auto"/>
            </w:tcBorders>
            <w:vAlign w:val="bottom"/>
            <w:hideMark/>
          </w:tcPr>
          <w:p w14:paraId="239A3FBF"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49" w:type="dxa"/>
            <w:tcBorders>
              <w:top w:val="nil"/>
              <w:left w:val="nil"/>
              <w:bottom w:val="single" w:sz="4" w:space="0" w:color="auto"/>
              <w:right w:val="single" w:sz="4" w:space="0" w:color="auto"/>
            </w:tcBorders>
            <w:vAlign w:val="bottom"/>
            <w:hideMark/>
          </w:tcPr>
          <w:p w14:paraId="6F8C4D9D"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REG</w:t>
            </w:r>
          </w:p>
        </w:tc>
        <w:tc>
          <w:tcPr>
            <w:tcW w:w="4031" w:type="dxa"/>
            <w:tcBorders>
              <w:top w:val="nil"/>
              <w:left w:val="nil"/>
              <w:bottom w:val="single" w:sz="4" w:space="0" w:color="auto"/>
              <w:right w:val="single" w:sz="4" w:space="0" w:color="auto"/>
            </w:tcBorders>
            <w:vAlign w:val="bottom"/>
            <w:hideMark/>
          </w:tcPr>
          <w:p w14:paraId="748A67F5"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DIVISION OF PROFESSIONAL LICENSURE</w:t>
            </w:r>
          </w:p>
        </w:tc>
        <w:tc>
          <w:tcPr>
            <w:tcW w:w="1260" w:type="dxa"/>
            <w:tcBorders>
              <w:top w:val="nil"/>
              <w:left w:val="nil"/>
              <w:bottom w:val="single" w:sz="4" w:space="0" w:color="auto"/>
              <w:right w:val="single" w:sz="4" w:space="0" w:color="auto"/>
            </w:tcBorders>
            <w:vAlign w:val="bottom"/>
            <w:hideMark/>
          </w:tcPr>
          <w:p w14:paraId="7CC31FC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$629,969</w:t>
            </w:r>
          </w:p>
        </w:tc>
        <w:tc>
          <w:tcPr>
            <w:tcW w:w="1170" w:type="dxa"/>
            <w:tcBorders>
              <w:top w:val="nil"/>
              <w:left w:val="nil"/>
              <w:bottom w:val="single" w:sz="4" w:space="0" w:color="auto"/>
              <w:right w:val="single" w:sz="4" w:space="0" w:color="auto"/>
            </w:tcBorders>
            <w:vAlign w:val="bottom"/>
            <w:hideMark/>
          </w:tcPr>
          <w:p w14:paraId="64A8212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$37,798</w:t>
            </w:r>
          </w:p>
        </w:tc>
        <w:tc>
          <w:tcPr>
            <w:tcW w:w="1260" w:type="dxa"/>
            <w:tcBorders>
              <w:top w:val="nil"/>
              <w:left w:val="nil"/>
              <w:bottom w:val="single" w:sz="4" w:space="0" w:color="auto"/>
              <w:right w:val="single" w:sz="4" w:space="0" w:color="auto"/>
            </w:tcBorders>
            <w:vAlign w:val="bottom"/>
            <w:hideMark/>
          </w:tcPr>
          <w:p w14:paraId="210C2CE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$37,566</w:t>
            </w:r>
          </w:p>
        </w:tc>
        <w:tc>
          <w:tcPr>
            <w:tcW w:w="1080" w:type="dxa"/>
            <w:tcBorders>
              <w:top w:val="nil"/>
              <w:left w:val="nil"/>
              <w:bottom w:val="single" w:sz="4" w:space="0" w:color="auto"/>
              <w:right w:val="single" w:sz="4" w:space="0" w:color="auto"/>
            </w:tcBorders>
            <w:vAlign w:val="bottom"/>
            <w:hideMark/>
          </w:tcPr>
          <w:p w14:paraId="6B2491E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74FE5D4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$37,566</w:t>
            </w:r>
          </w:p>
        </w:tc>
        <w:tc>
          <w:tcPr>
            <w:tcW w:w="1151" w:type="dxa"/>
            <w:tcBorders>
              <w:top w:val="nil"/>
              <w:left w:val="nil"/>
              <w:bottom w:val="single" w:sz="4" w:space="0" w:color="auto"/>
              <w:right w:val="single" w:sz="4" w:space="0" w:color="auto"/>
            </w:tcBorders>
            <w:vAlign w:val="bottom"/>
            <w:hideMark/>
          </w:tcPr>
          <w:p w14:paraId="5D4C56B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99.39%</w:t>
            </w:r>
          </w:p>
        </w:tc>
        <w:tc>
          <w:tcPr>
            <w:tcW w:w="1260" w:type="dxa"/>
            <w:tcBorders>
              <w:top w:val="nil"/>
              <w:left w:val="nil"/>
              <w:bottom w:val="single" w:sz="4" w:space="0" w:color="auto"/>
              <w:right w:val="single" w:sz="4" w:space="0" w:color="auto"/>
            </w:tcBorders>
            <w:vAlign w:val="bottom"/>
            <w:hideMark/>
          </w:tcPr>
          <w:p w14:paraId="54A764B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-$232</w:t>
            </w:r>
          </w:p>
        </w:tc>
      </w:tr>
      <w:tr w:rsidR="003F0AFC" w:rsidRPr="003F0AFC" w14:paraId="247CB855" w14:textId="77777777" w:rsidTr="009050D8">
        <w:trPr>
          <w:trHeight w:val="161"/>
        </w:trPr>
        <w:tc>
          <w:tcPr>
            <w:tcW w:w="664" w:type="dxa"/>
            <w:tcBorders>
              <w:top w:val="nil"/>
              <w:left w:val="single" w:sz="4" w:space="0" w:color="auto"/>
              <w:bottom w:val="single" w:sz="4" w:space="0" w:color="auto"/>
              <w:right w:val="single" w:sz="4" w:space="0" w:color="auto"/>
            </w:tcBorders>
            <w:vAlign w:val="bottom"/>
            <w:hideMark/>
          </w:tcPr>
          <w:p w14:paraId="05276D67"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49" w:type="dxa"/>
            <w:tcBorders>
              <w:top w:val="nil"/>
              <w:left w:val="nil"/>
              <w:bottom w:val="single" w:sz="4" w:space="0" w:color="auto"/>
              <w:right w:val="single" w:sz="4" w:space="0" w:color="auto"/>
            </w:tcBorders>
            <w:vAlign w:val="bottom"/>
            <w:hideMark/>
          </w:tcPr>
          <w:p w14:paraId="549CABA2"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DOS</w:t>
            </w:r>
          </w:p>
        </w:tc>
        <w:tc>
          <w:tcPr>
            <w:tcW w:w="4031" w:type="dxa"/>
            <w:tcBorders>
              <w:top w:val="nil"/>
              <w:left w:val="nil"/>
              <w:bottom w:val="single" w:sz="4" w:space="0" w:color="auto"/>
              <w:right w:val="single" w:sz="4" w:space="0" w:color="auto"/>
            </w:tcBorders>
            <w:vAlign w:val="bottom"/>
            <w:hideMark/>
          </w:tcPr>
          <w:p w14:paraId="19714DEE"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DIVISION OF STANDARDS</w:t>
            </w:r>
          </w:p>
        </w:tc>
        <w:tc>
          <w:tcPr>
            <w:tcW w:w="1260" w:type="dxa"/>
            <w:tcBorders>
              <w:top w:val="nil"/>
              <w:left w:val="nil"/>
              <w:bottom w:val="single" w:sz="4" w:space="0" w:color="auto"/>
              <w:right w:val="single" w:sz="4" w:space="0" w:color="auto"/>
            </w:tcBorders>
            <w:vAlign w:val="bottom"/>
            <w:hideMark/>
          </w:tcPr>
          <w:p w14:paraId="2AC7626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$52,436</w:t>
            </w:r>
          </w:p>
        </w:tc>
        <w:tc>
          <w:tcPr>
            <w:tcW w:w="1170" w:type="dxa"/>
            <w:tcBorders>
              <w:top w:val="nil"/>
              <w:left w:val="nil"/>
              <w:bottom w:val="single" w:sz="4" w:space="0" w:color="auto"/>
              <w:right w:val="single" w:sz="4" w:space="0" w:color="auto"/>
            </w:tcBorders>
            <w:vAlign w:val="bottom"/>
            <w:hideMark/>
          </w:tcPr>
          <w:p w14:paraId="3E16D31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$3,146</w:t>
            </w:r>
          </w:p>
        </w:tc>
        <w:tc>
          <w:tcPr>
            <w:tcW w:w="1260" w:type="dxa"/>
            <w:tcBorders>
              <w:top w:val="nil"/>
              <w:left w:val="nil"/>
              <w:bottom w:val="single" w:sz="4" w:space="0" w:color="auto"/>
              <w:right w:val="single" w:sz="4" w:space="0" w:color="auto"/>
            </w:tcBorders>
            <w:vAlign w:val="bottom"/>
            <w:hideMark/>
          </w:tcPr>
          <w:p w14:paraId="0CAC489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$9,225</w:t>
            </w:r>
          </w:p>
        </w:tc>
        <w:tc>
          <w:tcPr>
            <w:tcW w:w="1080" w:type="dxa"/>
            <w:tcBorders>
              <w:top w:val="nil"/>
              <w:left w:val="nil"/>
              <w:bottom w:val="single" w:sz="4" w:space="0" w:color="auto"/>
              <w:right w:val="single" w:sz="4" w:space="0" w:color="auto"/>
            </w:tcBorders>
            <w:vAlign w:val="bottom"/>
            <w:hideMark/>
          </w:tcPr>
          <w:p w14:paraId="48695D5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D2D901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$9,225</w:t>
            </w:r>
          </w:p>
        </w:tc>
        <w:tc>
          <w:tcPr>
            <w:tcW w:w="1151" w:type="dxa"/>
            <w:tcBorders>
              <w:top w:val="nil"/>
              <w:left w:val="nil"/>
              <w:bottom w:val="single" w:sz="4" w:space="0" w:color="auto"/>
              <w:right w:val="single" w:sz="4" w:space="0" w:color="auto"/>
            </w:tcBorders>
            <w:vAlign w:val="bottom"/>
            <w:hideMark/>
          </w:tcPr>
          <w:p w14:paraId="27FDADE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293.22%</w:t>
            </w:r>
          </w:p>
        </w:tc>
        <w:tc>
          <w:tcPr>
            <w:tcW w:w="1260" w:type="dxa"/>
            <w:tcBorders>
              <w:top w:val="nil"/>
              <w:left w:val="nil"/>
              <w:bottom w:val="single" w:sz="4" w:space="0" w:color="auto"/>
              <w:right w:val="single" w:sz="4" w:space="0" w:color="auto"/>
            </w:tcBorders>
            <w:vAlign w:val="bottom"/>
            <w:hideMark/>
          </w:tcPr>
          <w:p w14:paraId="4A045D5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$6,079</w:t>
            </w:r>
          </w:p>
        </w:tc>
      </w:tr>
      <w:tr w:rsidR="003F0AFC" w:rsidRPr="003F0AFC" w14:paraId="3622B22B" w14:textId="77777777" w:rsidTr="009050D8">
        <w:trPr>
          <w:trHeight w:val="125"/>
        </w:trPr>
        <w:tc>
          <w:tcPr>
            <w:tcW w:w="664" w:type="dxa"/>
            <w:tcBorders>
              <w:top w:val="nil"/>
              <w:left w:val="single" w:sz="4" w:space="0" w:color="auto"/>
              <w:bottom w:val="single" w:sz="4" w:space="0" w:color="auto"/>
              <w:right w:val="single" w:sz="4" w:space="0" w:color="auto"/>
            </w:tcBorders>
            <w:vAlign w:val="bottom"/>
            <w:hideMark/>
          </w:tcPr>
          <w:p w14:paraId="5FB8486E"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49" w:type="dxa"/>
            <w:tcBorders>
              <w:top w:val="nil"/>
              <w:left w:val="nil"/>
              <w:bottom w:val="single" w:sz="4" w:space="0" w:color="auto"/>
              <w:right w:val="single" w:sz="4" w:space="0" w:color="auto"/>
            </w:tcBorders>
            <w:vAlign w:val="bottom"/>
            <w:hideMark/>
          </w:tcPr>
          <w:p w14:paraId="3BBF7C9A"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4031" w:type="dxa"/>
            <w:tcBorders>
              <w:top w:val="nil"/>
              <w:left w:val="nil"/>
              <w:bottom w:val="single" w:sz="4" w:space="0" w:color="auto"/>
              <w:right w:val="single" w:sz="4" w:space="0" w:color="auto"/>
            </w:tcBorders>
            <w:vAlign w:val="bottom"/>
            <w:hideMark/>
          </w:tcPr>
          <w:p w14:paraId="3C1BF537"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EXECUTIVE OFFICE OF ECONOMIC DEVELOPMENT</w:t>
            </w:r>
          </w:p>
        </w:tc>
        <w:tc>
          <w:tcPr>
            <w:tcW w:w="1260" w:type="dxa"/>
            <w:tcBorders>
              <w:top w:val="nil"/>
              <w:left w:val="nil"/>
              <w:bottom w:val="single" w:sz="4" w:space="0" w:color="auto"/>
              <w:right w:val="single" w:sz="4" w:space="0" w:color="auto"/>
            </w:tcBorders>
            <w:vAlign w:val="bottom"/>
            <w:hideMark/>
          </w:tcPr>
          <w:p w14:paraId="179B0D9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$507,677</w:t>
            </w:r>
          </w:p>
        </w:tc>
        <w:tc>
          <w:tcPr>
            <w:tcW w:w="1170" w:type="dxa"/>
            <w:tcBorders>
              <w:top w:val="nil"/>
              <w:left w:val="nil"/>
              <w:bottom w:val="single" w:sz="4" w:space="0" w:color="auto"/>
              <w:right w:val="single" w:sz="4" w:space="0" w:color="auto"/>
            </w:tcBorders>
            <w:vAlign w:val="bottom"/>
            <w:hideMark/>
          </w:tcPr>
          <w:p w14:paraId="3264D55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$30,461</w:t>
            </w:r>
          </w:p>
        </w:tc>
        <w:tc>
          <w:tcPr>
            <w:tcW w:w="1260" w:type="dxa"/>
            <w:tcBorders>
              <w:top w:val="nil"/>
              <w:left w:val="nil"/>
              <w:bottom w:val="single" w:sz="4" w:space="0" w:color="auto"/>
              <w:right w:val="single" w:sz="4" w:space="0" w:color="auto"/>
            </w:tcBorders>
            <w:vAlign w:val="bottom"/>
            <w:hideMark/>
          </w:tcPr>
          <w:p w14:paraId="615A082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$181,463</w:t>
            </w:r>
          </w:p>
        </w:tc>
        <w:tc>
          <w:tcPr>
            <w:tcW w:w="1080" w:type="dxa"/>
            <w:tcBorders>
              <w:top w:val="nil"/>
              <w:left w:val="nil"/>
              <w:bottom w:val="single" w:sz="4" w:space="0" w:color="auto"/>
              <w:right w:val="single" w:sz="4" w:space="0" w:color="auto"/>
            </w:tcBorders>
            <w:vAlign w:val="bottom"/>
            <w:hideMark/>
          </w:tcPr>
          <w:p w14:paraId="55F7C94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DF1DEC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$181,463</w:t>
            </w:r>
          </w:p>
        </w:tc>
        <w:tc>
          <w:tcPr>
            <w:tcW w:w="1151" w:type="dxa"/>
            <w:tcBorders>
              <w:top w:val="nil"/>
              <w:left w:val="nil"/>
              <w:bottom w:val="single" w:sz="4" w:space="0" w:color="auto"/>
              <w:right w:val="single" w:sz="4" w:space="0" w:color="auto"/>
            </w:tcBorders>
            <w:vAlign w:val="bottom"/>
            <w:hideMark/>
          </w:tcPr>
          <w:p w14:paraId="62FCF37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595.73%</w:t>
            </w:r>
          </w:p>
        </w:tc>
        <w:tc>
          <w:tcPr>
            <w:tcW w:w="1260" w:type="dxa"/>
            <w:tcBorders>
              <w:top w:val="nil"/>
              <w:left w:val="nil"/>
              <w:bottom w:val="single" w:sz="4" w:space="0" w:color="auto"/>
              <w:right w:val="single" w:sz="4" w:space="0" w:color="auto"/>
            </w:tcBorders>
            <w:vAlign w:val="bottom"/>
            <w:hideMark/>
          </w:tcPr>
          <w:p w14:paraId="1D147D9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$151,003</w:t>
            </w:r>
          </w:p>
        </w:tc>
      </w:tr>
      <w:tr w:rsidR="003F0AFC" w:rsidRPr="003F0AFC" w14:paraId="30DC9B5D" w14:textId="77777777" w:rsidTr="009050D8">
        <w:trPr>
          <w:trHeight w:val="179"/>
        </w:trPr>
        <w:tc>
          <w:tcPr>
            <w:tcW w:w="664" w:type="dxa"/>
            <w:tcBorders>
              <w:top w:val="nil"/>
              <w:left w:val="single" w:sz="4" w:space="0" w:color="auto"/>
              <w:bottom w:val="single" w:sz="4" w:space="0" w:color="auto"/>
              <w:right w:val="single" w:sz="4" w:space="0" w:color="auto"/>
            </w:tcBorders>
            <w:vAlign w:val="bottom"/>
            <w:hideMark/>
          </w:tcPr>
          <w:p w14:paraId="6C19EAD1"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49" w:type="dxa"/>
            <w:tcBorders>
              <w:top w:val="nil"/>
              <w:left w:val="nil"/>
              <w:bottom w:val="single" w:sz="4" w:space="0" w:color="auto"/>
              <w:right w:val="single" w:sz="4" w:space="0" w:color="auto"/>
            </w:tcBorders>
            <w:vAlign w:val="bottom"/>
            <w:hideMark/>
          </w:tcPr>
          <w:p w14:paraId="395253E7"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MMP</w:t>
            </w:r>
          </w:p>
        </w:tc>
        <w:tc>
          <w:tcPr>
            <w:tcW w:w="4031" w:type="dxa"/>
            <w:tcBorders>
              <w:top w:val="nil"/>
              <w:left w:val="nil"/>
              <w:bottom w:val="single" w:sz="4" w:space="0" w:color="auto"/>
              <w:right w:val="single" w:sz="4" w:space="0" w:color="auto"/>
            </w:tcBorders>
            <w:vAlign w:val="bottom"/>
            <w:hideMark/>
          </w:tcPr>
          <w:p w14:paraId="2669A80D"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MASSACHUSETTS MARKETING PARTNERSHIP</w:t>
            </w:r>
          </w:p>
        </w:tc>
        <w:tc>
          <w:tcPr>
            <w:tcW w:w="1260" w:type="dxa"/>
            <w:tcBorders>
              <w:top w:val="nil"/>
              <w:left w:val="nil"/>
              <w:bottom w:val="single" w:sz="4" w:space="0" w:color="auto"/>
              <w:right w:val="single" w:sz="4" w:space="0" w:color="auto"/>
            </w:tcBorders>
            <w:vAlign w:val="bottom"/>
            <w:hideMark/>
          </w:tcPr>
          <w:p w14:paraId="3E60BA1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$869,758</w:t>
            </w:r>
          </w:p>
        </w:tc>
        <w:tc>
          <w:tcPr>
            <w:tcW w:w="1170" w:type="dxa"/>
            <w:tcBorders>
              <w:top w:val="nil"/>
              <w:left w:val="nil"/>
              <w:bottom w:val="single" w:sz="4" w:space="0" w:color="auto"/>
              <w:right w:val="single" w:sz="4" w:space="0" w:color="auto"/>
            </w:tcBorders>
            <w:vAlign w:val="bottom"/>
            <w:hideMark/>
          </w:tcPr>
          <w:p w14:paraId="1FD0B7A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$52,185</w:t>
            </w:r>
          </w:p>
        </w:tc>
        <w:tc>
          <w:tcPr>
            <w:tcW w:w="1260" w:type="dxa"/>
            <w:tcBorders>
              <w:top w:val="nil"/>
              <w:left w:val="nil"/>
              <w:bottom w:val="single" w:sz="4" w:space="0" w:color="auto"/>
              <w:right w:val="single" w:sz="4" w:space="0" w:color="auto"/>
            </w:tcBorders>
            <w:vAlign w:val="bottom"/>
            <w:hideMark/>
          </w:tcPr>
          <w:p w14:paraId="2521BE8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$21,596</w:t>
            </w:r>
          </w:p>
        </w:tc>
        <w:tc>
          <w:tcPr>
            <w:tcW w:w="1080" w:type="dxa"/>
            <w:tcBorders>
              <w:top w:val="nil"/>
              <w:left w:val="nil"/>
              <w:bottom w:val="single" w:sz="4" w:space="0" w:color="auto"/>
              <w:right w:val="single" w:sz="4" w:space="0" w:color="auto"/>
            </w:tcBorders>
            <w:vAlign w:val="bottom"/>
            <w:hideMark/>
          </w:tcPr>
          <w:p w14:paraId="1A974AD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91ECF0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$21,596</w:t>
            </w:r>
          </w:p>
        </w:tc>
        <w:tc>
          <w:tcPr>
            <w:tcW w:w="1151" w:type="dxa"/>
            <w:tcBorders>
              <w:top w:val="nil"/>
              <w:left w:val="nil"/>
              <w:bottom w:val="single" w:sz="4" w:space="0" w:color="auto"/>
              <w:right w:val="single" w:sz="4" w:space="0" w:color="auto"/>
            </w:tcBorders>
            <w:vAlign w:val="bottom"/>
            <w:hideMark/>
          </w:tcPr>
          <w:p w14:paraId="6DF83C5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41.38%</w:t>
            </w:r>
          </w:p>
        </w:tc>
        <w:tc>
          <w:tcPr>
            <w:tcW w:w="1260" w:type="dxa"/>
            <w:tcBorders>
              <w:top w:val="nil"/>
              <w:left w:val="nil"/>
              <w:bottom w:val="single" w:sz="4" w:space="0" w:color="auto"/>
              <w:right w:val="single" w:sz="4" w:space="0" w:color="auto"/>
            </w:tcBorders>
            <w:vAlign w:val="bottom"/>
            <w:hideMark/>
          </w:tcPr>
          <w:p w14:paraId="672FD3C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-$30,589</w:t>
            </w:r>
          </w:p>
        </w:tc>
      </w:tr>
      <w:tr w:rsidR="003F0AFC" w:rsidRPr="003F0AFC" w14:paraId="2B5C3344" w14:textId="77777777" w:rsidTr="009050D8">
        <w:trPr>
          <w:trHeight w:val="116"/>
        </w:trPr>
        <w:tc>
          <w:tcPr>
            <w:tcW w:w="664" w:type="dxa"/>
            <w:tcBorders>
              <w:top w:val="nil"/>
              <w:left w:val="single" w:sz="4" w:space="0" w:color="auto"/>
              <w:bottom w:val="nil"/>
              <w:right w:val="single" w:sz="4" w:space="0" w:color="auto"/>
            </w:tcBorders>
            <w:vAlign w:val="bottom"/>
            <w:hideMark/>
          </w:tcPr>
          <w:p w14:paraId="1A41145B"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49" w:type="dxa"/>
            <w:tcBorders>
              <w:top w:val="nil"/>
              <w:left w:val="nil"/>
              <w:bottom w:val="nil"/>
              <w:right w:val="single" w:sz="4" w:space="0" w:color="auto"/>
            </w:tcBorders>
            <w:vAlign w:val="bottom"/>
            <w:hideMark/>
          </w:tcPr>
          <w:p w14:paraId="4DB6AB2B"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SCA</w:t>
            </w:r>
          </w:p>
        </w:tc>
        <w:tc>
          <w:tcPr>
            <w:tcW w:w="4031" w:type="dxa"/>
            <w:tcBorders>
              <w:top w:val="nil"/>
              <w:left w:val="nil"/>
              <w:bottom w:val="nil"/>
              <w:right w:val="single" w:sz="4" w:space="0" w:color="auto"/>
            </w:tcBorders>
            <w:vAlign w:val="bottom"/>
            <w:hideMark/>
          </w:tcPr>
          <w:p w14:paraId="73D16EBA"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OFFICE OF CONSUMER AFFAIRS AND BUSINESS REGULATION</w:t>
            </w:r>
          </w:p>
        </w:tc>
        <w:tc>
          <w:tcPr>
            <w:tcW w:w="1260" w:type="dxa"/>
            <w:tcBorders>
              <w:top w:val="nil"/>
              <w:left w:val="nil"/>
              <w:bottom w:val="nil"/>
              <w:right w:val="single" w:sz="4" w:space="0" w:color="auto"/>
            </w:tcBorders>
            <w:vAlign w:val="bottom"/>
            <w:hideMark/>
          </w:tcPr>
          <w:p w14:paraId="4491DB2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$60,998</w:t>
            </w:r>
          </w:p>
        </w:tc>
        <w:tc>
          <w:tcPr>
            <w:tcW w:w="1170" w:type="dxa"/>
            <w:tcBorders>
              <w:top w:val="nil"/>
              <w:left w:val="nil"/>
              <w:bottom w:val="nil"/>
              <w:right w:val="single" w:sz="4" w:space="0" w:color="auto"/>
            </w:tcBorders>
            <w:vAlign w:val="bottom"/>
            <w:hideMark/>
          </w:tcPr>
          <w:p w14:paraId="2A91D55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$3,660</w:t>
            </w:r>
          </w:p>
        </w:tc>
        <w:tc>
          <w:tcPr>
            <w:tcW w:w="1260" w:type="dxa"/>
            <w:tcBorders>
              <w:top w:val="nil"/>
              <w:left w:val="nil"/>
              <w:bottom w:val="nil"/>
              <w:right w:val="single" w:sz="4" w:space="0" w:color="auto"/>
            </w:tcBorders>
            <w:vAlign w:val="bottom"/>
            <w:hideMark/>
          </w:tcPr>
          <w:p w14:paraId="37B33B5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$37,319</w:t>
            </w:r>
          </w:p>
        </w:tc>
        <w:tc>
          <w:tcPr>
            <w:tcW w:w="1080" w:type="dxa"/>
            <w:tcBorders>
              <w:top w:val="nil"/>
              <w:left w:val="nil"/>
              <w:bottom w:val="nil"/>
              <w:right w:val="single" w:sz="4" w:space="0" w:color="auto"/>
            </w:tcBorders>
            <w:vAlign w:val="bottom"/>
            <w:hideMark/>
          </w:tcPr>
          <w:p w14:paraId="71F810F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54AF621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$37,319</w:t>
            </w:r>
          </w:p>
        </w:tc>
        <w:tc>
          <w:tcPr>
            <w:tcW w:w="1151" w:type="dxa"/>
            <w:tcBorders>
              <w:top w:val="nil"/>
              <w:left w:val="nil"/>
              <w:bottom w:val="nil"/>
              <w:right w:val="single" w:sz="4" w:space="0" w:color="auto"/>
            </w:tcBorders>
            <w:vAlign w:val="bottom"/>
            <w:hideMark/>
          </w:tcPr>
          <w:p w14:paraId="6753EDF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1019.68%</w:t>
            </w:r>
          </w:p>
        </w:tc>
        <w:tc>
          <w:tcPr>
            <w:tcW w:w="1260" w:type="dxa"/>
            <w:tcBorders>
              <w:top w:val="nil"/>
              <w:left w:val="nil"/>
              <w:bottom w:val="nil"/>
              <w:right w:val="single" w:sz="4" w:space="0" w:color="auto"/>
            </w:tcBorders>
            <w:vAlign w:val="bottom"/>
            <w:hideMark/>
          </w:tcPr>
          <w:p w14:paraId="19DC169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$33,659</w:t>
            </w:r>
          </w:p>
        </w:tc>
      </w:tr>
      <w:tr w:rsidR="003F0AFC" w:rsidRPr="003F0AFC" w14:paraId="48808B1A" w14:textId="77777777" w:rsidTr="009050D8">
        <w:trPr>
          <w:trHeight w:val="187"/>
        </w:trPr>
        <w:tc>
          <w:tcPr>
            <w:tcW w:w="5344" w:type="dxa"/>
            <w:gridSpan w:val="3"/>
            <w:tcBorders>
              <w:top w:val="single" w:sz="8" w:space="0" w:color="auto"/>
              <w:left w:val="single" w:sz="8" w:space="0" w:color="auto"/>
              <w:bottom w:val="single" w:sz="8" w:space="0" w:color="auto"/>
              <w:right w:val="single" w:sz="4" w:space="0" w:color="auto"/>
            </w:tcBorders>
            <w:shd w:val="clear" w:color="000000" w:fill="E26B0A"/>
            <w:vAlign w:val="bottom"/>
            <w:hideMark/>
          </w:tcPr>
          <w:p w14:paraId="0B279451" w14:textId="77777777" w:rsidR="003F0AFC" w:rsidRPr="00E67D16" w:rsidRDefault="003F0AFC" w:rsidP="00F8162C">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0871AE63"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$161,650,812</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0C3BBFF8"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$9,699,049</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6B4042D1"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$14,385,170</w:t>
            </w:r>
          </w:p>
        </w:tc>
        <w:tc>
          <w:tcPr>
            <w:tcW w:w="1080" w:type="dxa"/>
            <w:tcBorders>
              <w:top w:val="single" w:sz="8" w:space="0" w:color="auto"/>
              <w:left w:val="nil"/>
              <w:bottom w:val="single" w:sz="8" w:space="0" w:color="auto"/>
              <w:right w:val="single" w:sz="4" w:space="0" w:color="auto"/>
            </w:tcBorders>
            <w:shd w:val="clear" w:color="000000" w:fill="E26B0A"/>
            <w:vAlign w:val="bottom"/>
            <w:hideMark/>
          </w:tcPr>
          <w:p w14:paraId="1B502ED5"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6E217239"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$14,385,170</w:t>
            </w:r>
          </w:p>
        </w:tc>
        <w:tc>
          <w:tcPr>
            <w:tcW w:w="1151" w:type="dxa"/>
            <w:tcBorders>
              <w:top w:val="single" w:sz="8" w:space="0" w:color="auto"/>
              <w:left w:val="nil"/>
              <w:bottom w:val="single" w:sz="8" w:space="0" w:color="auto"/>
              <w:right w:val="single" w:sz="4" w:space="0" w:color="auto"/>
            </w:tcBorders>
            <w:shd w:val="clear" w:color="000000" w:fill="E26B0A"/>
            <w:vAlign w:val="bottom"/>
            <w:hideMark/>
          </w:tcPr>
          <w:p w14:paraId="1427F48A"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148.32%</w:t>
            </w:r>
          </w:p>
        </w:tc>
        <w:tc>
          <w:tcPr>
            <w:tcW w:w="1260" w:type="dxa"/>
            <w:tcBorders>
              <w:top w:val="single" w:sz="8" w:space="0" w:color="auto"/>
              <w:left w:val="nil"/>
              <w:bottom w:val="single" w:sz="8" w:space="0" w:color="auto"/>
              <w:right w:val="single" w:sz="8" w:space="0" w:color="auto"/>
            </w:tcBorders>
            <w:shd w:val="clear" w:color="000000" w:fill="E26B0A"/>
            <w:vAlign w:val="bottom"/>
            <w:hideMark/>
          </w:tcPr>
          <w:p w14:paraId="5BDD011D"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$4,686,122</w:t>
            </w:r>
          </w:p>
        </w:tc>
      </w:tr>
      <w:tr w:rsidR="003F0AFC" w:rsidRPr="003F0AFC" w14:paraId="0A37FE11" w14:textId="77777777" w:rsidTr="009050D8">
        <w:trPr>
          <w:trHeight w:val="160"/>
        </w:trPr>
        <w:tc>
          <w:tcPr>
            <w:tcW w:w="664" w:type="dxa"/>
            <w:tcBorders>
              <w:top w:val="nil"/>
              <w:left w:val="single" w:sz="4" w:space="0" w:color="auto"/>
              <w:bottom w:val="single" w:sz="4" w:space="0" w:color="auto"/>
              <w:right w:val="single" w:sz="4" w:space="0" w:color="auto"/>
            </w:tcBorders>
            <w:vAlign w:val="bottom"/>
            <w:hideMark/>
          </w:tcPr>
          <w:p w14:paraId="06654EEC"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49" w:type="dxa"/>
            <w:tcBorders>
              <w:top w:val="nil"/>
              <w:left w:val="nil"/>
              <w:bottom w:val="single" w:sz="4" w:space="0" w:color="auto"/>
              <w:right w:val="single" w:sz="4" w:space="0" w:color="auto"/>
            </w:tcBorders>
            <w:vAlign w:val="bottom"/>
            <w:hideMark/>
          </w:tcPr>
          <w:p w14:paraId="77916B7A"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MCD</w:t>
            </w:r>
          </w:p>
        </w:tc>
        <w:tc>
          <w:tcPr>
            <w:tcW w:w="4031" w:type="dxa"/>
            <w:tcBorders>
              <w:top w:val="nil"/>
              <w:left w:val="nil"/>
              <w:bottom w:val="single" w:sz="4" w:space="0" w:color="auto"/>
              <w:right w:val="single" w:sz="4" w:space="0" w:color="auto"/>
            </w:tcBorders>
            <w:vAlign w:val="bottom"/>
            <w:hideMark/>
          </w:tcPr>
          <w:p w14:paraId="20D52CEB"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COMMISSION FOR THE DEAF AND HARD OF HEARING</w:t>
            </w:r>
          </w:p>
        </w:tc>
        <w:tc>
          <w:tcPr>
            <w:tcW w:w="1260" w:type="dxa"/>
            <w:tcBorders>
              <w:top w:val="nil"/>
              <w:left w:val="nil"/>
              <w:bottom w:val="single" w:sz="4" w:space="0" w:color="auto"/>
              <w:right w:val="single" w:sz="4" w:space="0" w:color="auto"/>
            </w:tcBorders>
            <w:vAlign w:val="bottom"/>
            <w:hideMark/>
          </w:tcPr>
          <w:p w14:paraId="2D29081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$214,149</w:t>
            </w:r>
          </w:p>
        </w:tc>
        <w:tc>
          <w:tcPr>
            <w:tcW w:w="1170" w:type="dxa"/>
            <w:tcBorders>
              <w:top w:val="nil"/>
              <w:left w:val="nil"/>
              <w:bottom w:val="single" w:sz="4" w:space="0" w:color="auto"/>
              <w:right w:val="single" w:sz="4" w:space="0" w:color="auto"/>
            </w:tcBorders>
            <w:vAlign w:val="bottom"/>
            <w:hideMark/>
          </w:tcPr>
          <w:p w14:paraId="1A292B1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$12,849</w:t>
            </w:r>
          </w:p>
        </w:tc>
        <w:tc>
          <w:tcPr>
            <w:tcW w:w="1260" w:type="dxa"/>
            <w:tcBorders>
              <w:top w:val="nil"/>
              <w:left w:val="nil"/>
              <w:bottom w:val="single" w:sz="4" w:space="0" w:color="auto"/>
              <w:right w:val="single" w:sz="4" w:space="0" w:color="auto"/>
            </w:tcBorders>
            <w:vAlign w:val="bottom"/>
            <w:hideMark/>
          </w:tcPr>
          <w:p w14:paraId="3866A9B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$9,297</w:t>
            </w:r>
          </w:p>
        </w:tc>
        <w:tc>
          <w:tcPr>
            <w:tcW w:w="1080" w:type="dxa"/>
            <w:tcBorders>
              <w:top w:val="nil"/>
              <w:left w:val="nil"/>
              <w:bottom w:val="single" w:sz="4" w:space="0" w:color="auto"/>
              <w:right w:val="single" w:sz="4" w:space="0" w:color="auto"/>
            </w:tcBorders>
            <w:vAlign w:val="bottom"/>
            <w:hideMark/>
          </w:tcPr>
          <w:p w14:paraId="55895FD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22F9CB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$9,297</w:t>
            </w:r>
          </w:p>
        </w:tc>
        <w:tc>
          <w:tcPr>
            <w:tcW w:w="1151" w:type="dxa"/>
            <w:tcBorders>
              <w:top w:val="nil"/>
              <w:left w:val="nil"/>
              <w:bottom w:val="single" w:sz="4" w:space="0" w:color="auto"/>
              <w:right w:val="single" w:sz="4" w:space="0" w:color="auto"/>
            </w:tcBorders>
            <w:vAlign w:val="bottom"/>
            <w:hideMark/>
          </w:tcPr>
          <w:p w14:paraId="479B125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72.36%</w:t>
            </w:r>
          </w:p>
        </w:tc>
        <w:tc>
          <w:tcPr>
            <w:tcW w:w="1260" w:type="dxa"/>
            <w:tcBorders>
              <w:top w:val="nil"/>
              <w:left w:val="nil"/>
              <w:bottom w:val="single" w:sz="4" w:space="0" w:color="auto"/>
              <w:right w:val="single" w:sz="4" w:space="0" w:color="auto"/>
            </w:tcBorders>
            <w:vAlign w:val="bottom"/>
            <w:hideMark/>
          </w:tcPr>
          <w:p w14:paraId="231C280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-$3,552</w:t>
            </w:r>
          </w:p>
        </w:tc>
      </w:tr>
      <w:tr w:rsidR="003F0AFC" w:rsidRPr="003F0AFC" w14:paraId="29B006EE" w14:textId="77777777" w:rsidTr="009050D8">
        <w:trPr>
          <w:trHeight w:val="80"/>
        </w:trPr>
        <w:tc>
          <w:tcPr>
            <w:tcW w:w="664" w:type="dxa"/>
            <w:tcBorders>
              <w:top w:val="nil"/>
              <w:left w:val="single" w:sz="4" w:space="0" w:color="auto"/>
              <w:bottom w:val="single" w:sz="4" w:space="0" w:color="auto"/>
              <w:right w:val="single" w:sz="4" w:space="0" w:color="auto"/>
            </w:tcBorders>
            <w:vAlign w:val="bottom"/>
            <w:hideMark/>
          </w:tcPr>
          <w:p w14:paraId="211A9923"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49" w:type="dxa"/>
            <w:tcBorders>
              <w:top w:val="nil"/>
              <w:left w:val="nil"/>
              <w:bottom w:val="single" w:sz="4" w:space="0" w:color="auto"/>
              <w:right w:val="single" w:sz="4" w:space="0" w:color="auto"/>
            </w:tcBorders>
            <w:vAlign w:val="bottom"/>
            <w:hideMark/>
          </w:tcPr>
          <w:p w14:paraId="147187B8"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DSS</w:t>
            </w:r>
          </w:p>
        </w:tc>
        <w:tc>
          <w:tcPr>
            <w:tcW w:w="4031" w:type="dxa"/>
            <w:tcBorders>
              <w:top w:val="nil"/>
              <w:left w:val="nil"/>
              <w:bottom w:val="single" w:sz="4" w:space="0" w:color="auto"/>
              <w:right w:val="single" w:sz="4" w:space="0" w:color="auto"/>
            </w:tcBorders>
            <w:vAlign w:val="bottom"/>
            <w:hideMark/>
          </w:tcPr>
          <w:p w14:paraId="62705391"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CHILDREN AND FAMILIES</w:t>
            </w:r>
          </w:p>
        </w:tc>
        <w:tc>
          <w:tcPr>
            <w:tcW w:w="1260" w:type="dxa"/>
            <w:tcBorders>
              <w:top w:val="nil"/>
              <w:left w:val="nil"/>
              <w:bottom w:val="single" w:sz="4" w:space="0" w:color="auto"/>
              <w:right w:val="single" w:sz="4" w:space="0" w:color="auto"/>
            </w:tcBorders>
            <w:vAlign w:val="bottom"/>
            <w:hideMark/>
          </w:tcPr>
          <w:p w14:paraId="0A42C49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$389,228,175</w:t>
            </w:r>
          </w:p>
        </w:tc>
        <w:tc>
          <w:tcPr>
            <w:tcW w:w="1170" w:type="dxa"/>
            <w:tcBorders>
              <w:top w:val="nil"/>
              <w:left w:val="nil"/>
              <w:bottom w:val="single" w:sz="4" w:space="0" w:color="auto"/>
              <w:right w:val="single" w:sz="4" w:space="0" w:color="auto"/>
            </w:tcBorders>
            <w:vAlign w:val="bottom"/>
            <w:hideMark/>
          </w:tcPr>
          <w:p w14:paraId="3E7C58F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$23,353,691</w:t>
            </w:r>
          </w:p>
        </w:tc>
        <w:tc>
          <w:tcPr>
            <w:tcW w:w="1260" w:type="dxa"/>
            <w:tcBorders>
              <w:top w:val="nil"/>
              <w:left w:val="nil"/>
              <w:bottom w:val="single" w:sz="4" w:space="0" w:color="auto"/>
              <w:right w:val="single" w:sz="4" w:space="0" w:color="auto"/>
            </w:tcBorders>
            <w:vAlign w:val="bottom"/>
            <w:hideMark/>
          </w:tcPr>
          <w:p w14:paraId="436E484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$20,052,018</w:t>
            </w:r>
          </w:p>
        </w:tc>
        <w:tc>
          <w:tcPr>
            <w:tcW w:w="1080" w:type="dxa"/>
            <w:tcBorders>
              <w:top w:val="nil"/>
              <w:left w:val="nil"/>
              <w:bottom w:val="single" w:sz="4" w:space="0" w:color="auto"/>
              <w:right w:val="single" w:sz="4" w:space="0" w:color="auto"/>
            </w:tcBorders>
            <w:vAlign w:val="bottom"/>
            <w:hideMark/>
          </w:tcPr>
          <w:p w14:paraId="78D7EDB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$92,599</w:t>
            </w:r>
          </w:p>
        </w:tc>
        <w:tc>
          <w:tcPr>
            <w:tcW w:w="1170" w:type="dxa"/>
            <w:tcBorders>
              <w:top w:val="nil"/>
              <w:left w:val="nil"/>
              <w:bottom w:val="single" w:sz="4" w:space="0" w:color="auto"/>
              <w:right w:val="single" w:sz="4" w:space="0" w:color="auto"/>
            </w:tcBorders>
            <w:vAlign w:val="bottom"/>
            <w:hideMark/>
          </w:tcPr>
          <w:p w14:paraId="0EC74D1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$20,144,617</w:t>
            </w:r>
          </w:p>
        </w:tc>
        <w:tc>
          <w:tcPr>
            <w:tcW w:w="1151" w:type="dxa"/>
            <w:tcBorders>
              <w:top w:val="nil"/>
              <w:left w:val="nil"/>
              <w:bottom w:val="single" w:sz="4" w:space="0" w:color="auto"/>
              <w:right w:val="single" w:sz="4" w:space="0" w:color="auto"/>
            </w:tcBorders>
            <w:vAlign w:val="bottom"/>
            <w:hideMark/>
          </w:tcPr>
          <w:p w14:paraId="0EE61DE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86.26%</w:t>
            </w:r>
          </w:p>
        </w:tc>
        <w:tc>
          <w:tcPr>
            <w:tcW w:w="1260" w:type="dxa"/>
            <w:tcBorders>
              <w:top w:val="nil"/>
              <w:left w:val="nil"/>
              <w:bottom w:val="single" w:sz="4" w:space="0" w:color="auto"/>
              <w:right w:val="single" w:sz="4" w:space="0" w:color="auto"/>
            </w:tcBorders>
            <w:vAlign w:val="bottom"/>
            <w:hideMark/>
          </w:tcPr>
          <w:p w14:paraId="2D156AD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-$3,209,074</w:t>
            </w:r>
          </w:p>
        </w:tc>
      </w:tr>
      <w:tr w:rsidR="003F0AFC" w:rsidRPr="003F0AFC" w14:paraId="2D21BC4E" w14:textId="77777777" w:rsidTr="009050D8">
        <w:trPr>
          <w:trHeight w:val="161"/>
        </w:trPr>
        <w:tc>
          <w:tcPr>
            <w:tcW w:w="664" w:type="dxa"/>
            <w:tcBorders>
              <w:top w:val="nil"/>
              <w:left w:val="single" w:sz="4" w:space="0" w:color="auto"/>
              <w:bottom w:val="single" w:sz="4" w:space="0" w:color="auto"/>
              <w:right w:val="single" w:sz="4" w:space="0" w:color="auto"/>
            </w:tcBorders>
            <w:vAlign w:val="bottom"/>
            <w:hideMark/>
          </w:tcPr>
          <w:p w14:paraId="6106AFFA"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49" w:type="dxa"/>
            <w:tcBorders>
              <w:top w:val="nil"/>
              <w:left w:val="nil"/>
              <w:bottom w:val="single" w:sz="4" w:space="0" w:color="auto"/>
              <w:right w:val="single" w:sz="4" w:space="0" w:color="auto"/>
            </w:tcBorders>
            <w:vAlign w:val="bottom"/>
            <w:hideMark/>
          </w:tcPr>
          <w:p w14:paraId="5899E9A7"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DMR</w:t>
            </w:r>
          </w:p>
        </w:tc>
        <w:tc>
          <w:tcPr>
            <w:tcW w:w="4031" w:type="dxa"/>
            <w:tcBorders>
              <w:top w:val="nil"/>
              <w:left w:val="nil"/>
              <w:bottom w:val="single" w:sz="4" w:space="0" w:color="auto"/>
              <w:right w:val="single" w:sz="4" w:space="0" w:color="auto"/>
            </w:tcBorders>
            <w:vAlign w:val="bottom"/>
            <w:hideMark/>
          </w:tcPr>
          <w:p w14:paraId="23A591B9"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DEVELOPMENTAL SERVICES</w:t>
            </w:r>
          </w:p>
        </w:tc>
        <w:tc>
          <w:tcPr>
            <w:tcW w:w="1260" w:type="dxa"/>
            <w:tcBorders>
              <w:top w:val="nil"/>
              <w:left w:val="nil"/>
              <w:bottom w:val="single" w:sz="4" w:space="0" w:color="auto"/>
              <w:right w:val="single" w:sz="4" w:space="0" w:color="auto"/>
            </w:tcBorders>
            <w:vAlign w:val="bottom"/>
            <w:hideMark/>
          </w:tcPr>
          <w:p w14:paraId="21D428D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$1,103,186,654</w:t>
            </w:r>
          </w:p>
        </w:tc>
        <w:tc>
          <w:tcPr>
            <w:tcW w:w="1170" w:type="dxa"/>
            <w:tcBorders>
              <w:top w:val="nil"/>
              <w:left w:val="nil"/>
              <w:bottom w:val="single" w:sz="4" w:space="0" w:color="auto"/>
              <w:right w:val="single" w:sz="4" w:space="0" w:color="auto"/>
            </w:tcBorders>
            <w:vAlign w:val="bottom"/>
            <w:hideMark/>
          </w:tcPr>
          <w:p w14:paraId="632EC61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$66,191,199</w:t>
            </w:r>
          </w:p>
        </w:tc>
        <w:tc>
          <w:tcPr>
            <w:tcW w:w="1260" w:type="dxa"/>
            <w:tcBorders>
              <w:top w:val="nil"/>
              <w:left w:val="nil"/>
              <w:bottom w:val="single" w:sz="4" w:space="0" w:color="auto"/>
              <w:right w:val="single" w:sz="4" w:space="0" w:color="auto"/>
            </w:tcBorders>
            <w:vAlign w:val="bottom"/>
            <w:hideMark/>
          </w:tcPr>
          <w:p w14:paraId="1473783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$41,881,174</w:t>
            </w:r>
          </w:p>
        </w:tc>
        <w:tc>
          <w:tcPr>
            <w:tcW w:w="1080" w:type="dxa"/>
            <w:tcBorders>
              <w:top w:val="nil"/>
              <w:left w:val="nil"/>
              <w:bottom w:val="single" w:sz="4" w:space="0" w:color="auto"/>
              <w:right w:val="single" w:sz="4" w:space="0" w:color="auto"/>
            </w:tcBorders>
            <w:vAlign w:val="bottom"/>
            <w:hideMark/>
          </w:tcPr>
          <w:p w14:paraId="2CD6BCF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51CA01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$41,881,174</w:t>
            </w:r>
          </w:p>
        </w:tc>
        <w:tc>
          <w:tcPr>
            <w:tcW w:w="1151" w:type="dxa"/>
            <w:tcBorders>
              <w:top w:val="nil"/>
              <w:left w:val="nil"/>
              <w:bottom w:val="single" w:sz="4" w:space="0" w:color="auto"/>
              <w:right w:val="single" w:sz="4" w:space="0" w:color="auto"/>
            </w:tcBorders>
            <w:vAlign w:val="bottom"/>
            <w:hideMark/>
          </w:tcPr>
          <w:p w14:paraId="76370B1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63.27%</w:t>
            </w:r>
          </w:p>
        </w:tc>
        <w:tc>
          <w:tcPr>
            <w:tcW w:w="1260" w:type="dxa"/>
            <w:tcBorders>
              <w:top w:val="nil"/>
              <w:left w:val="nil"/>
              <w:bottom w:val="single" w:sz="4" w:space="0" w:color="auto"/>
              <w:right w:val="single" w:sz="4" w:space="0" w:color="auto"/>
            </w:tcBorders>
            <w:vAlign w:val="bottom"/>
            <w:hideMark/>
          </w:tcPr>
          <w:p w14:paraId="38B2598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-$24,310,025</w:t>
            </w:r>
          </w:p>
        </w:tc>
      </w:tr>
      <w:tr w:rsidR="003F0AFC" w:rsidRPr="003F0AFC" w14:paraId="121C4980" w14:textId="77777777" w:rsidTr="009050D8">
        <w:trPr>
          <w:trHeight w:val="116"/>
        </w:trPr>
        <w:tc>
          <w:tcPr>
            <w:tcW w:w="664" w:type="dxa"/>
            <w:tcBorders>
              <w:top w:val="nil"/>
              <w:left w:val="single" w:sz="4" w:space="0" w:color="auto"/>
              <w:bottom w:val="single" w:sz="4" w:space="0" w:color="auto"/>
              <w:right w:val="single" w:sz="4" w:space="0" w:color="auto"/>
            </w:tcBorders>
            <w:vAlign w:val="bottom"/>
            <w:hideMark/>
          </w:tcPr>
          <w:p w14:paraId="0241C685"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49" w:type="dxa"/>
            <w:tcBorders>
              <w:top w:val="nil"/>
              <w:left w:val="nil"/>
              <w:bottom w:val="single" w:sz="4" w:space="0" w:color="auto"/>
              <w:right w:val="single" w:sz="4" w:space="0" w:color="auto"/>
            </w:tcBorders>
            <w:vAlign w:val="bottom"/>
            <w:hideMark/>
          </w:tcPr>
          <w:p w14:paraId="3069890D"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ELD</w:t>
            </w:r>
          </w:p>
        </w:tc>
        <w:tc>
          <w:tcPr>
            <w:tcW w:w="4031" w:type="dxa"/>
            <w:tcBorders>
              <w:top w:val="nil"/>
              <w:left w:val="nil"/>
              <w:bottom w:val="single" w:sz="4" w:space="0" w:color="auto"/>
              <w:right w:val="single" w:sz="4" w:space="0" w:color="auto"/>
            </w:tcBorders>
            <w:vAlign w:val="bottom"/>
            <w:hideMark/>
          </w:tcPr>
          <w:p w14:paraId="5BBB7C0F"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ELDER AFFAIRS</w:t>
            </w:r>
          </w:p>
        </w:tc>
        <w:tc>
          <w:tcPr>
            <w:tcW w:w="1260" w:type="dxa"/>
            <w:tcBorders>
              <w:top w:val="nil"/>
              <w:left w:val="nil"/>
              <w:bottom w:val="single" w:sz="4" w:space="0" w:color="auto"/>
              <w:right w:val="single" w:sz="4" w:space="0" w:color="auto"/>
            </w:tcBorders>
            <w:vAlign w:val="bottom"/>
            <w:hideMark/>
          </w:tcPr>
          <w:p w14:paraId="42932F1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$398,225,362</w:t>
            </w:r>
          </w:p>
        </w:tc>
        <w:tc>
          <w:tcPr>
            <w:tcW w:w="1170" w:type="dxa"/>
            <w:tcBorders>
              <w:top w:val="nil"/>
              <w:left w:val="nil"/>
              <w:bottom w:val="single" w:sz="4" w:space="0" w:color="auto"/>
              <w:right w:val="single" w:sz="4" w:space="0" w:color="auto"/>
            </w:tcBorders>
            <w:vAlign w:val="bottom"/>
            <w:hideMark/>
          </w:tcPr>
          <w:p w14:paraId="2382E89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$23,893,522</w:t>
            </w:r>
          </w:p>
        </w:tc>
        <w:tc>
          <w:tcPr>
            <w:tcW w:w="1260" w:type="dxa"/>
            <w:tcBorders>
              <w:top w:val="nil"/>
              <w:left w:val="nil"/>
              <w:bottom w:val="single" w:sz="4" w:space="0" w:color="auto"/>
              <w:right w:val="single" w:sz="4" w:space="0" w:color="auto"/>
            </w:tcBorders>
            <w:vAlign w:val="bottom"/>
            <w:hideMark/>
          </w:tcPr>
          <w:p w14:paraId="7022A5A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$26,942,458</w:t>
            </w:r>
          </w:p>
        </w:tc>
        <w:tc>
          <w:tcPr>
            <w:tcW w:w="1080" w:type="dxa"/>
            <w:tcBorders>
              <w:top w:val="nil"/>
              <w:left w:val="nil"/>
              <w:bottom w:val="single" w:sz="4" w:space="0" w:color="auto"/>
              <w:right w:val="single" w:sz="4" w:space="0" w:color="auto"/>
            </w:tcBorders>
            <w:vAlign w:val="bottom"/>
            <w:hideMark/>
          </w:tcPr>
          <w:p w14:paraId="7C39D09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104BB8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$26,942,458</w:t>
            </w:r>
          </w:p>
        </w:tc>
        <w:tc>
          <w:tcPr>
            <w:tcW w:w="1151" w:type="dxa"/>
            <w:tcBorders>
              <w:top w:val="nil"/>
              <w:left w:val="nil"/>
              <w:bottom w:val="single" w:sz="4" w:space="0" w:color="auto"/>
              <w:right w:val="single" w:sz="4" w:space="0" w:color="auto"/>
            </w:tcBorders>
            <w:vAlign w:val="bottom"/>
            <w:hideMark/>
          </w:tcPr>
          <w:p w14:paraId="3D9AEF3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112.76%</w:t>
            </w:r>
          </w:p>
        </w:tc>
        <w:tc>
          <w:tcPr>
            <w:tcW w:w="1260" w:type="dxa"/>
            <w:tcBorders>
              <w:top w:val="nil"/>
              <w:left w:val="nil"/>
              <w:bottom w:val="single" w:sz="4" w:space="0" w:color="auto"/>
              <w:right w:val="single" w:sz="4" w:space="0" w:color="auto"/>
            </w:tcBorders>
            <w:vAlign w:val="bottom"/>
            <w:hideMark/>
          </w:tcPr>
          <w:p w14:paraId="7BD76A7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$3,048,937</w:t>
            </w:r>
          </w:p>
        </w:tc>
      </w:tr>
      <w:tr w:rsidR="003F0AFC" w:rsidRPr="003F0AFC" w14:paraId="25FF8764" w14:textId="77777777" w:rsidTr="009050D8">
        <w:trPr>
          <w:trHeight w:val="98"/>
        </w:trPr>
        <w:tc>
          <w:tcPr>
            <w:tcW w:w="664" w:type="dxa"/>
            <w:tcBorders>
              <w:top w:val="nil"/>
              <w:left w:val="single" w:sz="4" w:space="0" w:color="auto"/>
              <w:bottom w:val="single" w:sz="4" w:space="0" w:color="auto"/>
              <w:right w:val="single" w:sz="4" w:space="0" w:color="auto"/>
            </w:tcBorders>
            <w:vAlign w:val="bottom"/>
            <w:hideMark/>
          </w:tcPr>
          <w:p w14:paraId="623C6720"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49" w:type="dxa"/>
            <w:tcBorders>
              <w:top w:val="nil"/>
              <w:left w:val="nil"/>
              <w:bottom w:val="single" w:sz="4" w:space="0" w:color="auto"/>
              <w:right w:val="single" w:sz="4" w:space="0" w:color="auto"/>
            </w:tcBorders>
            <w:vAlign w:val="bottom"/>
            <w:hideMark/>
          </w:tcPr>
          <w:p w14:paraId="424D163C"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DMH</w:t>
            </w:r>
          </w:p>
        </w:tc>
        <w:tc>
          <w:tcPr>
            <w:tcW w:w="4031" w:type="dxa"/>
            <w:tcBorders>
              <w:top w:val="nil"/>
              <w:left w:val="nil"/>
              <w:bottom w:val="single" w:sz="4" w:space="0" w:color="auto"/>
              <w:right w:val="single" w:sz="4" w:space="0" w:color="auto"/>
            </w:tcBorders>
            <w:vAlign w:val="bottom"/>
            <w:hideMark/>
          </w:tcPr>
          <w:p w14:paraId="225ACCF2"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MENTAL HEALTH</w:t>
            </w:r>
          </w:p>
        </w:tc>
        <w:tc>
          <w:tcPr>
            <w:tcW w:w="1260" w:type="dxa"/>
            <w:tcBorders>
              <w:top w:val="nil"/>
              <w:left w:val="nil"/>
              <w:bottom w:val="single" w:sz="4" w:space="0" w:color="auto"/>
              <w:right w:val="single" w:sz="4" w:space="0" w:color="auto"/>
            </w:tcBorders>
            <w:vAlign w:val="bottom"/>
            <w:hideMark/>
          </w:tcPr>
          <w:p w14:paraId="10752EE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$448,756,035</w:t>
            </w:r>
          </w:p>
        </w:tc>
        <w:tc>
          <w:tcPr>
            <w:tcW w:w="1170" w:type="dxa"/>
            <w:tcBorders>
              <w:top w:val="nil"/>
              <w:left w:val="nil"/>
              <w:bottom w:val="single" w:sz="4" w:space="0" w:color="auto"/>
              <w:right w:val="single" w:sz="4" w:space="0" w:color="auto"/>
            </w:tcBorders>
            <w:vAlign w:val="bottom"/>
            <w:hideMark/>
          </w:tcPr>
          <w:p w14:paraId="7A94A58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$26,925,362</w:t>
            </w:r>
          </w:p>
        </w:tc>
        <w:tc>
          <w:tcPr>
            <w:tcW w:w="1260" w:type="dxa"/>
            <w:tcBorders>
              <w:top w:val="nil"/>
              <w:left w:val="nil"/>
              <w:bottom w:val="single" w:sz="4" w:space="0" w:color="auto"/>
              <w:right w:val="single" w:sz="4" w:space="0" w:color="auto"/>
            </w:tcBorders>
            <w:vAlign w:val="bottom"/>
            <w:hideMark/>
          </w:tcPr>
          <w:p w14:paraId="339F684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$7,462,458</w:t>
            </w:r>
          </w:p>
        </w:tc>
        <w:tc>
          <w:tcPr>
            <w:tcW w:w="1080" w:type="dxa"/>
            <w:tcBorders>
              <w:top w:val="nil"/>
              <w:left w:val="nil"/>
              <w:bottom w:val="single" w:sz="4" w:space="0" w:color="auto"/>
              <w:right w:val="single" w:sz="4" w:space="0" w:color="auto"/>
            </w:tcBorders>
            <w:vAlign w:val="bottom"/>
            <w:hideMark/>
          </w:tcPr>
          <w:p w14:paraId="056FB6F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$3,361,753</w:t>
            </w:r>
          </w:p>
        </w:tc>
        <w:tc>
          <w:tcPr>
            <w:tcW w:w="1170" w:type="dxa"/>
            <w:tcBorders>
              <w:top w:val="nil"/>
              <w:left w:val="nil"/>
              <w:bottom w:val="single" w:sz="4" w:space="0" w:color="auto"/>
              <w:right w:val="single" w:sz="4" w:space="0" w:color="auto"/>
            </w:tcBorders>
            <w:vAlign w:val="bottom"/>
            <w:hideMark/>
          </w:tcPr>
          <w:p w14:paraId="29CB1FC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$10,824,211</w:t>
            </w:r>
          </w:p>
        </w:tc>
        <w:tc>
          <w:tcPr>
            <w:tcW w:w="1151" w:type="dxa"/>
            <w:tcBorders>
              <w:top w:val="nil"/>
              <w:left w:val="nil"/>
              <w:bottom w:val="single" w:sz="4" w:space="0" w:color="auto"/>
              <w:right w:val="single" w:sz="4" w:space="0" w:color="auto"/>
            </w:tcBorders>
            <w:vAlign w:val="bottom"/>
            <w:hideMark/>
          </w:tcPr>
          <w:p w14:paraId="708E433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40.20%</w:t>
            </w:r>
          </w:p>
        </w:tc>
        <w:tc>
          <w:tcPr>
            <w:tcW w:w="1260" w:type="dxa"/>
            <w:tcBorders>
              <w:top w:val="nil"/>
              <w:left w:val="nil"/>
              <w:bottom w:val="single" w:sz="4" w:space="0" w:color="auto"/>
              <w:right w:val="single" w:sz="4" w:space="0" w:color="auto"/>
            </w:tcBorders>
            <w:vAlign w:val="bottom"/>
            <w:hideMark/>
          </w:tcPr>
          <w:p w14:paraId="1CB6A5B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-$16,101,151</w:t>
            </w:r>
          </w:p>
        </w:tc>
      </w:tr>
      <w:tr w:rsidR="003F0AFC" w:rsidRPr="003F0AFC" w14:paraId="5C10B369" w14:textId="77777777" w:rsidTr="009050D8">
        <w:trPr>
          <w:trHeight w:val="62"/>
        </w:trPr>
        <w:tc>
          <w:tcPr>
            <w:tcW w:w="664" w:type="dxa"/>
            <w:tcBorders>
              <w:top w:val="nil"/>
              <w:left w:val="single" w:sz="4" w:space="0" w:color="auto"/>
              <w:bottom w:val="single" w:sz="4" w:space="0" w:color="auto"/>
              <w:right w:val="single" w:sz="4" w:space="0" w:color="auto"/>
            </w:tcBorders>
            <w:vAlign w:val="bottom"/>
            <w:hideMark/>
          </w:tcPr>
          <w:p w14:paraId="56F9C61E"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49" w:type="dxa"/>
            <w:tcBorders>
              <w:top w:val="nil"/>
              <w:left w:val="nil"/>
              <w:bottom w:val="single" w:sz="4" w:space="0" w:color="auto"/>
              <w:right w:val="single" w:sz="4" w:space="0" w:color="auto"/>
            </w:tcBorders>
            <w:vAlign w:val="bottom"/>
            <w:hideMark/>
          </w:tcPr>
          <w:p w14:paraId="47324EFB"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DPH</w:t>
            </w:r>
          </w:p>
        </w:tc>
        <w:tc>
          <w:tcPr>
            <w:tcW w:w="4031" w:type="dxa"/>
            <w:tcBorders>
              <w:top w:val="nil"/>
              <w:left w:val="nil"/>
              <w:bottom w:val="single" w:sz="4" w:space="0" w:color="auto"/>
              <w:right w:val="single" w:sz="4" w:space="0" w:color="auto"/>
            </w:tcBorders>
            <w:vAlign w:val="bottom"/>
            <w:hideMark/>
          </w:tcPr>
          <w:p w14:paraId="700CC41B"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PUBLIC HEALTH</w:t>
            </w:r>
          </w:p>
        </w:tc>
        <w:tc>
          <w:tcPr>
            <w:tcW w:w="1260" w:type="dxa"/>
            <w:tcBorders>
              <w:top w:val="nil"/>
              <w:left w:val="nil"/>
              <w:bottom w:val="single" w:sz="4" w:space="0" w:color="auto"/>
              <w:right w:val="single" w:sz="4" w:space="0" w:color="auto"/>
            </w:tcBorders>
            <w:vAlign w:val="bottom"/>
            <w:hideMark/>
          </w:tcPr>
          <w:p w14:paraId="34CC203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$442,145,269</w:t>
            </w:r>
          </w:p>
        </w:tc>
        <w:tc>
          <w:tcPr>
            <w:tcW w:w="1170" w:type="dxa"/>
            <w:tcBorders>
              <w:top w:val="nil"/>
              <w:left w:val="nil"/>
              <w:bottom w:val="single" w:sz="4" w:space="0" w:color="auto"/>
              <w:right w:val="single" w:sz="4" w:space="0" w:color="auto"/>
            </w:tcBorders>
            <w:vAlign w:val="bottom"/>
            <w:hideMark/>
          </w:tcPr>
          <w:p w14:paraId="15FDBBA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$26,528,716</w:t>
            </w:r>
          </w:p>
        </w:tc>
        <w:tc>
          <w:tcPr>
            <w:tcW w:w="1260" w:type="dxa"/>
            <w:tcBorders>
              <w:top w:val="nil"/>
              <w:left w:val="nil"/>
              <w:bottom w:val="single" w:sz="4" w:space="0" w:color="auto"/>
              <w:right w:val="single" w:sz="4" w:space="0" w:color="auto"/>
            </w:tcBorders>
            <w:vAlign w:val="bottom"/>
            <w:hideMark/>
          </w:tcPr>
          <w:p w14:paraId="4215847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$22,606,768</w:t>
            </w:r>
          </w:p>
        </w:tc>
        <w:tc>
          <w:tcPr>
            <w:tcW w:w="1080" w:type="dxa"/>
            <w:tcBorders>
              <w:top w:val="nil"/>
              <w:left w:val="nil"/>
              <w:bottom w:val="single" w:sz="4" w:space="0" w:color="auto"/>
              <w:right w:val="single" w:sz="4" w:space="0" w:color="auto"/>
            </w:tcBorders>
            <w:vAlign w:val="bottom"/>
            <w:hideMark/>
          </w:tcPr>
          <w:p w14:paraId="4E87679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B9D61E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$22,606,768</w:t>
            </w:r>
          </w:p>
        </w:tc>
        <w:tc>
          <w:tcPr>
            <w:tcW w:w="1151" w:type="dxa"/>
            <w:tcBorders>
              <w:top w:val="nil"/>
              <w:left w:val="nil"/>
              <w:bottom w:val="single" w:sz="4" w:space="0" w:color="auto"/>
              <w:right w:val="single" w:sz="4" w:space="0" w:color="auto"/>
            </w:tcBorders>
            <w:vAlign w:val="bottom"/>
            <w:hideMark/>
          </w:tcPr>
          <w:p w14:paraId="1FC172D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85.22%</w:t>
            </w:r>
          </w:p>
        </w:tc>
        <w:tc>
          <w:tcPr>
            <w:tcW w:w="1260" w:type="dxa"/>
            <w:tcBorders>
              <w:top w:val="nil"/>
              <w:left w:val="nil"/>
              <w:bottom w:val="single" w:sz="4" w:space="0" w:color="auto"/>
              <w:right w:val="single" w:sz="4" w:space="0" w:color="auto"/>
            </w:tcBorders>
            <w:vAlign w:val="bottom"/>
            <w:hideMark/>
          </w:tcPr>
          <w:p w14:paraId="5B5EB9F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-$3,921,948</w:t>
            </w:r>
          </w:p>
        </w:tc>
      </w:tr>
      <w:tr w:rsidR="003F0AFC" w:rsidRPr="003F0AFC" w14:paraId="585E70D2" w14:textId="77777777" w:rsidTr="009050D8">
        <w:trPr>
          <w:trHeight w:val="62"/>
        </w:trPr>
        <w:tc>
          <w:tcPr>
            <w:tcW w:w="664" w:type="dxa"/>
            <w:tcBorders>
              <w:top w:val="nil"/>
              <w:left w:val="single" w:sz="4" w:space="0" w:color="auto"/>
              <w:bottom w:val="single" w:sz="4" w:space="0" w:color="auto"/>
              <w:right w:val="single" w:sz="4" w:space="0" w:color="auto"/>
            </w:tcBorders>
            <w:vAlign w:val="bottom"/>
            <w:hideMark/>
          </w:tcPr>
          <w:p w14:paraId="07BFA0F5"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49" w:type="dxa"/>
            <w:tcBorders>
              <w:top w:val="nil"/>
              <w:left w:val="nil"/>
              <w:bottom w:val="single" w:sz="4" w:space="0" w:color="auto"/>
              <w:right w:val="single" w:sz="4" w:space="0" w:color="auto"/>
            </w:tcBorders>
            <w:vAlign w:val="bottom"/>
            <w:hideMark/>
          </w:tcPr>
          <w:p w14:paraId="5D8E9A5D"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WEL</w:t>
            </w:r>
          </w:p>
        </w:tc>
        <w:tc>
          <w:tcPr>
            <w:tcW w:w="4031" w:type="dxa"/>
            <w:tcBorders>
              <w:top w:val="nil"/>
              <w:left w:val="nil"/>
              <w:bottom w:val="single" w:sz="4" w:space="0" w:color="auto"/>
              <w:right w:val="single" w:sz="4" w:space="0" w:color="auto"/>
            </w:tcBorders>
            <w:vAlign w:val="bottom"/>
            <w:hideMark/>
          </w:tcPr>
          <w:p w14:paraId="42C4C6F0"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TRANSITIONAL ASSISTANCE</w:t>
            </w:r>
          </w:p>
        </w:tc>
        <w:tc>
          <w:tcPr>
            <w:tcW w:w="1260" w:type="dxa"/>
            <w:tcBorders>
              <w:top w:val="nil"/>
              <w:left w:val="nil"/>
              <w:bottom w:val="single" w:sz="4" w:space="0" w:color="auto"/>
              <w:right w:val="single" w:sz="4" w:space="0" w:color="auto"/>
            </w:tcBorders>
            <w:vAlign w:val="bottom"/>
            <w:hideMark/>
          </w:tcPr>
          <w:p w14:paraId="1210C74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$27,476,323</w:t>
            </w:r>
          </w:p>
        </w:tc>
        <w:tc>
          <w:tcPr>
            <w:tcW w:w="1170" w:type="dxa"/>
            <w:tcBorders>
              <w:top w:val="nil"/>
              <w:left w:val="nil"/>
              <w:bottom w:val="single" w:sz="4" w:space="0" w:color="auto"/>
              <w:right w:val="single" w:sz="4" w:space="0" w:color="auto"/>
            </w:tcBorders>
            <w:vAlign w:val="bottom"/>
            <w:hideMark/>
          </w:tcPr>
          <w:p w14:paraId="28B972F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$1,648,579</w:t>
            </w:r>
          </w:p>
        </w:tc>
        <w:tc>
          <w:tcPr>
            <w:tcW w:w="1260" w:type="dxa"/>
            <w:tcBorders>
              <w:top w:val="nil"/>
              <w:left w:val="nil"/>
              <w:bottom w:val="single" w:sz="4" w:space="0" w:color="auto"/>
              <w:right w:val="single" w:sz="4" w:space="0" w:color="auto"/>
            </w:tcBorders>
            <w:vAlign w:val="bottom"/>
            <w:hideMark/>
          </w:tcPr>
          <w:p w14:paraId="6D7D345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$579,229</w:t>
            </w:r>
          </w:p>
        </w:tc>
        <w:tc>
          <w:tcPr>
            <w:tcW w:w="1080" w:type="dxa"/>
            <w:tcBorders>
              <w:top w:val="nil"/>
              <w:left w:val="nil"/>
              <w:bottom w:val="single" w:sz="4" w:space="0" w:color="auto"/>
              <w:right w:val="single" w:sz="4" w:space="0" w:color="auto"/>
            </w:tcBorders>
            <w:vAlign w:val="bottom"/>
            <w:hideMark/>
          </w:tcPr>
          <w:p w14:paraId="774DE50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2589F2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$579,229</w:t>
            </w:r>
          </w:p>
        </w:tc>
        <w:tc>
          <w:tcPr>
            <w:tcW w:w="1151" w:type="dxa"/>
            <w:tcBorders>
              <w:top w:val="nil"/>
              <w:left w:val="nil"/>
              <w:bottom w:val="single" w:sz="4" w:space="0" w:color="auto"/>
              <w:right w:val="single" w:sz="4" w:space="0" w:color="auto"/>
            </w:tcBorders>
            <w:vAlign w:val="bottom"/>
            <w:hideMark/>
          </w:tcPr>
          <w:p w14:paraId="1CDE720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35.14%</w:t>
            </w:r>
          </w:p>
        </w:tc>
        <w:tc>
          <w:tcPr>
            <w:tcW w:w="1260" w:type="dxa"/>
            <w:tcBorders>
              <w:top w:val="nil"/>
              <w:left w:val="nil"/>
              <w:bottom w:val="single" w:sz="4" w:space="0" w:color="auto"/>
              <w:right w:val="single" w:sz="4" w:space="0" w:color="auto"/>
            </w:tcBorders>
            <w:vAlign w:val="bottom"/>
            <w:hideMark/>
          </w:tcPr>
          <w:p w14:paraId="1CC8A49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-$1,069,351</w:t>
            </w:r>
          </w:p>
        </w:tc>
      </w:tr>
      <w:tr w:rsidR="003F0AFC" w:rsidRPr="003F0AFC" w14:paraId="3801390A" w14:textId="77777777" w:rsidTr="009050D8">
        <w:trPr>
          <w:trHeight w:val="71"/>
        </w:trPr>
        <w:tc>
          <w:tcPr>
            <w:tcW w:w="664" w:type="dxa"/>
            <w:tcBorders>
              <w:top w:val="nil"/>
              <w:left w:val="single" w:sz="4" w:space="0" w:color="auto"/>
              <w:bottom w:val="single" w:sz="4" w:space="0" w:color="auto"/>
              <w:right w:val="single" w:sz="4" w:space="0" w:color="auto"/>
            </w:tcBorders>
            <w:vAlign w:val="bottom"/>
            <w:hideMark/>
          </w:tcPr>
          <w:p w14:paraId="3A1B04D4"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49" w:type="dxa"/>
            <w:tcBorders>
              <w:top w:val="nil"/>
              <w:left w:val="nil"/>
              <w:bottom w:val="single" w:sz="4" w:space="0" w:color="auto"/>
              <w:right w:val="single" w:sz="4" w:space="0" w:color="auto"/>
            </w:tcBorders>
            <w:vAlign w:val="bottom"/>
            <w:hideMark/>
          </w:tcPr>
          <w:p w14:paraId="3994F901"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VET</w:t>
            </w:r>
          </w:p>
        </w:tc>
        <w:tc>
          <w:tcPr>
            <w:tcW w:w="4031" w:type="dxa"/>
            <w:tcBorders>
              <w:top w:val="nil"/>
              <w:left w:val="nil"/>
              <w:bottom w:val="single" w:sz="4" w:space="0" w:color="auto"/>
              <w:right w:val="single" w:sz="4" w:space="0" w:color="auto"/>
            </w:tcBorders>
            <w:vAlign w:val="bottom"/>
            <w:hideMark/>
          </w:tcPr>
          <w:p w14:paraId="232179DA"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VETERANS SERVICES</w:t>
            </w:r>
          </w:p>
        </w:tc>
        <w:tc>
          <w:tcPr>
            <w:tcW w:w="1260" w:type="dxa"/>
            <w:tcBorders>
              <w:top w:val="nil"/>
              <w:left w:val="nil"/>
              <w:bottom w:val="single" w:sz="4" w:space="0" w:color="auto"/>
              <w:right w:val="single" w:sz="4" w:space="0" w:color="auto"/>
            </w:tcBorders>
            <w:vAlign w:val="bottom"/>
            <w:hideMark/>
          </w:tcPr>
          <w:p w14:paraId="564C558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$665,527</w:t>
            </w:r>
          </w:p>
        </w:tc>
        <w:tc>
          <w:tcPr>
            <w:tcW w:w="1170" w:type="dxa"/>
            <w:tcBorders>
              <w:top w:val="nil"/>
              <w:left w:val="nil"/>
              <w:bottom w:val="single" w:sz="4" w:space="0" w:color="auto"/>
              <w:right w:val="single" w:sz="4" w:space="0" w:color="auto"/>
            </w:tcBorders>
            <w:vAlign w:val="bottom"/>
            <w:hideMark/>
          </w:tcPr>
          <w:p w14:paraId="497A9BE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$39,932</w:t>
            </w:r>
          </w:p>
        </w:tc>
        <w:tc>
          <w:tcPr>
            <w:tcW w:w="1260" w:type="dxa"/>
            <w:tcBorders>
              <w:top w:val="nil"/>
              <w:left w:val="nil"/>
              <w:bottom w:val="single" w:sz="4" w:space="0" w:color="auto"/>
              <w:right w:val="single" w:sz="4" w:space="0" w:color="auto"/>
            </w:tcBorders>
            <w:vAlign w:val="bottom"/>
            <w:hideMark/>
          </w:tcPr>
          <w:p w14:paraId="7FBC922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$397,404</w:t>
            </w:r>
          </w:p>
        </w:tc>
        <w:tc>
          <w:tcPr>
            <w:tcW w:w="1080" w:type="dxa"/>
            <w:tcBorders>
              <w:top w:val="nil"/>
              <w:left w:val="nil"/>
              <w:bottom w:val="single" w:sz="4" w:space="0" w:color="auto"/>
              <w:right w:val="single" w:sz="4" w:space="0" w:color="auto"/>
            </w:tcBorders>
            <w:vAlign w:val="bottom"/>
            <w:hideMark/>
          </w:tcPr>
          <w:p w14:paraId="0041130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B83DA6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$397,404</w:t>
            </w:r>
          </w:p>
        </w:tc>
        <w:tc>
          <w:tcPr>
            <w:tcW w:w="1151" w:type="dxa"/>
            <w:tcBorders>
              <w:top w:val="nil"/>
              <w:left w:val="nil"/>
              <w:bottom w:val="single" w:sz="4" w:space="0" w:color="auto"/>
              <w:right w:val="single" w:sz="4" w:space="0" w:color="auto"/>
            </w:tcBorders>
            <w:vAlign w:val="bottom"/>
            <w:hideMark/>
          </w:tcPr>
          <w:p w14:paraId="6C5F23C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995.21%</w:t>
            </w:r>
          </w:p>
        </w:tc>
        <w:tc>
          <w:tcPr>
            <w:tcW w:w="1260" w:type="dxa"/>
            <w:tcBorders>
              <w:top w:val="nil"/>
              <w:left w:val="nil"/>
              <w:bottom w:val="single" w:sz="4" w:space="0" w:color="auto"/>
              <w:right w:val="single" w:sz="4" w:space="0" w:color="auto"/>
            </w:tcBorders>
            <w:vAlign w:val="bottom"/>
            <w:hideMark/>
          </w:tcPr>
          <w:p w14:paraId="18EC302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$357,472</w:t>
            </w:r>
          </w:p>
        </w:tc>
      </w:tr>
      <w:tr w:rsidR="003F0AFC" w:rsidRPr="003F0AFC" w14:paraId="7067AD25" w14:textId="77777777" w:rsidTr="009050D8">
        <w:trPr>
          <w:trHeight w:val="152"/>
        </w:trPr>
        <w:tc>
          <w:tcPr>
            <w:tcW w:w="664" w:type="dxa"/>
            <w:tcBorders>
              <w:top w:val="nil"/>
              <w:left w:val="single" w:sz="4" w:space="0" w:color="auto"/>
              <w:bottom w:val="single" w:sz="4" w:space="0" w:color="auto"/>
              <w:right w:val="single" w:sz="4" w:space="0" w:color="auto"/>
            </w:tcBorders>
            <w:vAlign w:val="bottom"/>
            <w:hideMark/>
          </w:tcPr>
          <w:p w14:paraId="21F616CB"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49" w:type="dxa"/>
            <w:tcBorders>
              <w:top w:val="nil"/>
              <w:left w:val="nil"/>
              <w:bottom w:val="single" w:sz="4" w:space="0" w:color="auto"/>
              <w:right w:val="single" w:sz="4" w:space="0" w:color="auto"/>
            </w:tcBorders>
            <w:vAlign w:val="bottom"/>
            <w:hideMark/>
          </w:tcPr>
          <w:p w14:paraId="78D51B45"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DYS</w:t>
            </w:r>
          </w:p>
        </w:tc>
        <w:tc>
          <w:tcPr>
            <w:tcW w:w="4031" w:type="dxa"/>
            <w:tcBorders>
              <w:top w:val="nil"/>
              <w:left w:val="nil"/>
              <w:bottom w:val="single" w:sz="4" w:space="0" w:color="auto"/>
              <w:right w:val="single" w:sz="4" w:space="0" w:color="auto"/>
            </w:tcBorders>
            <w:vAlign w:val="bottom"/>
            <w:hideMark/>
          </w:tcPr>
          <w:p w14:paraId="228428BE"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YOUTH SERVICES</w:t>
            </w:r>
          </w:p>
        </w:tc>
        <w:tc>
          <w:tcPr>
            <w:tcW w:w="1260" w:type="dxa"/>
            <w:tcBorders>
              <w:top w:val="nil"/>
              <w:left w:val="nil"/>
              <w:bottom w:val="single" w:sz="4" w:space="0" w:color="auto"/>
              <w:right w:val="single" w:sz="4" w:space="0" w:color="auto"/>
            </w:tcBorders>
            <w:vAlign w:val="bottom"/>
            <w:hideMark/>
          </w:tcPr>
          <w:p w14:paraId="431BD27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$96,187,311</w:t>
            </w:r>
          </w:p>
        </w:tc>
        <w:tc>
          <w:tcPr>
            <w:tcW w:w="1170" w:type="dxa"/>
            <w:tcBorders>
              <w:top w:val="nil"/>
              <w:left w:val="nil"/>
              <w:bottom w:val="single" w:sz="4" w:space="0" w:color="auto"/>
              <w:right w:val="single" w:sz="4" w:space="0" w:color="auto"/>
            </w:tcBorders>
            <w:vAlign w:val="bottom"/>
            <w:hideMark/>
          </w:tcPr>
          <w:p w14:paraId="1D66307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$5,771,239</w:t>
            </w:r>
          </w:p>
        </w:tc>
        <w:tc>
          <w:tcPr>
            <w:tcW w:w="1260" w:type="dxa"/>
            <w:tcBorders>
              <w:top w:val="nil"/>
              <w:left w:val="nil"/>
              <w:bottom w:val="single" w:sz="4" w:space="0" w:color="auto"/>
              <w:right w:val="single" w:sz="4" w:space="0" w:color="auto"/>
            </w:tcBorders>
            <w:vAlign w:val="bottom"/>
            <w:hideMark/>
          </w:tcPr>
          <w:p w14:paraId="745D39A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$3,196,446</w:t>
            </w:r>
          </w:p>
        </w:tc>
        <w:tc>
          <w:tcPr>
            <w:tcW w:w="1080" w:type="dxa"/>
            <w:tcBorders>
              <w:top w:val="nil"/>
              <w:left w:val="nil"/>
              <w:bottom w:val="single" w:sz="4" w:space="0" w:color="auto"/>
              <w:right w:val="single" w:sz="4" w:space="0" w:color="auto"/>
            </w:tcBorders>
            <w:vAlign w:val="bottom"/>
            <w:hideMark/>
          </w:tcPr>
          <w:p w14:paraId="3779133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AE2AEC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$3,196,446</w:t>
            </w:r>
          </w:p>
        </w:tc>
        <w:tc>
          <w:tcPr>
            <w:tcW w:w="1151" w:type="dxa"/>
            <w:tcBorders>
              <w:top w:val="nil"/>
              <w:left w:val="nil"/>
              <w:bottom w:val="single" w:sz="4" w:space="0" w:color="auto"/>
              <w:right w:val="single" w:sz="4" w:space="0" w:color="auto"/>
            </w:tcBorders>
            <w:vAlign w:val="bottom"/>
            <w:hideMark/>
          </w:tcPr>
          <w:p w14:paraId="25589A1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55.39%</w:t>
            </w:r>
          </w:p>
        </w:tc>
        <w:tc>
          <w:tcPr>
            <w:tcW w:w="1260" w:type="dxa"/>
            <w:tcBorders>
              <w:top w:val="nil"/>
              <w:left w:val="nil"/>
              <w:bottom w:val="single" w:sz="4" w:space="0" w:color="auto"/>
              <w:right w:val="single" w:sz="4" w:space="0" w:color="auto"/>
            </w:tcBorders>
            <w:vAlign w:val="bottom"/>
            <w:hideMark/>
          </w:tcPr>
          <w:p w14:paraId="531BE68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-$2,574,793</w:t>
            </w:r>
          </w:p>
        </w:tc>
      </w:tr>
      <w:tr w:rsidR="003F0AFC" w:rsidRPr="003F0AFC" w14:paraId="1F89355D" w14:textId="77777777" w:rsidTr="009050D8">
        <w:trPr>
          <w:trHeight w:val="143"/>
        </w:trPr>
        <w:tc>
          <w:tcPr>
            <w:tcW w:w="664" w:type="dxa"/>
            <w:tcBorders>
              <w:top w:val="nil"/>
              <w:left w:val="single" w:sz="4" w:space="0" w:color="auto"/>
              <w:bottom w:val="single" w:sz="4" w:space="0" w:color="auto"/>
              <w:right w:val="single" w:sz="4" w:space="0" w:color="auto"/>
            </w:tcBorders>
            <w:vAlign w:val="bottom"/>
            <w:hideMark/>
          </w:tcPr>
          <w:p w14:paraId="546A580E"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49" w:type="dxa"/>
            <w:tcBorders>
              <w:top w:val="nil"/>
              <w:left w:val="nil"/>
              <w:bottom w:val="single" w:sz="4" w:space="0" w:color="auto"/>
              <w:right w:val="single" w:sz="4" w:space="0" w:color="auto"/>
            </w:tcBorders>
            <w:vAlign w:val="bottom"/>
            <w:hideMark/>
          </w:tcPr>
          <w:p w14:paraId="0EC0F56B"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4031" w:type="dxa"/>
            <w:tcBorders>
              <w:top w:val="nil"/>
              <w:left w:val="nil"/>
              <w:bottom w:val="single" w:sz="4" w:space="0" w:color="auto"/>
              <w:right w:val="single" w:sz="4" w:space="0" w:color="auto"/>
            </w:tcBorders>
            <w:vAlign w:val="bottom"/>
            <w:hideMark/>
          </w:tcPr>
          <w:p w14:paraId="1B93C5AB"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EXECUTIVE OFFICE OF HEALTH AND HUMAN SERVICES</w:t>
            </w:r>
          </w:p>
        </w:tc>
        <w:tc>
          <w:tcPr>
            <w:tcW w:w="1260" w:type="dxa"/>
            <w:tcBorders>
              <w:top w:val="nil"/>
              <w:left w:val="nil"/>
              <w:bottom w:val="single" w:sz="4" w:space="0" w:color="auto"/>
              <w:right w:val="single" w:sz="4" w:space="0" w:color="auto"/>
            </w:tcBorders>
            <w:vAlign w:val="bottom"/>
            <w:hideMark/>
          </w:tcPr>
          <w:p w14:paraId="0F12E2A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$77,695,403</w:t>
            </w:r>
          </w:p>
        </w:tc>
        <w:tc>
          <w:tcPr>
            <w:tcW w:w="1170" w:type="dxa"/>
            <w:tcBorders>
              <w:top w:val="nil"/>
              <w:left w:val="nil"/>
              <w:bottom w:val="single" w:sz="4" w:space="0" w:color="auto"/>
              <w:right w:val="single" w:sz="4" w:space="0" w:color="auto"/>
            </w:tcBorders>
            <w:vAlign w:val="bottom"/>
            <w:hideMark/>
          </w:tcPr>
          <w:p w14:paraId="628DD69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$4,661,724</w:t>
            </w:r>
          </w:p>
        </w:tc>
        <w:tc>
          <w:tcPr>
            <w:tcW w:w="1260" w:type="dxa"/>
            <w:tcBorders>
              <w:top w:val="nil"/>
              <w:left w:val="nil"/>
              <w:bottom w:val="single" w:sz="4" w:space="0" w:color="auto"/>
              <w:right w:val="single" w:sz="4" w:space="0" w:color="auto"/>
            </w:tcBorders>
            <w:vAlign w:val="bottom"/>
            <w:hideMark/>
          </w:tcPr>
          <w:p w14:paraId="766F3CD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$3,015,979</w:t>
            </w:r>
          </w:p>
        </w:tc>
        <w:tc>
          <w:tcPr>
            <w:tcW w:w="1080" w:type="dxa"/>
            <w:tcBorders>
              <w:top w:val="nil"/>
              <w:left w:val="nil"/>
              <w:bottom w:val="single" w:sz="4" w:space="0" w:color="auto"/>
              <w:right w:val="single" w:sz="4" w:space="0" w:color="auto"/>
            </w:tcBorders>
            <w:vAlign w:val="bottom"/>
            <w:hideMark/>
          </w:tcPr>
          <w:p w14:paraId="247E155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4049F2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$3,015,979</w:t>
            </w:r>
          </w:p>
        </w:tc>
        <w:tc>
          <w:tcPr>
            <w:tcW w:w="1151" w:type="dxa"/>
            <w:tcBorders>
              <w:top w:val="nil"/>
              <w:left w:val="nil"/>
              <w:bottom w:val="single" w:sz="4" w:space="0" w:color="auto"/>
              <w:right w:val="single" w:sz="4" w:space="0" w:color="auto"/>
            </w:tcBorders>
            <w:vAlign w:val="bottom"/>
            <w:hideMark/>
          </w:tcPr>
          <w:p w14:paraId="105AE6D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64.70%</w:t>
            </w:r>
          </w:p>
        </w:tc>
        <w:tc>
          <w:tcPr>
            <w:tcW w:w="1260" w:type="dxa"/>
            <w:tcBorders>
              <w:top w:val="nil"/>
              <w:left w:val="nil"/>
              <w:bottom w:val="single" w:sz="4" w:space="0" w:color="auto"/>
              <w:right w:val="single" w:sz="4" w:space="0" w:color="auto"/>
            </w:tcBorders>
            <w:vAlign w:val="bottom"/>
            <w:hideMark/>
          </w:tcPr>
          <w:p w14:paraId="0A55FAF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-$1,645,745</w:t>
            </w:r>
          </w:p>
        </w:tc>
      </w:tr>
      <w:tr w:rsidR="003F0AFC" w:rsidRPr="003F0AFC" w14:paraId="2ABC6D41" w14:textId="77777777" w:rsidTr="009050D8">
        <w:trPr>
          <w:trHeight w:val="125"/>
        </w:trPr>
        <w:tc>
          <w:tcPr>
            <w:tcW w:w="664" w:type="dxa"/>
            <w:tcBorders>
              <w:top w:val="nil"/>
              <w:left w:val="single" w:sz="4" w:space="0" w:color="auto"/>
              <w:bottom w:val="single" w:sz="4" w:space="0" w:color="auto"/>
              <w:right w:val="single" w:sz="4" w:space="0" w:color="auto"/>
            </w:tcBorders>
            <w:vAlign w:val="bottom"/>
            <w:hideMark/>
          </w:tcPr>
          <w:p w14:paraId="6DD0F8A4"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49" w:type="dxa"/>
            <w:tcBorders>
              <w:top w:val="nil"/>
              <w:left w:val="nil"/>
              <w:bottom w:val="single" w:sz="4" w:space="0" w:color="auto"/>
              <w:right w:val="single" w:sz="4" w:space="0" w:color="auto"/>
            </w:tcBorders>
            <w:vAlign w:val="bottom"/>
            <w:hideMark/>
          </w:tcPr>
          <w:p w14:paraId="04DF8CD7"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MCB</w:t>
            </w:r>
          </w:p>
        </w:tc>
        <w:tc>
          <w:tcPr>
            <w:tcW w:w="4031" w:type="dxa"/>
            <w:tcBorders>
              <w:top w:val="nil"/>
              <w:left w:val="nil"/>
              <w:bottom w:val="single" w:sz="4" w:space="0" w:color="auto"/>
              <w:right w:val="single" w:sz="4" w:space="0" w:color="auto"/>
            </w:tcBorders>
            <w:vAlign w:val="bottom"/>
            <w:hideMark/>
          </w:tcPr>
          <w:p w14:paraId="0F2ABEE5"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MASSACHUSETTS COMMISSION FOR THE BLIND</w:t>
            </w:r>
          </w:p>
        </w:tc>
        <w:tc>
          <w:tcPr>
            <w:tcW w:w="1260" w:type="dxa"/>
            <w:tcBorders>
              <w:top w:val="nil"/>
              <w:left w:val="nil"/>
              <w:bottom w:val="single" w:sz="4" w:space="0" w:color="auto"/>
              <w:right w:val="single" w:sz="4" w:space="0" w:color="auto"/>
            </w:tcBorders>
            <w:vAlign w:val="bottom"/>
            <w:hideMark/>
          </w:tcPr>
          <w:p w14:paraId="75E9FFC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$17,767,205</w:t>
            </w:r>
          </w:p>
        </w:tc>
        <w:tc>
          <w:tcPr>
            <w:tcW w:w="1170" w:type="dxa"/>
            <w:tcBorders>
              <w:top w:val="nil"/>
              <w:left w:val="nil"/>
              <w:bottom w:val="single" w:sz="4" w:space="0" w:color="auto"/>
              <w:right w:val="single" w:sz="4" w:space="0" w:color="auto"/>
            </w:tcBorders>
            <w:vAlign w:val="bottom"/>
            <w:hideMark/>
          </w:tcPr>
          <w:p w14:paraId="2D07468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$1,066,032</w:t>
            </w:r>
          </w:p>
        </w:tc>
        <w:tc>
          <w:tcPr>
            <w:tcW w:w="1260" w:type="dxa"/>
            <w:tcBorders>
              <w:top w:val="nil"/>
              <w:left w:val="nil"/>
              <w:bottom w:val="single" w:sz="4" w:space="0" w:color="auto"/>
              <w:right w:val="single" w:sz="4" w:space="0" w:color="auto"/>
            </w:tcBorders>
            <w:vAlign w:val="bottom"/>
            <w:hideMark/>
          </w:tcPr>
          <w:p w14:paraId="0B2A321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$107,109</w:t>
            </w:r>
          </w:p>
        </w:tc>
        <w:tc>
          <w:tcPr>
            <w:tcW w:w="1080" w:type="dxa"/>
            <w:tcBorders>
              <w:top w:val="nil"/>
              <w:left w:val="nil"/>
              <w:bottom w:val="single" w:sz="4" w:space="0" w:color="auto"/>
              <w:right w:val="single" w:sz="4" w:space="0" w:color="auto"/>
            </w:tcBorders>
            <w:vAlign w:val="bottom"/>
            <w:hideMark/>
          </w:tcPr>
          <w:p w14:paraId="6CCF7B6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6EBE3EB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$107,109</w:t>
            </w:r>
          </w:p>
        </w:tc>
        <w:tc>
          <w:tcPr>
            <w:tcW w:w="1151" w:type="dxa"/>
            <w:tcBorders>
              <w:top w:val="nil"/>
              <w:left w:val="nil"/>
              <w:bottom w:val="single" w:sz="4" w:space="0" w:color="auto"/>
              <w:right w:val="single" w:sz="4" w:space="0" w:color="auto"/>
            </w:tcBorders>
            <w:vAlign w:val="bottom"/>
            <w:hideMark/>
          </w:tcPr>
          <w:p w14:paraId="1377D42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10.05%</w:t>
            </w:r>
          </w:p>
        </w:tc>
        <w:tc>
          <w:tcPr>
            <w:tcW w:w="1260" w:type="dxa"/>
            <w:tcBorders>
              <w:top w:val="nil"/>
              <w:left w:val="nil"/>
              <w:bottom w:val="single" w:sz="4" w:space="0" w:color="auto"/>
              <w:right w:val="single" w:sz="4" w:space="0" w:color="auto"/>
            </w:tcBorders>
            <w:vAlign w:val="bottom"/>
            <w:hideMark/>
          </w:tcPr>
          <w:p w14:paraId="7712E3D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-$958,924</w:t>
            </w:r>
          </w:p>
        </w:tc>
      </w:tr>
      <w:tr w:rsidR="003F0AFC" w:rsidRPr="003F0AFC" w14:paraId="304972CC" w14:textId="77777777" w:rsidTr="009050D8">
        <w:trPr>
          <w:trHeight w:val="98"/>
        </w:trPr>
        <w:tc>
          <w:tcPr>
            <w:tcW w:w="664" w:type="dxa"/>
            <w:tcBorders>
              <w:top w:val="nil"/>
              <w:left w:val="single" w:sz="4" w:space="0" w:color="auto"/>
              <w:bottom w:val="single" w:sz="4" w:space="0" w:color="auto"/>
              <w:right w:val="single" w:sz="4" w:space="0" w:color="auto"/>
            </w:tcBorders>
            <w:vAlign w:val="bottom"/>
            <w:hideMark/>
          </w:tcPr>
          <w:p w14:paraId="19B813AF"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49" w:type="dxa"/>
            <w:tcBorders>
              <w:top w:val="nil"/>
              <w:left w:val="nil"/>
              <w:bottom w:val="single" w:sz="4" w:space="0" w:color="auto"/>
              <w:right w:val="single" w:sz="4" w:space="0" w:color="auto"/>
            </w:tcBorders>
            <w:vAlign w:val="bottom"/>
            <w:hideMark/>
          </w:tcPr>
          <w:p w14:paraId="45D7D579"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MRC</w:t>
            </w:r>
          </w:p>
        </w:tc>
        <w:tc>
          <w:tcPr>
            <w:tcW w:w="4031" w:type="dxa"/>
            <w:tcBorders>
              <w:top w:val="nil"/>
              <w:left w:val="nil"/>
              <w:bottom w:val="single" w:sz="4" w:space="0" w:color="auto"/>
              <w:right w:val="single" w:sz="4" w:space="0" w:color="auto"/>
            </w:tcBorders>
            <w:vAlign w:val="bottom"/>
            <w:hideMark/>
          </w:tcPr>
          <w:p w14:paraId="042565F1"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MASSACHUSETTS REHABILITATION COMMISSION</w:t>
            </w:r>
          </w:p>
        </w:tc>
        <w:tc>
          <w:tcPr>
            <w:tcW w:w="1260" w:type="dxa"/>
            <w:tcBorders>
              <w:top w:val="nil"/>
              <w:left w:val="nil"/>
              <w:bottom w:val="single" w:sz="4" w:space="0" w:color="auto"/>
              <w:right w:val="single" w:sz="4" w:space="0" w:color="auto"/>
            </w:tcBorders>
            <w:vAlign w:val="bottom"/>
            <w:hideMark/>
          </w:tcPr>
          <w:p w14:paraId="29C4800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$51,050,600</w:t>
            </w:r>
          </w:p>
        </w:tc>
        <w:tc>
          <w:tcPr>
            <w:tcW w:w="1170" w:type="dxa"/>
            <w:tcBorders>
              <w:top w:val="nil"/>
              <w:left w:val="nil"/>
              <w:bottom w:val="single" w:sz="4" w:space="0" w:color="auto"/>
              <w:right w:val="single" w:sz="4" w:space="0" w:color="auto"/>
            </w:tcBorders>
            <w:vAlign w:val="bottom"/>
            <w:hideMark/>
          </w:tcPr>
          <w:p w14:paraId="726F7BB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$3,063,036</w:t>
            </w:r>
          </w:p>
        </w:tc>
        <w:tc>
          <w:tcPr>
            <w:tcW w:w="1260" w:type="dxa"/>
            <w:tcBorders>
              <w:top w:val="nil"/>
              <w:left w:val="nil"/>
              <w:bottom w:val="single" w:sz="4" w:space="0" w:color="auto"/>
              <w:right w:val="single" w:sz="4" w:space="0" w:color="auto"/>
            </w:tcBorders>
            <w:vAlign w:val="bottom"/>
            <w:hideMark/>
          </w:tcPr>
          <w:p w14:paraId="39E9A45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$5,166,087</w:t>
            </w:r>
          </w:p>
        </w:tc>
        <w:tc>
          <w:tcPr>
            <w:tcW w:w="1080" w:type="dxa"/>
            <w:tcBorders>
              <w:top w:val="nil"/>
              <w:left w:val="nil"/>
              <w:bottom w:val="single" w:sz="4" w:space="0" w:color="auto"/>
              <w:right w:val="single" w:sz="4" w:space="0" w:color="auto"/>
            </w:tcBorders>
            <w:vAlign w:val="bottom"/>
            <w:hideMark/>
          </w:tcPr>
          <w:p w14:paraId="5351C86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382503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$5,166,087</w:t>
            </w:r>
          </w:p>
        </w:tc>
        <w:tc>
          <w:tcPr>
            <w:tcW w:w="1151" w:type="dxa"/>
            <w:tcBorders>
              <w:top w:val="nil"/>
              <w:left w:val="nil"/>
              <w:bottom w:val="single" w:sz="4" w:space="0" w:color="auto"/>
              <w:right w:val="single" w:sz="4" w:space="0" w:color="auto"/>
            </w:tcBorders>
            <w:vAlign w:val="bottom"/>
            <w:hideMark/>
          </w:tcPr>
          <w:p w14:paraId="394B3EC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168.66%</w:t>
            </w:r>
          </w:p>
        </w:tc>
        <w:tc>
          <w:tcPr>
            <w:tcW w:w="1260" w:type="dxa"/>
            <w:tcBorders>
              <w:top w:val="nil"/>
              <w:left w:val="nil"/>
              <w:bottom w:val="single" w:sz="4" w:space="0" w:color="auto"/>
              <w:right w:val="single" w:sz="4" w:space="0" w:color="auto"/>
            </w:tcBorders>
            <w:vAlign w:val="bottom"/>
            <w:hideMark/>
          </w:tcPr>
          <w:p w14:paraId="16B4C72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$2,103,051</w:t>
            </w:r>
          </w:p>
        </w:tc>
      </w:tr>
      <w:tr w:rsidR="003F0AFC" w:rsidRPr="003F0AFC" w14:paraId="5DBF4732" w14:textId="77777777" w:rsidTr="009050D8">
        <w:trPr>
          <w:trHeight w:val="134"/>
        </w:trPr>
        <w:tc>
          <w:tcPr>
            <w:tcW w:w="664" w:type="dxa"/>
            <w:tcBorders>
              <w:top w:val="nil"/>
              <w:left w:val="single" w:sz="4" w:space="0" w:color="auto"/>
              <w:bottom w:val="single" w:sz="4" w:space="0" w:color="auto"/>
              <w:right w:val="single" w:sz="4" w:space="0" w:color="auto"/>
            </w:tcBorders>
            <w:vAlign w:val="bottom"/>
            <w:hideMark/>
          </w:tcPr>
          <w:p w14:paraId="0CC5BC1A"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lastRenderedPageBreak/>
              <w:t>EHS</w:t>
            </w:r>
          </w:p>
        </w:tc>
        <w:tc>
          <w:tcPr>
            <w:tcW w:w="649" w:type="dxa"/>
            <w:tcBorders>
              <w:top w:val="nil"/>
              <w:left w:val="nil"/>
              <w:bottom w:val="single" w:sz="4" w:space="0" w:color="auto"/>
              <w:right w:val="single" w:sz="4" w:space="0" w:color="auto"/>
            </w:tcBorders>
            <w:vAlign w:val="bottom"/>
            <w:hideMark/>
          </w:tcPr>
          <w:p w14:paraId="18CDE992"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ORI</w:t>
            </w:r>
          </w:p>
        </w:tc>
        <w:tc>
          <w:tcPr>
            <w:tcW w:w="4031" w:type="dxa"/>
            <w:tcBorders>
              <w:top w:val="nil"/>
              <w:left w:val="nil"/>
              <w:bottom w:val="single" w:sz="4" w:space="0" w:color="auto"/>
              <w:right w:val="single" w:sz="4" w:space="0" w:color="auto"/>
            </w:tcBorders>
            <w:vAlign w:val="bottom"/>
            <w:hideMark/>
          </w:tcPr>
          <w:p w14:paraId="2E863B64"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OFFICE FOR REFUGEES AND IMMIGRANTS</w:t>
            </w:r>
          </w:p>
        </w:tc>
        <w:tc>
          <w:tcPr>
            <w:tcW w:w="1260" w:type="dxa"/>
            <w:tcBorders>
              <w:top w:val="nil"/>
              <w:left w:val="nil"/>
              <w:bottom w:val="single" w:sz="4" w:space="0" w:color="auto"/>
              <w:right w:val="single" w:sz="4" w:space="0" w:color="auto"/>
            </w:tcBorders>
            <w:vAlign w:val="bottom"/>
            <w:hideMark/>
          </w:tcPr>
          <w:p w14:paraId="6EA12B6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$4,896,413</w:t>
            </w:r>
          </w:p>
        </w:tc>
        <w:tc>
          <w:tcPr>
            <w:tcW w:w="1170" w:type="dxa"/>
            <w:tcBorders>
              <w:top w:val="nil"/>
              <w:left w:val="nil"/>
              <w:bottom w:val="single" w:sz="4" w:space="0" w:color="auto"/>
              <w:right w:val="single" w:sz="4" w:space="0" w:color="auto"/>
            </w:tcBorders>
            <w:vAlign w:val="bottom"/>
            <w:hideMark/>
          </w:tcPr>
          <w:p w14:paraId="380A80C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$293,785</w:t>
            </w:r>
          </w:p>
        </w:tc>
        <w:tc>
          <w:tcPr>
            <w:tcW w:w="1260" w:type="dxa"/>
            <w:tcBorders>
              <w:top w:val="nil"/>
              <w:left w:val="nil"/>
              <w:bottom w:val="single" w:sz="4" w:space="0" w:color="auto"/>
              <w:right w:val="single" w:sz="4" w:space="0" w:color="auto"/>
            </w:tcBorders>
            <w:vAlign w:val="bottom"/>
            <w:hideMark/>
          </w:tcPr>
          <w:p w14:paraId="05FB506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$734,839</w:t>
            </w:r>
          </w:p>
        </w:tc>
        <w:tc>
          <w:tcPr>
            <w:tcW w:w="1080" w:type="dxa"/>
            <w:tcBorders>
              <w:top w:val="nil"/>
              <w:left w:val="nil"/>
              <w:bottom w:val="single" w:sz="4" w:space="0" w:color="auto"/>
              <w:right w:val="single" w:sz="4" w:space="0" w:color="auto"/>
            </w:tcBorders>
            <w:vAlign w:val="bottom"/>
            <w:hideMark/>
          </w:tcPr>
          <w:p w14:paraId="1548276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C1D80A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$734,839</w:t>
            </w:r>
          </w:p>
        </w:tc>
        <w:tc>
          <w:tcPr>
            <w:tcW w:w="1151" w:type="dxa"/>
            <w:tcBorders>
              <w:top w:val="nil"/>
              <w:left w:val="nil"/>
              <w:bottom w:val="single" w:sz="4" w:space="0" w:color="auto"/>
              <w:right w:val="single" w:sz="4" w:space="0" w:color="auto"/>
            </w:tcBorders>
            <w:vAlign w:val="bottom"/>
            <w:hideMark/>
          </w:tcPr>
          <w:p w14:paraId="62DD4A6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250.13%</w:t>
            </w:r>
          </w:p>
        </w:tc>
        <w:tc>
          <w:tcPr>
            <w:tcW w:w="1260" w:type="dxa"/>
            <w:tcBorders>
              <w:top w:val="nil"/>
              <w:left w:val="nil"/>
              <w:bottom w:val="single" w:sz="4" w:space="0" w:color="auto"/>
              <w:right w:val="single" w:sz="4" w:space="0" w:color="auto"/>
            </w:tcBorders>
            <w:vAlign w:val="bottom"/>
            <w:hideMark/>
          </w:tcPr>
          <w:p w14:paraId="5E7C330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$441,055</w:t>
            </w:r>
          </w:p>
        </w:tc>
      </w:tr>
      <w:tr w:rsidR="003F0AFC" w:rsidRPr="003F0AFC" w14:paraId="696DEDD0" w14:textId="77777777" w:rsidTr="009050D8">
        <w:trPr>
          <w:trHeight w:val="143"/>
        </w:trPr>
        <w:tc>
          <w:tcPr>
            <w:tcW w:w="664" w:type="dxa"/>
            <w:tcBorders>
              <w:top w:val="nil"/>
              <w:left w:val="single" w:sz="4" w:space="0" w:color="auto"/>
              <w:bottom w:val="single" w:sz="4" w:space="0" w:color="auto"/>
              <w:right w:val="single" w:sz="4" w:space="0" w:color="auto"/>
            </w:tcBorders>
            <w:vAlign w:val="bottom"/>
            <w:hideMark/>
          </w:tcPr>
          <w:p w14:paraId="0E1B4254"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49" w:type="dxa"/>
            <w:tcBorders>
              <w:top w:val="nil"/>
              <w:left w:val="nil"/>
              <w:bottom w:val="single" w:sz="4" w:space="0" w:color="auto"/>
              <w:right w:val="single" w:sz="4" w:space="0" w:color="auto"/>
            </w:tcBorders>
            <w:vAlign w:val="bottom"/>
            <w:hideMark/>
          </w:tcPr>
          <w:p w14:paraId="46CC38FA"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HLY</w:t>
            </w:r>
          </w:p>
        </w:tc>
        <w:tc>
          <w:tcPr>
            <w:tcW w:w="4031" w:type="dxa"/>
            <w:tcBorders>
              <w:top w:val="nil"/>
              <w:left w:val="nil"/>
              <w:bottom w:val="single" w:sz="4" w:space="0" w:color="auto"/>
              <w:right w:val="single" w:sz="4" w:space="0" w:color="auto"/>
            </w:tcBorders>
            <w:vAlign w:val="bottom"/>
            <w:hideMark/>
          </w:tcPr>
          <w:p w14:paraId="23B2ABF5"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SOLDIERS' HOME IN HOLYOKE</w:t>
            </w:r>
          </w:p>
        </w:tc>
        <w:tc>
          <w:tcPr>
            <w:tcW w:w="1260" w:type="dxa"/>
            <w:tcBorders>
              <w:top w:val="nil"/>
              <w:left w:val="nil"/>
              <w:bottom w:val="single" w:sz="4" w:space="0" w:color="auto"/>
              <w:right w:val="single" w:sz="4" w:space="0" w:color="auto"/>
            </w:tcBorders>
            <w:vAlign w:val="bottom"/>
            <w:hideMark/>
          </w:tcPr>
          <w:p w14:paraId="187BA76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$1,481,326</w:t>
            </w:r>
          </w:p>
        </w:tc>
        <w:tc>
          <w:tcPr>
            <w:tcW w:w="1170" w:type="dxa"/>
            <w:tcBorders>
              <w:top w:val="nil"/>
              <w:left w:val="nil"/>
              <w:bottom w:val="single" w:sz="4" w:space="0" w:color="auto"/>
              <w:right w:val="single" w:sz="4" w:space="0" w:color="auto"/>
            </w:tcBorders>
            <w:vAlign w:val="bottom"/>
            <w:hideMark/>
          </w:tcPr>
          <w:p w14:paraId="5AD0F1C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$88,880</w:t>
            </w:r>
          </w:p>
        </w:tc>
        <w:tc>
          <w:tcPr>
            <w:tcW w:w="1260" w:type="dxa"/>
            <w:tcBorders>
              <w:top w:val="nil"/>
              <w:left w:val="nil"/>
              <w:bottom w:val="single" w:sz="4" w:space="0" w:color="auto"/>
              <w:right w:val="single" w:sz="4" w:space="0" w:color="auto"/>
            </w:tcBorders>
            <w:vAlign w:val="bottom"/>
            <w:hideMark/>
          </w:tcPr>
          <w:p w14:paraId="1CD757D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$84,269</w:t>
            </w:r>
          </w:p>
        </w:tc>
        <w:tc>
          <w:tcPr>
            <w:tcW w:w="1080" w:type="dxa"/>
            <w:tcBorders>
              <w:top w:val="nil"/>
              <w:left w:val="nil"/>
              <w:bottom w:val="single" w:sz="4" w:space="0" w:color="auto"/>
              <w:right w:val="single" w:sz="4" w:space="0" w:color="auto"/>
            </w:tcBorders>
            <w:vAlign w:val="bottom"/>
            <w:hideMark/>
          </w:tcPr>
          <w:p w14:paraId="0C5103E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$5,852</w:t>
            </w:r>
          </w:p>
        </w:tc>
        <w:tc>
          <w:tcPr>
            <w:tcW w:w="1170" w:type="dxa"/>
            <w:tcBorders>
              <w:top w:val="nil"/>
              <w:left w:val="nil"/>
              <w:bottom w:val="single" w:sz="4" w:space="0" w:color="auto"/>
              <w:right w:val="single" w:sz="4" w:space="0" w:color="auto"/>
            </w:tcBorders>
            <w:vAlign w:val="bottom"/>
            <w:hideMark/>
          </w:tcPr>
          <w:p w14:paraId="1B0FB55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$90,121</w:t>
            </w:r>
          </w:p>
        </w:tc>
        <w:tc>
          <w:tcPr>
            <w:tcW w:w="1151" w:type="dxa"/>
            <w:tcBorders>
              <w:top w:val="nil"/>
              <w:left w:val="nil"/>
              <w:bottom w:val="single" w:sz="4" w:space="0" w:color="auto"/>
              <w:right w:val="single" w:sz="4" w:space="0" w:color="auto"/>
            </w:tcBorders>
            <w:vAlign w:val="bottom"/>
            <w:hideMark/>
          </w:tcPr>
          <w:p w14:paraId="44ACD78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101.40%</w:t>
            </w:r>
          </w:p>
        </w:tc>
        <w:tc>
          <w:tcPr>
            <w:tcW w:w="1260" w:type="dxa"/>
            <w:tcBorders>
              <w:top w:val="nil"/>
              <w:left w:val="nil"/>
              <w:bottom w:val="single" w:sz="4" w:space="0" w:color="auto"/>
              <w:right w:val="single" w:sz="4" w:space="0" w:color="auto"/>
            </w:tcBorders>
            <w:vAlign w:val="bottom"/>
            <w:hideMark/>
          </w:tcPr>
          <w:p w14:paraId="35D5E2E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$1,242</w:t>
            </w:r>
          </w:p>
        </w:tc>
      </w:tr>
      <w:tr w:rsidR="003F0AFC" w:rsidRPr="003F0AFC" w14:paraId="775EE7F2" w14:textId="77777777" w:rsidTr="009050D8">
        <w:trPr>
          <w:trHeight w:val="125"/>
        </w:trPr>
        <w:tc>
          <w:tcPr>
            <w:tcW w:w="664" w:type="dxa"/>
            <w:tcBorders>
              <w:top w:val="nil"/>
              <w:left w:val="single" w:sz="4" w:space="0" w:color="auto"/>
              <w:bottom w:val="nil"/>
              <w:right w:val="single" w:sz="4" w:space="0" w:color="auto"/>
            </w:tcBorders>
            <w:vAlign w:val="bottom"/>
            <w:hideMark/>
          </w:tcPr>
          <w:p w14:paraId="39492C1D"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49" w:type="dxa"/>
            <w:tcBorders>
              <w:top w:val="nil"/>
              <w:left w:val="nil"/>
              <w:bottom w:val="nil"/>
              <w:right w:val="single" w:sz="4" w:space="0" w:color="auto"/>
            </w:tcBorders>
            <w:vAlign w:val="bottom"/>
            <w:hideMark/>
          </w:tcPr>
          <w:p w14:paraId="472E2F6C"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CHE</w:t>
            </w:r>
          </w:p>
        </w:tc>
        <w:tc>
          <w:tcPr>
            <w:tcW w:w="4031" w:type="dxa"/>
            <w:tcBorders>
              <w:top w:val="nil"/>
              <w:left w:val="nil"/>
              <w:bottom w:val="nil"/>
              <w:right w:val="single" w:sz="4" w:space="0" w:color="auto"/>
            </w:tcBorders>
            <w:vAlign w:val="bottom"/>
            <w:hideMark/>
          </w:tcPr>
          <w:p w14:paraId="51DE28BC"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SOLDIERS' HOME IN MASSACHUSETTS</w:t>
            </w:r>
          </w:p>
        </w:tc>
        <w:tc>
          <w:tcPr>
            <w:tcW w:w="1260" w:type="dxa"/>
            <w:tcBorders>
              <w:top w:val="nil"/>
              <w:left w:val="nil"/>
              <w:bottom w:val="nil"/>
              <w:right w:val="single" w:sz="4" w:space="0" w:color="auto"/>
            </w:tcBorders>
            <w:vAlign w:val="bottom"/>
            <w:hideMark/>
          </w:tcPr>
          <w:p w14:paraId="52CDA0B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$2,932,360</w:t>
            </w:r>
          </w:p>
        </w:tc>
        <w:tc>
          <w:tcPr>
            <w:tcW w:w="1170" w:type="dxa"/>
            <w:tcBorders>
              <w:top w:val="nil"/>
              <w:left w:val="nil"/>
              <w:bottom w:val="nil"/>
              <w:right w:val="single" w:sz="4" w:space="0" w:color="auto"/>
            </w:tcBorders>
            <w:vAlign w:val="bottom"/>
            <w:hideMark/>
          </w:tcPr>
          <w:p w14:paraId="359B865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$175,942</w:t>
            </w:r>
          </w:p>
        </w:tc>
        <w:tc>
          <w:tcPr>
            <w:tcW w:w="1260" w:type="dxa"/>
            <w:tcBorders>
              <w:top w:val="nil"/>
              <w:left w:val="nil"/>
              <w:bottom w:val="nil"/>
              <w:right w:val="single" w:sz="4" w:space="0" w:color="auto"/>
            </w:tcBorders>
            <w:vAlign w:val="bottom"/>
            <w:hideMark/>
          </w:tcPr>
          <w:p w14:paraId="2A7C923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$207,360</w:t>
            </w:r>
          </w:p>
        </w:tc>
        <w:tc>
          <w:tcPr>
            <w:tcW w:w="1080" w:type="dxa"/>
            <w:tcBorders>
              <w:top w:val="nil"/>
              <w:left w:val="nil"/>
              <w:bottom w:val="nil"/>
              <w:right w:val="single" w:sz="4" w:space="0" w:color="auto"/>
            </w:tcBorders>
            <w:vAlign w:val="bottom"/>
            <w:hideMark/>
          </w:tcPr>
          <w:p w14:paraId="08030C9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780611C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$207,360</w:t>
            </w:r>
          </w:p>
        </w:tc>
        <w:tc>
          <w:tcPr>
            <w:tcW w:w="1151" w:type="dxa"/>
            <w:tcBorders>
              <w:top w:val="nil"/>
              <w:left w:val="nil"/>
              <w:bottom w:val="nil"/>
              <w:right w:val="single" w:sz="4" w:space="0" w:color="auto"/>
            </w:tcBorders>
            <w:vAlign w:val="bottom"/>
            <w:hideMark/>
          </w:tcPr>
          <w:p w14:paraId="1BE5103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117.86%</w:t>
            </w:r>
          </w:p>
        </w:tc>
        <w:tc>
          <w:tcPr>
            <w:tcW w:w="1260" w:type="dxa"/>
            <w:tcBorders>
              <w:top w:val="nil"/>
              <w:left w:val="nil"/>
              <w:bottom w:val="nil"/>
              <w:right w:val="single" w:sz="4" w:space="0" w:color="auto"/>
            </w:tcBorders>
            <w:vAlign w:val="bottom"/>
            <w:hideMark/>
          </w:tcPr>
          <w:p w14:paraId="3DAB801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$31,419</w:t>
            </w:r>
          </w:p>
        </w:tc>
      </w:tr>
      <w:tr w:rsidR="003F0AFC" w:rsidRPr="003F0AFC" w14:paraId="75583264" w14:textId="77777777" w:rsidTr="009050D8">
        <w:trPr>
          <w:trHeight w:val="88"/>
        </w:trPr>
        <w:tc>
          <w:tcPr>
            <w:tcW w:w="5344" w:type="dxa"/>
            <w:gridSpan w:val="3"/>
            <w:tcBorders>
              <w:top w:val="single" w:sz="8" w:space="0" w:color="auto"/>
              <w:left w:val="single" w:sz="8" w:space="0" w:color="auto"/>
              <w:bottom w:val="single" w:sz="8" w:space="0" w:color="auto"/>
              <w:right w:val="single" w:sz="4" w:space="0" w:color="auto"/>
            </w:tcBorders>
            <w:shd w:val="clear" w:color="000000" w:fill="E26B0A"/>
            <w:vAlign w:val="bottom"/>
            <w:hideMark/>
          </w:tcPr>
          <w:p w14:paraId="0EF52215" w14:textId="77777777" w:rsidR="003F0AFC" w:rsidRPr="00E67D16" w:rsidRDefault="003F0AFC" w:rsidP="00F8162C">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6D293A25"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$3,061,908,112</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61A89852"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$183,714,487</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1BE87DCC"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$132,442,895</w:t>
            </w:r>
          </w:p>
        </w:tc>
        <w:tc>
          <w:tcPr>
            <w:tcW w:w="1080" w:type="dxa"/>
            <w:tcBorders>
              <w:top w:val="single" w:sz="8" w:space="0" w:color="auto"/>
              <w:left w:val="nil"/>
              <w:bottom w:val="single" w:sz="8" w:space="0" w:color="auto"/>
              <w:right w:val="single" w:sz="4" w:space="0" w:color="auto"/>
            </w:tcBorders>
            <w:shd w:val="clear" w:color="000000" w:fill="E26B0A"/>
            <w:vAlign w:val="bottom"/>
            <w:hideMark/>
          </w:tcPr>
          <w:p w14:paraId="412EC630"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$3,460,204</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3A75F96D"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$135,903,099</w:t>
            </w:r>
          </w:p>
        </w:tc>
        <w:tc>
          <w:tcPr>
            <w:tcW w:w="1151" w:type="dxa"/>
            <w:tcBorders>
              <w:top w:val="single" w:sz="8" w:space="0" w:color="auto"/>
              <w:left w:val="nil"/>
              <w:bottom w:val="single" w:sz="8" w:space="0" w:color="auto"/>
              <w:right w:val="single" w:sz="4" w:space="0" w:color="auto"/>
            </w:tcBorders>
            <w:shd w:val="clear" w:color="000000" w:fill="E26B0A"/>
            <w:vAlign w:val="bottom"/>
            <w:hideMark/>
          </w:tcPr>
          <w:p w14:paraId="5AEEAA34"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73.98%</w:t>
            </w:r>
          </w:p>
        </w:tc>
        <w:tc>
          <w:tcPr>
            <w:tcW w:w="1260" w:type="dxa"/>
            <w:tcBorders>
              <w:top w:val="single" w:sz="8" w:space="0" w:color="auto"/>
              <w:left w:val="nil"/>
              <w:bottom w:val="single" w:sz="8" w:space="0" w:color="auto"/>
              <w:right w:val="single" w:sz="8" w:space="0" w:color="auto"/>
            </w:tcBorders>
            <w:shd w:val="clear" w:color="000000" w:fill="E26B0A"/>
            <w:vAlign w:val="bottom"/>
            <w:hideMark/>
          </w:tcPr>
          <w:p w14:paraId="11048468"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-$47,811,388</w:t>
            </w:r>
          </w:p>
        </w:tc>
      </w:tr>
      <w:tr w:rsidR="003F0AFC" w:rsidRPr="003F0AFC" w14:paraId="6C33F15C" w14:textId="77777777" w:rsidTr="009050D8">
        <w:trPr>
          <w:trHeight w:val="97"/>
        </w:trPr>
        <w:tc>
          <w:tcPr>
            <w:tcW w:w="664" w:type="dxa"/>
            <w:tcBorders>
              <w:top w:val="nil"/>
              <w:left w:val="single" w:sz="4" w:space="0" w:color="auto"/>
              <w:bottom w:val="single" w:sz="4" w:space="0" w:color="auto"/>
              <w:right w:val="single" w:sz="4" w:space="0" w:color="auto"/>
            </w:tcBorders>
            <w:vAlign w:val="bottom"/>
            <w:hideMark/>
          </w:tcPr>
          <w:p w14:paraId="53921166"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649" w:type="dxa"/>
            <w:tcBorders>
              <w:top w:val="nil"/>
              <w:left w:val="nil"/>
              <w:bottom w:val="single" w:sz="4" w:space="0" w:color="auto"/>
              <w:right w:val="single" w:sz="4" w:space="0" w:color="auto"/>
            </w:tcBorders>
            <w:vAlign w:val="bottom"/>
            <w:hideMark/>
          </w:tcPr>
          <w:p w14:paraId="25B265A0"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AGR</w:t>
            </w:r>
          </w:p>
        </w:tc>
        <w:tc>
          <w:tcPr>
            <w:tcW w:w="4031" w:type="dxa"/>
            <w:tcBorders>
              <w:top w:val="nil"/>
              <w:left w:val="nil"/>
              <w:bottom w:val="single" w:sz="4" w:space="0" w:color="auto"/>
              <w:right w:val="single" w:sz="4" w:space="0" w:color="auto"/>
            </w:tcBorders>
            <w:vAlign w:val="bottom"/>
            <w:hideMark/>
          </w:tcPr>
          <w:p w14:paraId="47F1705C"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AGRICULTURAL RESOURCES</w:t>
            </w:r>
          </w:p>
        </w:tc>
        <w:tc>
          <w:tcPr>
            <w:tcW w:w="1260" w:type="dxa"/>
            <w:tcBorders>
              <w:top w:val="nil"/>
              <w:left w:val="nil"/>
              <w:bottom w:val="single" w:sz="4" w:space="0" w:color="auto"/>
              <w:right w:val="single" w:sz="4" w:space="0" w:color="auto"/>
            </w:tcBorders>
            <w:vAlign w:val="bottom"/>
            <w:hideMark/>
          </w:tcPr>
          <w:p w14:paraId="14704CF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$905,459</w:t>
            </w:r>
          </w:p>
        </w:tc>
        <w:tc>
          <w:tcPr>
            <w:tcW w:w="1170" w:type="dxa"/>
            <w:tcBorders>
              <w:top w:val="nil"/>
              <w:left w:val="nil"/>
              <w:bottom w:val="single" w:sz="4" w:space="0" w:color="auto"/>
              <w:right w:val="single" w:sz="4" w:space="0" w:color="auto"/>
            </w:tcBorders>
            <w:vAlign w:val="bottom"/>
            <w:hideMark/>
          </w:tcPr>
          <w:p w14:paraId="33458DE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$54,328</w:t>
            </w:r>
          </w:p>
        </w:tc>
        <w:tc>
          <w:tcPr>
            <w:tcW w:w="1260" w:type="dxa"/>
            <w:tcBorders>
              <w:top w:val="nil"/>
              <w:left w:val="nil"/>
              <w:bottom w:val="single" w:sz="4" w:space="0" w:color="auto"/>
              <w:right w:val="single" w:sz="4" w:space="0" w:color="auto"/>
            </w:tcBorders>
            <w:vAlign w:val="bottom"/>
            <w:hideMark/>
          </w:tcPr>
          <w:p w14:paraId="0E60A4A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$47,648</w:t>
            </w:r>
          </w:p>
        </w:tc>
        <w:tc>
          <w:tcPr>
            <w:tcW w:w="1080" w:type="dxa"/>
            <w:tcBorders>
              <w:top w:val="nil"/>
              <w:left w:val="nil"/>
              <w:bottom w:val="single" w:sz="4" w:space="0" w:color="auto"/>
              <w:right w:val="single" w:sz="4" w:space="0" w:color="auto"/>
            </w:tcBorders>
            <w:vAlign w:val="bottom"/>
            <w:hideMark/>
          </w:tcPr>
          <w:p w14:paraId="2C99E2E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26A1926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$47,648</w:t>
            </w:r>
          </w:p>
        </w:tc>
        <w:tc>
          <w:tcPr>
            <w:tcW w:w="1151" w:type="dxa"/>
            <w:tcBorders>
              <w:top w:val="nil"/>
              <w:left w:val="nil"/>
              <w:bottom w:val="single" w:sz="4" w:space="0" w:color="auto"/>
              <w:right w:val="single" w:sz="4" w:space="0" w:color="auto"/>
            </w:tcBorders>
            <w:vAlign w:val="bottom"/>
            <w:hideMark/>
          </w:tcPr>
          <w:p w14:paraId="1F7A49E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87.70%</w:t>
            </w:r>
          </w:p>
        </w:tc>
        <w:tc>
          <w:tcPr>
            <w:tcW w:w="1260" w:type="dxa"/>
            <w:tcBorders>
              <w:top w:val="nil"/>
              <w:left w:val="nil"/>
              <w:bottom w:val="single" w:sz="4" w:space="0" w:color="auto"/>
              <w:right w:val="single" w:sz="4" w:space="0" w:color="auto"/>
            </w:tcBorders>
            <w:vAlign w:val="bottom"/>
            <w:hideMark/>
          </w:tcPr>
          <w:p w14:paraId="31718CD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-$6,680</w:t>
            </w:r>
          </w:p>
        </w:tc>
      </w:tr>
      <w:tr w:rsidR="003F0AFC" w:rsidRPr="003F0AFC" w14:paraId="09A95F93" w14:textId="77777777" w:rsidTr="009050D8">
        <w:trPr>
          <w:trHeight w:val="152"/>
        </w:trPr>
        <w:tc>
          <w:tcPr>
            <w:tcW w:w="664" w:type="dxa"/>
            <w:tcBorders>
              <w:top w:val="nil"/>
              <w:left w:val="single" w:sz="4" w:space="0" w:color="auto"/>
              <w:bottom w:val="single" w:sz="4" w:space="0" w:color="auto"/>
              <w:right w:val="single" w:sz="4" w:space="0" w:color="auto"/>
            </w:tcBorders>
            <w:vAlign w:val="bottom"/>
            <w:hideMark/>
          </w:tcPr>
          <w:p w14:paraId="1FBF428C"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649" w:type="dxa"/>
            <w:tcBorders>
              <w:top w:val="nil"/>
              <w:left w:val="nil"/>
              <w:bottom w:val="single" w:sz="4" w:space="0" w:color="auto"/>
              <w:right w:val="single" w:sz="4" w:space="0" w:color="auto"/>
            </w:tcBorders>
            <w:vAlign w:val="bottom"/>
            <w:hideMark/>
          </w:tcPr>
          <w:p w14:paraId="0768AC89"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DCR</w:t>
            </w:r>
          </w:p>
        </w:tc>
        <w:tc>
          <w:tcPr>
            <w:tcW w:w="4031" w:type="dxa"/>
            <w:tcBorders>
              <w:top w:val="nil"/>
              <w:left w:val="nil"/>
              <w:bottom w:val="single" w:sz="4" w:space="0" w:color="auto"/>
              <w:right w:val="single" w:sz="4" w:space="0" w:color="auto"/>
            </w:tcBorders>
            <w:vAlign w:val="bottom"/>
            <w:hideMark/>
          </w:tcPr>
          <w:p w14:paraId="55AFB5AC"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CONSERVATION AND RECREATION</w:t>
            </w:r>
          </w:p>
        </w:tc>
        <w:tc>
          <w:tcPr>
            <w:tcW w:w="1260" w:type="dxa"/>
            <w:tcBorders>
              <w:top w:val="nil"/>
              <w:left w:val="nil"/>
              <w:bottom w:val="single" w:sz="4" w:space="0" w:color="auto"/>
              <w:right w:val="single" w:sz="4" w:space="0" w:color="auto"/>
            </w:tcBorders>
            <w:vAlign w:val="bottom"/>
            <w:hideMark/>
          </w:tcPr>
          <w:p w14:paraId="50D9604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$28,312,350</w:t>
            </w:r>
          </w:p>
        </w:tc>
        <w:tc>
          <w:tcPr>
            <w:tcW w:w="1170" w:type="dxa"/>
            <w:tcBorders>
              <w:top w:val="nil"/>
              <w:left w:val="nil"/>
              <w:bottom w:val="single" w:sz="4" w:space="0" w:color="auto"/>
              <w:right w:val="single" w:sz="4" w:space="0" w:color="auto"/>
            </w:tcBorders>
            <w:vAlign w:val="bottom"/>
            <w:hideMark/>
          </w:tcPr>
          <w:p w14:paraId="3E4F40A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$1,698,741</w:t>
            </w:r>
          </w:p>
        </w:tc>
        <w:tc>
          <w:tcPr>
            <w:tcW w:w="1260" w:type="dxa"/>
            <w:tcBorders>
              <w:top w:val="nil"/>
              <w:left w:val="nil"/>
              <w:bottom w:val="single" w:sz="4" w:space="0" w:color="auto"/>
              <w:right w:val="single" w:sz="4" w:space="0" w:color="auto"/>
            </w:tcBorders>
            <w:vAlign w:val="bottom"/>
            <w:hideMark/>
          </w:tcPr>
          <w:p w14:paraId="016F739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$817,243</w:t>
            </w:r>
          </w:p>
        </w:tc>
        <w:tc>
          <w:tcPr>
            <w:tcW w:w="1080" w:type="dxa"/>
            <w:tcBorders>
              <w:top w:val="nil"/>
              <w:left w:val="nil"/>
              <w:bottom w:val="single" w:sz="4" w:space="0" w:color="auto"/>
              <w:right w:val="single" w:sz="4" w:space="0" w:color="auto"/>
            </w:tcBorders>
            <w:vAlign w:val="bottom"/>
            <w:hideMark/>
          </w:tcPr>
          <w:p w14:paraId="2BB1976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709614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$817,243</w:t>
            </w:r>
          </w:p>
        </w:tc>
        <w:tc>
          <w:tcPr>
            <w:tcW w:w="1151" w:type="dxa"/>
            <w:tcBorders>
              <w:top w:val="nil"/>
              <w:left w:val="nil"/>
              <w:bottom w:val="single" w:sz="4" w:space="0" w:color="auto"/>
              <w:right w:val="single" w:sz="4" w:space="0" w:color="auto"/>
            </w:tcBorders>
            <w:vAlign w:val="bottom"/>
            <w:hideMark/>
          </w:tcPr>
          <w:p w14:paraId="1DE665A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48.11%</w:t>
            </w:r>
          </w:p>
        </w:tc>
        <w:tc>
          <w:tcPr>
            <w:tcW w:w="1260" w:type="dxa"/>
            <w:tcBorders>
              <w:top w:val="nil"/>
              <w:left w:val="nil"/>
              <w:bottom w:val="single" w:sz="4" w:space="0" w:color="auto"/>
              <w:right w:val="single" w:sz="4" w:space="0" w:color="auto"/>
            </w:tcBorders>
            <w:vAlign w:val="bottom"/>
            <w:hideMark/>
          </w:tcPr>
          <w:p w14:paraId="2AD6B34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-$881,498</w:t>
            </w:r>
          </w:p>
        </w:tc>
      </w:tr>
      <w:tr w:rsidR="003F0AFC" w:rsidRPr="003F0AFC" w14:paraId="1C048DE6" w14:textId="77777777" w:rsidTr="009050D8">
        <w:trPr>
          <w:trHeight w:val="143"/>
        </w:trPr>
        <w:tc>
          <w:tcPr>
            <w:tcW w:w="664" w:type="dxa"/>
            <w:tcBorders>
              <w:top w:val="nil"/>
              <w:left w:val="single" w:sz="4" w:space="0" w:color="auto"/>
              <w:bottom w:val="single" w:sz="4" w:space="0" w:color="auto"/>
              <w:right w:val="single" w:sz="4" w:space="0" w:color="auto"/>
            </w:tcBorders>
            <w:vAlign w:val="bottom"/>
            <w:hideMark/>
          </w:tcPr>
          <w:p w14:paraId="41C452A2"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649" w:type="dxa"/>
            <w:tcBorders>
              <w:top w:val="nil"/>
              <w:left w:val="nil"/>
              <w:bottom w:val="single" w:sz="4" w:space="0" w:color="auto"/>
              <w:right w:val="single" w:sz="4" w:space="0" w:color="auto"/>
            </w:tcBorders>
            <w:vAlign w:val="bottom"/>
            <w:hideMark/>
          </w:tcPr>
          <w:p w14:paraId="23A2EE97"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ENE</w:t>
            </w:r>
          </w:p>
        </w:tc>
        <w:tc>
          <w:tcPr>
            <w:tcW w:w="4031" w:type="dxa"/>
            <w:tcBorders>
              <w:top w:val="nil"/>
              <w:left w:val="nil"/>
              <w:bottom w:val="single" w:sz="4" w:space="0" w:color="auto"/>
              <w:right w:val="single" w:sz="4" w:space="0" w:color="auto"/>
            </w:tcBorders>
            <w:vAlign w:val="bottom"/>
            <w:hideMark/>
          </w:tcPr>
          <w:p w14:paraId="3CA7D340"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ENERGY RESOURCES</w:t>
            </w:r>
          </w:p>
        </w:tc>
        <w:tc>
          <w:tcPr>
            <w:tcW w:w="1260" w:type="dxa"/>
            <w:tcBorders>
              <w:top w:val="nil"/>
              <w:left w:val="nil"/>
              <w:bottom w:val="single" w:sz="4" w:space="0" w:color="auto"/>
              <w:right w:val="single" w:sz="4" w:space="0" w:color="auto"/>
            </w:tcBorders>
            <w:vAlign w:val="bottom"/>
            <w:hideMark/>
          </w:tcPr>
          <w:p w14:paraId="0D60012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$210,000</w:t>
            </w:r>
          </w:p>
        </w:tc>
        <w:tc>
          <w:tcPr>
            <w:tcW w:w="1170" w:type="dxa"/>
            <w:tcBorders>
              <w:top w:val="nil"/>
              <w:left w:val="nil"/>
              <w:bottom w:val="single" w:sz="4" w:space="0" w:color="auto"/>
              <w:right w:val="single" w:sz="4" w:space="0" w:color="auto"/>
            </w:tcBorders>
            <w:vAlign w:val="bottom"/>
            <w:hideMark/>
          </w:tcPr>
          <w:p w14:paraId="3719639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$12,600</w:t>
            </w:r>
          </w:p>
        </w:tc>
        <w:tc>
          <w:tcPr>
            <w:tcW w:w="1260" w:type="dxa"/>
            <w:tcBorders>
              <w:top w:val="nil"/>
              <w:left w:val="nil"/>
              <w:bottom w:val="single" w:sz="4" w:space="0" w:color="auto"/>
              <w:right w:val="single" w:sz="4" w:space="0" w:color="auto"/>
            </w:tcBorders>
            <w:vAlign w:val="bottom"/>
            <w:hideMark/>
          </w:tcPr>
          <w:p w14:paraId="640EDF6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$6,623</w:t>
            </w:r>
          </w:p>
        </w:tc>
        <w:tc>
          <w:tcPr>
            <w:tcW w:w="1080" w:type="dxa"/>
            <w:tcBorders>
              <w:top w:val="nil"/>
              <w:left w:val="nil"/>
              <w:bottom w:val="single" w:sz="4" w:space="0" w:color="auto"/>
              <w:right w:val="single" w:sz="4" w:space="0" w:color="auto"/>
            </w:tcBorders>
            <w:vAlign w:val="bottom"/>
            <w:hideMark/>
          </w:tcPr>
          <w:p w14:paraId="299CCE0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7F97CB8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$6,623</w:t>
            </w:r>
          </w:p>
        </w:tc>
        <w:tc>
          <w:tcPr>
            <w:tcW w:w="1151" w:type="dxa"/>
            <w:tcBorders>
              <w:top w:val="nil"/>
              <w:left w:val="nil"/>
              <w:bottom w:val="single" w:sz="4" w:space="0" w:color="auto"/>
              <w:right w:val="single" w:sz="4" w:space="0" w:color="auto"/>
            </w:tcBorders>
            <w:vAlign w:val="bottom"/>
            <w:hideMark/>
          </w:tcPr>
          <w:p w14:paraId="7D692CE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52.56%</w:t>
            </w:r>
          </w:p>
        </w:tc>
        <w:tc>
          <w:tcPr>
            <w:tcW w:w="1260" w:type="dxa"/>
            <w:tcBorders>
              <w:top w:val="nil"/>
              <w:left w:val="nil"/>
              <w:bottom w:val="single" w:sz="4" w:space="0" w:color="auto"/>
              <w:right w:val="single" w:sz="4" w:space="0" w:color="auto"/>
            </w:tcBorders>
            <w:vAlign w:val="bottom"/>
            <w:hideMark/>
          </w:tcPr>
          <w:p w14:paraId="46ED633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-$5,977</w:t>
            </w:r>
          </w:p>
        </w:tc>
      </w:tr>
      <w:tr w:rsidR="003F0AFC" w:rsidRPr="003F0AFC" w14:paraId="2EE7507F" w14:textId="77777777" w:rsidTr="009050D8">
        <w:trPr>
          <w:trHeight w:val="60"/>
        </w:trPr>
        <w:tc>
          <w:tcPr>
            <w:tcW w:w="664" w:type="dxa"/>
            <w:tcBorders>
              <w:top w:val="nil"/>
              <w:left w:val="single" w:sz="4" w:space="0" w:color="auto"/>
              <w:bottom w:val="single" w:sz="4" w:space="0" w:color="auto"/>
              <w:right w:val="single" w:sz="4" w:space="0" w:color="auto"/>
            </w:tcBorders>
            <w:vAlign w:val="bottom"/>
            <w:hideMark/>
          </w:tcPr>
          <w:p w14:paraId="75C4849F"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649" w:type="dxa"/>
            <w:tcBorders>
              <w:top w:val="nil"/>
              <w:left w:val="nil"/>
              <w:bottom w:val="single" w:sz="4" w:space="0" w:color="auto"/>
              <w:right w:val="single" w:sz="4" w:space="0" w:color="auto"/>
            </w:tcBorders>
            <w:vAlign w:val="bottom"/>
            <w:hideMark/>
          </w:tcPr>
          <w:p w14:paraId="0F20C053"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EQE</w:t>
            </w:r>
          </w:p>
        </w:tc>
        <w:tc>
          <w:tcPr>
            <w:tcW w:w="4031" w:type="dxa"/>
            <w:tcBorders>
              <w:top w:val="nil"/>
              <w:left w:val="nil"/>
              <w:bottom w:val="single" w:sz="4" w:space="0" w:color="auto"/>
              <w:right w:val="single" w:sz="4" w:space="0" w:color="auto"/>
            </w:tcBorders>
            <w:vAlign w:val="bottom"/>
            <w:hideMark/>
          </w:tcPr>
          <w:p w14:paraId="767EEDAA"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ENVIRONMENTAL PROTECTION</w:t>
            </w:r>
          </w:p>
        </w:tc>
        <w:tc>
          <w:tcPr>
            <w:tcW w:w="1260" w:type="dxa"/>
            <w:tcBorders>
              <w:top w:val="nil"/>
              <w:left w:val="nil"/>
              <w:bottom w:val="single" w:sz="4" w:space="0" w:color="auto"/>
              <w:right w:val="single" w:sz="4" w:space="0" w:color="auto"/>
            </w:tcBorders>
            <w:vAlign w:val="bottom"/>
            <w:hideMark/>
          </w:tcPr>
          <w:p w14:paraId="7E7097D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$10,029,945</w:t>
            </w:r>
          </w:p>
        </w:tc>
        <w:tc>
          <w:tcPr>
            <w:tcW w:w="1170" w:type="dxa"/>
            <w:tcBorders>
              <w:top w:val="nil"/>
              <w:left w:val="nil"/>
              <w:bottom w:val="single" w:sz="4" w:space="0" w:color="auto"/>
              <w:right w:val="single" w:sz="4" w:space="0" w:color="auto"/>
            </w:tcBorders>
            <w:vAlign w:val="bottom"/>
            <w:hideMark/>
          </w:tcPr>
          <w:p w14:paraId="407D90A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$601,797</w:t>
            </w:r>
          </w:p>
        </w:tc>
        <w:tc>
          <w:tcPr>
            <w:tcW w:w="1260" w:type="dxa"/>
            <w:tcBorders>
              <w:top w:val="nil"/>
              <w:left w:val="nil"/>
              <w:bottom w:val="single" w:sz="4" w:space="0" w:color="auto"/>
              <w:right w:val="single" w:sz="4" w:space="0" w:color="auto"/>
            </w:tcBorders>
            <w:vAlign w:val="bottom"/>
            <w:hideMark/>
          </w:tcPr>
          <w:p w14:paraId="2C2270F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$276,518</w:t>
            </w:r>
          </w:p>
        </w:tc>
        <w:tc>
          <w:tcPr>
            <w:tcW w:w="1080" w:type="dxa"/>
            <w:tcBorders>
              <w:top w:val="nil"/>
              <w:left w:val="nil"/>
              <w:bottom w:val="single" w:sz="4" w:space="0" w:color="auto"/>
              <w:right w:val="single" w:sz="4" w:space="0" w:color="auto"/>
            </w:tcBorders>
            <w:vAlign w:val="bottom"/>
            <w:hideMark/>
          </w:tcPr>
          <w:p w14:paraId="4055877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2C3A5C6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$276,518</w:t>
            </w:r>
          </w:p>
        </w:tc>
        <w:tc>
          <w:tcPr>
            <w:tcW w:w="1151" w:type="dxa"/>
            <w:tcBorders>
              <w:top w:val="nil"/>
              <w:left w:val="nil"/>
              <w:bottom w:val="single" w:sz="4" w:space="0" w:color="auto"/>
              <w:right w:val="single" w:sz="4" w:space="0" w:color="auto"/>
            </w:tcBorders>
            <w:vAlign w:val="bottom"/>
            <w:hideMark/>
          </w:tcPr>
          <w:p w14:paraId="55F7F7D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45.95%</w:t>
            </w:r>
          </w:p>
        </w:tc>
        <w:tc>
          <w:tcPr>
            <w:tcW w:w="1260" w:type="dxa"/>
            <w:tcBorders>
              <w:top w:val="nil"/>
              <w:left w:val="nil"/>
              <w:bottom w:val="single" w:sz="4" w:space="0" w:color="auto"/>
              <w:right w:val="single" w:sz="4" w:space="0" w:color="auto"/>
            </w:tcBorders>
            <w:vAlign w:val="bottom"/>
            <w:hideMark/>
          </w:tcPr>
          <w:p w14:paraId="24ECE3A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-$325,279</w:t>
            </w:r>
          </w:p>
        </w:tc>
      </w:tr>
      <w:tr w:rsidR="003F0AFC" w:rsidRPr="003F0AFC" w14:paraId="4C2F3BA0" w14:textId="77777777" w:rsidTr="009050D8">
        <w:trPr>
          <w:trHeight w:val="170"/>
        </w:trPr>
        <w:tc>
          <w:tcPr>
            <w:tcW w:w="664" w:type="dxa"/>
            <w:tcBorders>
              <w:top w:val="nil"/>
              <w:left w:val="single" w:sz="4" w:space="0" w:color="auto"/>
              <w:bottom w:val="single" w:sz="4" w:space="0" w:color="auto"/>
              <w:right w:val="single" w:sz="4" w:space="0" w:color="auto"/>
            </w:tcBorders>
            <w:vAlign w:val="bottom"/>
            <w:hideMark/>
          </w:tcPr>
          <w:p w14:paraId="7B07DA25"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649" w:type="dxa"/>
            <w:tcBorders>
              <w:top w:val="nil"/>
              <w:left w:val="nil"/>
              <w:bottom w:val="single" w:sz="4" w:space="0" w:color="auto"/>
              <w:right w:val="single" w:sz="4" w:space="0" w:color="auto"/>
            </w:tcBorders>
            <w:vAlign w:val="bottom"/>
            <w:hideMark/>
          </w:tcPr>
          <w:p w14:paraId="7748BE9D"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FWE</w:t>
            </w:r>
          </w:p>
        </w:tc>
        <w:tc>
          <w:tcPr>
            <w:tcW w:w="4031" w:type="dxa"/>
            <w:tcBorders>
              <w:top w:val="nil"/>
              <w:left w:val="nil"/>
              <w:bottom w:val="single" w:sz="4" w:space="0" w:color="auto"/>
              <w:right w:val="single" w:sz="4" w:space="0" w:color="auto"/>
            </w:tcBorders>
            <w:vAlign w:val="bottom"/>
            <w:hideMark/>
          </w:tcPr>
          <w:p w14:paraId="3CC592EF"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FISH AND GAME</w:t>
            </w:r>
          </w:p>
        </w:tc>
        <w:tc>
          <w:tcPr>
            <w:tcW w:w="1260" w:type="dxa"/>
            <w:tcBorders>
              <w:top w:val="nil"/>
              <w:left w:val="nil"/>
              <w:bottom w:val="single" w:sz="4" w:space="0" w:color="auto"/>
              <w:right w:val="single" w:sz="4" w:space="0" w:color="auto"/>
            </w:tcBorders>
            <w:vAlign w:val="bottom"/>
            <w:hideMark/>
          </w:tcPr>
          <w:p w14:paraId="02A2A51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$4,883,214</w:t>
            </w:r>
          </w:p>
        </w:tc>
        <w:tc>
          <w:tcPr>
            <w:tcW w:w="1170" w:type="dxa"/>
            <w:tcBorders>
              <w:top w:val="nil"/>
              <w:left w:val="nil"/>
              <w:bottom w:val="single" w:sz="4" w:space="0" w:color="auto"/>
              <w:right w:val="single" w:sz="4" w:space="0" w:color="auto"/>
            </w:tcBorders>
            <w:vAlign w:val="bottom"/>
            <w:hideMark/>
          </w:tcPr>
          <w:p w14:paraId="34A3CA5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$292,993</w:t>
            </w:r>
          </w:p>
        </w:tc>
        <w:tc>
          <w:tcPr>
            <w:tcW w:w="1260" w:type="dxa"/>
            <w:tcBorders>
              <w:top w:val="nil"/>
              <w:left w:val="nil"/>
              <w:bottom w:val="single" w:sz="4" w:space="0" w:color="auto"/>
              <w:right w:val="single" w:sz="4" w:space="0" w:color="auto"/>
            </w:tcBorders>
            <w:vAlign w:val="bottom"/>
            <w:hideMark/>
          </w:tcPr>
          <w:p w14:paraId="0A95DF1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$175,918</w:t>
            </w:r>
          </w:p>
        </w:tc>
        <w:tc>
          <w:tcPr>
            <w:tcW w:w="1080" w:type="dxa"/>
            <w:tcBorders>
              <w:top w:val="nil"/>
              <w:left w:val="nil"/>
              <w:bottom w:val="single" w:sz="4" w:space="0" w:color="auto"/>
              <w:right w:val="single" w:sz="4" w:space="0" w:color="auto"/>
            </w:tcBorders>
            <w:vAlign w:val="bottom"/>
            <w:hideMark/>
          </w:tcPr>
          <w:p w14:paraId="329C7FC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$2,644</w:t>
            </w:r>
          </w:p>
        </w:tc>
        <w:tc>
          <w:tcPr>
            <w:tcW w:w="1170" w:type="dxa"/>
            <w:tcBorders>
              <w:top w:val="nil"/>
              <w:left w:val="nil"/>
              <w:bottom w:val="single" w:sz="4" w:space="0" w:color="auto"/>
              <w:right w:val="single" w:sz="4" w:space="0" w:color="auto"/>
            </w:tcBorders>
            <w:vAlign w:val="bottom"/>
            <w:hideMark/>
          </w:tcPr>
          <w:p w14:paraId="38DDAF0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$178,562</w:t>
            </w:r>
          </w:p>
        </w:tc>
        <w:tc>
          <w:tcPr>
            <w:tcW w:w="1151" w:type="dxa"/>
            <w:tcBorders>
              <w:top w:val="nil"/>
              <w:left w:val="nil"/>
              <w:bottom w:val="single" w:sz="4" w:space="0" w:color="auto"/>
              <w:right w:val="single" w:sz="4" w:space="0" w:color="auto"/>
            </w:tcBorders>
            <w:vAlign w:val="bottom"/>
            <w:hideMark/>
          </w:tcPr>
          <w:p w14:paraId="2B90AE4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60.94%</w:t>
            </w:r>
          </w:p>
        </w:tc>
        <w:tc>
          <w:tcPr>
            <w:tcW w:w="1260" w:type="dxa"/>
            <w:tcBorders>
              <w:top w:val="nil"/>
              <w:left w:val="nil"/>
              <w:bottom w:val="single" w:sz="4" w:space="0" w:color="auto"/>
              <w:right w:val="single" w:sz="4" w:space="0" w:color="auto"/>
            </w:tcBorders>
            <w:vAlign w:val="bottom"/>
            <w:hideMark/>
          </w:tcPr>
          <w:p w14:paraId="687ADAF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-$114,431</w:t>
            </w:r>
          </w:p>
        </w:tc>
      </w:tr>
      <w:tr w:rsidR="003F0AFC" w:rsidRPr="003F0AFC" w14:paraId="5BE49001" w14:textId="77777777" w:rsidTr="009050D8">
        <w:trPr>
          <w:trHeight w:val="62"/>
        </w:trPr>
        <w:tc>
          <w:tcPr>
            <w:tcW w:w="664" w:type="dxa"/>
            <w:tcBorders>
              <w:top w:val="nil"/>
              <w:left w:val="single" w:sz="4" w:space="0" w:color="auto"/>
              <w:bottom w:val="single" w:sz="4" w:space="0" w:color="auto"/>
              <w:right w:val="single" w:sz="4" w:space="0" w:color="auto"/>
            </w:tcBorders>
            <w:vAlign w:val="bottom"/>
            <w:hideMark/>
          </w:tcPr>
          <w:p w14:paraId="4B0F59AB"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649" w:type="dxa"/>
            <w:tcBorders>
              <w:top w:val="nil"/>
              <w:left w:val="nil"/>
              <w:bottom w:val="single" w:sz="4" w:space="0" w:color="auto"/>
              <w:right w:val="single" w:sz="4" w:space="0" w:color="auto"/>
            </w:tcBorders>
            <w:vAlign w:val="bottom"/>
            <w:hideMark/>
          </w:tcPr>
          <w:p w14:paraId="26EFC838"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DPU</w:t>
            </w:r>
          </w:p>
        </w:tc>
        <w:tc>
          <w:tcPr>
            <w:tcW w:w="4031" w:type="dxa"/>
            <w:tcBorders>
              <w:top w:val="nil"/>
              <w:left w:val="nil"/>
              <w:bottom w:val="single" w:sz="4" w:space="0" w:color="auto"/>
              <w:right w:val="single" w:sz="4" w:space="0" w:color="auto"/>
            </w:tcBorders>
            <w:vAlign w:val="bottom"/>
            <w:hideMark/>
          </w:tcPr>
          <w:p w14:paraId="57E0D0AD"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PUBLIC UTILITIES</w:t>
            </w:r>
          </w:p>
        </w:tc>
        <w:tc>
          <w:tcPr>
            <w:tcW w:w="1260" w:type="dxa"/>
            <w:tcBorders>
              <w:top w:val="nil"/>
              <w:left w:val="nil"/>
              <w:bottom w:val="single" w:sz="4" w:space="0" w:color="auto"/>
              <w:right w:val="single" w:sz="4" w:space="0" w:color="auto"/>
            </w:tcBorders>
            <w:vAlign w:val="bottom"/>
            <w:hideMark/>
          </w:tcPr>
          <w:p w14:paraId="66B26FD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$764,796</w:t>
            </w:r>
          </w:p>
        </w:tc>
        <w:tc>
          <w:tcPr>
            <w:tcW w:w="1170" w:type="dxa"/>
            <w:tcBorders>
              <w:top w:val="nil"/>
              <w:left w:val="nil"/>
              <w:bottom w:val="single" w:sz="4" w:space="0" w:color="auto"/>
              <w:right w:val="single" w:sz="4" w:space="0" w:color="auto"/>
            </w:tcBorders>
            <w:vAlign w:val="bottom"/>
            <w:hideMark/>
          </w:tcPr>
          <w:p w14:paraId="667A442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$45,888</w:t>
            </w:r>
          </w:p>
        </w:tc>
        <w:tc>
          <w:tcPr>
            <w:tcW w:w="1260" w:type="dxa"/>
            <w:tcBorders>
              <w:top w:val="nil"/>
              <w:left w:val="nil"/>
              <w:bottom w:val="single" w:sz="4" w:space="0" w:color="auto"/>
              <w:right w:val="single" w:sz="4" w:space="0" w:color="auto"/>
            </w:tcBorders>
            <w:vAlign w:val="bottom"/>
            <w:hideMark/>
          </w:tcPr>
          <w:p w14:paraId="7B95885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$59,132</w:t>
            </w:r>
          </w:p>
        </w:tc>
        <w:tc>
          <w:tcPr>
            <w:tcW w:w="1080" w:type="dxa"/>
            <w:tcBorders>
              <w:top w:val="nil"/>
              <w:left w:val="nil"/>
              <w:bottom w:val="single" w:sz="4" w:space="0" w:color="auto"/>
              <w:right w:val="single" w:sz="4" w:space="0" w:color="auto"/>
            </w:tcBorders>
            <w:vAlign w:val="bottom"/>
            <w:hideMark/>
          </w:tcPr>
          <w:p w14:paraId="329BB12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9E8905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$59,132</w:t>
            </w:r>
          </w:p>
        </w:tc>
        <w:tc>
          <w:tcPr>
            <w:tcW w:w="1151" w:type="dxa"/>
            <w:tcBorders>
              <w:top w:val="nil"/>
              <w:left w:val="nil"/>
              <w:bottom w:val="single" w:sz="4" w:space="0" w:color="auto"/>
              <w:right w:val="single" w:sz="4" w:space="0" w:color="auto"/>
            </w:tcBorders>
            <w:vAlign w:val="bottom"/>
            <w:hideMark/>
          </w:tcPr>
          <w:p w14:paraId="09F7468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128.86%</w:t>
            </w:r>
          </w:p>
        </w:tc>
        <w:tc>
          <w:tcPr>
            <w:tcW w:w="1260" w:type="dxa"/>
            <w:tcBorders>
              <w:top w:val="nil"/>
              <w:left w:val="nil"/>
              <w:bottom w:val="single" w:sz="4" w:space="0" w:color="auto"/>
              <w:right w:val="single" w:sz="4" w:space="0" w:color="auto"/>
            </w:tcBorders>
            <w:vAlign w:val="bottom"/>
            <w:hideMark/>
          </w:tcPr>
          <w:p w14:paraId="6E58B35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$13,245</w:t>
            </w:r>
          </w:p>
        </w:tc>
      </w:tr>
      <w:tr w:rsidR="003F0AFC" w:rsidRPr="003F0AFC" w14:paraId="1D79E4D4" w14:textId="77777777" w:rsidTr="009050D8">
        <w:trPr>
          <w:trHeight w:val="98"/>
        </w:trPr>
        <w:tc>
          <w:tcPr>
            <w:tcW w:w="664" w:type="dxa"/>
            <w:tcBorders>
              <w:top w:val="nil"/>
              <w:left w:val="single" w:sz="4" w:space="0" w:color="auto"/>
              <w:bottom w:val="single" w:sz="4" w:space="0" w:color="auto"/>
              <w:right w:val="single" w:sz="4" w:space="0" w:color="auto"/>
            </w:tcBorders>
            <w:vAlign w:val="bottom"/>
            <w:hideMark/>
          </w:tcPr>
          <w:p w14:paraId="6A75652E"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649" w:type="dxa"/>
            <w:tcBorders>
              <w:top w:val="nil"/>
              <w:left w:val="nil"/>
              <w:bottom w:val="single" w:sz="4" w:space="0" w:color="auto"/>
              <w:right w:val="single" w:sz="4" w:space="0" w:color="auto"/>
            </w:tcBorders>
            <w:vAlign w:val="bottom"/>
            <w:hideMark/>
          </w:tcPr>
          <w:p w14:paraId="34B7885A"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4031" w:type="dxa"/>
            <w:tcBorders>
              <w:top w:val="nil"/>
              <w:left w:val="nil"/>
              <w:bottom w:val="single" w:sz="4" w:space="0" w:color="auto"/>
              <w:right w:val="single" w:sz="4" w:space="0" w:color="auto"/>
            </w:tcBorders>
            <w:vAlign w:val="bottom"/>
            <w:hideMark/>
          </w:tcPr>
          <w:p w14:paraId="7FF6BB16"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EXECUTIVE OFFICE OF ENVIRONMENTAL AFFAIRS</w:t>
            </w:r>
          </w:p>
        </w:tc>
        <w:tc>
          <w:tcPr>
            <w:tcW w:w="1260" w:type="dxa"/>
            <w:tcBorders>
              <w:top w:val="nil"/>
              <w:left w:val="nil"/>
              <w:bottom w:val="single" w:sz="4" w:space="0" w:color="auto"/>
              <w:right w:val="single" w:sz="4" w:space="0" w:color="auto"/>
            </w:tcBorders>
            <w:vAlign w:val="bottom"/>
            <w:hideMark/>
          </w:tcPr>
          <w:p w14:paraId="3774256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$5,989,337</w:t>
            </w:r>
          </w:p>
        </w:tc>
        <w:tc>
          <w:tcPr>
            <w:tcW w:w="1170" w:type="dxa"/>
            <w:tcBorders>
              <w:top w:val="nil"/>
              <w:left w:val="nil"/>
              <w:bottom w:val="single" w:sz="4" w:space="0" w:color="auto"/>
              <w:right w:val="single" w:sz="4" w:space="0" w:color="auto"/>
            </w:tcBorders>
            <w:vAlign w:val="bottom"/>
            <w:hideMark/>
          </w:tcPr>
          <w:p w14:paraId="7DCB447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$359,360</w:t>
            </w:r>
          </w:p>
        </w:tc>
        <w:tc>
          <w:tcPr>
            <w:tcW w:w="1260" w:type="dxa"/>
            <w:tcBorders>
              <w:top w:val="nil"/>
              <w:left w:val="nil"/>
              <w:bottom w:val="single" w:sz="4" w:space="0" w:color="auto"/>
              <w:right w:val="single" w:sz="4" w:space="0" w:color="auto"/>
            </w:tcBorders>
            <w:vAlign w:val="bottom"/>
            <w:hideMark/>
          </w:tcPr>
          <w:p w14:paraId="7A0E92F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$750,347</w:t>
            </w:r>
          </w:p>
        </w:tc>
        <w:tc>
          <w:tcPr>
            <w:tcW w:w="1080" w:type="dxa"/>
            <w:tcBorders>
              <w:top w:val="nil"/>
              <w:left w:val="nil"/>
              <w:bottom w:val="single" w:sz="4" w:space="0" w:color="auto"/>
              <w:right w:val="single" w:sz="4" w:space="0" w:color="auto"/>
            </w:tcBorders>
            <w:vAlign w:val="bottom"/>
            <w:hideMark/>
          </w:tcPr>
          <w:p w14:paraId="1C2848B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07AAFF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$750,347</w:t>
            </w:r>
          </w:p>
        </w:tc>
        <w:tc>
          <w:tcPr>
            <w:tcW w:w="1151" w:type="dxa"/>
            <w:tcBorders>
              <w:top w:val="nil"/>
              <w:left w:val="nil"/>
              <w:bottom w:val="single" w:sz="4" w:space="0" w:color="auto"/>
              <w:right w:val="single" w:sz="4" w:space="0" w:color="auto"/>
            </w:tcBorders>
            <w:vAlign w:val="bottom"/>
            <w:hideMark/>
          </w:tcPr>
          <w:p w14:paraId="0DBD202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208.80%</w:t>
            </w:r>
          </w:p>
        </w:tc>
        <w:tc>
          <w:tcPr>
            <w:tcW w:w="1260" w:type="dxa"/>
            <w:tcBorders>
              <w:top w:val="nil"/>
              <w:left w:val="nil"/>
              <w:bottom w:val="single" w:sz="4" w:space="0" w:color="auto"/>
              <w:right w:val="single" w:sz="4" w:space="0" w:color="auto"/>
            </w:tcBorders>
            <w:vAlign w:val="bottom"/>
            <w:hideMark/>
          </w:tcPr>
          <w:p w14:paraId="2B880D7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$390,987</w:t>
            </w:r>
          </w:p>
        </w:tc>
      </w:tr>
      <w:tr w:rsidR="003F0AFC" w:rsidRPr="003F0AFC" w14:paraId="4112E3F1" w14:textId="77777777" w:rsidTr="009050D8">
        <w:trPr>
          <w:trHeight w:val="98"/>
        </w:trPr>
        <w:tc>
          <w:tcPr>
            <w:tcW w:w="664" w:type="dxa"/>
            <w:tcBorders>
              <w:top w:val="nil"/>
              <w:left w:val="single" w:sz="4" w:space="0" w:color="auto"/>
              <w:bottom w:val="nil"/>
              <w:right w:val="single" w:sz="4" w:space="0" w:color="auto"/>
            </w:tcBorders>
            <w:vAlign w:val="bottom"/>
            <w:hideMark/>
          </w:tcPr>
          <w:p w14:paraId="684C54E2"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649" w:type="dxa"/>
            <w:tcBorders>
              <w:top w:val="nil"/>
              <w:left w:val="nil"/>
              <w:bottom w:val="nil"/>
              <w:right w:val="single" w:sz="4" w:space="0" w:color="auto"/>
            </w:tcBorders>
            <w:vAlign w:val="bottom"/>
            <w:hideMark/>
          </w:tcPr>
          <w:p w14:paraId="536140F6"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SRB</w:t>
            </w:r>
          </w:p>
        </w:tc>
        <w:tc>
          <w:tcPr>
            <w:tcW w:w="4031" w:type="dxa"/>
            <w:tcBorders>
              <w:top w:val="nil"/>
              <w:left w:val="nil"/>
              <w:bottom w:val="nil"/>
              <w:right w:val="single" w:sz="4" w:space="0" w:color="auto"/>
            </w:tcBorders>
            <w:vAlign w:val="bottom"/>
            <w:hideMark/>
          </w:tcPr>
          <w:p w14:paraId="5505F58F"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STATE RECLAMATION BOARD</w:t>
            </w:r>
          </w:p>
        </w:tc>
        <w:tc>
          <w:tcPr>
            <w:tcW w:w="1260" w:type="dxa"/>
            <w:tcBorders>
              <w:top w:val="nil"/>
              <w:left w:val="nil"/>
              <w:bottom w:val="nil"/>
              <w:right w:val="single" w:sz="4" w:space="0" w:color="auto"/>
            </w:tcBorders>
            <w:vAlign w:val="bottom"/>
            <w:hideMark/>
          </w:tcPr>
          <w:p w14:paraId="60AA40C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$3,430,457</w:t>
            </w:r>
          </w:p>
        </w:tc>
        <w:tc>
          <w:tcPr>
            <w:tcW w:w="1170" w:type="dxa"/>
            <w:tcBorders>
              <w:top w:val="nil"/>
              <w:left w:val="nil"/>
              <w:bottom w:val="nil"/>
              <w:right w:val="single" w:sz="4" w:space="0" w:color="auto"/>
            </w:tcBorders>
            <w:vAlign w:val="bottom"/>
            <w:hideMark/>
          </w:tcPr>
          <w:p w14:paraId="7E83ACE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$205,827</w:t>
            </w:r>
          </w:p>
        </w:tc>
        <w:tc>
          <w:tcPr>
            <w:tcW w:w="1260" w:type="dxa"/>
            <w:tcBorders>
              <w:top w:val="nil"/>
              <w:left w:val="nil"/>
              <w:bottom w:val="nil"/>
              <w:right w:val="single" w:sz="4" w:space="0" w:color="auto"/>
            </w:tcBorders>
            <w:vAlign w:val="bottom"/>
            <w:hideMark/>
          </w:tcPr>
          <w:p w14:paraId="1C8C932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$23,520</w:t>
            </w:r>
          </w:p>
        </w:tc>
        <w:tc>
          <w:tcPr>
            <w:tcW w:w="1080" w:type="dxa"/>
            <w:tcBorders>
              <w:top w:val="nil"/>
              <w:left w:val="nil"/>
              <w:bottom w:val="nil"/>
              <w:right w:val="single" w:sz="4" w:space="0" w:color="auto"/>
            </w:tcBorders>
            <w:vAlign w:val="bottom"/>
            <w:hideMark/>
          </w:tcPr>
          <w:p w14:paraId="57F6F20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37AEBCD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$23,520</w:t>
            </w:r>
          </w:p>
        </w:tc>
        <w:tc>
          <w:tcPr>
            <w:tcW w:w="1151" w:type="dxa"/>
            <w:tcBorders>
              <w:top w:val="nil"/>
              <w:left w:val="nil"/>
              <w:bottom w:val="nil"/>
              <w:right w:val="single" w:sz="4" w:space="0" w:color="auto"/>
            </w:tcBorders>
            <w:vAlign w:val="bottom"/>
            <w:hideMark/>
          </w:tcPr>
          <w:p w14:paraId="45908CC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11.43%</w:t>
            </w:r>
          </w:p>
        </w:tc>
        <w:tc>
          <w:tcPr>
            <w:tcW w:w="1260" w:type="dxa"/>
            <w:tcBorders>
              <w:top w:val="nil"/>
              <w:left w:val="nil"/>
              <w:bottom w:val="nil"/>
              <w:right w:val="single" w:sz="4" w:space="0" w:color="auto"/>
            </w:tcBorders>
            <w:vAlign w:val="bottom"/>
            <w:hideMark/>
          </w:tcPr>
          <w:p w14:paraId="557693D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-$182,307</w:t>
            </w:r>
          </w:p>
        </w:tc>
      </w:tr>
      <w:tr w:rsidR="003F0AFC" w:rsidRPr="003F0AFC" w14:paraId="45D6D14C" w14:textId="77777777" w:rsidTr="009050D8">
        <w:trPr>
          <w:trHeight w:val="106"/>
        </w:trPr>
        <w:tc>
          <w:tcPr>
            <w:tcW w:w="5344" w:type="dxa"/>
            <w:gridSpan w:val="3"/>
            <w:tcBorders>
              <w:top w:val="single" w:sz="8" w:space="0" w:color="auto"/>
              <w:left w:val="single" w:sz="8" w:space="0" w:color="auto"/>
              <w:bottom w:val="single" w:sz="8" w:space="0" w:color="auto"/>
              <w:right w:val="single" w:sz="4" w:space="0" w:color="auto"/>
            </w:tcBorders>
            <w:shd w:val="clear" w:color="000000" w:fill="E26B0A"/>
            <w:vAlign w:val="bottom"/>
            <w:hideMark/>
          </w:tcPr>
          <w:p w14:paraId="0CBF74E9" w14:textId="77777777" w:rsidR="003F0AFC" w:rsidRPr="00E67D16" w:rsidRDefault="003F0AFC" w:rsidP="00F8162C">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27F4D8C0"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$54,525,558</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772C09E0"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$3,271,533</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6F83C531"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$2,156,949</w:t>
            </w:r>
          </w:p>
        </w:tc>
        <w:tc>
          <w:tcPr>
            <w:tcW w:w="1080" w:type="dxa"/>
            <w:tcBorders>
              <w:top w:val="single" w:sz="8" w:space="0" w:color="auto"/>
              <w:left w:val="nil"/>
              <w:bottom w:val="single" w:sz="8" w:space="0" w:color="auto"/>
              <w:right w:val="single" w:sz="4" w:space="0" w:color="auto"/>
            </w:tcBorders>
            <w:shd w:val="clear" w:color="000000" w:fill="E26B0A"/>
            <w:vAlign w:val="bottom"/>
            <w:hideMark/>
          </w:tcPr>
          <w:p w14:paraId="2D30DB84"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$2,644</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46623463"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$2,159,593</w:t>
            </w:r>
          </w:p>
        </w:tc>
        <w:tc>
          <w:tcPr>
            <w:tcW w:w="1151" w:type="dxa"/>
            <w:tcBorders>
              <w:top w:val="single" w:sz="8" w:space="0" w:color="auto"/>
              <w:left w:val="nil"/>
              <w:bottom w:val="single" w:sz="8" w:space="0" w:color="auto"/>
              <w:right w:val="single" w:sz="4" w:space="0" w:color="auto"/>
            </w:tcBorders>
            <w:shd w:val="clear" w:color="000000" w:fill="E26B0A"/>
            <w:vAlign w:val="bottom"/>
            <w:hideMark/>
          </w:tcPr>
          <w:p w14:paraId="4080A736"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66.01%</w:t>
            </w:r>
          </w:p>
        </w:tc>
        <w:tc>
          <w:tcPr>
            <w:tcW w:w="1260" w:type="dxa"/>
            <w:tcBorders>
              <w:top w:val="single" w:sz="8" w:space="0" w:color="auto"/>
              <w:left w:val="nil"/>
              <w:bottom w:val="single" w:sz="8" w:space="0" w:color="auto"/>
              <w:right w:val="single" w:sz="8" w:space="0" w:color="auto"/>
            </w:tcBorders>
            <w:shd w:val="clear" w:color="000000" w:fill="E26B0A"/>
            <w:vAlign w:val="bottom"/>
            <w:hideMark/>
          </w:tcPr>
          <w:p w14:paraId="229B9604"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-$1,111,941</w:t>
            </w:r>
          </w:p>
        </w:tc>
      </w:tr>
      <w:tr w:rsidR="003F0AFC" w:rsidRPr="003F0AFC" w14:paraId="624081EB" w14:textId="77777777" w:rsidTr="009050D8">
        <w:trPr>
          <w:trHeight w:val="97"/>
        </w:trPr>
        <w:tc>
          <w:tcPr>
            <w:tcW w:w="664" w:type="dxa"/>
            <w:tcBorders>
              <w:top w:val="nil"/>
              <w:left w:val="single" w:sz="4" w:space="0" w:color="auto"/>
              <w:bottom w:val="nil"/>
              <w:right w:val="single" w:sz="4" w:space="0" w:color="auto"/>
            </w:tcBorders>
            <w:vAlign w:val="bottom"/>
            <w:hideMark/>
          </w:tcPr>
          <w:p w14:paraId="5D283323"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EOL</w:t>
            </w:r>
          </w:p>
        </w:tc>
        <w:tc>
          <w:tcPr>
            <w:tcW w:w="649" w:type="dxa"/>
            <w:tcBorders>
              <w:top w:val="nil"/>
              <w:left w:val="nil"/>
              <w:bottom w:val="nil"/>
              <w:right w:val="single" w:sz="4" w:space="0" w:color="auto"/>
            </w:tcBorders>
            <w:vAlign w:val="bottom"/>
            <w:hideMark/>
          </w:tcPr>
          <w:p w14:paraId="6A3EC072"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EOL</w:t>
            </w:r>
          </w:p>
        </w:tc>
        <w:tc>
          <w:tcPr>
            <w:tcW w:w="4031" w:type="dxa"/>
            <w:tcBorders>
              <w:top w:val="nil"/>
              <w:left w:val="nil"/>
              <w:bottom w:val="nil"/>
              <w:right w:val="single" w:sz="4" w:space="0" w:color="auto"/>
            </w:tcBorders>
            <w:vAlign w:val="bottom"/>
            <w:hideMark/>
          </w:tcPr>
          <w:p w14:paraId="0469C37D"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WORKFORCE DEVELOPMENT</w:t>
            </w:r>
          </w:p>
        </w:tc>
        <w:tc>
          <w:tcPr>
            <w:tcW w:w="1260" w:type="dxa"/>
            <w:tcBorders>
              <w:top w:val="nil"/>
              <w:left w:val="nil"/>
              <w:bottom w:val="nil"/>
              <w:right w:val="single" w:sz="4" w:space="0" w:color="auto"/>
            </w:tcBorders>
            <w:vAlign w:val="bottom"/>
            <w:hideMark/>
          </w:tcPr>
          <w:p w14:paraId="687D3F5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$28,226,186</w:t>
            </w:r>
          </w:p>
        </w:tc>
        <w:tc>
          <w:tcPr>
            <w:tcW w:w="1170" w:type="dxa"/>
            <w:tcBorders>
              <w:top w:val="nil"/>
              <w:left w:val="nil"/>
              <w:bottom w:val="nil"/>
              <w:right w:val="single" w:sz="4" w:space="0" w:color="auto"/>
            </w:tcBorders>
            <w:vAlign w:val="bottom"/>
            <w:hideMark/>
          </w:tcPr>
          <w:p w14:paraId="27F4D26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$1,693,571</w:t>
            </w:r>
          </w:p>
        </w:tc>
        <w:tc>
          <w:tcPr>
            <w:tcW w:w="1260" w:type="dxa"/>
            <w:tcBorders>
              <w:top w:val="nil"/>
              <w:left w:val="nil"/>
              <w:bottom w:val="nil"/>
              <w:right w:val="single" w:sz="4" w:space="0" w:color="auto"/>
            </w:tcBorders>
            <w:vAlign w:val="bottom"/>
            <w:hideMark/>
          </w:tcPr>
          <w:p w14:paraId="7638069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$1,878,522</w:t>
            </w:r>
          </w:p>
        </w:tc>
        <w:tc>
          <w:tcPr>
            <w:tcW w:w="1080" w:type="dxa"/>
            <w:tcBorders>
              <w:top w:val="nil"/>
              <w:left w:val="nil"/>
              <w:bottom w:val="nil"/>
              <w:right w:val="single" w:sz="4" w:space="0" w:color="auto"/>
            </w:tcBorders>
            <w:vAlign w:val="bottom"/>
            <w:hideMark/>
          </w:tcPr>
          <w:p w14:paraId="5E62AF6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0AEF80F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$1,878,522</w:t>
            </w:r>
          </w:p>
        </w:tc>
        <w:tc>
          <w:tcPr>
            <w:tcW w:w="1151" w:type="dxa"/>
            <w:tcBorders>
              <w:top w:val="nil"/>
              <w:left w:val="nil"/>
              <w:bottom w:val="nil"/>
              <w:right w:val="single" w:sz="4" w:space="0" w:color="auto"/>
            </w:tcBorders>
            <w:vAlign w:val="bottom"/>
            <w:hideMark/>
          </w:tcPr>
          <w:p w14:paraId="21347F2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110.92%</w:t>
            </w:r>
          </w:p>
        </w:tc>
        <w:tc>
          <w:tcPr>
            <w:tcW w:w="1260" w:type="dxa"/>
            <w:tcBorders>
              <w:top w:val="nil"/>
              <w:left w:val="nil"/>
              <w:bottom w:val="nil"/>
              <w:right w:val="single" w:sz="4" w:space="0" w:color="auto"/>
            </w:tcBorders>
            <w:vAlign w:val="bottom"/>
            <w:hideMark/>
          </w:tcPr>
          <w:p w14:paraId="75FF67D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$184,951</w:t>
            </w:r>
          </w:p>
        </w:tc>
      </w:tr>
      <w:tr w:rsidR="003F0AFC" w:rsidRPr="003F0AFC" w14:paraId="5F64CE4A" w14:textId="77777777" w:rsidTr="009050D8">
        <w:trPr>
          <w:trHeight w:val="133"/>
        </w:trPr>
        <w:tc>
          <w:tcPr>
            <w:tcW w:w="5344" w:type="dxa"/>
            <w:gridSpan w:val="3"/>
            <w:tcBorders>
              <w:top w:val="single" w:sz="8" w:space="0" w:color="auto"/>
              <w:left w:val="single" w:sz="8" w:space="0" w:color="auto"/>
              <w:bottom w:val="single" w:sz="8" w:space="0" w:color="auto"/>
              <w:right w:val="single" w:sz="4" w:space="0" w:color="auto"/>
            </w:tcBorders>
            <w:shd w:val="clear" w:color="000000" w:fill="E26B0A"/>
            <w:vAlign w:val="bottom"/>
            <w:hideMark/>
          </w:tcPr>
          <w:p w14:paraId="5FC4FF4B" w14:textId="77777777" w:rsidR="003F0AFC" w:rsidRPr="00E67D16" w:rsidRDefault="003F0AFC" w:rsidP="00F8162C">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2382C1CE"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$28,226,186</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6A51C257"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$1,693,571</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5D9980E2"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$1,878,522</w:t>
            </w:r>
          </w:p>
        </w:tc>
        <w:tc>
          <w:tcPr>
            <w:tcW w:w="1080" w:type="dxa"/>
            <w:tcBorders>
              <w:top w:val="single" w:sz="8" w:space="0" w:color="auto"/>
              <w:left w:val="nil"/>
              <w:bottom w:val="single" w:sz="8" w:space="0" w:color="auto"/>
              <w:right w:val="single" w:sz="4" w:space="0" w:color="auto"/>
            </w:tcBorders>
            <w:shd w:val="clear" w:color="000000" w:fill="E26B0A"/>
            <w:vAlign w:val="bottom"/>
            <w:hideMark/>
          </w:tcPr>
          <w:p w14:paraId="64F252EA"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3F63BBAA"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$1,878,522</w:t>
            </w:r>
          </w:p>
        </w:tc>
        <w:tc>
          <w:tcPr>
            <w:tcW w:w="1151" w:type="dxa"/>
            <w:tcBorders>
              <w:top w:val="single" w:sz="8" w:space="0" w:color="auto"/>
              <w:left w:val="nil"/>
              <w:bottom w:val="single" w:sz="8" w:space="0" w:color="auto"/>
              <w:right w:val="single" w:sz="4" w:space="0" w:color="auto"/>
            </w:tcBorders>
            <w:shd w:val="clear" w:color="000000" w:fill="E26B0A"/>
            <w:vAlign w:val="bottom"/>
            <w:hideMark/>
          </w:tcPr>
          <w:p w14:paraId="70234EBC"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110.92%</w:t>
            </w:r>
          </w:p>
        </w:tc>
        <w:tc>
          <w:tcPr>
            <w:tcW w:w="1260" w:type="dxa"/>
            <w:tcBorders>
              <w:top w:val="single" w:sz="8" w:space="0" w:color="auto"/>
              <w:left w:val="nil"/>
              <w:bottom w:val="single" w:sz="8" w:space="0" w:color="auto"/>
              <w:right w:val="single" w:sz="8" w:space="0" w:color="auto"/>
            </w:tcBorders>
            <w:shd w:val="clear" w:color="000000" w:fill="E26B0A"/>
            <w:vAlign w:val="bottom"/>
            <w:hideMark/>
          </w:tcPr>
          <w:p w14:paraId="1590644E"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$184,951</w:t>
            </w:r>
          </w:p>
        </w:tc>
      </w:tr>
      <w:tr w:rsidR="003F0AFC" w:rsidRPr="003F0AFC" w14:paraId="545F134E" w14:textId="77777777" w:rsidTr="009050D8">
        <w:trPr>
          <w:trHeight w:val="133"/>
        </w:trPr>
        <w:tc>
          <w:tcPr>
            <w:tcW w:w="664" w:type="dxa"/>
            <w:tcBorders>
              <w:top w:val="nil"/>
              <w:left w:val="single" w:sz="4" w:space="0" w:color="auto"/>
              <w:bottom w:val="single" w:sz="4" w:space="0" w:color="auto"/>
              <w:right w:val="single" w:sz="4" w:space="0" w:color="auto"/>
            </w:tcBorders>
            <w:vAlign w:val="bottom"/>
            <w:hideMark/>
          </w:tcPr>
          <w:p w14:paraId="394AD170"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49" w:type="dxa"/>
            <w:tcBorders>
              <w:top w:val="nil"/>
              <w:left w:val="nil"/>
              <w:bottom w:val="single" w:sz="4" w:space="0" w:color="auto"/>
              <w:right w:val="single" w:sz="4" w:space="0" w:color="auto"/>
            </w:tcBorders>
            <w:vAlign w:val="bottom"/>
            <w:hideMark/>
          </w:tcPr>
          <w:p w14:paraId="06518664"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CME</w:t>
            </w:r>
          </w:p>
        </w:tc>
        <w:tc>
          <w:tcPr>
            <w:tcW w:w="4031" w:type="dxa"/>
            <w:tcBorders>
              <w:top w:val="nil"/>
              <w:left w:val="nil"/>
              <w:bottom w:val="single" w:sz="4" w:space="0" w:color="auto"/>
              <w:right w:val="single" w:sz="4" w:space="0" w:color="auto"/>
            </w:tcBorders>
            <w:vAlign w:val="bottom"/>
            <w:hideMark/>
          </w:tcPr>
          <w:p w14:paraId="009D4F7F"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CHIEF MEDICAL EXAMINER</w:t>
            </w:r>
          </w:p>
        </w:tc>
        <w:tc>
          <w:tcPr>
            <w:tcW w:w="1260" w:type="dxa"/>
            <w:tcBorders>
              <w:top w:val="nil"/>
              <w:left w:val="nil"/>
              <w:bottom w:val="single" w:sz="4" w:space="0" w:color="auto"/>
              <w:right w:val="single" w:sz="4" w:space="0" w:color="auto"/>
            </w:tcBorders>
            <w:vAlign w:val="bottom"/>
            <w:hideMark/>
          </w:tcPr>
          <w:p w14:paraId="2DFF723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$735,485</w:t>
            </w:r>
          </w:p>
        </w:tc>
        <w:tc>
          <w:tcPr>
            <w:tcW w:w="1170" w:type="dxa"/>
            <w:tcBorders>
              <w:top w:val="nil"/>
              <w:left w:val="nil"/>
              <w:bottom w:val="single" w:sz="4" w:space="0" w:color="auto"/>
              <w:right w:val="single" w:sz="4" w:space="0" w:color="auto"/>
            </w:tcBorders>
            <w:vAlign w:val="bottom"/>
            <w:hideMark/>
          </w:tcPr>
          <w:p w14:paraId="3BCD488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$44,129</w:t>
            </w:r>
          </w:p>
        </w:tc>
        <w:tc>
          <w:tcPr>
            <w:tcW w:w="1260" w:type="dxa"/>
            <w:tcBorders>
              <w:top w:val="nil"/>
              <w:left w:val="nil"/>
              <w:bottom w:val="single" w:sz="4" w:space="0" w:color="auto"/>
              <w:right w:val="single" w:sz="4" w:space="0" w:color="auto"/>
            </w:tcBorders>
            <w:vAlign w:val="bottom"/>
            <w:hideMark/>
          </w:tcPr>
          <w:p w14:paraId="4D63356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$100,115</w:t>
            </w:r>
          </w:p>
        </w:tc>
        <w:tc>
          <w:tcPr>
            <w:tcW w:w="1080" w:type="dxa"/>
            <w:tcBorders>
              <w:top w:val="nil"/>
              <w:left w:val="nil"/>
              <w:bottom w:val="single" w:sz="4" w:space="0" w:color="auto"/>
              <w:right w:val="single" w:sz="4" w:space="0" w:color="auto"/>
            </w:tcBorders>
            <w:vAlign w:val="bottom"/>
            <w:hideMark/>
          </w:tcPr>
          <w:p w14:paraId="7204529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2AE117B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$100,115</w:t>
            </w:r>
          </w:p>
        </w:tc>
        <w:tc>
          <w:tcPr>
            <w:tcW w:w="1151" w:type="dxa"/>
            <w:tcBorders>
              <w:top w:val="nil"/>
              <w:left w:val="nil"/>
              <w:bottom w:val="single" w:sz="4" w:space="0" w:color="auto"/>
              <w:right w:val="single" w:sz="4" w:space="0" w:color="auto"/>
            </w:tcBorders>
            <w:vAlign w:val="bottom"/>
            <w:hideMark/>
          </w:tcPr>
          <w:p w14:paraId="1858800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226.87%</w:t>
            </w:r>
          </w:p>
        </w:tc>
        <w:tc>
          <w:tcPr>
            <w:tcW w:w="1260" w:type="dxa"/>
            <w:tcBorders>
              <w:top w:val="nil"/>
              <w:left w:val="nil"/>
              <w:bottom w:val="single" w:sz="4" w:space="0" w:color="auto"/>
              <w:right w:val="single" w:sz="4" w:space="0" w:color="auto"/>
            </w:tcBorders>
            <w:vAlign w:val="bottom"/>
            <w:hideMark/>
          </w:tcPr>
          <w:p w14:paraId="1633981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$55,986</w:t>
            </w:r>
          </w:p>
        </w:tc>
      </w:tr>
      <w:tr w:rsidR="003F0AFC" w:rsidRPr="003F0AFC" w14:paraId="008EB8A4" w14:textId="77777777" w:rsidTr="009050D8">
        <w:trPr>
          <w:trHeight w:val="134"/>
        </w:trPr>
        <w:tc>
          <w:tcPr>
            <w:tcW w:w="664" w:type="dxa"/>
            <w:tcBorders>
              <w:top w:val="nil"/>
              <w:left w:val="single" w:sz="4" w:space="0" w:color="auto"/>
              <w:bottom w:val="single" w:sz="4" w:space="0" w:color="auto"/>
              <w:right w:val="single" w:sz="4" w:space="0" w:color="auto"/>
            </w:tcBorders>
            <w:vAlign w:val="bottom"/>
            <w:hideMark/>
          </w:tcPr>
          <w:p w14:paraId="5E748CD2"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49" w:type="dxa"/>
            <w:tcBorders>
              <w:top w:val="nil"/>
              <w:left w:val="nil"/>
              <w:bottom w:val="single" w:sz="4" w:space="0" w:color="auto"/>
              <w:right w:val="single" w:sz="4" w:space="0" w:color="auto"/>
            </w:tcBorders>
            <w:vAlign w:val="bottom"/>
            <w:hideMark/>
          </w:tcPr>
          <w:p w14:paraId="384B4D4D"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CHS</w:t>
            </w:r>
          </w:p>
        </w:tc>
        <w:tc>
          <w:tcPr>
            <w:tcW w:w="4031" w:type="dxa"/>
            <w:tcBorders>
              <w:top w:val="nil"/>
              <w:left w:val="nil"/>
              <w:bottom w:val="single" w:sz="4" w:space="0" w:color="auto"/>
              <w:right w:val="single" w:sz="4" w:space="0" w:color="auto"/>
            </w:tcBorders>
            <w:vAlign w:val="bottom"/>
            <w:hideMark/>
          </w:tcPr>
          <w:p w14:paraId="3BE143DC"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CRIMINAL JUSTICE INFORMATION SERVICES DEPARTMENT</w:t>
            </w:r>
          </w:p>
        </w:tc>
        <w:tc>
          <w:tcPr>
            <w:tcW w:w="1260" w:type="dxa"/>
            <w:tcBorders>
              <w:top w:val="nil"/>
              <w:left w:val="nil"/>
              <w:bottom w:val="single" w:sz="4" w:space="0" w:color="auto"/>
              <w:right w:val="single" w:sz="4" w:space="0" w:color="auto"/>
            </w:tcBorders>
            <w:vAlign w:val="bottom"/>
            <w:hideMark/>
          </w:tcPr>
          <w:p w14:paraId="4BF5344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$579,281</w:t>
            </w:r>
          </w:p>
        </w:tc>
        <w:tc>
          <w:tcPr>
            <w:tcW w:w="1170" w:type="dxa"/>
            <w:tcBorders>
              <w:top w:val="nil"/>
              <w:left w:val="nil"/>
              <w:bottom w:val="single" w:sz="4" w:space="0" w:color="auto"/>
              <w:right w:val="single" w:sz="4" w:space="0" w:color="auto"/>
            </w:tcBorders>
            <w:vAlign w:val="bottom"/>
            <w:hideMark/>
          </w:tcPr>
          <w:p w14:paraId="18E43E9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$34,757</w:t>
            </w:r>
          </w:p>
        </w:tc>
        <w:tc>
          <w:tcPr>
            <w:tcW w:w="1260" w:type="dxa"/>
            <w:tcBorders>
              <w:top w:val="nil"/>
              <w:left w:val="nil"/>
              <w:bottom w:val="single" w:sz="4" w:space="0" w:color="auto"/>
              <w:right w:val="single" w:sz="4" w:space="0" w:color="auto"/>
            </w:tcBorders>
            <w:vAlign w:val="bottom"/>
            <w:hideMark/>
          </w:tcPr>
          <w:p w14:paraId="0742382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$7,362</w:t>
            </w:r>
          </w:p>
        </w:tc>
        <w:tc>
          <w:tcPr>
            <w:tcW w:w="1080" w:type="dxa"/>
            <w:tcBorders>
              <w:top w:val="nil"/>
              <w:left w:val="nil"/>
              <w:bottom w:val="single" w:sz="4" w:space="0" w:color="auto"/>
              <w:right w:val="single" w:sz="4" w:space="0" w:color="auto"/>
            </w:tcBorders>
            <w:vAlign w:val="bottom"/>
            <w:hideMark/>
          </w:tcPr>
          <w:p w14:paraId="12709EA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58299B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$7,362</w:t>
            </w:r>
          </w:p>
        </w:tc>
        <w:tc>
          <w:tcPr>
            <w:tcW w:w="1151" w:type="dxa"/>
            <w:tcBorders>
              <w:top w:val="nil"/>
              <w:left w:val="nil"/>
              <w:bottom w:val="single" w:sz="4" w:space="0" w:color="auto"/>
              <w:right w:val="single" w:sz="4" w:space="0" w:color="auto"/>
            </w:tcBorders>
            <w:vAlign w:val="bottom"/>
            <w:hideMark/>
          </w:tcPr>
          <w:p w14:paraId="7E50251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21.18%</w:t>
            </w:r>
          </w:p>
        </w:tc>
        <w:tc>
          <w:tcPr>
            <w:tcW w:w="1260" w:type="dxa"/>
            <w:tcBorders>
              <w:top w:val="nil"/>
              <w:left w:val="nil"/>
              <w:bottom w:val="single" w:sz="4" w:space="0" w:color="auto"/>
              <w:right w:val="single" w:sz="4" w:space="0" w:color="auto"/>
            </w:tcBorders>
            <w:vAlign w:val="bottom"/>
            <w:hideMark/>
          </w:tcPr>
          <w:p w14:paraId="63AD0B1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-$27,395</w:t>
            </w:r>
          </w:p>
        </w:tc>
      </w:tr>
      <w:tr w:rsidR="003F0AFC" w:rsidRPr="003F0AFC" w14:paraId="14D8C83A" w14:textId="77777777" w:rsidTr="009050D8">
        <w:trPr>
          <w:trHeight w:val="134"/>
        </w:trPr>
        <w:tc>
          <w:tcPr>
            <w:tcW w:w="664" w:type="dxa"/>
            <w:tcBorders>
              <w:top w:val="nil"/>
              <w:left w:val="single" w:sz="4" w:space="0" w:color="auto"/>
              <w:bottom w:val="single" w:sz="4" w:space="0" w:color="auto"/>
              <w:right w:val="single" w:sz="4" w:space="0" w:color="auto"/>
            </w:tcBorders>
            <w:vAlign w:val="bottom"/>
            <w:hideMark/>
          </w:tcPr>
          <w:p w14:paraId="7E4E0BCB"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49" w:type="dxa"/>
            <w:tcBorders>
              <w:top w:val="nil"/>
              <w:left w:val="nil"/>
              <w:bottom w:val="single" w:sz="4" w:space="0" w:color="auto"/>
              <w:right w:val="single" w:sz="4" w:space="0" w:color="auto"/>
            </w:tcBorders>
            <w:vAlign w:val="bottom"/>
            <w:hideMark/>
          </w:tcPr>
          <w:p w14:paraId="13276F00"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DOC</w:t>
            </w:r>
          </w:p>
        </w:tc>
        <w:tc>
          <w:tcPr>
            <w:tcW w:w="4031" w:type="dxa"/>
            <w:tcBorders>
              <w:top w:val="nil"/>
              <w:left w:val="nil"/>
              <w:bottom w:val="single" w:sz="4" w:space="0" w:color="auto"/>
              <w:right w:val="single" w:sz="4" w:space="0" w:color="auto"/>
            </w:tcBorders>
            <w:vAlign w:val="bottom"/>
            <w:hideMark/>
          </w:tcPr>
          <w:p w14:paraId="6ADA0294"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CORRECTION</w:t>
            </w:r>
          </w:p>
        </w:tc>
        <w:tc>
          <w:tcPr>
            <w:tcW w:w="1260" w:type="dxa"/>
            <w:tcBorders>
              <w:top w:val="nil"/>
              <w:left w:val="nil"/>
              <w:bottom w:val="single" w:sz="4" w:space="0" w:color="auto"/>
              <w:right w:val="single" w:sz="4" w:space="0" w:color="auto"/>
            </w:tcBorders>
            <w:vAlign w:val="bottom"/>
            <w:hideMark/>
          </w:tcPr>
          <w:p w14:paraId="48A1CEB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$25,900,985</w:t>
            </w:r>
          </w:p>
        </w:tc>
        <w:tc>
          <w:tcPr>
            <w:tcW w:w="1170" w:type="dxa"/>
            <w:tcBorders>
              <w:top w:val="nil"/>
              <w:left w:val="nil"/>
              <w:bottom w:val="single" w:sz="4" w:space="0" w:color="auto"/>
              <w:right w:val="single" w:sz="4" w:space="0" w:color="auto"/>
            </w:tcBorders>
            <w:vAlign w:val="bottom"/>
            <w:hideMark/>
          </w:tcPr>
          <w:p w14:paraId="0284328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$1,554,059</w:t>
            </w:r>
          </w:p>
        </w:tc>
        <w:tc>
          <w:tcPr>
            <w:tcW w:w="1260" w:type="dxa"/>
            <w:tcBorders>
              <w:top w:val="nil"/>
              <w:left w:val="nil"/>
              <w:bottom w:val="single" w:sz="4" w:space="0" w:color="auto"/>
              <w:right w:val="single" w:sz="4" w:space="0" w:color="auto"/>
            </w:tcBorders>
            <w:vAlign w:val="bottom"/>
            <w:hideMark/>
          </w:tcPr>
          <w:p w14:paraId="2492212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$587,032</w:t>
            </w:r>
          </w:p>
        </w:tc>
        <w:tc>
          <w:tcPr>
            <w:tcW w:w="1080" w:type="dxa"/>
            <w:tcBorders>
              <w:top w:val="nil"/>
              <w:left w:val="nil"/>
              <w:bottom w:val="single" w:sz="4" w:space="0" w:color="auto"/>
              <w:right w:val="single" w:sz="4" w:space="0" w:color="auto"/>
            </w:tcBorders>
            <w:vAlign w:val="bottom"/>
            <w:hideMark/>
          </w:tcPr>
          <w:p w14:paraId="150FC2E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$5,090,426</w:t>
            </w:r>
          </w:p>
        </w:tc>
        <w:tc>
          <w:tcPr>
            <w:tcW w:w="1170" w:type="dxa"/>
            <w:tcBorders>
              <w:top w:val="nil"/>
              <w:left w:val="nil"/>
              <w:bottom w:val="single" w:sz="4" w:space="0" w:color="auto"/>
              <w:right w:val="single" w:sz="4" w:space="0" w:color="auto"/>
            </w:tcBorders>
            <w:vAlign w:val="bottom"/>
            <w:hideMark/>
          </w:tcPr>
          <w:p w14:paraId="18B4AC3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$5,677,458</w:t>
            </w:r>
          </w:p>
        </w:tc>
        <w:tc>
          <w:tcPr>
            <w:tcW w:w="1151" w:type="dxa"/>
            <w:tcBorders>
              <w:top w:val="nil"/>
              <w:left w:val="nil"/>
              <w:bottom w:val="single" w:sz="4" w:space="0" w:color="auto"/>
              <w:right w:val="single" w:sz="4" w:space="0" w:color="auto"/>
            </w:tcBorders>
            <w:vAlign w:val="bottom"/>
            <w:hideMark/>
          </w:tcPr>
          <w:p w14:paraId="663FE92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365.33%</w:t>
            </w:r>
          </w:p>
        </w:tc>
        <w:tc>
          <w:tcPr>
            <w:tcW w:w="1260" w:type="dxa"/>
            <w:tcBorders>
              <w:top w:val="nil"/>
              <w:left w:val="nil"/>
              <w:bottom w:val="single" w:sz="4" w:space="0" w:color="auto"/>
              <w:right w:val="single" w:sz="4" w:space="0" w:color="auto"/>
            </w:tcBorders>
            <w:vAlign w:val="bottom"/>
            <w:hideMark/>
          </w:tcPr>
          <w:p w14:paraId="3CE0BDA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$4,123,399</w:t>
            </w:r>
          </w:p>
        </w:tc>
      </w:tr>
      <w:tr w:rsidR="003F0AFC" w:rsidRPr="003F0AFC" w14:paraId="15363791" w14:textId="77777777" w:rsidTr="009050D8">
        <w:trPr>
          <w:trHeight w:val="60"/>
        </w:trPr>
        <w:tc>
          <w:tcPr>
            <w:tcW w:w="664" w:type="dxa"/>
            <w:tcBorders>
              <w:top w:val="nil"/>
              <w:left w:val="single" w:sz="4" w:space="0" w:color="auto"/>
              <w:bottom w:val="single" w:sz="4" w:space="0" w:color="auto"/>
              <w:right w:val="single" w:sz="4" w:space="0" w:color="auto"/>
            </w:tcBorders>
            <w:vAlign w:val="bottom"/>
            <w:hideMark/>
          </w:tcPr>
          <w:p w14:paraId="5B8605A7"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49" w:type="dxa"/>
            <w:tcBorders>
              <w:top w:val="nil"/>
              <w:left w:val="nil"/>
              <w:bottom w:val="single" w:sz="4" w:space="0" w:color="auto"/>
              <w:right w:val="single" w:sz="4" w:space="0" w:color="auto"/>
            </w:tcBorders>
            <w:vAlign w:val="bottom"/>
            <w:hideMark/>
          </w:tcPr>
          <w:p w14:paraId="3F93B46E"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DFS</w:t>
            </w:r>
          </w:p>
        </w:tc>
        <w:tc>
          <w:tcPr>
            <w:tcW w:w="4031" w:type="dxa"/>
            <w:tcBorders>
              <w:top w:val="nil"/>
              <w:left w:val="nil"/>
              <w:bottom w:val="single" w:sz="4" w:space="0" w:color="auto"/>
              <w:right w:val="single" w:sz="4" w:space="0" w:color="auto"/>
            </w:tcBorders>
            <w:vAlign w:val="bottom"/>
            <w:hideMark/>
          </w:tcPr>
          <w:p w14:paraId="207DB4DB"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FIRE SERVICES</w:t>
            </w:r>
          </w:p>
        </w:tc>
        <w:tc>
          <w:tcPr>
            <w:tcW w:w="1260" w:type="dxa"/>
            <w:tcBorders>
              <w:top w:val="nil"/>
              <w:left w:val="nil"/>
              <w:bottom w:val="single" w:sz="4" w:space="0" w:color="auto"/>
              <w:right w:val="single" w:sz="4" w:space="0" w:color="auto"/>
            </w:tcBorders>
            <w:vAlign w:val="bottom"/>
            <w:hideMark/>
          </w:tcPr>
          <w:p w14:paraId="119007A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$3,679,322</w:t>
            </w:r>
          </w:p>
        </w:tc>
        <w:tc>
          <w:tcPr>
            <w:tcW w:w="1170" w:type="dxa"/>
            <w:tcBorders>
              <w:top w:val="nil"/>
              <w:left w:val="nil"/>
              <w:bottom w:val="single" w:sz="4" w:space="0" w:color="auto"/>
              <w:right w:val="single" w:sz="4" w:space="0" w:color="auto"/>
            </w:tcBorders>
            <w:vAlign w:val="bottom"/>
            <w:hideMark/>
          </w:tcPr>
          <w:p w14:paraId="5D837B0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$220,759</w:t>
            </w:r>
          </w:p>
        </w:tc>
        <w:tc>
          <w:tcPr>
            <w:tcW w:w="1260" w:type="dxa"/>
            <w:tcBorders>
              <w:top w:val="nil"/>
              <w:left w:val="nil"/>
              <w:bottom w:val="single" w:sz="4" w:space="0" w:color="auto"/>
              <w:right w:val="single" w:sz="4" w:space="0" w:color="auto"/>
            </w:tcBorders>
            <w:vAlign w:val="bottom"/>
            <w:hideMark/>
          </w:tcPr>
          <w:p w14:paraId="1814573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$90,594</w:t>
            </w:r>
          </w:p>
        </w:tc>
        <w:tc>
          <w:tcPr>
            <w:tcW w:w="1080" w:type="dxa"/>
            <w:tcBorders>
              <w:top w:val="nil"/>
              <w:left w:val="nil"/>
              <w:bottom w:val="single" w:sz="4" w:space="0" w:color="auto"/>
              <w:right w:val="single" w:sz="4" w:space="0" w:color="auto"/>
            </w:tcBorders>
            <w:vAlign w:val="bottom"/>
            <w:hideMark/>
          </w:tcPr>
          <w:p w14:paraId="5F62F3B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722C43F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$90,594</w:t>
            </w:r>
          </w:p>
        </w:tc>
        <w:tc>
          <w:tcPr>
            <w:tcW w:w="1151" w:type="dxa"/>
            <w:tcBorders>
              <w:top w:val="nil"/>
              <w:left w:val="nil"/>
              <w:bottom w:val="single" w:sz="4" w:space="0" w:color="auto"/>
              <w:right w:val="single" w:sz="4" w:space="0" w:color="auto"/>
            </w:tcBorders>
            <w:vAlign w:val="bottom"/>
            <w:hideMark/>
          </w:tcPr>
          <w:p w14:paraId="2738331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41.04%</w:t>
            </w:r>
          </w:p>
        </w:tc>
        <w:tc>
          <w:tcPr>
            <w:tcW w:w="1260" w:type="dxa"/>
            <w:tcBorders>
              <w:top w:val="nil"/>
              <w:left w:val="nil"/>
              <w:bottom w:val="single" w:sz="4" w:space="0" w:color="auto"/>
              <w:right w:val="single" w:sz="4" w:space="0" w:color="auto"/>
            </w:tcBorders>
            <w:vAlign w:val="bottom"/>
            <w:hideMark/>
          </w:tcPr>
          <w:p w14:paraId="320C196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-$130,165</w:t>
            </w:r>
          </w:p>
        </w:tc>
      </w:tr>
      <w:tr w:rsidR="003F0AFC" w:rsidRPr="003F0AFC" w14:paraId="1CDEEF0F" w14:textId="77777777" w:rsidTr="009050D8">
        <w:trPr>
          <w:trHeight w:val="60"/>
        </w:trPr>
        <w:tc>
          <w:tcPr>
            <w:tcW w:w="664" w:type="dxa"/>
            <w:tcBorders>
              <w:top w:val="nil"/>
              <w:left w:val="single" w:sz="4" w:space="0" w:color="auto"/>
              <w:bottom w:val="single" w:sz="4" w:space="0" w:color="auto"/>
              <w:right w:val="single" w:sz="4" w:space="0" w:color="auto"/>
            </w:tcBorders>
            <w:vAlign w:val="bottom"/>
            <w:hideMark/>
          </w:tcPr>
          <w:p w14:paraId="5BFE7849"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49" w:type="dxa"/>
            <w:tcBorders>
              <w:top w:val="nil"/>
              <w:left w:val="nil"/>
              <w:bottom w:val="single" w:sz="4" w:space="0" w:color="auto"/>
              <w:right w:val="single" w:sz="4" w:space="0" w:color="auto"/>
            </w:tcBorders>
            <w:vAlign w:val="bottom"/>
            <w:hideMark/>
          </w:tcPr>
          <w:p w14:paraId="4C5974B7"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DPS</w:t>
            </w:r>
          </w:p>
        </w:tc>
        <w:tc>
          <w:tcPr>
            <w:tcW w:w="4031" w:type="dxa"/>
            <w:tcBorders>
              <w:top w:val="nil"/>
              <w:left w:val="nil"/>
              <w:bottom w:val="single" w:sz="4" w:space="0" w:color="auto"/>
              <w:right w:val="single" w:sz="4" w:space="0" w:color="auto"/>
            </w:tcBorders>
            <w:vAlign w:val="bottom"/>
            <w:hideMark/>
          </w:tcPr>
          <w:p w14:paraId="1EDF7569"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PUBLIC SAFETY</w:t>
            </w:r>
          </w:p>
        </w:tc>
        <w:tc>
          <w:tcPr>
            <w:tcW w:w="1260" w:type="dxa"/>
            <w:tcBorders>
              <w:top w:val="nil"/>
              <w:left w:val="nil"/>
              <w:bottom w:val="single" w:sz="4" w:space="0" w:color="auto"/>
              <w:right w:val="single" w:sz="4" w:space="0" w:color="auto"/>
            </w:tcBorders>
            <w:vAlign w:val="bottom"/>
            <w:hideMark/>
          </w:tcPr>
          <w:p w14:paraId="7DA80A5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$540,464</w:t>
            </w:r>
          </w:p>
        </w:tc>
        <w:tc>
          <w:tcPr>
            <w:tcW w:w="1170" w:type="dxa"/>
            <w:tcBorders>
              <w:top w:val="nil"/>
              <w:left w:val="nil"/>
              <w:bottom w:val="single" w:sz="4" w:space="0" w:color="auto"/>
              <w:right w:val="single" w:sz="4" w:space="0" w:color="auto"/>
            </w:tcBorders>
            <w:vAlign w:val="bottom"/>
            <w:hideMark/>
          </w:tcPr>
          <w:p w14:paraId="32A0C91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$32,428</w:t>
            </w:r>
          </w:p>
        </w:tc>
        <w:tc>
          <w:tcPr>
            <w:tcW w:w="1260" w:type="dxa"/>
            <w:tcBorders>
              <w:top w:val="nil"/>
              <w:left w:val="nil"/>
              <w:bottom w:val="single" w:sz="4" w:space="0" w:color="auto"/>
              <w:right w:val="single" w:sz="4" w:space="0" w:color="auto"/>
            </w:tcBorders>
            <w:vAlign w:val="bottom"/>
            <w:hideMark/>
          </w:tcPr>
          <w:p w14:paraId="5D4EBD4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$35,515</w:t>
            </w:r>
          </w:p>
        </w:tc>
        <w:tc>
          <w:tcPr>
            <w:tcW w:w="1080" w:type="dxa"/>
            <w:tcBorders>
              <w:top w:val="nil"/>
              <w:left w:val="nil"/>
              <w:bottom w:val="single" w:sz="4" w:space="0" w:color="auto"/>
              <w:right w:val="single" w:sz="4" w:space="0" w:color="auto"/>
            </w:tcBorders>
            <w:vAlign w:val="bottom"/>
            <w:hideMark/>
          </w:tcPr>
          <w:p w14:paraId="30C07C2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6366B2F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$35,515</w:t>
            </w:r>
          </w:p>
        </w:tc>
        <w:tc>
          <w:tcPr>
            <w:tcW w:w="1151" w:type="dxa"/>
            <w:tcBorders>
              <w:top w:val="nil"/>
              <w:left w:val="nil"/>
              <w:bottom w:val="single" w:sz="4" w:space="0" w:color="auto"/>
              <w:right w:val="single" w:sz="4" w:space="0" w:color="auto"/>
            </w:tcBorders>
            <w:vAlign w:val="bottom"/>
            <w:hideMark/>
          </w:tcPr>
          <w:p w14:paraId="75EC715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109.52%</w:t>
            </w:r>
          </w:p>
        </w:tc>
        <w:tc>
          <w:tcPr>
            <w:tcW w:w="1260" w:type="dxa"/>
            <w:tcBorders>
              <w:top w:val="nil"/>
              <w:left w:val="nil"/>
              <w:bottom w:val="single" w:sz="4" w:space="0" w:color="auto"/>
              <w:right w:val="single" w:sz="4" w:space="0" w:color="auto"/>
            </w:tcBorders>
            <w:vAlign w:val="bottom"/>
            <w:hideMark/>
          </w:tcPr>
          <w:p w14:paraId="0AC4042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$3,088</w:t>
            </w:r>
          </w:p>
        </w:tc>
      </w:tr>
      <w:tr w:rsidR="003F0AFC" w:rsidRPr="003F0AFC" w14:paraId="10F95D22" w14:textId="77777777" w:rsidTr="009050D8">
        <w:trPr>
          <w:trHeight w:val="62"/>
        </w:trPr>
        <w:tc>
          <w:tcPr>
            <w:tcW w:w="664" w:type="dxa"/>
            <w:tcBorders>
              <w:top w:val="nil"/>
              <w:left w:val="single" w:sz="4" w:space="0" w:color="auto"/>
              <w:bottom w:val="single" w:sz="4" w:space="0" w:color="auto"/>
              <w:right w:val="single" w:sz="4" w:space="0" w:color="auto"/>
            </w:tcBorders>
            <w:vAlign w:val="bottom"/>
            <w:hideMark/>
          </w:tcPr>
          <w:p w14:paraId="2F85C51A"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49" w:type="dxa"/>
            <w:tcBorders>
              <w:top w:val="nil"/>
              <w:left w:val="nil"/>
              <w:bottom w:val="single" w:sz="4" w:space="0" w:color="auto"/>
              <w:right w:val="single" w:sz="4" w:space="0" w:color="auto"/>
            </w:tcBorders>
            <w:vAlign w:val="bottom"/>
            <w:hideMark/>
          </w:tcPr>
          <w:p w14:paraId="39E74831"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POL</w:t>
            </w:r>
          </w:p>
        </w:tc>
        <w:tc>
          <w:tcPr>
            <w:tcW w:w="4031" w:type="dxa"/>
            <w:tcBorders>
              <w:top w:val="nil"/>
              <w:left w:val="nil"/>
              <w:bottom w:val="single" w:sz="4" w:space="0" w:color="auto"/>
              <w:right w:val="single" w:sz="4" w:space="0" w:color="auto"/>
            </w:tcBorders>
            <w:vAlign w:val="bottom"/>
            <w:hideMark/>
          </w:tcPr>
          <w:p w14:paraId="78C96028"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STATE POLICE</w:t>
            </w:r>
          </w:p>
        </w:tc>
        <w:tc>
          <w:tcPr>
            <w:tcW w:w="1260" w:type="dxa"/>
            <w:tcBorders>
              <w:top w:val="nil"/>
              <w:left w:val="nil"/>
              <w:bottom w:val="single" w:sz="4" w:space="0" w:color="auto"/>
              <w:right w:val="single" w:sz="4" w:space="0" w:color="auto"/>
            </w:tcBorders>
            <w:vAlign w:val="bottom"/>
            <w:hideMark/>
          </w:tcPr>
          <w:p w14:paraId="607ACEF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$21,540,061</w:t>
            </w:r>
          </w:p>
        </w:tc>
        <w:tc>
          <w:tcPr>
            <w:tcW w:w="1170" w:type="dxa"/>
            <w:tcBorders>
              <w:top w:val="nil"/>
              <w:left w:val="nil"/>
              <w:bottom w:val="single" w:sz="4" w:space="0" w:color="auto"/>
              <w:right w:val="single" w:sz="4" w:space="0" w:color="auto"/>
            </w:tcBorders>
            <w:vAlign w:val="bottom"/>
            <w:hideMark/>
          </w:tcPr>
          <w:p w14:paraId="6263FF3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$1,292,404</w:t>
            </w:r>
          </w:p>
        </w:tc>
        <w:tc>
          <w:tcPr>
            <w:tcW w:w="1260" w:type="dxa"/>
            <w:tcBorders>
              <w:top w:val="nil"/>
              <w:left w:val="nil"/>
              <w:bottom w:val="single" w:sz="4" w:space="0" w:color="auto"/>
              <w:right w:val="single" w:sz="4" w:space="0" w:color="auto"/>
            </w:tcBorders>
            <w:vAlign w:val="bottom"/>
            <w:hideMark/>
          </w:tcPr>
          <w:p w14:paraId="31423D5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$1,284,574</w:t>
            </w:r>
          </w:p>
        </w:tc>
        <w:tc>
          <w:tcPr>
            <w:tcW w:w="1080" w:type="dxa"/>
            <w:tcBorders>
              <w:top w:val="nil"/>
              <w:left w:val="nil"/>
              <w:bottom w:val="single" w:sz="4" w:space="0" w:color="auto"/>
              <w:right w:val="single" w:sz="4" w:space="0" w:color="auto"/>
            </w:tcBorders>
            <w:vAlign w:val="bottom"/>
            <w:hideMark/>
          </w:tcPr>
          <w:p w14:paraId="5537149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D1D6EE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$1,284,574</w:t>
            </w:r>
          </w:p>
        </w:tc>
        <w:tc>
          <w:tcPr>
            <w:tcW w:w="1151" w:type="dxa"/>
            <w:tcBorders>
              <w:top w:val="nil"/>
              <w:left w:val="nil"/>
              <w:bottom w:val="single" w:sz="4" w:space="0" w:color="auto"/>
              <w:right w:val="single" w:sz="4" w:space="0" w:color="auto"/>
            </w:tcBorders>
            <w:vAlign w:val="bottom"/>
            <w:hideMark/>
          </w:tcPr>
          <w:p w14:paraId="2D342E1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99.39%</w:t>
            </w:r>
          </w:p>
        </w:tc>
        <w:tc>
          <w:tcPr>
            <w:tcW w:w="1260" w:type="dxa"/>
            <w:tcBorders>
              <w:top w:val="nil"/>
              <w:left w:val="nil"/>
              <w:bottom w:val="single" w:sz="4" w:space="0" w:color="auto"/>
              <w:right w:val="single" w:sz="4" w:space="0" w:color="auto"/>
            </w:tcBorders>
            <w:vAlign w:val="bottom"/>
            <w:hideMark/>
          </w:tcPr>
          <w:p w14:paraId="45D82B1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-$7,829</w:t>
            </w:r>
          </w:p>
        </w:tc>
      </w:tr>
      <w:tr w:rsidR="003F0AFC" w:rsidRPr="003F0AFC" w14:paraId="13C3FD69" w14:textId="77777777" w:rsidTr="009050D8">
        <w:trPr>
          <w:trHeight w:val="125"/>
        </w:trPr>
        <w:tc>
          <w:tcPr>
            <w:tcW w:w="664" w:type="dxa"/>
            <w:tcBorders>
              <w:top w:val="nil"/>
              <w:left w:val="single" w:sz="4" w:space="0" w:color="auto"/>
              <w:bottom w:val="single" w:sz="4" w:space="0" w:color="auto"/>
              <w:right w:val="single" w:sz="4" w:space="0" w:color="auto"/>
            </w:tcBorders>
            <w:vAlign w:val="bottom"/>
            <w:hideMark/>
          </w:tcPr>
          <w:p w14:paraId="4976A40A"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49" w:type="dxa"/>
            <w:tcBorders>
              <w:top w:val="nil"/>
              <w:left w:val="nil"/>
              <w:bottom w:val="single" w:sz="4" w:space="0" w:color="auto"/>
              <w:right w:val="single" w:sz="4" w:space="0" w:color="auto"/>
            </w:tcBorders>
            <w:vAlign w:val="bottom"/>
            <w:hideMark/>
          </w:tcPr>
          <w:p w14:paraId="677FE06F"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CDA</w:t>
            </w:r>
          </w:p>
        </w:tc>
        <w:tc>
          <w:tcPr>
            <w:tcW w:w="4031" w:type="dxa"/>
            <w:tcBorders>
              <w:top w:val="nil"/>
              <w:left w:val="nil"/>
              <w:bottom w:val="single" w:sz="4" w:space="0" w:color="auto"/>
              <w:right w:val="single" w:sz="4" w:space="0" w:color="auto"/>
            </w:tcBorders>
            <w:vAlign w:val="bottom"/>
            <w:hideMark/>
          </w:tcPr>
          <w:p w14:paraId="2FD1E322"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EMERGENCY MANAGEMENT AGENCY</w:t>
            </w:r>
          </w:p>
        </w:tc>
        <w:tc>
          <w:tcPr>
            <w:tcW w:w="1260" w:type="dxa"/>
            <w:tcBorders>
              <w:top w:val="nil"/>
              <w:left w:val="nil"/>
              <w:bottom w:val="single" w:sz="4" w:space="0" w:color="auto"/>
              <w:right w:val="single" w:sz="4" w:space="0" w:color="auto"/>
            </w:tcBorders>
            <w:vAlign w:val="bottom"/>
            <w:hideMark/>
          </w:tcPr>
          <w:p w14:paraId="22035CE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$1,200,016</w:t>
            </w:r>
          </w:p>
        </w:tc>
        <w:tc>
          <w:tcPr>
            <w:tcW w:w="1170" w:type="dxa"/>
            <w:tcBorders>
              <w:top w:val="nil"/>
              <w:left w:val="nil"/>
              <w:bottom w:val="single" w:sz="4" w:space="0" w:color="auto"/>
              <w:right w:val="single" w:sz="4" w:space="0" w:color="auto"/>
            </w:tcBorders>
            <w:vAlign w:val="bottom"/>
            <w:hideMark/>
          </w:tcPr>
          <w:p w14:paraId="760FE3A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$72,001</w:t>
            </w:r>
          </w:p>
        </w:tc>
        <w:tc>
          <w:tcPr>
            <w:tcW w:w="1260" w:type="dxa"/>
            <w:tcBorders>
              <w:top w:val="nil"/>
              <w:left w:val="nil"/>
              <w:bottom w:val="single" w:sz="4" w:space="0" w:color="auto"/>
              <w:right w:val="single" w:sz="4" w:space="0" w:color="auto"/>
            </w:tcBorders>
            <w:vAlign w:val="bottom"/>
            <w:hideMark/>
          </w:tcPr>
          <w:p w14:paraId="5A9E7B4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$117,460</w:t>
            </w:r>
          </w:p>
        </w:tc>
        <w:tc>
          <w:tcPr>
            <w:tcW w:w="1080" w:type="dxa"/>
            <w:tcBorders>
              <w:top w:val="nil"/>
              <w:left w:val="nil"/>
              <w:bottom w:val="single" w:sz="4" w:space="0" w:color="auto"/>
              <w:right w:val="single" w:sz="4" w:space="0" w:color="auto"/>
            </w:tcBorders>
            <w:vAlign w:val="bottom"/>
            <w:hideMark/>
          </w:tcPr>
          <w:p w14:paraId="0CEC306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C08CE0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$117,460</w:t>
            </w:r>
          </w:p>
        </w:tc>
        <w:tc>
          <w:tcPr>
            <w:tcW w:w="1151" w:type="dxa"/>
            <w:tcBorders>
              <w:top w:val="nil"/>
              <w:left w:val="nil"/>
              <w:bottom w:val="single" w:sz="4" w:space="0" w:color="auto"/>
              <w:right w:val="single" w:sz="4" w:space="0" w:color="auto"/>
            </w:tcBorders>
            <w:vAlign w:val="bottom"/>
            <w:hideMark/>
          </w:tcPr>
          <w:p w14:paraId="58D5E09A"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163.14%</w:t>
            </w:r>
          </w:p>
        </w:tc>
        <w:tc>
          <w:tcPr>
            <w:tcW w:w="1260" w:type="dxa"/>
            <w:tcBorders>
              <w:top w:val="nil"/>
              <w:left w:val="nil"/>
              <w:bottom w:val="single" w:sz="4" w:space="0" w:color="auto"/>
              <w:right w:val="single" w:sz="4" w:space="0" w:color="auto"/>
            </w:tcBorders>
            <w:vAlign w:val="bottom"/>
            <w:hideMark/>
          </w:tcPr>
          <w:p w14:paraId="201654E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$45,459</w:t>
            </w:r>
          </w:p>
        </w:tc>
      </w:tr>
      <w:tr w:rsidR="003F0AFC" w:rsidRPr="003F0AFC" w14:paraId="7AAFF95E" w14:textId="77777777" w:rsidTr="009050D8">
        <w:trPr>
          <w:trHeight w:val="152"/>
        </w:trPr>
        <w:tc>
          <w:tcPr>
            <w:tcW w:w="664" w:type="dxa"/>
            <w:tcBorders>
              <w:top w:val="nil"/>
              <w:left w:val="single" w:sz="4" w:space="0" w:color="auto"/>
              <w:bottom w:val="single" w:sz="4" w:space="0" w:color="auto"/>
              <w:right w:val="single" w:sz="4" w:space="0" w:color="auto"/>
            </w:tcBorders>
            <w:vAlign w:val="bottom"/>
            <w:hideMark/>
          </w:tcPr>
          <w:p w14:paraId="60DD504D"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49" w:type="dxa"/>
            <w:tcBorders>
              <w:top w:val="nil"/>
              <w:left w:val="nil"/>
              <w:bottom w:val="single" w:sz="4" w:space="0" w:color="auto"/>
              <w:right w:val="single" w:sz="4" w:space="0" w:color="auto"/>
            </w:tcBorders>
            <w:vAlign w:val="bottom"/>
            <w:hideMark/>
          </w:tcPr>
          <w:p w14:paraId="255E8BCA"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4031" w:type="dxa"/>
            <w:tcBorders>
              <w:top w:val="nil"/>
              <w:left w:val="nil"/>
              <w:bottom w:val="single" w:sz="4" w:space="0" w:color="auto"/>
              <w:right w:val="single" w:sz="4" w:space="0" w:color="auto"/>
            </w:tcBorders>
            <w:vAlign w:val="bottom"/>
            <w:hideMark/>
          </w:tcPr>
          <w:p w14:paraId="37259ADA"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EXECUTIVE OFFICE OF PUBLIC SAFETY &amp; SECURITY</w:t>
            </w:r>
          </w:p>
        </w:tc>
        <w:tc>
          <w:tcPr>
            <w:tcW w:w="1260" w:type="dxa"/>
            <w:tcBorders>
              <w:top w:val="nil"/>
              <w:left w:val="nil"/>
              <w:bottom w:val="single" w:sz="4" w:space="0" w:color="auto"/>
              <w:right w:val="single" w:sz="4" w:space="0" w:color="auto"/>
            </w:tcBorders>
            <w:vAlign w:val="bottom"/>
            <w:hideMark/>
          </w:tcPr>
          <w:p w14:paraId="38B2683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$34,736,707</w:t>
            </w:r>
          </w:p>
        </w:tc>
        <w:tc>
          <w:tcPr>
            <w:tcW w:w="1170" w:type="dxa"/>
            <w:tcBorders>
              <w:top w:val="nil"/>
              <w:left w:val="nil"/>
              <w:bottom w:val="single" w:sz="4" w:space="0" w:color="auto"/>
              <w:right w:val="single" w:sz="4" w:space="0" w:color="auto"/>
            </w:tcBorders>
            <w:vAlign w:val="bottom"/>
            <w:hideMark/>
          </w:tcPr>
          <w:p w14:paraId="2F543F8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$2,084,202</w:t>
            </w:r>
          </w:p>
        </w:tc>
        <w:tc>
          <w:tcPr>
            <w:tcW w:w="1260" w:type="dxa"/>
            <w:tcBorders>
              <w:top w:val="nil"/>
              <w:left w:val="nil"/>
              <w:bottom w:val="single" w:sz="4" w:space="0" w:color="auto"/>
              <w:right w:val="single" w:sz="4" w:space="0" w:color="auto"/>
            </w:tcBorders>
            <w:vAlign w:val="bottom"/>
            <w:hideMark/>
          </w:tcPr>
          <w:p w14:paraId="4E16C19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$967,214</w:t>
            </w:r>
          </w:p>
        </w:tc>
        <w:tc>
          <w:tcPr>
            <w:tcW w:w="1080" w:type="dxa"/>
            <w:tcBorders>
              <w:top w:val="nil"/>
              <w:left w:val="nil"/>
              <w:bottom w:val="single" w:sz="4" w:space="0" w:color="auto"/>
              <w:right w:val="single" w:sz="4" w:space="0" w:color="auto"/>
            </w:tcBorders>
            <w:vAlign w:val="bottom"/>
            <w:hideMark/>
          </w:tcPr>
          <w:p w14:paraId="5A0D8EA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52588F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$967,214</w:t>
            </w:r>
          </w:p>
        </w:tc>
        <w:tc>
          <w:tcPr>
            <w:tcW w:w="1151" w:type="dxa"/>
            <w:tcBorders>
              <w:top w:val="nil"/>
              <w:left w:val="nil"/>
              <w:bottom w:val="single" w:sz="4" w:space="0" w:color="auto"/>
              <w:right w:val="single" w:sz="4" w:space="0" w:color="auto"/>
            </w:tcBorders>
            <w:vAlign w:val="bottom"/>
            <w:hideMark/>
          </w:tcPr>
          <w:p w14:paraId="1C0504D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46.41%</w:t>
            </w:r>
          </w:p>
        </w:tc>
        <w:tc>
          <w:tcPr>
            <w:tcW w:w="1260" w:type="dxa"/>
            <w:tcBorders>
              <w:top w:val="nil"/>
              <w:left w:val="nil"/>
              <w:bottom w:val="single" w:sz="4" w:space="0" w:color="auto"/>
              <w:right w:val="single" w:sz="4" w:space="0" w:color="auto"/>
            </w:tcBorders>
            <w:vAlign w:val="bottom"/>
            <w:hideMark/>
          </w:tcPr>
          <w:p w14:paraId="0798598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-$1,116,989</w:t>
            </w:r>
          </w:p>
        </w:tc>
      </w:tr>
      <w:tr w:rsidR="003F0AFC" w:rsidRPr="003F0AFC" w14:paraId="03F47A5E" w14:textId="77777777" w:rsidTr="009050D8">
        <w:trPr>
          <w:trHeight w:val="71"/>
        </w:trPr>
        <w:tc>
          <w:tcPr>
            <w:tcW w:w="664" w:type="dxa"/>
            <w:tcBorders>
              <w:top w:val="nil"/>
              <w:left w:val="single" w:sz="4" w:space="0" w:color="auto"/>
              <w:bottom w:val="single" w:sz="4" w:space="0" w:color="auto"/>
              <w:right w:val="single" w:sz="4" w:space="0" w:color="auto"/>
            </w:tcBorders>
            <w:vAlign w:val="bottom"/>
            <w:hideMark/>
          </w:tcPr>
          <w:p w14:paraId="4BFE7D1D"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49" w:type="dxa"/>
            <w:tcBorders>
              <w:top w:val="nil"/>
              <w:left w:val="nil"/>
              <w:bottom w:val="single" w:sz="4" w:space="0" w:color="auto"/>
              <w:right w:val="single" w:sz="4" w:space="0" w:color="auto"/>
            </w:tcBorders>
            <w:vAlign w:val="bottom"/>
            <w:hideMark/>
          </w:tcPr>
          <w:p w14:paraId="7D12A603"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MIL</w:t>
            </w:r>
          </w:p>
        </w:tc>
        <w:tc>
          <w:tcPr>
            <w:tcW w:w="4031" w:type="dxa"/>
            <w:tcBorders>
              <w:top w:val="nil"/>
              <w:left w:val="nil"/>
              <w:bottom w:val="single" w:sz="4" w:space="0" w:color="auto"/>
              <w:right w:val="single" w:sz="4" w:space="0" w:color="auto"/>
            </w:tcBorders>
            <w:vAlign w:val="bottom"/>
            <w:hideMark/>
          </w:tcPr>
          <w:p w14:paraId="4F77B12F"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MILITARY DIVISION</w:t>
            </w:r>
          </w:p>
        </w:tc>
        <w:tc>
          <w:tcPr>
            <w:tcW w:w="1260" w:type="dxa"/>
            <w:tcBorders>
              <w:top w:val="nil"/>
              <w:left w:val="nil"/>
              <w:bottom w:val="single" w:sz="4" w:space="0" w:color="auto"/>
              <w:right w:val="single" w:sz="4" w:space="0" w:color="auto"/>
            </w:tcBorders>
            <w:vAlign w:val="bottom"/>
            <w:hideMark/>
          </w:tcPr>
          <w:p w14:paraId="3DD527B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$842,631</w:t>
            </w:r>
          </w:p>
        </w:tc>
        <w:tc>
          <w:tcPr>
            <w:tcW w:w="1170" w:type="dxa"/>
            <w:tcBorders>
              <w:top w:val="nil"/>
              <w:left w:val="nil"/>
              <w:bottom w:val="single" w:sz="4" w:space="0" w:color="auto"/>
              <w:right w:val="single" w:sz="4" w:space="0" w:color="auto"/>
            </w:tcBorders>
            <w:vAlign w:val="bottom"/>
            <w:hideMark/>
          </w:tcPr>
          <w:p w14:paraId="3561C14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$50,558</w:t>
            </w:r>
          </w:p>
        </w:tc>
        <w:tc>
          <w:tcPr>
            <w:tcW w:w="1260" w:type="dxa"/>
            <w:tcBorders>
              <w:top w:val="nil"/>
              <w:left w:val="nil"/>
              <w:bottom w:val="single" w:sz="4" w:space="0" w:color="auto"/>
              <w:right w:val="single" w:sz="4" w:space="0" w:color="auto"/>
            </w:tcBorders>
            <w:vAlign w:val="bottom"/>
            <w:hideMark/>
          </w:tcPr>
          <w:p w14:paraId="02403E7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$183,885</w:t>
            </w:r>
          </w:p>
        </w:tc>
        <w:tc>
          <w:tcPr>
            <w:tcW w:w="1080" w:type="dxa"/>
            <w:tcBorders>
              <w:top w:val="nil"/>
              <w:left w:val="nil"/>
              <w:bottom w:val="single" w:sz="4" w:space="0" w:color="auto"/>
              <w:right w:val="single" w:sz="4" w:space="0" w:color="auto"/>
            </w:tcBorders>
            <w:vAlign w:val="bottom"/>
            <w:hideMark/>
          </w:tcPr>
          <w:p w14:paraId="75A96997"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7F44CA8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$183,885</w:t>
            </w:r>
          </w:p>
        </w:tc>
        <w:tc>
          <w:tcPr>
            <w:tcW w:w="1151" w:type="dxa"/>
            <w:tcBorders>
              <w:top w:val="nil"/>
              <w:left w:val="nil"/>
              <w:bottom w:val="single" w:sz="4" w:space="0" w:color="auto"/>
              <w:right w:val="single" w:sz="4" w:space="0" w:color="auto"/>
            </w:tcBorders>
            <w:vAlign w:val="bottom"/>
            <w:hideMark/>
          </w:tcPr>
          <w:p w14:paraId="0D1B8E5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363.71%</w:t>
            </w:r>
          </w:p>
        </w:tc>
        <w:tc>
          <w:tcPr>
            <w:tcW w:w="1260" w:type="dxa"/>
            <w:tcBorders>
              <w:top w:val="nil"/>
              <w:left w:val="nil"/>
              <w:bottom w:val="single" w:sz="4" w:space="0" w:color="auto"/>
              <w:right w:val="single" w:sz="4" w:space="0" w:color="auto"/>
            </w:tcBorders>
            <w:vAlign w:val="bottom"/>
            <w:hideMark/>
          </w:tcPr>
          <w:p w14:paraId="75316B7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$133,328</w:t>
            </w:r>
          </w:p>
        </w:tc>
      </w:tr>
      <w:tr w:rsidR="003F0AFC" w:rsidRPr="003F0AFC" w14:paraId="39A694B7" w14:textId="77777777" w:rsidTr="009050D8">
        <w:trPr>
          <w:trHeight w:val="60"/>
        </w:trPr>
        <w:tc>
          <w:tcPr>
            <w:tcW w:w="664" w:type="dxa"/>
            <w:tcBorders>
              <w:top w:val="nil"/>
              <w:left w:val="single" w:sz="4" w:space="0" w:color="auto"/>
              <w:bottom w:val="single" w:sz="4" w:space="0" w:color="auto"/>
              <w:right w:val="single" w:sz="4" w:space="0" w:color="auto"/>
            </w:tcBorders>
            <w:vAlign w:val="bottom"/>
            <w:hideMark/>
          </w:tcPr>
          <w:p w14:paraId="55071C39"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49" w:type="dxa"/>
            <w:tcBorders>
              <w:top w:val="nil"/>
              <w:left w:val="nil"/>
              <w:bottom w:val="single" w:sz="4" w:space="0" w:color="auto"/>
              <w:right w:val="single" w:sz="4" w:space="0" w:color="auto"/>
            </w:tcBorders>
            <w:vAlign w:val="bottom"/>
            <w:hideMark/>
          </w:tcPr>
          <w:p w14:paraId="0CD299C4"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CJT</w:t>
            </w:r>
          </w:p>
        </w:tc>
        <w:tc>
          <w:tcPr>
            <w:tcW w:w="4031" w:type="dxa"/>
            <w:tcBorders>
              <w:top w:val="nil"/>
              <w:left w:val="nil"/>
              <w:bottom w:val="single" w:sz="4" w:space="0" w:color="auto"/>
              <w:right w:val="single" w:sz="4" w:space="0" w:color="auto"/>
            </w:tcBorders>
            <w:vAlign w:val="bottom"/>
            <w:hideMark/>
          </w:tcPr>
          <w:p w14:paraId="0661ACA1"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MUNICIPAL POLICE TRAINING COMMITTEE</w:t>
            </w:r>
          </w:p>
        </w:tc>
        <w:tc>
          <w:tcPr>
            <w:tcW w:w="1260" w:type="dxa"/>
            <w:tcBorders>
              <w:top w:val="nil"/>
              <w:left w:val="nil"/>
              <w:bottom w:val="single" w:sz="4" w:space="0" w:color="auto"/>
              <w:right w:val="single" w:sz="4" w:space="0" w:color="auto"/>
            </w:tcBorders>
            <w:vAlign w:val="bottom"/>
            <w:hideMark/>
          </w:tcPr>
          <w:p w14:paraId="6C28475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$598,754</w:t>
            </w:r>
          </w:p>
        </w:tc>
        <w:tc>
          <w:tcPr>
            <w:tcW w:w="1170" w:type="dxa"/>
            <w:tcBorders>
              <w:top w:val="nil"/>
              <w:left w:val="nil"/>
              <w:bottom w:val="single" w:sz="4" w:space="0" w:color="auto"/>
              <w:right w:val="single" w:sz="4" w:space="0" w:color="auto"/>
            </w:tcBorders>
            <w:vAlign w:val="bottom"/>
            <w:hideMark/>
          </w:tcPr>
          <w:p w14:paraId="6045F74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$35,925</w:t>
            </w:r>
          </w:p>
        </w:tc>
        <w:tc>
          <w:tcPr>
            <w:tcW w:w="1260" w:type="dxa"/>
            <w:tcBorders>
              <w:top w:val="nil"/>
              <w:left w:val="nil"/>
              <w:bottom w:val="single" w:sz="4" w:space="0" w:color="auto"/>
              <w:right w:val="single" w:sz="4" w:space="0" w:color="auto"/>
            </w:tcBorders>
            <w:vAlign w:val="bottom"/>
            <w:hideMark/>
          </w:tcPr>
          <w:p w14:paraId="772C1F7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$58,673</w:t>
            </w:r>
          </w:p>
        </w:tc>
        <w:tc>
          <w:tcPr>
            <w:tcW w:w="1080" w:type="dxa"/>
            <w:tcBorders>
              <w:top w:val="nil"/>
              <w:left w:val="nil"/>
              <w:bottom w:val="single" w:sz="4" w:space="0" w:color="auto"/>
              <w:right w:val="single" w:sz="4" w:space="0" w:color="auto"/>
            </w:tcBorders>
            <w:vAlign w:val="bottom"/>
            <w:hideMark/>
          </w:tcPr>
          <w:p w14:paraId="72BF9BF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BCFA2F5"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$58,673</w:t>
            </w:r>
          </w:p>
        </w:tc>
        <w:tc>
          <w:tcPr>
            <w:tcW w:w="1151" w:type="dxa"/>
            <w:tcBorders>
              <w:top w:val="nil"/>
              <w:left w:val="nil"/>
              <w:bottom w:val="single" w:sz="4" w:space="0" w:color="auto"/>
              <w:right w:val="single" w:sz="4" w:space="0" w:color="auto"/>
            </w:tcBorders>
            <w:vAlign w:val="bottom"/>
            <w:hideMark/>
          </w:tcPr>
          <w:p w14:paraId="27AB627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163.32%</w:t>
            </w:r>
          </w:p>
        </w:tc>
        <w:tc>
          <w:tcPr>
            <w:tcW w:w="1260" w:type="dxa"/>
            <w:tcBorders>
              <w:top w:val="nil"/>
              <w:left w:val="nil"/>
              <w:bottom w:val="single" w:sz="4" w:space="0" w:color="auto"/>
              <w:right w:val="single" w:sz="4" w:space="0" w:color="auto"/>
            </w:tcBorders>
            <w:vAlign w:val="bottom"/>
            <w:hideMark/>
          </w:tcPr>
          <w:p w14:paraId="74ECC09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$22,747</w:t>
            </w:r>
          </w:p>
        </w:tc>
      </w:tr>
      <w:tr w:rsidR="003F0AFC" w:rsidRPr="003F0AFC" w14:paraId="4D75DB52" w14:textId="77777777" w:rsidTr="009050D8">
        <w:trPr>
          <w:trHeight w:val="107"/>
        </w:trPr>
        <w:tc>
          <w:tcPr>
            <w:tcW w:w="664" w:type="dxa"/>
            <w:tcBorders>
              <w:top w:val="nil"/>
              <w:left w:val="single" w:sz="4" w:space="0" w:color="auto"/>
              <w:bottom w:val="single" w:sz="4" w:space="0" w:color="auto"/>
              <w:right w:val="single" w:sz="4" w:space="0" w:color="auto"/>
            </w:tcBorders>
            <w:vAlign w:val="bottom"/>
            <w:hideMark/>
          </w:tcPr>
          <w:p w14:paraId="46A3FB2F"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49" w:type="dxa"/>
            <w:tcBorders>
              <w:top w:val="nil"/>
              <w:left w:val="nil"/>
              <w:bottom w:val="single" w:sz="4" w:space="0" w:color="auto"/>
              <w:right w:val="single" w:sz="4" w:space="0" w:color="auto"/>
            </w:tcBorders>
            <w:vAlign w:val="bottom"/>
            <w:hideMark/>
          </w:tcPr>
          <w:p w14:paraId="1BE81796"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PAR</w:t>
            </w:r>
          </w:p>
        </w:tc>
        <w:tc>
          <w:tcPr>
            <w:tcW w:w="4031" w:type="dxa"/>
            <w:tcBorders>
              <w:top w:val="nil"/>
              <w:left w:val="nil"/>
              <w:bottom w:val="single" w:sz="4" w:space="0" w:color="auto"/>
              <w:right w:val="single" w:sz="4" w:space="0" w:color="auto"/>
            </w:tcBorders>
            <w:vAlign w:val="bottom"/>
            <w:hideMark/>
          </w:tcPr>
          <w:p w14:paraId="31DDA358"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PAROLE BOARD</w:t>
            </w:r>
          </w:p>
        </w:tc>
        <w:tc>
          <w:tcPr>
            <w:tcW w:w="1260" w:type="dxa"/>
            <w:tcBorders>
              <w:top w:val="nil"/>
              <w:left w:val="nil"/>
              <w:bottom w:val="single" w:sz="4" w:space="0" w:color="auto"/>
              <w:right w:val="single" w:sz="4" w:space="0" w:color="auto"/>
            </w:tcBorders>
            <w:vAlign w:val="bottom"/>
            <w:hideMark/>
          </w:tcPr>
          <w:p w14:paraId="1ED0363F"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$1,859,554</w:t>
            </w:r>
          </w:p>
        </w:tc>
        <w:tc>
          <w:tcPr>
            <w:tcW w:w="1170" w:type="dxa"/>
            <w:tcBorders>
              <w:top w:val="nil"/>
              <w:left w:val="nil"/>
              <w:bottom w:val="single" w:sz="4" w:space="0" w:color="auto"/>
              <w:right w:val="single" w:sz="4" w:space="0" w:color="auto"/>
            </w:tcBorders>
            <w:vAlign w:val="bottom"/>
            <w:hideMark/>
          </w:tcPr>
          <w:p w14:paraId="34BDC91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$111,573</w:t>
            </w:r>
          </w:p>
        </w:tc>
        <w:tc>
          <w:tcPr>
            <w:tcW w:w="1260" w:type="dxa"/>
            <w:tcBorders>
              <w:top w:val="nil"/>
              <w:left w:val="nil"/>
              <w:bottom w:val="single" w:sz="4" w:space="0" w:color="auto"/>
              <w:right w:val="single" w:sz="4" w:space="0" w:color="auto"/>
            </w:tcBorders>
            <w:vAlign w:val="bottom"/>
            <w:hideMark/>
          </w:tcPr>
          <w:p w14:paraId="6FD8EFD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$57,870</w:t>
            </w:r>
          </w:p>
        </w:tc>
        <w:tc>
          <w:tcPr>
            <w:tcW w:w="1080" w:type="dxa"/>
            <w:tcBorders>
              <w:top w:val="nil"/>
              <w:left w:val="nil"/>
              <w:bottom w:val="single" w:sz="4" w:space="0" w:color="auto"/>
              <w:right w:val="single" w:sz="4" w:space="0" w:color="auto"/>
            </w:tcBorders>
            <w:vAlign w:val="bottom"/>
            <w:hideMark/>
          </w:tcPr>
          <w:p w14:paraId="70750B0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535E1B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$57,870</w:t>
            </w:r>
          </w:p>
        </w:tc>
        <w:tc>
          <w:tcPr>
            <w:tcW w:w="1151" w:type="dxa"/>
            <w:tcBorders>
              <w:top w:val="nil"/>
              <w:left w:val="nil"/>
              <w:bottom w:val="single" w:sz="4" w:space="0" w:color="auto"/>
              <w:right w:val="single" w:sz="4" w:space="0" w:color="auto"/>
            </w:tcBorders>
            <w:vAlign w:val="bottom"/>
            <w:hideMark/>
          </w:tcPr>
          <w:p w14:paraId="0F21FEC8"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51.87%</w:t>
            </w:r>
          </w:p>
        </w:tc>
        <w:tc>
          <w:tcPr>
            <w:tcW w:w="1260" w:type="dxa"/>
            <w:tcBorders>
              <w:top w:val="nil"/>
              <w:left w:val="nil"/>
              <w:bottom w:val="single" w:sz="4" w:space="0" w:color="auto"/>
              <w:right w:val="single" w:sz="4" w:space="0" w:color="auto"/>
            </w:tcBorders>
            <w:vAlign w:val="bottom"/>
            <w:hideMark/>
          </w:tcPr>
          <w:p w14:paraId="2638007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-$53,703</w:t>
            </w:r>
          </w:p>
        </w:tc>
      </w:tr>
      <w:tr w:rsidR="003F0AFC" w:rsidRPr="003F0AFC" w14:paraId="564D2C6D" w14:textId="77777777" w:rsidTr="009050D8">
        <w:trPr>
          <w:trHeight w:val="161"/>
        </w:trPr>
        <w:tc>
          <w:tcPr>
            <w:tcW w:w="664" w:type="dxa"/>
            <w:tcBorders>
              <w:top w:val="nil"/>
              <w:left w:val="single" w:sz="4" w:space="0" w:color="auto"/>
              <w:bottom w:val="nil"/>
              <w:right w:val="single" w:sz="4" w:space="0" w:color="auto"/>
            </w:tcBorders>
            <w:vAlign w:val="bottom"/>
            <w:hideMark/>
          </w:tcPr>
          <w:p w14:paraId="3D6BC4B0"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49" w:type="dxa"/>
            <w:tcBorders>
              <w:top w:val="nil"/>
              <w:left w:val="nil"/>
              <w:bottom w:val="nil"/>
              <w:right w:val="single" w:sz="4" w:space="0" w:color="auto"/>
            </w:tcBorders>
            <w:vAlign w:val="bottom"/>
            <w:hideMark/>
          </w:tcPr>
          <w:p w14:paraId="6A655CFE"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SOR</w:t>
            </w:r>
          </w:p>
        </w:tc>
        <w:tc>
          <w:tcPr>
            <w:tcW w:w="4031" w:type="dxa"/>
            <w:tcBorders>
              <w:top w:val="nil"/>
              <w:left w:val="nil"/>
              <w:bottom w:val="nil"/>
              <w:right w:val="single" w:sz="4" w:space="0" w:color="auto"/>
            </w:tcBorders>
            <w:vAlign w:val="bottom"/>
            <w:hideMark/>
          </w:tcPr>
          <w:p w14:paraId="4DAD59EF"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SEX OFFENDER REGISTRY</w:t>
            </w:r>
          </w:p>
        </w:tc>
        <w:tc>
          <w:tcPr>
            <w:tcW w:w="1260" w:type="dxa"/>
            <w:tcBorders>
              <w:top w:val="nil"/>
              <w:left w:val="nil"/>
              <w:bottom w:val="nil"/>
              <w:right w:val="single" w:sz="4" w:space="0" w:color="auto"/>
            </w:tcBorders>
            <w:vAlign w:val="bottom"/>
            <w:hideMark/>
          </w:tcPr>
          <w:p w14:paraId="0E60019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$154,345</w:t>
            </w:r>
          </w:p>
        </w:tc>
        <w:tc>
          <w:tcPr>
            <w:tcW w:w="1170" w:type="dxa"/>
            <w:tcBorders>
              <w:top w:val="nil"/>
              <w:left w:val="nil"/>
              <w:bottom w:val="nil"/>
              <w:right w:val="single" w:sz="4" w:space="0" w:color="auto"/>
            </w:tcBorders>
            <w:vAlign w:val="bottom"/>
            <w:hideMark/>
          </w:tcPr>
          <w:p w14:paraId="142AAB1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$9,261</w:t>
            </w:r>
          </w:p>
        </w:tc>
        <w:tc>
          <w:tcPr>
            <w:tcW w:w="1260" w:type="dxa"/>
            <w:tcBorders>
              <w:top w:val="nil"/>
              <w:left w:val="nil"/>
              <w:bottom w:val="nil"/>
              <w:right w:val="single" w:sz="4" w:space="0" w:color="auto"/>
            </w:tcBorders>
            <w:vAlign w:val="bottom"/>
            <w:hideMark/>
          </w:tcPr>
          <w:p w14:paraId="43F18C8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$12,447</w:t>
            </w:r>
          </w:p>
        </w:tc>
        <w:tc>
          <w:tcPr>
            <w:tcW w:w="1080" w:type="dxa"/>
            <w:tcBorders>
              <w:top w:val="nil"/>
              <w:left w:val="nil"/>
              <w:bottom w:val="nil"/>
              <w:right w:val="single" w:sz="4" w:space="0" w:color="auto"/>
            </w:tcBorders>
            <w:vAlign w:val="bottom"/>
            <w:hideMark/>
          </w:tcPr>
          <w:p w14:paraId="24A82F32"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63274E1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$12,447</w:t>
            </w:r>
          </w:p>
        </w:tc>
        <w:tc>
          <w:tcPr>
            <w:tcW w:w="1151" w:type="dxa"/>
            <w:tcBorders>
              <w:top w:val="nil"/>
              <w:left w:val="nil"/>
              <w:bottom w:val="nil"/>
              <w:right w:val="single" w:sz="4" w:space="0" w:color="auto"/>
            </w:tcBorders>
            <w:vAlign w:val="bottom"/>
            <w:hideMark/>
          </w:tcPr>
          <w:p w14:paraId="75EB48F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134.41%</w:t>
            </w:r>
          </w:p>
        </w:tc>
        <w:tc>
          <w:tcPr>
            <w:tcW w:w="1260" w:type="dxa"/>
            <w:tcBorders>
              <w:top w:val="nil"/>
              <w:left w:val="nil"/>
              <w:bottom w:val="nil"/>
              <w:right w:val="single" w:sz="4" w:space="0" w:color="auto"/>
            </w:tcBorders>
            <w:vAlign w:val="bottom"/>
            <w:hideMark/>
          </w:tcPr>
          <w:p w14:paraId="5E5AA3DD"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$3,186</w:t>
            </w:r>
          </w:p>
        </w:tc>
      </w:tr>
      <w:tr w:rsidR="003F0AFC" w:rsidRPr="003F0AFC" w14:paraId="0789DFF3" w14:textId="77777777" w:rsidTr="009050D8">
        <w:trPr>
          <w:trHeight w:val="97"/>
        </w:trPr>
        <w:tc>
          <w:tcPr>
            <w:tcW w:w="5344" w:type="dxa"/>
            <w:gridSpan w:val="3"/>
            <w:tcBorders>
              <w:top w:val="single" w:sz="8" w:space="0" w:color="auto"/>
              <w:left w:val="single" w:sz="8" w:space="0" w:color="auto"/>
              <w:bottom w:val="single" w:sz="8" w:space="0" w:color="auto"/>
              <w:right w:val="single" w:sz="4" w:space="0" w:color="auto"/>
            </w:tcBorders>
            <w:shd w:val="clear" w:color="000000" w:fill="E26B0A"/>
            <w:vAlign w:val="bottom"/>
            <w:hideMark/>
          </w:tcPr>
          <w:p w14:paraId="69AE34F3" w14:textId="77777777" w:rsidR="003F0AFC" w:rsidRPr="00E67D16" w:rsidRDefault="003F0AFC" w:rsidP="00F8162C">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5B3248EF"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$92,367,605</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3324DFED"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$5,542,056</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28AF5E8A"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$3,502,742</w:t>
            </w:r>
          </w:p>
        </w:tc>
        <w:tc>
          <w:tcPr>
            <w:tcW w:w="1080" w:type="dxa"/>
            <w:tcBorders>
              <w:top w:val="single" w:sz="8" w:space="0" w:color="auto"/>
              <w:left w:val="nil"/>
              <w:bottom w:val="single" w:sz="8" w:space="0" w:color="auto"/>
              <w:right w:val="single" w:sz="4" w:space="0" w:color="auto"/>
            </w:tcBorders>
            <w:shd w:val="clear" w:color="000000" w:fill="E26B0A"/>
            <w:vAlign w:val="bottom"/>
            <w:hideMark/>
          </w:tcPr>
          <w:p w14:paraId="6ACAACFF"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$5,090,426</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7C5B9CCF"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$8,593,168</w:t>
            </w:r>
          </w:p>
        </w:tc>
        <w:tc>
          <w:tcPr>
            <w:tcW w:w="1151" w:type="dxa"/>
            <w:tcBorders>
              <w:top w:val="single" w:sz="8" w:space="0" w:color="auto"/>
              <w:left w:val="nil"/>
              <w:bottom w:val="single" w:sz="8" w:space="0" w:color="auto"/>
              <w:right w:val="single" w:sz="4" w:space="0" w:color="auto"/>
            </w:tcBorders>
            <w:shd w:val="clear" w:color="000000" w:fill="E26B0A"/>
            <w:vAlign w:val="bottom"/>
            <w:hideMark/>
          </w:tcPr>
          <w:p w14:paraId="619B99DF"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155.05%</w:t>
            </w:r>
          </w:p>
        </w:tc>
        <w:tc>
          <w:tcPr>
            <w:tcW w:w="1260" w:type="dxa"/>
            <w:tcBorders>
              <w:top w:val="single" w:sz="8" w:space="0" w:color="auto"/>
              <w:left w:val="nil"/>
              <w:bottom w:val="single" w:sz="8" w:space="0" w:color="auto"/>
              <w:right w:val="single" w:sz="8" w:space="0" w:color="auto"/>
            </w:tcBorders>
            <w:shd w:val="clear" w:color="000000" w:fill="E26B0A"/>
            <w:vAlign w:val="bottom"/>
            <w:hideMark/>
          </w:tcPr>
          <w:p w14:paraId="296AF6C6"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$3,051,111</w:t>
            </w:r>
          </w:p>
        </w:tc>
      </w:tr>
      <w:tr w:rsidR="003F0AFC" w:rsidRPr="003F0AFC" w14:paraId="12A356CB" w14:textId="77777777" w:rsidTr="009050D8">
        <w:trPr>
          <w:trHeight w:val="61"/>
        </w:trPr>
        <w:tc>
          <w:tcPr>
            <w:tcW w:w="664" w:type="dxa"/>
            <w:tcBorders>
              <w:top w:val="nil"/>
              <w:left w:val="single" w:sz="4" w:space="0" w:color="auto"/>
              <w:bottom w:val="nil"/>
              <w:right w:val="single" w:sz="4" w:space="0" w:color="auto"/>
            </w:tcBorders>
            <w:vAlign w:val="bottom"/>
            <w:hideMark/>
          </w:tcPr>
          <w:p w14:paraId="4F6134D5"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GOV</w:t>
            </w:r>
          </w:p>
        </w:tc>
        <w:tc>
          <w:tcPr>
            <w:tcW w:w="649" w:type="dxa"/>
            <w:tcBorders>
              <w:top w:val="nil"/>
              <w:left w:val="nil"/>
              <w:bottom w:val="nil"/>
              <w:right w:val="single" w:sz="4" w:space="0" w:color="auto"/>
            </w:tcBorders>
            <w:vAlign w:val="bottom"/>
            <w:hideMark/>
          </w:tcPr>
          <w:p w14:paraId="5F34BB20"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GOV</w:t>
            </w:r>
          </w:p>
        </w:tc>
        <w:tc>
          <w:tcPr>
            <w:tcW w:w="4031" w:type="dxa"/>
            <w:tcBorders>
              <w:top w:val="nil"/>
              <w:left w:val="nil"/>
              <w:bottom w:val="nil"/>
              <w:right w:val="single" w:sz="4" w:space="0" w:color="auto"/>
            </w:tcBorders>
            <w:vAlign w:val="bottom"/>
            <w:hideMark/>
          </w:tcPr>
          <w:p w14:paraId="04FB9C1C"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GOVERNORS OFFICE</w:t>
            </w:r>
          </w:p>
        </w:tc>
        <w:tc>
          <w:tcPr>
            <w:tcW w:w="1260" w:type="dxa"/>
            <w:tcBorders>
              <w:top w:val="nil"/>
              <w:left w:val="nil"/>
              <w:bottom w:val="nil"/>
              <w:right w:val="single" w:sz="4" w:space="0" w:color="auto"/>
            </w:tcBorders>
            <w:vAlign w:val="bottom"/>
            <w:hideMark/>
          </w:tcPr>
          <w:p w14:paraId="43A09DB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$260,590</w:t>
            </w:r>
          </w:p>
        </w:tc>
        <w:tc>
          <w:tcPr>
            <w:tcW w:w="1170" w:type="dxa"/>
            <w:tcBorders>
              <w:top w:val="nil"/>
              <w:left w:val="nil"/>
              <w:bottom w:val="nil"/>
              <w:right w:val="single" w:sz="4" w:space="0" w:color="auto"/>
            </w:tcBorders>
            <w:vAlign w:val="bottom"/>
            <w:hideMark/>
          </w:tcPr>
          <w:p w14:paraId="03CF2A29"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$15,635</w:t>
            </w:r>
          </w:p>
        </w:tc>
        <w:tc>
          <w:tcPr>
            <w:tcW w:w="1260" w:type="dxa"/>
            <w:tcBorders>
              <w:top w:val="nil"/>
              <w:left w:val="nil"/>
              <w:bottom w:val="nil"/>
              <w:right w:val="single" w:sz="4" w:space="0" w:color="auto"/>
            </w:tcBorders>
            <w:vAlign w:val="bottom"/>
            <w:hideMark/>
          </w:tcPr>
          <w:p w14:paraId="3D910E9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$35,641</w:t>
            </w:r>
          </w:p>
        </w:tc>
        <w:tc>
          <w:tcPr>
            <w:tcW w:w="1080" w:type="dxa"/>
            <w:tcBorders>
              <w:top w:val="nil"/>
              <w:left w:val="nil"/>
              <w:bottom w:val="nil"/>
              <w:right w:val="single" w:sz="4" w:space="0" w:color="auto"/>
            </w:tcBorders>
            <w:vAlign w:val="bottom"/>
            <w:hideMark/>
          </w:tcPr>
          <w:p w14:paraId="00EA347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33EC73A1"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$35,641</w:t>
            </w:r>
          </w:p>
        </w:tc>
        <w:tc>
          <w:tcPr>
            <w:tcW w:w="1151" w:type="dxa"/>
            <w:tcBorders>
              <w:top w:val="nil"/>
              <w:left w:val="nil"/>
              <w:bottom w:val="nil"/>
              <w:right w:val="single" w:sz="4" w:space="0" w:color="auto"/>
            </w:tcBorders>
            <w:vAlign w:val="bottom"/>
            <w:hideMark/>
          </w:tcPr>
          <w:p w14:paraId="111CC7A0"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227.95%</w:t>
            </w:r>
          </w:p>
        </w:tc>
        <w:tc>
          <w:tcPr>
            <w:tcW w:w="1260" w:type="dxa"/>
            <w:tcBorders>
              <w:top w:val="nil"/>
              <w:left w:val="nil"/>
              <w:bottom w:val="nil"/>
              <w:right w:val="single" w:sz="4" w:space="0" w:color="auto"/>
            </w:tcBorders>
            <w:vAlign w:val="bottom"/>
            <w:hideMark/>
          </w:tcPr>
          <w:p w14:paraId="182305D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$20,005</w:t>
            </w:r>
          </w:p>
        </w:tc>
      </w:tr>
      <w:tr w:rsidR="003F0AFC" w:rsidRPr="003F0AFC" w14:paraId="09192C23" w14:textId="77777777" w:rsidTr="009050D8">
        <w:trPr>
          <w:trHeight w:val="115"/>
        </w:trPr>
        <w:tc>
          <w:tcPr>
            <w:tcW w:w="5344" w:type="dxa"/>
            <w:gridSpan w:val="3"/>
            <w:tcBorders>
              <w:top w:val="single" w:sz="8" w:space="0" w:color="auto"/>
              <w:left w:val="single" w:sz="8" w:space="0" w:color="auto"/>
              <w:bottom w:val="single" w:sz="8" w:space="0" w:color="auto"/>
              <w:right w:val="single" w:sz="4" w:space="0" w:color="auto"/>
            </w:tcBorders>
            <w:shd w:val="clear" w:color="000000" w:fill="E26B0A"/>
            <w:vAlign w:val="bottom"/>
            <w:hideMark/>
          </w:tcPr>
          <w:p w14:paraId="1F45717E" w14:textId="77777777" w:rsidR="003F0AFC" w:rsidRPr="00E67D16" w:rsidRDefault="003F0AFC" w:rsidP="00F8162C">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461FB265"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$260,590</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490BB70D"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$15,635</w:t>
            </w:r>
          </w:p>
        </w:tc>
        <w:tc>
          <w:tcPr>
            <w:tcW w:w="1260" w:type="dxa"/>
            <w:tcBorders>
              <w:top w:val="single" w:sz="8" w:space="0" w:color="auto"/>
              <w:left w:val="nil"/>
              <w:bottom w:val="single" w:sz="8" w:space="0" w:color="auto"/>
              <w:right w:val="single" w:sz="4" w:space="0" w:color="auto"/>
            </w:tcBorders>
            <w:shd w:val="clear" w:color="000000" w:fill="E26B0A"/>
            <w:vAlign w:val="bottom"/>
            <w:hideMark/>
          </w:tcPr>
          <w:p w14:paraId="617A5486"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$35,641</w:t>
            </w:r>
          </w:p>
        </w:tc>
        <w:tc>
          <w:tcPr>
            <w:tcW w:w="1080" w:type="dxa"/>
            <w:tcBorders>
              <w:top w:val="single" w:sz="8" w:space="0" w:color="auto"/>
              <w:left w:val="nil"/>
              <w:bottom w:val="single" w:sz="8" w:space="0" w:color="auto"/>
              <w:right w:val="single" w:sz="4" w:space="0" w:color="auto"/>
            </w:tcBorders>
            <w:shd w:val="clear" w:color="000000" w:fill="E26B0A"/>
            <w:vAlign w:val="bottom"/>
            <w:hideMark/>
          </w:tcPr>
          <w:p w14:paraId="2D097A9D"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5FB19C05"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$35,641</w:t>
            </w:r>
          </w:p>
        </w:tc>
        <w:tc>
          <w:tcPr>
            <w:tcW w:w="1151" w:type="dxa"/>
            <w:tcBorders>
              <w:top w:val="single" w:sz="8" w:space="0" w:color="auto"/>
              <w:left w:val="nil"/>
              <w:bottom w:val="single" w:sz="8" w:space="0" w:color="auto"/>
              <w:right w:val="single" w:sz="4" w:space="0" w:color="auto"/>
            </w:tcBorders>
            <w:shd w:val="clear" w:color="000000" w:fill="E26B0A"/>
            <w:vAlign w:val="bottom"/>
            <w:hideMark/>
          </w:tcPr>
          <w:p w14:paraId="3BBB547E"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227.95%</w:t>
            </w:r>
          </w:p>
        </w:tc>
        <w:tc>
          <w:tcPr>
            <w:tcW w:w="1260" w:type="dxa"/>
            <w:tcBorders>
              <w:top w:val="single" w:sz="8" w:space="0" w:color="auto"/>
              <w:left w:val="nil"/>
              <w:bottom w:val="single" w:sz="8" w:space="0" w:color="auto"/>
              <w:right w:val="single" w:sz="8" w:space="0" w:color="auto"/>
            </w:tcBorders>
            <w:shd w:val="clear" w:color="000000" w:fill="E26B0A"/>
            <w:vAlign w:val="bottom"/>
            <w:hideMark/>
          </w:tcPr>
          <w:p w14:paraId="1CA53619"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$20,005</w:t>
            </w:r>
          </w:p>
        </w:tc>
      </w:tr>
      <w:tr w:rsidR="003F0AFC" w:rsidRPr="003F0AFC" w14:paraId="28074F97" w14:textId="77777777" w:rsidTr="009050D8">
        <w:trPr>
          <w:trHeight w:val="106"/>
        </w:trPr>
        <w:tc>
          <w:tcPr>
            <w:tcW w:w="664" w:type="dxa"/>
            <w:tcBorders>
              <w:top w:val="nil"/>
              <w:left w:val="single" w:sz="4" w:space="0" w:color="auto"/>
              <w:bottom w:val="nil"/>
              <w:right w:val="single" w:sz="4" w:space="0" w:color="auto"/>
            </w:tcBorders>
            <w:vAlign w:val="bottom"/>
            <w:hideMark/>
          </w:tcPr>
          <w:p w14:paraId="25BEE008"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OSC</w:t>
            </w:r>
          </w:p>
        </w:tc>
        <w:tc>
          <w:tcPr>
            <w:tcW w:w="649" w:type="dxa"/>
            <w:tcBorders>
              <w:top w:val="nil"/>
              <w:left w:val="nil"/>
              <w:bottom w:val="nil"/>
              <w:right w:val="single" w:sz="4" w:space="0" w:color="auto"/>
            </w:tcBorders>
            <w:vAlign w:val="bottom"/>
            <w:hideMark/>
          </w:tcPr>
          <w:p w14:paraId="26A557EB" w14:textId="77777777" w:rsidR="003F0AFC" w:rsidRPr="00E67D16" w:rsidRDefault="003F0AFC" w:rsidP="00F8162C">
            <w:pPr>
              <w:spacing w:after="0" w:line="240" w:lineRule="auto"/>
              <w:jc w:val="center"/>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OSC</w:t>
            </w:r>
          </w:p>
        </w:tc>
        <w:tc>
          <w:tcPr>
            <w:tcW w:w="4031" w:type="dxa"/>
            <w:tcBorders>
              <w:top w:val="nil"/>
              <w:left w:val="nil"/>
              <w:bottom w:val="nil"/>
              <w:right w:val="single" w:sz="4" w:space="0" w:color="auto"/>
            </w:tcBorders>
            <w:vAlign w:val="bottom"/>
            <w:hideMark/>
          </w:tcPr>
          <w:p w14:paraId="302A9103" w14:textId="77777777" w:rsidR="003F0AFC" w:rsidRPr="00E67D16" w:rsidRDefault="003F0AFC" w:rsidP="003F0AFC">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OFFICE OF THE COMPTROLLER</w:t>
            </w:r>
          </w:p>
        </w:tc>
        <w:tc>
          <w:tcPr>
            <w:tcW w:w="1260" w:type="dxa"/>
            <w:tcBorders>
              <w:top w:val="nil"/>
              <w:left w:val="nil"/>
              <w:bottom w:val="nil"/>
              <w:right w:val="single" w:sz="4" w:space="0" w:color="auto"/>
            </w:tcBorders>
            <w:vAlign w:val="bottom"/>
            <w:hideMark/>
          </w:tcPr>
          <w:p w14:paraId="6C09F43B"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$425,069</w:t>
            </w:r>
          </w:p>
        </w:tc>
        <w:tc>
          <w:tcPr>
            <w:tcW w:w="1170" w:type="dxa"/>
            <w:tcBorders>
              <w:top w:val="nil"/>
              <w:left w:val="nil"/>
              <w:bottom w:val="nil"/>
              <w:right w:val="single" w:sz="4" w:space="0" w:color="auto"/>
            </w:tcBorders>
            <w:vAlign w:val="bottom"/>
            <w:hideMark/>
          </w:tcPr>
          <w:p w14:paraId="54EB7AF6"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$25,504</w:t>
            </w:r>
          </w:p>
        </w:tc>
        <w:tc>
          <w:tcPr>
            <w:tcW w:w="1260" w:type="dxa"/>
            <w:tcBorders>
              <w:top w:val="nil"/>
              <w:left w:val="nil"/>
              <w:bottom w:val="nil"/>
              <w:right w:val="single" w:sz="4" w:space="0" w:color="auto"/>
            </w:tcBorders>
            <w:vAlign w:val="bottom"/>
            <w:hideMark/>
          </w:tcPr>
          <w:p w14:paraId="68D90F33"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$100,462</w:t>
            </w:r>
          </w:p>
        </w:tc>
        <w:tc>
          <w:tcPr>
            <w:tcW w:w="1080" w:type="dxa"/>
            <w:tcBorders>
              <w:top w:val="nil"/>
              <w:left w:val="nil"/>
              <w:bottom w:val="nil"/>
              <w:right w:val="single" w:sz="4" w:space="0" w:color="auto"/>
            </w:tcBorders>
            <w:vAlign w:val="bottom"/>
            <w:hideMark/>
          </w:tcPr>
          <w:p w14:paraId="6A28FD94"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4194FFBE"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$100,462</w:t>
            </w:r>
          </w:p>
        </w:tc>
        <w:tc>
          <w:tcPr>
            <w:tcW w:w="1151" w:type="dxa"/>
            <w:tcBorders>
              <w:top w:val="nil"/>
              <w:left w:val="nil"/>
              <w:bottom w:val="nil"/>
              <w:right w:val="single" w:sz="4" w:space="0" w:color="auto"/>
            </w:tcBorders>
            <w:vAlign w:val="bottom"/>
            <w:hideMark/>
          </w:tcPr>
          <w:p w14:paraId="0C23E1D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393.90%</w:t>
            </w:r>
          </w:p>
        </w:tc>
        <w:tc>
          <w:tcPr>
            <w:tcW w:w="1260" w:type="dxa"/>
            <w:tcBorders>
              <w:top w:val="nil"/>
              <w:left w:val="nil"/>
              <w:bottom w:val="nil"/>
              <w:right w:val="single" w:sz="4" w:space="0" w:color="auto"/>
            </w:tcBorders>
            <w:vAlign w:val="bottom"/>
            <w:hideMark/>
          </w:tcPr>
          <w:p w14:paraId="579C737C" w14:textId="77777777" w:rsidR="003F0AFC" w:rsidRPr="00E67D16" w:rsidRDefault="003F0AFC" w:rsidP="003F0AFC">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$74,958</w:t>
            </w:r>
          </w:p>
        </w:tc>
      </w:tr>
      <w:tr w:rsidR="003F0AFC" w:rsidRPr="003F0AFC" w14:paraId="09CF1062" w14:textId="77777777" w:rsidTr="009050D8">
        <w:trPr>
          <w:trHeight w:val="50"/>
        </w:trPr>
        <w:tc>
          <w:tcPr>
            <w:tcW w:w="5344" w:type="dxa"/>
            <w:gridSpan w:val="3"/>
            <w:tcBorders>
              <w:top w:val="single" w:sz="8" w:space="0" w:color="auto"/>
              <w:left w:val="single" w:sz="8" w:space="0" w:color="auto"/>
              <w:bottom w:val="single" w:sz="8" w:space="0" w:color="auto"/>
              <w:right w:val="single" w:sz="4" w:space="0" w:color="auto"/>
            </w:tcBorders>
            <w:shd w:val="clear" w:color="000000" w:fill="E26B0A"/>
            <w:noWrap/>
            <w:vAlign w:val="bottom"/>
            <w:hideMark/>
          </w:tcPr>
          <w:p w14:paraId="3B850AC7" w14:textId="77777777" w:rsidR="003F0AFC" w:rsidRPr="00E67D16" w:rsidRDefault="003F0AFC" w:rsidP="00F8162C">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E26B0A"/>
            <w:noWrap/>
            <w:vAlign w:val="bottom"/>
            <w:hideMark/>
          </w:tcPr>
          <w:p w14:paraId="79FB5399"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$425,069</w:t>
            </w:r>
          </w:p>
        </w:tc>
        <w:tc>
          <w:tcPr>
            <w:tcW w:w="1170" w:type="dxa"/>
            <w:tcBorders>
              <w:top w:val="single" w:sz="8" w:space="0" w:color="auto"/>
              <w:left w:val="nil"/>
              <w:bottom w:val="single" w:sz="8" w:space="0" w:color="auto"/>
              <w:right w:val="single" w:sz="4" w:space="0" w:color="auto"/>
            </w:tcBorders>
            <w:shd w:val="clear" w:color="000000" w:fill="E26B0A"/>
            <w:noWrap/>
            <w:vAlign w:val="bottom"/>
            <w:hideMark/>
          </w:tcPr>
          <w:p w14:paraId="39C31695"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$25,504</w:t>
            </w:r>
          </w:p>
        </w:tc>
        <w:tc>
          <w:tcPr>
            <w:tcW w:w="1260" w:type="dxa"/>
            <w:tcBorders>
              <w:top w:val="single" w:sz="8" w:space="0" w:color="auto"/>
              <w:left w:val="nil"/>
              <w:bottom w:val="single" w:sz="8" w:space="0" w:color="auto"/>
              <w:right w:val="single" w:sz="4" w:space="0" w:color="auto"/>
            </w:tcBorders>
            <w:shd w:val="clear" w:color="000000" w:fill="E26B0A"/>
            <w:noWrap/>
            <w:vAlign w:val="bottom"/>
            <w:hideMark/>
          </w:tcPr>
          <w:p w14:paraId="0C4631AA"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$100,462</w:t>
            </w:r>
          </w:p>
        </w:tc>
        <w:tc>
          <w:tcPr>
            <w:tcW w:w="1080" w:type="dxa"/>
            <w:tcBorders>
              <w:top w:val="single" w:sz="8" w:space="0" w:color="auto"/>
              <w:left w:val="nil"/>
              <w:bottom w:val="single" w:sz="8" w:space="0" w:color="auto"/>
              <w:right w:val="single" w:sz="4" w:space="0" w:color="auto"/>
            </w:tcBorders>
            <w:shd w:val="clear" w:color="000000" w:fill="E26B0A"/>
            <w:noWrap/>
            <w:vAlign w:val="bottom"/>
            <w:hideMark/>
          </w:tcPr>
          <w:p w14:paraId="7BEC10EF"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E26B0A"/>
            <w:vAlign w:val="bottom"/>
            <w:hideMark/>
          </w:tcPr>
          <w:p w14:paraId="2A529A49"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$100,462</w:t>
            </w:r>
          </w:p>
        </w:tc>
        <w:tc>
          <w:tcPr>
            <w:tcW w:w="1151" w:type="dxa"/>
            <w:tcBorders>
              <w:top w:val="single" w:sz="8" w:space="0" w:color="auto"/>
              <w:left w:val="nil"/>
              <w:bottom w:val="single" w:sz="8" w:space="0" w:color="auto"/>
              <w:right w:val="single" w:sz="4" w:space="0" w:color="auto"/>
            </w:tcBorders>
            <w:shd w:val="clear" w:color="000000" w:fill="E26B0A"/>
            <w:vAlign w:val="bottom"/>
            <w:hideMark/>
          </w:tcPr>
          <w:p w14:paraId="3DF5A6EE"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393.90%</w:t>
            </w:r>
          </w:p>
        </w:tc>
        <w:tc>
          <w:tcPr>
            <w:tcW w:w="1260" w:type="dxa"/>
            <w:tcBorders>
              <w:top w:val="single" w:sz="8" w:space="0" w:color="auto"/>
              <w:left w:val="nil"/>
              <w:bottom w:val="single" w:sz="8" w:space="0" w:color="auto"/>
              <w:right w:val="single" w:sz="8" w:space="0" w:color="auto"/>
            </w:tcBorders>
            <w:shd w:val="clear" w:color="000000" w:fill="E26B0A"/>
            <w:vAlign w:val="bottom"/>
            <w:hideMark/>
          </w:tcPr>
          <w:p w14:paraId="1411CC15"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$74,958</w:t>
            </w:r>
          </w:p>
        </w:tc>
      </w:tr>
      <w:tr w:rsidR="003F0AFC" w:rsidRPr="003F0AFC" w14:paraId="35A3C7E9" w14:textId="77777777" w:rsidTr="009050D8">
        <w:trPr>
          <w:trHeight w:val="160"/>
        </w:trPr>
        <w:tc>
          <w:tcPr>
            <w:tcW w:w="5344" w:type="dxa"/>
            <w:gridSpan w:val="3"/>
            <w:tcBorders>
              <w:top w:val="single" w:sz="8" w:space="0" w:color="auto"/>
              <w:left w:val="single" w:sz="8" w:space="0" w:color="auto"/>
              <w:bottom w:val="single" w:sz="8" w:space="0" w:color="auto"/>
              <w:right w:val="single" w:sz="4" w:space="0" w:color="auto"/>
            </w:tcBorders>
            <w:shd w:val="clear" w:color="000000" w:fill="E4DFEC"/>
            <w:noWrap/>
            <w:vAlign w:val="bottom"/>
            <w:hideMark/>
          </w:tcPr>
          <w:p w14:paraId="67B42F67" w14:textId="77777777" w:rsidR="003F0AFC" w:rsidRPr="00E67D16" w:rsidRDefault="003F0AFC" w:rsidP="00F8162C">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EXECUTIVE BRANCH TOTAL</w:t>
            </w:r>
          </w:p>
        </w:tc>
        <w:tc>
          <w:tcPr>
            <w:tcW w:w="1260" w:type="dxa"/>
            <w:tcBorders>
              <w:top w:val="nil"/>
              <w:left w:val="nil"/>
              <w:bottom w:val="single" w:sz="8" w:space="0" w:color="auto"/>
              <w:right w:val="single" w:sz="4" w:space="0" w:color="auto"/>
            </w:tcBorders>
            <w:shd w:val="clear" w:color="000000" w:fill="E4DFEC"/>
            <w:noWrap/>
            <w:vAlign w:val="bottom"/>
            <w:hideMark/>
          </w:tcPr>
          <w:p w14:paraId="068B7E47"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$3,976,301,022</w:t>
            </w:r>
          </w:p>
        </w:tc>
        <w:tc>
          <w:tcPr>
            <w:tcW w:w="1170" w:type="dxa"/>
            <w:tcBorders>
              <w:top w:val="nil"/>
              <w:left w:val="nil"/>
              <w:bottom w:val="single" w:sz="8" w:space="0" w:color="auto"/>
              <w:right w:val="single" w:sz="4" w:space="0" w:color="auto"/>
            </w:tcBorders>
            <w:shd w:val="clear" w:color="000000" w:fill="E4DFEC"/>
            <w:noWrap/>
            <w:vAlign w:val="bottom"/>
            <w:hideMark/>
          </w:tcPr>
          <w:p w14:paraId="307826F0"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$238,578,061</w:t>
            </w:r>
          </w:p>
        </w:tc>
        <w:tc>
          <w:tcPr>
            <w:tcW w:w="1260" w:type="dxa"/>
            <w:tcBorders>
              <w:top w:val="nil"/>
              <w:left w:val="nil"/>
              <w:bottom w:val="single" w:sz="8" w:space="0" w:color="auto"/>
              <w:right w:val="single" w:sz="4" w:space="0" w:color="auto"/>
            </w:tcBorders>
            <w:shd w:val="clear" w:color="000000" w:fill="E4DFEC"/>
            <w:noWrap/>
            <w:vAlign w:val="bottom"/>
            <w:hideMark/>
          </w:tcPr>
          <w:p w14:paraId="0C7A810F"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$229,270,477</w:t>
            </w:r>
          </w:p>
        </w:tc>
        <w:tc>
          <w:tcPr>
            <w:tcW w:w="1080" w:type="dxa"/>
            <w:tcBorders>
              <w:top w:val="nil"/>
              <w:left w:val="nil"/>
              <w:bottom w:val="single" w:sz="8" w:space="0" w:color="auto"/>
              <w:right w:val="single" w:sz="4" w:space="0" w:color="auto"/>
            </w:tcBorders>
            <w:shd w:val="clear" w:color="000000" w:fill="E4DFEC"/>
            <w:noWrap/>
            <w:vAlign w:val="bottom"/>
            <w:hideMark/>
          </w:tcPr>
          <w:p w14:paraId="52B5D4F2"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$16,989,692</w:t>
            </w:r>
          </w:p>
        </w:tc>
        <w:tc>
          <w:tcPr>
            <w:tcW w:w="1170" w:type="dxa"/>
            <w:tcBorders>
              <w:top w:val="nil"/>
              <w:left w:val="nil"/>
              <w:bottom w:val="single" w:sz="8" w:space="0" w:color="auto"/>
              <w:right w:val="single" w:sz="4" w:space="0" w:color="auto"/>
            </w:tcBorders>
            <w:shd w:val="clear" w:color="000000" w:fill="E4DFEC"/>
            <w:vAlign w:val="bottom"/>
            <w:hideMark/>
          </w:tcPr>
          <w:p w14:paraId="24B7201B"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$246,260,169</w:t>
            </w:r>
          </w:p>
        </w:tc>
        <w:tc>
          <w:tcPr>
            <w:tcW w:w="1151" w:type="dxa"/>
            <w:tcBorders>
              <w:top w:val="nil"/>
              <w:left w:val="nil"/>
              <w:bottom w:val="single" w:sz="8" w:space="0" w:color="auto"/>
              <w:right w:val="single" w:sz="4" w:space="0" w:color="auto"/>
            </w:tcBorders>
            <w:shd w:val="clear" w:color="000000" w:fill="E4DFEC"/>
            <w:vAlign w:val="bottom"/>
            <w:hideMark/>
          </w:tcPr>
          <w:p w14:paraId="20577DA2"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103.22%</w:t>
            </w:r>
          </w:p>
        </w:tc>
        <w:tc>
          <w:tcPr>
            <w:tcW w:w="1260" w:type="dxa"/>
            <w:tcBorders>
              <w:top w:val="nil"/>
              <w:left w:val="nil"/>
              <w:bottom w:val="single" w:sz="8" w:space="0" w:color="auto"/>
              <w:right w:val="single" w:sz="8" w:space="0" w:color="auto"/>
            </w:tcBorders>
            <w:shd w:val="clear" w:color="000000" w:fill="E4DFEC"/>
            <w:vAlign w:val="bottom"/>
            <w:hideMark/>
          </w:tcPr>
          <w:p w14:paraId="577B70D0"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$7,682,108</w:t>
            </w:r>
          </w:p>
        </w:tc>
      </w:tr>
      <w:tr w:rsidR="003F0AFC" w:rsidRPr="003F0AFC" w14:paraId="73F5C5E1" w14:textId="77777777" w:rsidTr="009050D8">
        <w:trPr>
          <w:trHeight w:val="115"/>
        </w:trPr>
        <w:tc>
          <w:tcPr>
            <w:tcW w:w="664" w:type="dxa"/>
            <w:tcBorders>
              <w:top w:val="nil"/>
              <w:left w:val="nil"/>
              <w:bottom w:val="nil"/>
              <w:right w:val="nil"/>
            </w:tcBorders>
            <w:noWrap/>
            <w:vAlign w:val="bottom"/>
            <w:hideMark/>
          </w:tcPr>
          <w:p w14:paraId="67390225" w14:textId="77777777" w:rsidR="003F0AFC" w:rsidRPr="00E67D16" w:rsidRDefault="003F0AFC" w:rsidP="003F0AFC">
            <w:pPr>
              <w:spacing w:after="0" w:line="240" w:lineRule="auto"/>
              <w:jc w:val="center"/>
              <w:rPr>
                <w:rFonts w:ascii="Calibri" w:eastAsia="Times New Roman" w:hAnsi="Calibri"/>
                <w:b/>
                <w:bCs/>
                <w:color w:val="000000"/>
                <w:sz w:val="12"/>
                <w:szCs w:val="12"/>
                <w:lang w:val="en-US"/>
              </w:rPr>
            </w:pPr>
          </w:p>
        </w:tc>
        <w:tc>
          <w:tcPr>
            <w:tcW w:w="649" w:type="dxa"/>
            <w:tcBorders>
              <w:top w:val="nil"/>
              <w:left w:val="nil"/>
              <w:bottom w:val="nil"/>
              <w:right w:val="nil"/>
            </w:tcBorders>
            <w:noWrap/>
            <w:vAlign w:val="bottom"/>
            <w:hideMark/>
          </w:tcPr>
          <w:p w14:paraId="111430BE" w14:textId="77777777" w:rsidR="003F0AFC" w:rsidRPr="00E67D16" w:rsidRDefault="003F0AFC" w:rsidP="00F8162C">
            <w:pPr>
              <w:spacing w:after="0" w:line="240" w:lineRule="auto"/>
              <w:jc w:val="center"/>
              <w:rPr>
                <w:rFonts w:ascii="Calibri" w:eastAsia="Times New Roman" w:hAnsi="Calibri"/>
                <w:b/>
                <w:bCs/>
                <w:color w:val="000000"/>
                <w:sz w:val="12"/>
                <w:szCs w:val="12"/>
                <w:lang w:val="en-US"/>
              </w:rPr>
            </w:pPr>
          </w:p>
        </w:tc>
        <w:tc>
          <w:tcPr>
            <w:tcW w:w="4031" w:type="dxa"/>
            <w:tcBorders>
              <w:top w:val="nil"/>
              <w:left w:val="nil"/>
              <w:bottom w:val="nil"/>
              <w:right w:val="nil"/>
            </w:tcBorders>
            <w:noWrap/>
            <w:vAlign w:val="bottom"/>
            <w:hideMark/>
          </w:tcPr>
          <w:p w14:paraId="4E9EA0B2" w14:textId="77777777" w:rsidR="003F0AFC" w:rsidRPr="00E67D16" w:rsidRDefault="003F0AFC" w:rsidP="003F0AFC">
            <w:pPr>
              <w:spacing w:after="0" w:line="240" w:lineRule="auto"/>
              <w:jc w:val="center"/>
              <w:rPr>
                <w:rFonts w:ascii="Calibri" w:eastAsia="Times New Roman" w:hAnsi="Calibri"/>
                <w:b/>
                <w:bCs/>
                <w:color w:val="000000"/>
                <w:sz w:val="12"/>
                <w:szCs w:val="12"/>
                <w:lang w:val="en-US"/>
              </w:rPr>
            </w:pPr>
          </w:p>
        </w:tc>
        <w:tc>
          <w:tcPr>
            <w:tcW w:w="1260" w:type="dxa"/>
            <w:tcBorders>
              <w:top w:val="nil"/>
              <w:left w:val="nil"/>
              <w:bottom w:val="nil"/>
              <w:right w:val="nil"/>
            </w:tcBorders>
            <w:noWrap/>
            <w:vAlign w:val="bottom"/>
            <w:hideMark/>
          </w:tcPr>
          <w:p w14:paraId="3687A4EE" w14:textId="77777777" w:rsidR="003F0AFC" w:rsidRPr="00E67D16" w:rsidRDefault="003F0AFC" w:rsidP="003F0AFC">
            <w:pPr>
              <w:spacing w:after="0" w:line="240" w:lineRule="auto"/>
              <w:rPr>
                <w:rFonts w:ascii="Calibri" w:eastAsia="Times New Roman" w:hAnsi="Calibri"/>
                <w:b/>
                <w:bCs/>
                <w:color w:val="000000"/>
                <w:sz w:val="12"/>
                <w:szCs w:val="12"/>
                <w:lang w:val="en-US"/>
              </w:rPr>
            </w:pPr>
          </w:p>
        </w:tc>
        <w:tc>
          <w:tcPr>
            <w:tcW w:w="1170" w:type="dxa"/>
            <w:tcBorders>
              <w:top w:val="nil"/>
              <w:left w:val="nil"/>
              <w:bottom w:val="nil"/>
              <w:right w:val="nil"/>
            </w:tcBorders>
            <w:noWrap/>
            <w:vAlign w:val="bottom"/>
            <w:hideMark/>
          </w:tcPr>
          <w:p w14:paraId="0CCF1741" w14:textId="77777777" w:rsidR="003F0AFC" w:rsidRPr="00E67D16" w:rsidRDefault="003F0AFC" w:rsidP="003F0AFC">
            <w:pPr>
              <w:spacing w:after="0" w:line="240" w:lineRule="auto"/>
              <w:rPr>
                <w:rFonts w:ascii="Calibri" w:eastAsia="Times New Roman" w:hAnsi="Calibri"/>
                <w:b/>
                <w:bCs/>
                <w:color w:val="000000"/>
                <w:sz w:val="12"/>
                <w:szCs w:val="12"/>
                <w:lang w:val="en-US"/>
              </w:rPr>
            </w:pPr>
          </w:p>
        </w:tc>
        <w:tc>
          <w:tcPr>
            <w:tcW w:w="1260" w:type="dxa"/>
            <w:tcBorders>
              <w:top w:val="nil"/>
              <w:left w:val="nil"/>
              <w:bottom w:val="nil"/>
              <w:right w:val="nil"/>
            </w:tcBorders>
            <w:noWrap/>
            <w:vAlign w:val="bottom"/>
            <w:hideMark/>
          </w:tcPr>
          <w:p w14:paraId="7FBBD574" w14:textId="77777777" w:rsidR="003F0AFC" w:rsidRPr="00E67D16" w:rsidRDefault="003F0AFC" w:rsidP="003F0AFC">
            <w:pPr>
              <w:spacing w:after="0" w:line="240" w:lineRule="auto"/>
              <w:rPr>
                <w:rFonts w:ascii="Calibri" w:eastAsia="Times New Roman" w:hAnsi="Calibri"/>
                <w:b/>
                <w:bCs/>
                <w:color w:val="000000"/>
                <w:sz w:val="12"/>
                <w:szCs w:val="12"/>
                <w:lang w:val="en-US"/>
              </w:rPr>
            </w:pPr>
          </w:p>
        </w:tc>
        <w:tc>
          <w:tcPr>
            <w:tcW w:w="1080" w:type="dxa"/>
            <w:tcBorders>
              <w:top w:val="nil"/>
              <w:left w:val="nil"/>
              <w:bottom w:val="nil"/>
              <w:right w:val="nil"/>
            </w:tcBorders>
            <w:noWrap/>
            <w:vAlign w:val="bottom"/>
            <w:hideMark/>
          </w:tcPr>
          <w:p w14:paraId="63F8AFDC" w14:textId="77777777" w:rsidR="003F0AFC" w:rsidRPr="00E67D16" w:rsidRDefault="003F0AFC" w:rsidP="003F0AFC">
            <w:pPr>
              <w:spacing w:after="0" w:line="240" w:lineRule="auto"/>
              <w:rPr>
                <w:rFonts w:ascii="Calibri" w:eastAsia="Times New Roman" w:hAnsi="Calibri"/>
                <w:b/>
                <w:bCs/>
                <w:color w:val="000000"/>
                <w:sz w:val="12"/>
                <w:szCs w:val="12"/>
                <w:lang w:val="en-US"/>
              </w:rPr>
            </w:pPr>
          </w:p>
        </w:tc>
        <w:tc>
          <w:tcPr>
            <w:tcW w:w="1170" w:type="dxa"/>
            <w:tcBorders>
              <w:top w:val="nil"/>
              <w:left w:val="nil"/>
              <w:bottom w:val="nil"/>
              <w:right w:val="nil"/>
            </w:tcBorders>
            <w:noWrap/>
            <w:vAlign w:val="bottom"/>
            <w:hideMark/>
          </w:tcPr>
          <w:p w14:paraId="567F7A57" w14:textId="77777777" w:rsidR="003F0AFC" w:rsidRPr="00E67D16" w:rsidRDefault="003F0AFC" w:rsidP="003F0AFC">
            <w:pPr>
              <w:spacing w:after="0" w:line="240" w:lineRule="auto"/>
              <w:rPr>
                <w:rFonts w:ascii="Calibri" w:eastAsia="Times New Roman" w:hAnsi="Calibri"/>
                <w:b/>
                <w:bCs/>
                <w:color w:val="000000"/>
                <w:sz w:val="12"/>
                <w:szCs w:val="12"/>
                <w:lang w:val="en-US"/>
              </w:rPr>
            </w:pPr>
          </w:p>
        </w:tc>
        <w:tc>
          <w:tcPr>
            <w:tcW w:w="1151" w:type="dxa"/>
            <w:tcBorders>
              <w:top w:val="nil"/>
              <w:left w:val="nil"/>
              <w:bottom w:val="nil"/>
              <w:right w:val="nil"/>
            </w:tcBorders>
            <w:vAlign w:val="bottom"/>
            <w:hideMark/>
          </w:tcPr>
          <w:p w14:paraId="73853943"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p>
        </w:tc>
        <w:tc>
          <w:tcPr>
            <w:tcW w:w="1260" w:type="dxa"/>
            <w:tcBorders>
              <w:top w:val="nil"/>
              <w:left w:val="nil"/>
              <w:bottom w:val="nil"/>
              <w:right w:val="nil"/>
            </w:tcBorders>
            <w:vAlign w:val="bottom"/>
            <w:hideMark/>
          </w:tcPr>
          <w:p w14:paraId="58F2C17D"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p>
        </w:tc>
      </w:tr>
      <w:tr w:rsidR="003F0AFC" w:rsidRPr="003F0AFC" w14:paraId="7A9FA27B" w14:textId="77777777" w:rsidTr="009050D8">
        <w:trPr>
          <w:trHeight w:val="169"/>
        </w:trPr>
        <w:tc>
          <w:tcPr>
            <w:tcW w:w="5344" w:type="dxa"/>
            <w:gridSpan w:val="3"/>
            <w:tcBorders>
              <w:top w:val="single" w:sz="8" w:space="0" w:color="auto"/>
              <w:left w:val="single" w:sz="8" w:space="0" w:color="auto"/>
              <w:bottom w:val="single" w:sz="8" w:space="0" w:color="auto"/>
              <w:right w:val="single" w:sz="4" w:space="0" w:color="auto"/>
            </w:tcBorders>
            <w:shd w:val="clear" w:color="000000" w:fill="006600"/>
            <w:noWrap/>
            <w:vAlign w:val="bottom"/>
            <w:hideMark/>
          </w:tcPr>
          <w:p w14:paraId="36B5310A" w14:textId="77777777" w:rsidR="003F0AFC" w:rsidRPr="00E67D16" w:rsidRDefault="003F0AFC" w:rsidP="00F8162C">
            <w:pPr>
              <w:spacing w:after="0" w:line="240" w:lineRule="auto"/>
              <w:jc w:val="center"/>
              <w:rPr>
                <w:rFonts w:ascii="Calibri" w:eastAsia="Times New Roman" w:hAnsi="Calibri"/>
                <w:b/>
                <w:bCs/>
                <w:color w:val="F0EA00"/>
                <w:sz w:val="12"/>
                <w:szCs w:val="12"/>
                <w:lang w:val="en-US"/>
              </w:rPr>
            </w:pPr>
            <w:r w:rsidRPr="00E67D16">
              <w:rPr>
                <w:rFonts w:ascii="Calibri" w:eastAsia="Times New Roman" w:hAnsi="Calibri"/>
                <w:b/>
                <w:bCs/>
                <w:color w:val="F0EA00"/>
                <w:sz w:val="12"/>
                <w:szCs w:val="12"/>
                <w:lang w:val="en-US"/>
              </w:rPr>
              <w:t>MASS HOUSING</w:t>
            </w:r>
          </w:p>
        </w:tc>
        <w:tc>
          <w:tcPr>
            <w:tcW w:w="1260" w:type="dxa"/>
            <w:tcBorders>
              <w:top w:val="single" w:sz="8" w:space="0" w:color="auto"/>
              <w:left w:val="nil"/>
              <w:bottom w:val="single" w:sz="8" w:space="0" w:color="auto"/>
              <w:right w:val="single" w:sz="4" w:space="0" w:color="auto"/>
            </w:tcBorders>
            <w:shd w:val="clear" w:color="000000" w:fill="006600"/>
            <w:noWrap/>
            <w:vAlign w:val="bottom"/>
            <w:hideMark/>
          </w:tcPr>
          <w:p w14:paraId="6027207A" w14:textId="77777777" w:rsidR="003F0AFC" w:rsidRPr="00E67D16" w:rsidRDefault="003F0AFC" w:rsidP="003F0AFC">
            <w:pPr>
              <w:spacing w:after="0" w:line="240" w:lineRule="auto"/>
              <w:jc w:val="right"/>
              <w:rPr>
                <w:rFonts w:ascii="Calibri" w:eastAsia="Times New Roman" w:hAnsi="Calibri"/>
                <w:b/>
                <w:bCs/>
                <w:color w:val="F0EA00"/>
                <w:sz w:val="12"/>
                <w:szCs w:val="12"/>
                <w:lang w:val="en-US"/>
              </w:rPr>
            </w:pPr>
            <w:r w:rsidRPr="00E67D16">
              <w:rPr>
                <w:rFonts w:ascii="Calibri" w:eastAsia="Times New Roman" w:hAnsi="Calibri"/>
                <w:b/>
                <w:bCs/>
                <w:color w:val="F0EA00"/>
                <w:sz w:val="12"/>
                <w:szCs w:val="12"/>
                <w:lang w:val="en-US"/>
              </w:rPr>
              <w:t>$14,523,438</w:t>
            </w:r>
          </w:p>
        </w:tc>
        <w:tc>
          <w:tcPr>
            <w:tcW w:w="1170" w:type="dxa"/>
            <w:tcBorders>
              <w:top w:val="single" w:sz="8" w:space="0" w:color="auto"/>
              <w:left w:val="nil"/>
              <w:bottom w:val="single" w:sz="8" w:space="0" w:color="auto"/>
              <w:right w:val="single" w:sz="4" w:space="0" w:color="auto"/>
            </w:tcBorders>
            <w:shd w:val="clear" w:color="000000" w:fill="006600"/>
            <w:noWrap/>
            <w:vAlign w:val="bottom"/>
            <w:hideMark/>
          </w:tcPr>
          <w:p w14:paraId="5815CBF9" w14:textId="77777777" w:rsidR="003F0AFC" w:rsidRPr="00E67D16" w:rsidRDefault="003F0AFC" w:rsidP="003F0AFC">
            <w:pPr>
              <w:spacing w:after="0" w:line="240" w:lineRule="auto"/>
              <w:jc w:val="right"/>
              <w:rPr>
                <w:rFonts w:ascii="Calibri" w:eastAsia="Times New Roman" w:hAnsi="Calibri"/>
                <w:b/>
                <w:bCs/>
                <w:color w:val="F0EA00"/>
                <w:sz w:val="12"/>
                <w:szCs w:val="12"/>
                <w:lang w:val="en-US"/>
              </w:rPr>
            </w:pPr>
            <w:r w:rsidRPr="00E67D16">
              <w:rPr>
                <w:rFonts w:ascii="Calibri" w:eastAsia="Times New Roman" w:hAnsi="Calibri"/>
                <w:b/>
                <w:bCs/>
                <w:color w:val="F0EA00"/>
                <w:sz w:val="12"/>
                <w:szCs w:val="12"/>
                <w:lang w:val="en-US"/>
              </w:rPr>
              <w:t>$871,406</w:t>
            </w:r>
          </w:p>
        </w:tc>
        <w:tc>
          <w:tcPr>
            <w:tcW w:w="1260" w:type="dxa"/>
            <w:tcBorders>
              <w:top w:val="single" w:sz="8" w:space="0" w:color="auto"/>
              <w:left w:val="nil"/>
              <w:bottom w:val="single" w:sz="8" w:space="0" w:color="auto"/>
              <w:right w:val="single" w:sz="4" w:space="0" w:color="auto"/>
            </w:tcBorders>
            <w:shd w:val="clear" w:color="000000" w:fill="006600"/>
            <w:noWrap/>
            <w:vAlign w:val="bottom"/>
            <w:hideMark/>
          </w:tcPr>
          <w:p w14:paraId="573EFFA0" w14:textId="77777777" w:rsidR="003F0AFC" w:rsidRPr="00E67D16" w:rsidRDefault="003F0AFC" w:rsidP="003F0AFC">
            <w:pPr>
              <w:spacing w:after="0" w:line="240" w:lineRule="auto"/>
              <w:jc w:val="right"/>
              <w:rPr>
                <w:rFonts w:ascii="Calibri" w:eastAsia="Times New Roman" w:hAnsi="Calibri"/>
                <w:b/>
                <w:bCs/>
                <w:color w:val="F0EA00"/>
                <w:sz w:val="12"/>
                <w:szCs w:val="12"/>
                <w:lang w:val="en-US"/>
              </w:rPr>
            </w:pPr>
            <w:r w:rsidRPr="00E67D16">
              <w:rPr>
                <w:rFonts w:ascii="Calibri" w:eastAsia="Times New Roman" w:hAnsi="Calibri"/>
                <w:b/>
                <w:bCs/>
                <w:color w:val="F0EA00"/>
                <w:sz w:val="12"/>
                <w:szCs w:val="12"/>
                <w:lang w:val="en-US"/>
              </w:rPr>
              <w:t>$771,868</w:t>
            </w:r>
          </w:p>
        </w:tc>
        <w:tc>
          <w:tcPr>
            <w:tcW w:w="1080" w:type="dxa"/>
            <w:tcBorders>
              <w:top w:val="single" w:sz="8" w:space="0" w:color="auto"/>
              <w:left w:val="nil"/>
              <w:bottom w:val="single" w:sz="8" w:space="0" w:color="auto"/>
              <w:right w:val="single" w:sz="4" w:space="0" w:color="auto"/>
            </w:tcBorders>
            <w:shd w:val="clear" w:color="000000" w:fill="006600"/>
            <w:noWrap/>
            <w:vAlign w:val="bottom"/>
            <w:hideMark/>
          </w:tcPr>
          <w:p w14:paraId="26E173BE" w14:textId="77777777" w:rsidR="003F0AFC" w:rsidRPr="00E67D16" w:rsidRDefault="003F0AFC" w:rsidP="003F0AFC">
            <w:pPr>
              <w:spacing w:after="0" w:line="240" w:lineRule="auto"/>
              <w:jc w:val="right"/>
              <w:rPr>
                <w:rFonts w:ascii="Calibri" w:eastAsia="Times New Roman" w:hAnsi="Calibri"/>
                <w:b/>
                <w:bCs/>
                <w:color w:val="F0EA00"/>
                <w:sz w:val="12"/>
                <w:szCs w:val="12"/>
                <w:lang w:val="en-US"/>
              </w:rPr>
            </w:pPr>
            <w:r w:rsidRPr="00E67D16">
              <w:rPr>
                <w:rFonts w:ascii="Calibri" w:eastAsia="Times New Roman" w:hAnsi="Calibri"/>
                <w:b/>
                <w:bCs/>
                <w:color w:val="F0EA00"/>
                <w:sz w:val="12"/>
                <w:szCs w:val="12"/>
                <w:lang w:val="en-US"/>
              </w:rPr>
              <w:t>$105,530</w:t>
            </w:r>
          </w:p>
        </w:tc>
        <w:tc>
          <w:tcPr>
            <w:tcW w:w="1170" w:type="dxa"/>
            <w:tcBorders>
              <w:top w:val="single" w:sz="8" w:space="0" w:color="auto"/>
              <w:left w:val="nil"/>
              <w:bottom w:val="single" w:sz="8" w:space="0" w:color="auto"/>
              <w:right w:val="single" w:sz="4" w:space="0" w:color="auto"/>
            </w:tcBorders>
            <w:shd w:val="clear" w:color="000000" w:fill="006600"/>
            <w:noWrap/>
            <w:vAlign w:val="bottom"/>
            <w:hideMark/>
          </w:tcPr>
          <w:p w14:paraId="322218F7" w14:textId="77777777" w:rsidR="003F0AFC" w:rsidRPr="00E67D16" w:rsidRDefault="003F0AFC" w:rsidP="003F0AFC">
            <w:pPr>
              <w:spacing w:after="0" w:line="240" w:lineRule="auto"/>
              <w:jc w:val="right"/>
              <w:rPr>
                <w:rFonts w:ascii="Calibri" w:eastAsia="Times New Roman" w:hAnsi="Calibri"/>
                <w:b/>
                <w:bCs/>
                <w:color w:val="F0EA00"/>
                <w:sz w:val="12"/>
                <w:szCs w:val="12"/>
                <w:lang w:val="en-US"/>
              </w:rPr>
            </w:pPr>
            <w:r w:rsidRPr="00E67D16">
              <w:rPr>
                <w:rFonts w:ascii="Calibri" w:eastAsia="Times New Roman" w:hAnsi="Calibri"/>
                <w:b/>
                <w:bCs/>
                <w:color w:val="F0EA00"/>
                <w:sz w:val="12"/>
                <w:szCs w:val="12"/>
                <w:lang w:val="en-US"/>
              </w:rPr>
              <w:t>$877,398</w:t>
            </w:r>
          </w:p>
        </w:tc>
        <w:tc>
          <w:tcPr>
            <w:tcW w:w="1151" w:type="dxa"/>
            <w:tcBorders>
              <w:top w:val="single" w:sz="8" w:space="0" w:color="auto"/>
              <w:left w:val="nil"/>
              <w:bottom w:val="single" w:sz="8" w:space="0" w:color="auto"/>
              <w:right w:val="single" w:sz="4" w:space="0" w:color="auto"/>
            </w:tcBorders>
            <w:shd w:val="clear" w:color="000000" w:fill="006600"/>
            <w:vAlign w:val="bottom"/>
            <w:hideMark/>
          </w:tcPr>
          <w:p w14:paraId="61248682" w14:textId="77777777" w:rsidR="003F0AFC" w:rsidRPr="00E67D16" w:rsidRDefault="003F0AFC" w:rsidP="003F0AFC">
            <w:pPr>
              <w:spacing w:after="0" w:line="240" w:lineRule="auto"/>
              <w:jc w:val="right"/>
              <w:rPr>
                <w:rFonts w:ascii="Calibri" w:eastAsia="Times New Roman" w:hAnsi="Calibri"/>
                <w:b/>
                <w:bCs/>
                <w:color w:val="F0EA00"/>
                <w:sz w:val="12"/>
                <w:szCs w:val="12"/>
                <w:lang w:val="en-US"/>
              </w:rPr>
            </w:pPr>
            <w:r w:rsidRPr="00E67D16">
              <w:rPr>
                <w:rFonts w:ascii="Calibri" w:eastAsia="Times New Roman" w:hAnsi="Calibri"/>
                <w:b/>
                <w:bCs/>
                <w:color w:val="F0EA00"/>
                <w:sz w:val="12"/>
                <w:szCs w:val="12"/>
                <w:lang w:val="en-US"/>
              </w:rPr>
              <w:t>100.69%</w:t>
            </w:r>
          </w:p>
        </w:tc>
        <w:tc>
          <w:tcPr>
            <w:tcW w:w="1260" w:type="dxa"/>
            <w:tcBorders>
              <w:top w:val="single" w:sz="8" w:space="0" w:color="auto"/>
              <w:left w:val="nil"/>
              <w:bottom w:val="single" w:sz="8" w:space="0" w:color="auto"/>
              <w:right w:val="single" w:sz="8" w:space="0" w:color="auto"/>
            </w:tcBorders>
            <w:shd w:val="clear" w:color="000000" w:fill="006600"/>
            <w:vAlign w:val="bottom"/>
            <w:hideMark/>
          </w:tcPr>
          <w:p w14:paraId="51490DB4" w14:textId="77777777" w:rsidR="003F0AFC" w:rsidRPr="00E67D16" w:rsidRDefault="003F0AFC" w:rsidP="003F0AFC">
            <w:pPr>
              <w:spacing w:after="0" w:line="240" w:lineRule="auto"/>
              <w:jc w:val="right"/>
              <w:rPr>
                <w:rFonts w:ascii="Calibri" w:eastAsia="Times New Roman" w:hAnsi="Calibri"/>
                <w:b/>
                <w:bCs/>
                <w:color w:val="F0EA00"/>
                <w:sz w:val="12"/>
                <w:szCs w:val="12"/>
                <w:lang w:val="en-US"/>
              </w:rPr>
            </w:pPr>
            <w:r w:rsidRPr="00E67D16">
              <w:rPr>
                <w:rFonts w:ascii="Calibri" w:eastAsia="Times New Roman" w:hAnsi="Calibri"/>
                <w:b/>
                <w:bCs/>
                <w:color w:val="F0EA00"/>
                <w:sz w:val="12"/>
                <w:szCs w:val="12"/>
                <w:lang w:val="en-US"/>
              </w:rPr>
              <w:t>$5,992</w:t>
            </w:r>
          </w:p>
        </w:tc>
      </w:tr>
      <w:tr w:rsidR="003F0AFC" w:rsidRPr="003F0AFC" w14:paraId="01B6CCFE" w14:textId="77777777" w:rsidTr="009050D8">
        <w:trPr>
          <w:trHeight w:val="50"/>
        </w:trPr>
        <w:tc>
          <w:tcPr>
            <w:tcW w:w="664" w:type="dxa"/>
            <w:tcBorders>
              <w:top w:val="nil"/>
              <w:left w:val="nil"/>
              <w:bottom w:val="nil"/>
              <w:right w:val="nil"/>
            </w:tcBorders>
            <w:noWrap/>
            <w:vAlign w:val="bottom"/>
            <w:hideMark/>
          </w:tcPr>
          <w:p w14:paraId="59293EB2" w14:textId="77777777" w:rsidR="003F0AFC" w:rsidRPr="00E67D16" w:rsidRDefault="003F0AFC" w:rsidP="003F0AFC">
            <w:pPr>
              <w:spacing w:after="0" w:line="240" w:lineRule="auto"/>
              <w:jc w:val="center"/>
              <w:rPr>
                <w:rFonts w:ascii="Calibri" w:eastAsia="Times New Roman" w:hAnsi="Calibri"/>
                <w:b/>
                <w:bCs/>
                <w:color w:val="000000"/>
                <w:sz w:val="12"/>
                <w:szCs w:val="12"/>
                <w:lang w:val="en-US"/>
              </w:rPr>
            </w:pPr>
          </w:p>
        </w:tc>
        <w:tc>
          <w:tcPr>
            <w:tcW w:w="649" w:type="dxa"/>
            <w:tcBorders>
              <w:top w:val="nil"/>
              <w:left w:val="nil"/>
              <w:bottom w:val="nil"/>
              <w:right w:val="nil"/>
            </w:tcBorders>
            <w:noWrap/>
            <w:vAlign w:val="bottom"/>
            <w:hideMark/>
          </w:tcPr>
          <w:p w14:paraId="1E570FCD" w14:textId="77777777" w:rsidR="003F0AFC" w:rsidRPr="00E67D16" w:rsidRDefault="003F0AFC" w:rsidP="00F8162C">
            <w:pPr>
              <w:spacing w:after="0" w:line="240" w:lineRule="auto"/>
              <w:jc w:val="center"/>
              <w:rPr>
                <w:rFonts w:ascii="Calibri" w:eastAsia="Times New Roman" w:hAnsi="Calibri"/>
                <w:b/>
                <w:bCs/>
                <w:color w:val="000000"/>
                <w:sz w:val="12"/>
                <w:szCs w:val="12"/>
                <w:lang w:val="en-US"/>
              </w:rPr>
            </w:pPr>
          </w:p>
        </w:tc>
        <w:tc>
          <w:tcPr>
            <w:tcW w:w="4031" w:type="dxa"/>
            <w:tcBorders>
              <w:top w:val="nil"/>
              <w:left w:val="nil"/>
              <w:bottom w:val="nil"/>
              <w:right w:val="nil"/>
            </w:tcBorders>
            <w:noWrap/>
            <w:vAlign w:val="bottom"/>
            <w:hideMark/>
          </w:tcPr>
          <w:p w14:paraId="0D05FCD9" w14:textId="77777777" w:rsidR="003F0AFC" w:rsidRPr="00E67D16" w:rsidRDefault="003F0AFC" w:rsidP="003F0AFC">
            <w:pPr>
              <w:spacing w:after="0" w:line="240" w:lineRule="auto"/>
              <w:jc w:val="center"/>
              <w:rPr>
                <w:rFonts w:ascii="Calibri" w:eastAsia="Times New Roman" w:hAnsi="Calibri"/>
                <w:b/>
                <w:bCs/>
                <w:color w:val="000000"/>
                <w:sz w:val="12"/>
                <w:szCs w:val="12"/>
                <w:lang w:val="en-US"/>
              </w:rPr>
            </w:pPr>
          </w:p>
        </w:tc>
        <w:tc>
          <w:tcPr>
            <w:tcW w:w="1260" w:type="dxa"/>
            <w:tcBorders>
              <w:top w:val="nil"/>
              <w:left w:val="nil"/>
              <w:bottom w:val="nil"/>
              <w:right w:val="nil"/>
            </w:tcBorders>
            <w:noWrap/>
            <w:vAlign w:val="bottom"/>
            <w:hideMark/>
          </w:tcPr>
          <w:p w14:paraId="39C1CE59" w14:textId="77777777" w:rsidR="003F0AFC" w:rsidRPr="00E67D16" w:rsidRDefault="003F0AFC" w:rsidP="003F0AFC">
            <w:pPr>
              <w:spacing w:after="0" w:line="240" w:lineRule="auto"/>
              <w:rPr>
                <w:rFonts w:ascii="Calibri" w:eastAsia="Times New Roman" w:hAnsi="Calibri"/>
                <w:b/>
                <w:bCs/>
                <w:color w:val="000000"/>
                <w:sz w:val="12"/>
                <w:szCs w:val="12"/>
                <w:lang w:val="en-US"/>
              </w:rPr>
            </w:pPr>
          </w:p>
        </w:tc>
        <w:tc>
          <w:tcPr>
            <w:tcW w:w="1170" w:type="dxa"/>
            <w:tcBorders>
              <w:top w:val="nil"/>
              <w:left w:val="nil"/>
              <w:bottom w:val="nil"/>
              <w:right w:val="nil"/>
            </w:tcBorders>
            <w:noWrap/>
            <w:vAlign w:val="bottom"/>
            <w:hideMark/>
          </w:tcPr>
          <w:p w14:paraId="5B160B0A" w14:textId="77777777" w:rsidR="003F0AFC" w:rsidRPr="00E67D16" w:rsidRDefault="003F0AFC" w:rsidP="003F0AFC">
            <w:pPr>
              <w:spacing w:after="0" w:line="240" w:lineRule="auto"/>
              <w:rPr>
                <w:rFonts w:ascii="Calibri" w:eastAsia="Times New Roman" w:hAnsi="Calibri"/>
                <w:b/>
                <w:bCs/>
                <w:color w:val="000000"/>
                <w:sz w:val="12"/>
                <w:szCs w:val="12"/>
                <w:lang w:val="en-US"/>
              </w:rPr>
            </w:pPr>
          </w:p>
        </w:tc>
        <w:tc>
          <w:tcPr>
            <w:tcW w:w="1260" w:type="dxa"/>
            <w:tcBorders>
              <w:top w:val="nil"/>
              <w:left w:val="nil"/>
              <w:bottom w:val="nil"/>
              <w:right w:val="nil"/>
            </w:tcBorders>
            <w:noWrap/>
            <w:vAlign w:val="bottom"/>
            <w:hideMark/>
          </w:tcPr>
          <w:p w14:paraId="77B26F3F" w14:textId="77777777" w:rsidR="003F0AFC" w:rsidRPr="00E67D16" w:rsidRDefault="003F0AFC" w:rsidP="003F0AFC">
            <w:pPr>
              <w:spacing w:after="0" w:line="240" w:lineRule="auto"/>
              <w:rPr>
                <w:rFonts w:ascii="Calibri" w:eastAsia="Times New Roman" w:hAnsi="Calibri"/>
                <w:b/>
                <w:bCs/>
                <w:color w:val="000000"/>
                <w:sz w:val="12"/>
                <w:szCs w:val="12"/>
                <w:lang w:val="en-US"/>
              </w:rPr>
            </w:pPr>
          </w:p>
        </w:tc>
        <w:tc>
          <w:tcPr>
            <w:tcW w:w="1080" w:type="dxa"/>
            <w:tcBorders>
              <w:top w:val="nil"/>
              <w:left w:val="nil"/>
              <w:bottom w:val="nil"/>
              <w:right w:val="nil"/>
            </w:tcBorders>
            <w:noWrap/>
            <w:vAlign w:val="bottom"/>
            <w:hideMark/>
          </w:tcPr>
          <w:p w14:paraId="1362C451" w14:textId="77777777" w:rsidR="003F0AFC" w:rsidRPr="00E67D16" w:rsidRDefault="003F0AFC" w:rsidP="003F0AFC">
            <w:pPr>
              <w:spacing w:after="0" w:line="240" w:lineRule="auto"/>
              <w:rPr>
                <w:rFonts w:ascii="Calibri" w:eastAsia="Times New Roman" w:hAnsi="Calibri"/>
                <w:b/>
                <w:bCs/>
                <w:color w:val="000000"/>
                <w:sz w:val="12"/>
                <w:szCs w:val="12"/>
                <w:lang w:val="en-US"/>
              </w:rPr>
            </w:pPr>
          </w:p>
        </w:tc>
        <w:tc>
          <w:tcPr>
            <w:tcW w:w="1170" w:type="dxa"/>
            <w:tcBorders>
              <w:top w:val="nil"/>
              <w:left w:val="nil"/>
              <w:bottom w:val="nil"/>
              <w:right w:val="nil"/>
            </w:tcBorders>
            <w:noWrap/>
            <w:vAlign w:val="bottom"/>
            <w:hideMark/>
          </w:tcPr>
          <w:p w14:paraId="4F1217CA" w14:textId="77777777" w:rsidR="003F0AFC" w:rsidRPr="00E67D16" w:rsidRDefault="003F0AFC" w:rsidP="003F0AFC">
            <w:pPr>
              <w:spacing w:after="0" w:line="240" w:lineRule="auto"/>
              <w:rPr>
                <w:rFonts w:ascii="Calibri" w:eastAsia="Times New Roman" w:hAnsi="Calibri"/>
                <w:b/>
                <w:bCs/>
                <w:color w:val="000000"/>
                <w:sz w:val="12"/>
                <w:szCs w:val="12"/>
                <w:lang w:val="en-US"/>
              </w:rPr>
            </w:pPr>
          </w:p>
        </w:tc>
        <w:tc>
          <w:tcPr>
            <w:tcW w:w="1151" w:type="dxa"/>
            <w:tcBorders>
              <w:top w:val="nil"/>
              <w:left w:val="nil"/>
              <w:bottom w:val="nil"/>
              <w:right w:val="nil"/>
            </w:tcBorders>
            <w:vAlign w:val="bottom"/>
            <w:hideMark/>
          </w:tcPr>
          <w:p w14:paraId="04277B5A"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p>
        </w:tc>
        <w:tc>
          <w:tcPr>
            <w:tcW w:w="1260" w:type="dxa"/>
            <w:tcBorders>
              <w:top w:val="nil"/>
              <w:left w:val="nil"/>
              <w:bottom w:val="nil"/>
              <w:right w:val="nil"/>
            </w:tcBorders>
            <w:vAlign w:val="bottom"/>
            <w:hideMark/>
          </w:tcPr>
          <w:p w14:paraId="79B3CC70"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p>
        </w:tc>
      </w:tr>
      <w:tr w:rsidR="003F0AFC" w:rsidRPr="003F0AFC" w14:paraId="52BEF322" w14:textId="77777777" w:rsidTr="009050D8">
        <w:trPr>
          <w:trHeight w:val="151"/>
        </w:trPr>
        <w:tc>
          <w:tcPr>
            <w:tcW w:w="5344" w:type="dxa"/>
            <w:gridSpan w:val="3"/>
            <w:tcBorders>
              <w:top w:val="single" w:sz="8" w:space="0" w:color="auto"/>
              <w:left w:val="single" w:sz="8" w:space="0" w:color="auto"/>
              <w:bottom w:val="single" w:sz="8" w:space="0" w:color="auto"/>
              <w:right w:val="single" w:sz="4" w:space="0" w:color="auto"/>
            </w:tcBorders>
            <w:shd w:val="clear" w:color="000000" w:fill="FFC000"/>
            <w:noWrap/>
            <w:vAlign w:val="bottom"/>
            <w:hideMark/>
          </w:tcPr>
          <w:p w14:paraId="5CE2D9C1" w14:textId="77777777" w:rsidR="003F0AFC" w:rsidRPr="00E67D16" w:rsidRDefault="003F0AFC" w:rsidP="00F8162C">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Year To Date Grand Total</w:t>
            </w:r>
          </w:p>
        </w:tc>
        <w:tc>
          <w:tcPr>
            <w:tcW w:w="1260" w:type="dxa"/>
            <w:tcBorders>
              <w:top w:val="single" w:sz="8" w:space="0" w:color="auto"/>
              <w:left w:val="nil"/>
              <w:bottom w:val="single" w:sz="8" w:space="0" w:color="auto"/>
              <w:right w:val="single" w:sz="4" w:space="0" w:color="auto"/>
            </w:tcBorders>
            <w:shd w:val="clear" w:color="000000" w:fill="FFC000"/>
            <w:noWrap/>
            <w:vAlign w:val="bottom"/>
            <w:hideMark/>
          </w:tcPr>
          <w:p w14:paraId="05C8A4C6"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$3,990,824,460</w:t>
            </w:r>
          </w:p>
        </w:tc>
        <w:tc>
          <w:tcPr>
            <w:tcW w:w="1170" w:type="dxa"/>
            <w:tcBorders>
              <w:top w:val="single" w:sz="8" w:space="0" w:color="auto"/>
              <w:left w:val="nil"/>
              <w:bottom w:val="single" w:sz="8" w:space="0" w:color="auto"/>
              <w:right w:val="single" w:sz="4" w:space="0" w:color="auto"/>
            </w:tcBorders>
            <w:shd w:val="clear" w:color="000000" w:fill="FFC000"/>
            <w:noWrap/>
            <w:vAlign w:val="bottom"/>
            <w:hideMark/>
          </w:tcPr>
          <w:p w14:paraId="7D65FA5F"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$239,449,467</w:t>
            </w:r>
          </w:p>
        </w:tc>
        <w:tc>
          <w:tcPr>
            <w:tcW w:w="1260" w:type="dxa"/>
            <w:tcBorders>
              <w:top w:val="single" w:sz="8" w:space="0" w:color="auto"/>
              <w:left w:val="nil"/>
              <w:bottom w:val="single" w:sz="8" w:space="0" w:color="auto"/>
              <w:right w:val="single" w:sz="4" w:space="0" w:color="auto"/>
            </w:tcBorders>
            <w:shd w:val="clear" w:color="000000" w:fill="FFC000"/>
            <w:noWrap/>
            <w:vAlign w:val="bottom"/>
            <w:hideMark/>
          </w:tcPr>
          <w:p w14:paraId="4C43026D"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$230,042,345</w:t>
            </w:r>
          </w:p>
        </w:tc>
        <w:tc>
          <w:tcPr>
            <w:tcW w:w="1080" w:type="dxa"/>
            <w:tcBorders>
              <w:top w:val="single" w:sz="8" w:space="0" w:color="auto"/>
              <w:left w:val="nil"/>
              <w:bottom w:val="single" w:sz="8" w:space="0" w:color="auto"/>
              <w:right w:val="single" w:sz="4" w:space="0" w:color="auto"/>
            </w:tcBorders>
            <w:shd w:val="clear" w:color="000000" w:fill="FFC000"/>
            <w:noWrap/>
            <w:vAlign w:val="bottom"/>
            <w:hideMark/>
          </w:tcPr>
          <w:p w14:paraId="41C0E970"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$17,095,222</w:t>
            </w:r>
          </w:p>
        </w:tc>
        <w:tc>
          <w:tcPr>
            <w:tcW w:w="1170" w:type="dxa"/>
            <w:tcBorders>
              <w:top w:val="single" w:sz="8" w:space="0" w:color="auto"/>
              <w:left w:val="nil"/>
              <w:bottom w:val="single" w:sz="8" w:space="0" w:color="auto"/>
              <w:right w:val="single" w:sz="4" w:space="0" w:color="auto"/>
            </w:tcBorders>
            <w:shd w:val="clear" w:color="000000" w:fill="FFC000"/>
            <w:noWrap/>
            <w:vAlign w:val="bottom"/>
            <w:hideMark/>
          </w:tcPr>
          <w:p w14:paraId="20C83F5D"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$247,137,567</w:t>
            </w:r>
          </w:p>
        </w:tc>
        <w:tc>
          <w:tcPr>
            <w:tcW w:w="1151" w:type="dxa"/>
            <w:tcBorders>
              <w:top w:val="single" w:sz="8" w:space="0" w:color="auto"/>
              <w:left w:val="nil"/>
              <w:bottom w:val="single" w:sz="8" w:space="0" w:color="auto"/>
              <w:right w:val="single" w:sz="4" w:space="0" w:color="auto"/>
            </w:tcBorders>
            <w:shd w:val="clear" w:color="000000" w:fill="FFC000"/>
            <w:vAlign w:val="bottom"/>
            <w:hideMark/>
          </w:tcPr>
          <w:p w14:paraId="3D3385D0"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103.21%</w:t>
            </w:r>
          </w:p>
        </w:tc>
        <w:tc>
          <w:tcPr>
            <w:tcW w:w="1260" w:type="dxa"/>
            <w:tcBorders>
              <w:top w:val="single" w:sz="8" w:space="0" w:color="auto"/>
              <w:left w:val="nil"/>
              <w:bottom w:val="single" w:sz="8" w:space="0" w:color="auto"/>
              <w:right w:val="single" w:sz="8" w:space="0" w:color="auto"/>
            </w:tcBorders>
            <w:shd w:val="clear" w:color="000000" w:fill="FFC000"/>
            <w:vAlign w:val="bottom"/>
            <w:hideMark/>
          </w:tcPr>
          <w:p w14:paraId="7CA14AC9" w14:textId="77777777" w:rsidR="003F0AFC" w:rsidRPr="00E67D16" w:rsidRDefault="003F0AFC" w:rsidP="003F0AFC">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$7,688,100</w:t>
            </w:r>
          </w:p>
        </w:tc>
      </w:tr>
    </w:tbl>
    <w:p w14:paraId="028251C5" w14:textId="77777777" w:rsidR="003F0AFC" w:rsidRDefault="003F0AFC" w:rsidP="00C55994">
      <w:pPr>
        <w:jc w:val="center"/>
        <w:rPr>
          <w:sz w:val="16"/>
          <w:szCs w:val="16"/>
        </w:rPr>
      </w:pPr>
    </w:p>
    <w:tbl>
      <w:tblPr>
        <w:tblW w:w="13680" w:type="dxa"/>
        <w:tblInd w:w="-972" w:type="dxa"/>
        <w:tblLayout w:type="fixed"/>
        <w:tblLook w:val="04A0" w:firstRow="1" w:lastRow="0" w:firstColumn="1" w:lastColumn="0" w:noHBand="0" w:noVBand="1"/>
      </w:tblPr>
      <w:tblGrid>
        <w:gridCol w:w="630"/>
        <w:gridCol w:w="630"/>
        <w:gridCol w:w="4050"/>
        <w:gridCol w:w="1260"/>
        <w:gridCol w:w="1170"/>
        <w:gridCol w:w="1260"/>
        <w:gridCol w:w="1080"/>
        <w:gridCol w:w="1170"/>
        <w:gridCol w:w="1170"/>
        <w:gridCol w:w="1260"/>
      </w:tblGrid>
      <w:tr w:rsidR="00433DC8" w:rsidRPr="00433DC8" w14:paraId="60546E6E" w14:textId="77777777" w:rsidTr="009050D8">
        <w:trPr>
          <w:trHeight w:val="620"/>
        </w:trPr>
        <w:tc>
          <w:tcPr>
            <w:tcW w:w="630" w:type="dxa"/>
            <w:tcBorders>
              <w:top w:val="single" w:sz="4" w:space="0" w:color="000000"/>
              <w:left w:val="single" w:sz="4" w:space="0" w:color="000000"/>
              <w:bottom w:val="nil"/>
              <w:right w:val="single" w:sz="4" w:space="0" w:color="000000"/>
            </w:tcBorders>
            <w:shd w:val="clear" w:color="000000" w:fill="C5D9F1"/>
            <w:vAlign w:val="bottom"/>
            <w:hideMark/>
          </w:tcPr>
          <w:p w14:paraId="5C87B40D" w14:textId="77777777" w:rsidR="00433DC8" w:rsidRPr="00E67D16" w:rsidRDefault="00433DC8" w:rsidP="00433DC8">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Secretariat</w:t>
            </w:r>
          </w:p>
        </w:tc>
        <w:tc>
          <w:tcPr>
            <w:tcW w:w="630" w:type="dxa"/>
            <w:tcBorders>
              <w:top w:val="single" w:sz="4" w:space="0" w:color="000000"/>
              <w:left w:val="nil"/>
              <w:bottom w:val="nil"/>
              <w:right w:val="single" w:sz="4" w:space="0" w:color="000000"/>
            </w:tcBorders>
            <w:shd w:val="clear" w:color="000000" w:fill="C5D9F1"/>
            <w:vAlign w:val="bottom"/>
            <w:hideMark/>
          </w:tcPr>
          <w:p w14:paraId="5D134D7C" w14:textId="77777777" w:rsidR="00433DC8" w:rsidRPr="00E67D16" w:rsidRDefault="00433DC8" w:rsidP="00433DC8">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Agency Code</w:t>
            </w:r>
          </w:p>
        </w:tc>
        <w:tc>
          <w:tcPr>
            <w:tcW w:w="4050" w:type="dxa"/>
            <w:tcBorders>
              <w:top w:val="single" w:sz="4" w:space="0" w:color="000000"/>
              <w:left w:val="nil"/>
              <w:bottom w:val="nil"/>
              <w:right w:val="single" w:sz="4" w:space="0" w:color="000000"/>
            </w:tcBorders>
            <w:shd w:val="clear" w:color="000000" w:fill="C5D9F1"/>
            <w:vAlign w:val="bottom"/>
            <w:hideMark/>
          </w:tcPr>
          <w:p w14:paraId="48907B11" w14:textId="77777777" w:rsidR="00433DC8" w:rsidRPr="00E67D16" w:rsidRDefault="00433DC8" w:rsidP="00433DC8">
            <w:pPr>
              <w:spacing w:after="0" w:line="240" w:lineRule="auto"/>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Department Name</w:t>
            </w:r>
          </w:p>
        </w:tc>
        <w:tc>
          <w:tcPr>
            <w:tcW w:w="1260" w:type="dxa"/>
            <w:tcBorders>
              <w:top w:val="single" w:sz="4" w:space="0" w:color="000000"/>
              <w:left w:val="nil"/>
              <w:bottom w:val="nil"/>
              <w:right w:val="single" w:sz="4" w:space="0" w:color="000000"/>
            </w:tcBorders>
            <w:shd w:val="clear" w:color="000000" w:fill="C5D9F1"/>
            <w:vAlign w:val="bottom"/>
            <w:hideMark/>
          </w:tcPr>
          <w:p w14:paraId="69CE2007" w14:textId="77777777" w:rsidR="00433DC8" w:rsidRPr="00E67D16" w:rsidRDefault="00433DC8" w:rsidP="00433DC8">
            <w:pPr>
              <w:spacing w:after="0" w:line="240" w:lineRule="auto"/>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FY2014 Discretionary Budget</w:t>
            </w:r>
          </w:p>
        </w:tc>
        <w:tc>
          <w:tcPr>
            <w:tcW w:w="1170" w:type="dxa"/>
            <w:tcBorders>
              <w:top w:val="single" w:sz="4" w:space="0" w:color="000000"/>
              <w:left w:val="nil"/>
              <w:bottom w:val="nil"/>
              <w:right w:val="single" w:sz="4" w:space="0" w:color="000000"/>
            </w:tcBorders>
            <w:shd w:val="clear" w:color="000000" w:fill="C5D9F1"/>
            <w:vAlign w:val="bottom"/>
            <w:hideMark/>
          </w:tcPr>
          <w:p w14:paraId="23AF991E" w14:textId="77777777" w:rsidR="00433DC8" w:rsidRPr="00E67D16" w:rsidRDefault="00433DC8" w:rsidP="00433DC8">
            <w:pPr>
              <w:spacing w:after="0" w:line="240" w:lineRule="auto"/>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FY2014 WBE Benchmark 12% of Discretionary</w:t>
            </w:r>
          </w:p>
        </w:tc>
        <w:tc>
          <w:tcPr>
            <w:tcW w:w="1260" w:type="dxa"/>
            <w:tcBorders>
              <w:top w:val="single" w:sz="4" w:space="0" w:color="000000"/>
              <w:left w:val="nil"/>
              <w:bottom w:val="nil"/>
              <w:right w:val="single" w:sz="4" w:space="0" w:color="000000"/>
            </w:tcBorders>
            <w:shd w:val="clear" w:color="000000" w:fill="C5D9F1"/>
            <w:vAlign w:val="bottom"/>
            <w:hideMark/>
          </w:tcPr>
          <w:p w14:paraId="2291CEF2" w14:textId="77777777" w:rsidR="00433DC8" w:rsidRPr="00E67D16" w:rsidRDefault="00433DC8" w:rsidP="00433DC8">
            <w:pPr>
              <w:spacing w:after="0" w:line="240" w:lineRule="auto"/>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 xml:space="preserve">WBE Expenditure FY2014 Final Spending Q4 </w:t>
            </w:r>
          </w:p>
        </w:tc>
        <w:tc>
          <w:tcPr>
            <w:tcW w:w="1080" w:type="dxa"/>
            <w:tcBorders>
              <w:top w:val="single" w:sz="4" w:space="0" w:color="000000"/>
              <w:left w:val="nil"/>
              <w:bottom w:val="nil"/>
              <w:right w:val="single" w:sz="4" w:space="0" w:color="000000"/>
            </w:tcBorders>
            <w:shd w:val="clear" w:color="000000" w:fill="C5D9F1"/>
            <w:vAlign w:val="bottom"/>
            <w:hideMark/>
          </w:tcPr>
          <w:p w14:paraId="4EBCD27C" w14:textId="77777777" w:rsidR="00433DC8" w:rsidRPr="00E67D16" w:rsidRDefault="00433DC8" w:rsidP="00433DC8">
            <w:pPr>
              <w:spacing w:after="0" w:line="240" w:lineRule="auto"/>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 xml:space="preserve">Subcontracting </w:t>
            </w:r>
          </w:p>
        </w:tc>
        <w:tc>
          <w:tcPr>
            <w:tcW w:w="1170" w:type="dxa"/>
            <w:tcBorders>
              <w:top w:val="single" w:sz="4" w:space="0" w:color="000000"/>
              <w:left w:val="nil"/>
              <w:bottom w:val="nil"/>
              <w:right w:val="single" w:sz="4" w:space="0" w:color="000000"/>
            </w:tcBorders>
            <w:shd w:val="clear" w:color="000000" w:fill="C5D9F1"/>
            <w:vAlign w:val="bottom"/>
            <w:hideMark/>
          </w:tcPr>
          <w:p w14:paraId="3CE3BE35" w14:textId="77777777" w:rsidR="00433DC8" w:rsidRPr="00E67D16" w:rsidRDefault="00433DC8" w:rsidP="00433DC8">
            <w:pPr>
              <w:spacing w:after="0" w:line="240" w:lineRule="auto"/>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WBE FY2014 Total Final Spending</w:t>
            </w:r>
          </w:p>
        </w:tc>
        <w:tc>
          <w:tcPr>
            <w:tcW w:w="1170" w:type="dxa"/>
            <w:tcBorders>
              <w:top w:val="single" w:sz="4" w:space="0" w:color="000000"/>
              <w:left w:val="nil"/>
              <w:bottom w:val="nil"/>
              <w:right w:val="single" w:sz="4" w:space="0" w:color="000000"/>
            </w:tcBorders>
            <w:shd w:val="clear" w:color="000000" w:fill="C5D9F1"/>
            <w:vAlign w:val="bottom"/>
            <w:hideMark/>
          </w:tcPr>
          <w:p w14:paraId="0804C4F5" w14:textId="77777777" w:rsidR="00433DC8" w:rsidRPr="00E67D16" w:rsidRDefault="00433DC8" w:rsidP="00433DC8">
            <w:pPr>
              <w:spacing w:after="0" w:line="240" w:lineRule="auto"/>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WBE Year To Date Variance from 12% Benchmark as a percentage</w:t>
            </w:r>
          </w:p>
        </w:tc>
        <w:tc>
          <w:tcPr>
            <w:tcW w:w="1260" w:type="dxa"/>
            <w:tcBorders>
              <w:top w:val="single" w:sz="4" w:space="0" w:color="000000"/>
              <w:left w:val="nil"/>
              <w:bottom w:val="nil"/>
              <w:right w:val="single" w:sz="4" w:space="0" w:color="000000"/>
            </w:tcBorders>
            <w:shd w:val="clear" w:color="000000" w:fill="C5D9F1"/>
            <w:vAlign w:val="bottom"/>
            <w:hideMark/>
          </w:tcPr>
          <w:p w14:paraId="3A04AC58" w14:textId="77777777" w:rsidR="00433DC8" w:rsidRPr="00E67D16" w:rsidRDefault="00433DC8" w:rsidP="00433DC8">
            <w:pPr>
              <w:spacing w:after="0" w:line="240" w:lineRule="auto"/>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WBE Year to Date Variance from 12% Benchmark in dollars</w:t>
            </w:r>
          </w:p>
        </w:tc>
      </w:tr>
      <w:tr w:rsidR="00433DC8" w:rsidRPr="00433DC8" w14:paraId="3F287C48" w14:textId="77777777" w:rsidTr="009050D8">
        <w:trPr>
          <w:trHeight w:val="89"/>
        </w:trPr>
        <w:tc>
          <w:tcPr>
            <w:tcW w:w="630" w:type="dxa"/>
            <w:tcBorders>
              <w:top w:val="single" w:sz="4" w:space="0" w:color="auto"/>
              <w:left w:val="single" w:sz="4" w:space="0" w:color="auto"/>
              <w:bottom w:val="single" w:sz="4" w:space="0" w:color="auto"/>
              <w:right w:val="single" w:sz="4" w:space="0" w:color="auto"/>
            </w:tcBorders>
            <w:vAlign w:val="bottom"/>
            <w:hideMark/>
          </w:tcPr>
          <w:p w14:paraId="221D5039"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30" w:type="dxa"/>
            <w:tcBorders>
              <w:top w:val="single" w:sz="4" w:space="0" w:color="auto"/>
              <w:left w:val="nil"/>
              <w:bottom w:val="single" w:sz="4" w:space="0" w:color="auto"/>
              <w:right w:val="single" w:sz="4" w:space="0" w:color="auto"/>
            </w:tcBorders>
            <w:vAlign w:val="bottom"/>
            <w:hideMark/>
          </w:tcPr>
          <w:p w14:paraId="599B6183"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ADD</w:t>
            </w:r>
          </w:p>
        </w:tc>
        <w:tc>
          <w:tcPr>
            <w:tcW w:w="4050" w:type="dxa"/>
            <w:tcBorders>
              <w:top w:val="single" w:sz="4" w:space="0" w:color="auto"/>
              <w:left w:val="nil"/>
              <w:bottom w:val="single" w:sz="4" w:space="0" w:color="auto"/>
              <w:right w:val="single" w:sz="4" w:space="0" w:color="auto"/>
            </w:tcBorders>
            <w:vAlign w:val="bottom"/>
            <w:hideMark/>
          </w:tcPr>
          <w:p w14:paraId="38F8D16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DEVELOPMENTAL DISABILITIES COUNCIL</w:t>
            </w:r>
          </w:p>
        </w:tc>
        <w:tc>
          <w:tcPr>
            <w:tcW w:w="1260" w:type="dxa"/>
            <w:tcBorders>
              <w:top w:val="single" w:sz="4" w:space="0" w:color="auto"/>
              <w:left w:val="nil"/>
              <w:bottom w:val="single" w:sz="4" w:space="0" w:color="auto"/>
              <w:right w:val="single" w:sz="4" w:space="0" w:color="auto"/>
            </w:tcBorders>
            <w:vAlign w:val="bottom"/>
            <w:hideMark/>
          </w:tcPr>
          <w:p w14:paraId="3C855A9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$151,435</w:t>
            </w:r>
          </w:p>
        </w:tc>
        <w:tc>
          <w:tcPr>
            <w:tcW w:w="1170" w:type="dxa"/>
            <w:tcBorders>
              <w:top w:val="single" w:sz="4" w:space="0" w:color="auto"/>
              <w:left w:val="nil"/>
              <w:bottom w:val="single" w:sz="4" w:space="0" w:color="auto"/>
              <w:right w:val="single" w:sz="4" w:space="0" w:color="auto"/>
            </w:tcBorders>
            <w:vAlign w:val="bottom"/>
            <w:hideMark/>
          </w:tcPr>
          <w:p w14:paraId="62F04ED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$18,172</w:t>
            </w:r>
          </w:p>
        </w:tc>
        <w:tc>
          <w:tcPr>
            <w:tcW w:w="1260" w:type="dxa"/>
            <w:tcBorders>
              <w:top w:val="single" w:sz="4" w:space="0" w:color="auto"/>
              <w:left w:val="nil"/>
              <w:bottom w:val="single" w:sz="4" w:space="0" w:color="auto"/>
              <w:right w:val="single" w:sz="4" w:space="0" w:color="auto"/>
            </w:tcBorders>
            <w:vAlign w:val="bottom"/>
            <w:hideMark/>
          </w:tcPr>
          <w:p w14:paraId="380D194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$41,485</w:t>
            </w:r>
          </w:p>
        </w:tc>
        <w:tc>
          <w:tcPr>
            <w:tcW w:w="1080" w:type="dxa"/>
            <w:tcBorders>
              <w:top w:val="single" w:sz="4" w:space="0" w:color="auto"/>
              <w:left w:val="nil"/>
              <w:bottom w:val="single" w:sz="4" w:space="0" w:color="auto"/>
              <w:right w:val="single" w:sz="4" w:space="0" w:color="auto"/>
            </w:tcBorders>
            <w:vAlign w:val="bottom"/>
            <w:hideMark/>
          </w:tcPr>
          <w:p w14:paraId="698F486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single" w:sz="4" w:space="0" w:color="auto"/>
              <w:left w:val="nil"/>
              <w:bottom w:val="single" w:sz="4" w:space="0" w:color="auto"/>
              <w:right w:val="single" w:sz="4" w:space="0" w:color="auto"/>
            </w:tcBorders>
            <w:vAlign w:val="bottom"/>
            <w:hideMark/>
          </w:tcPr>
          <w:p w14:paraId="38D882B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$41,485</w:t>
            </w:r>
          </w:p>
        </w:tc>
        <w:tc>
          <w:tcPr>
            <w:tcW w:w="1170" w:type="dxa"/>
            <w:tcBorders>
              <w:top w:val="single" w:sz="4" w:space="0" w:color="auto"/>
              <w:left w:val="nil"/>
              <w:bottom w:val="single" w:sz="4" w:space="0" w:color="auto"/>
              <w:right w:val="single" w:sz="4" w:space="0" w:color="auto"/>
            </w:tcBorders>
            <w:vAlign w:val="bottom"/>
            <w:hideMark/>
          </w:tcPr>
          <w:p w14:paraId="651A5E6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228.29%</w:t>
            </w:r>
          </w:p>
        </w:tc>
        <w:tc>
          <w:tcPr>
            <w:tcW w:w="1260" w:type="dxa"/>
            <w:tcBorders>
              <w:top w:val="single" w:sz="4" w:space="0" w:color="auto"/>
              <w:left w:val="nil"/>
              <w:bottom w:val="single" w:sz="4" w:space="0" w:color="auto"/>
              <w:right w:val="single" w:sz="4" w:space="0" w:color="auto"/>
            </w:tcBorders>
            <w:vAlign w:val="bottom"/>
            <w:hideMark/>
          </w:tcPr>
          <w:p w14:paraId="3FA52FD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$23,313</w:t>
            </w:r>
          </w:p>
        </w:tc>
      </w:tr>
      <w:tr w:rsidR="00433DC8" w:rsidRPr="00433DC8" w14:paraId="33101DAD" w14:textId="77777777" w:rsidTr="009050D8">
        <w:trPr>
          <w:trHeight w:val="71"/>
        </w:trPr>
        <w:tc>
          <w:tcPr>
            <w:tcW w:w="630" w:type="dxa"/>
            <w:tcBorders>
              <w:top w:val="nil"/>
              <w:left w:val="single" w:sz="4" w:space="0" w:color="auto"/>
              <w:bottom w:val="single" w:sz="4" w:space="0" w:color="auto"/>
              <w:right w:val="single" w:sz="4" w:space="0" w:color="auto"/>
            </w:tcBorders>
            <w:vAlign w:val="bottom"/>
            <w:hideMark/>
          </w:tcPr>
          <w:p w14:paraId="0F34ACB4"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72D220FF"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ALA</w:t>
            </w:r>
          </w:p>
        </w:tc>
        <w:tc>
          <w:tcPr>
            <w:tcW w:w="4050" w:type="dxa"/>
            <w:tcBorders>
              <w:top w:val="nil"/>
              <w:left w:val="nil"/>
              <w:bottom w:val="single" w:sz="4" w:space="0" w:color="auto"/>
              <w:right w:val="single" w:sz="4" w:space="0" w:color="auto"/>
            </w:tcBorders>
            <w:vAlign w:val="bottom"/>
            <w:hideMark/>
          </w:tcPr>
          <w:p w14:paraId="0248CBE7"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ADMINISTRATIVE LAW APPEALS DIVISION</w:t>
            </w:r>
          </w:p>
        </w:tc>
        <w:tc>
          <w:tcPr>
            <w:tcW w:w="1260" w:type="dxa"/>
            <w:tcBorders>
              <w:top w:val="nil"/>
              <w:left w:val="nil"/>
              <w:bottom w:val="single" w:sz="4" w:space="0" w:color="auto"/>
              <w:right w:val="single" w:sz="4" w:space="0" w:color="auto"/>
            </w:tcBorders>
            <w:vAlign w:val="bottom"/>
            <w:hideMark/>
          </w:tcPr>
          <w:p w14:paraId="3DC31AB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$11,300</w:t>
            </w:r>
          </w:p>
        </w:tc>
        <w:tc>
          <w:tcPr>
            <w:tcW w:w="1170" w:type="dxa"/>
            <w:tcBorders>
              <w:top w:val="nil"/>
              <w:left w:val="nil"/>
              <w:bottom w:val="single" w:sz="4" w:space="0" w:color="auto"/>
              <w:right w:val="single" w:sz="4" w:space="0" w:color="auto"/>
            </w:tcBorders>
            <w:vAlign w:val="bottom"/>
            <w:hideMark/>
          </w:tcPr>
          <w:p w14:paraId="00E5728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$1,356</w:t>
            </w:r>
          </w:p>
        </w:tc>
        <w:tc>
          <w:tcPr>
            <w:tcW w:w="1260" w:type="dxa"/>
            <w:tcBorders>
              <w:top w:val="nil"/>
              <w:left w:val="nil"/>
              <w:bottom w:val="single" w:sz="4" w:space="0" w:color="auto"/>
              <w:right w:val="single" w:sz="4" w:space="0" w:color="auto"/>
            </w:tcBorders>
            <w:vAlign w:val="bottom"/>
            <w:hideMark/>
          </w:tcPr>
          <w:p w14:paraId="7D67291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$67,227</w:t>
            </w:r>
          </w:p>
        </w:tc>
        <w:tc>
          <w:tcPr>
            <w:tcW w:w="1080" w:type="dxa"/>
            <w:tcBorders>
              <w:top w:val="nil"/>
              <w:left w:val="nil"/>
              <w:bottom w:val="single" w:sz="4" w:space="0" w:color="auto"/>
              <w:right w:val="single" w:sz="4" w:space="0" w:color="auto"/>
            </w:tcBorders>
            <w:vAlign w:val="bottom"/>
            <w:hideMark/>
          </w:tcPr>
          <w:p w14:paraId="79A029D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072752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$67,227</w:t>
            </w:r>
          </w:p>
        </w:tc>
        <w:tc>
          <w:tcPr>
            <w:tcW w:w="1170" w:type="dxa"/>
            <w:tcBorders>
              <w:top w:val="nil"/>
              <w:left w:val="nil"/>
              <w:bottom w:val="single" w:sz="4" w:space="0" w:color="auto"/>
              <w:right w:val="single" w:sz="4" w:space="0" w:color="auto"/>
            </w:tcBorders>
            <w:vAlign w:val="bottom"/>
            <w:hideMark/>
          </w:tcPr>
          <w:p w14:paraId="120419E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4957.77%</w:t>
            </w:r>
          </w:p>
        </w:tc>
        <w:tc>
          <w:tcPr>
            <w:tcW w:w="1260" w:type="dxa"/>
            <w:tcBorders>
              <w:top w:val="nil"/>
              <w:left w:val="nil"/>
              <w:bottom w:val="single" w:sz="4" w:space="0" w:color="auto"/>
              <w:right w:val="single" w:sz="4" w:space="0" w:color="auto"/>
            </w:tcBorders>
            <w:vAlign w:val="bottom"/>
            <w:hideMark/>
          </w:tcPr>
          <w:p w14:paraId="42618AA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$65,871</w:t>
            </w:r>
          </w:p>
        </w:tc>
      </w:tr>
      <w:tr w:rsidR="00433DC8" w:rsidRPr="00433DC8" w14:paraId="3E34DF5B" w14:textId="77777777" w:rsidTr="009050D8">
        <w:trPr>
          <w:trHeight w:val="107"/>
        </w:trPr>
        <w:tc>
          <w:tcPr>
            <w:tcW w:w="630" w:type="dxa"/>
            <w:tcBorders>
              <w:top w:val="nil"/>
              <w:left w:val="single" w:sz="4" w:space="0" w:color="auto"/>
              <w:bottom w:val="single" w:sz="4" w:space="0" w:color="auto"/>
              <w:right w:val="single" w:sz="4" w:space="0" w:color="auto"/>
            </w:tcBorders>
            <w:vAlign w:val="bottom"/>
            <w:hideMark/>
          </w:tcPr>
          <w:p w14:paraId="0C4F51DD"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5A0440DC"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4050" w:type="dxa"/>
            <w:tcBorders>
              <w:top w:val="nil"/>
              <w:left w:val="nil"/>
              <w:bottom w:val="single" w:sz="4" w:space="0" w:color="auto"/>
              <w:right w:val="single" w:sz="4" w:space="0" w:color="auto"/>
            </w:tcBorders>
            <w:vAlign w:val="bottom"/>
            <w:hideMark/>
          </w:tcPr>
          <w:p w14:paraId="70390CE3"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EXECUTIVE OFFICE FOR ADMINISTRATION AND FINANCE</w:t>
            </w:r>
          </w:p>
        </w:tc>
        <w:tc>
          <w:tcPr>
            <w:tcW w:w="1260" w:type="dxa"/>
            <w:tcBorders>
              <w:top w:val="nil"/>
              <w:left w:val="nil"/>
              <w:bottom w:val="single" w:sz="4" w:space="0" w:color="auto"/>
              <w:right w:val="single" w:sz="4" w:space="0" w:color="auto"/>
            </w:tcBorders>
            <w:vAlign w:val="bottom"/>
            <w:hideMark/>
          </w:tcPr>
          <w:p w14:paraId="57B05FE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$27,941,762</w:t>
            </w:r>
          </w:p>
        </w:tc>
        <w:tc>
          <w:tcPr>
            <w:tcW w:w="1170" w:type="dxa"/>
            <w:tcBorders>
              <w:top w:val="nil"/>
              <w:left w:val="nil"/>
              <w:bottom w:val="single" w:sz="4" w:space="0" w:color="auto"/>
              <w:right w:val="single" w:sz="4" w:space="0" w:color="auto"/>
            </w:tcBorders>
            <w:vAlign w:val="bottom"/>
            <w:hideMark/>
          </w:tcPr>
          <w:p w14:paraId="245C932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$3,353,011</w:t>
            </w:r>
          </w:p>
        </w:tc>
        <w:tc>
          <w:tcPr>
            <w:tcW w:w="1260" w:type="dxa"/>
            <w:tcBorders>
              <w:top w:val="nil"/>
              <w:left w:val="nil"/>
              <w:bottom w:val="single" w:sz="4" w:space="0" w:color="auto"/>
              <w:right w:val="single" w:sz="4" w:space="0" w:color="auto"/>
            </w:tcBorders>
            <w:vAlign w:val="bottom"/>
            <w:hideMark/>
          </w:tcPr>
          <w:p w14:paraId="0E866F1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$3,214,128</w:t>
            </w:r>
          </w:p>
        </w:tc>
        <w:tc>
          <w:tcPr>
            <w:tcW w:w="1080" w:type="dxa"/>
            <w:tcBorders>
              <w:top w:val="nil"/>
              <w:left w:val="nil"/>
              <w:bottom w:val="single" w:sz="4" w:space="0" w:color="auto"/>
              <w:right w:val="single" w:sz="4" w:space="0" w:color="auto"/>
            </w:tcBorders>
            <w:vAlign w:val="bottom"/>
            <w:hideMark/>
          </w:tcPr>
          <w:p w14:paraId="5660FEC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621BEDD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$3,214,128</w:t>
            </w:r>
          </w:p>
        </w:tc>
        <w:tc>
          <w:tcPr>
            <w:tcW w:w="1170" w:type="dxa"/>
            <w:tcBorders>
              <w:top w:val="nil"/>
              <w:left w:val="nil"/>
              <w:bottom w:val="single" w:sz="4" w:space="0" w:color="auto"/>
              <w:right w:val="single" w:sz="4" w:space="0" w:color="auto"/>
            </w:tcBorders>
            <w:vAlign w:val="bottom"/>
            <w:hideMark/>
          </w:tcPr>
          <w:p w14:paraId="647F419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95.86%</w:t>
            </w:r>
          </w:p>
        </w:tc>
        <w:tc>
          <w:tcPr>
            <w:tcW w:w="1260" w:type="dxa"/>
            <w:tcBorders>
              <w:top w:val="nil"/>
              <w:left w:val="nil"/>
              <w:bottom w:val="single" w:sz="4" w:space="0" w:color="auto"/>
              <w:right w:val="single" w:sz="4" w:space="0" w:color="auto"/>
            </w:tcBorders>
            <w:vAlign w:val="bottom"/>
            <w:hideMark/>
          </w:tcPr>
          <w:p w14:paraId="01052A5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-$138,883</w:t>
            </w:r>
          </w:p>
        </w:tc>
      </w:tr>
      <w:tr w:rsidR="00433DC8" w:rsidRPr="00433DC8" w14:paraId="4CBC42AF"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0D698AEB"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250304A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ATB</w:t>
            </w:r>
          </w:p>
        </w:tc>
        <w:tc>
          <w:tcPr>
            <w:tcW w:w="4050" w:type="dxa"/>
            <w:tcBorders>
              <w:top w:val="nil"/>
              <w:left w:val="nil"/>
              <w:bottom w:val="single" w:sz="4" w:space="0" w:color="auto"/>
              <w:right w:val="single" w:sz="4" w:space="0" w:color="auto"/>
            </w:tcBorders>
            <w:vAlign w:val="bottom"/>
            <w:hideMark/>
          </w:tcPr>
          <w:p w14:paraId="7FD76099"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APPELLATE TAX BOARD</w:t>
            </w:r>
          </w:p>
        </w:tc>
        <w:tc>
          <w:tcPr>
            <w:tcW w:w="1260" w:type="dxa"/>
            <w:tcBorders>
              <w:top w:val="nil"/>
              <w:left w:val="nil"/>
              <w:bottom w:val="single" w:sz="4" w:space="0" w:color="auto"/>
              <w:right w:val="single" w:sz="4" w:space="0" w:color="auto"/>
            </w:tcBorders>
            <w:vAlign w:val="bottom"/>
            <w:hideMark/>
          </w:tcPr>
          <w:p w14:paraId="04A1C22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$20,191</w:t>
            </w:r>
          </w:p>
        </w:tc>
        <w:tc>
          <w:tcPr>
            <w:tcW w:w="1170" w:type="dxa"/>
            <w:tcBorders>
              <w:top w:val="nil"/>
              <w:left w:val="nil"/>
              <w:bottom w:val="single" w:sz="4" w:space="0" w:color="auto"/>
              <w:right w:val="single" w:sz="4" w:space="0" w:color="auto"/>
            </w:tcBorders>
            <w:vAlign w:val="bottom"/>
            <w:hideMark/>
          </w:tcPr>
          <w:p w14:paraId="4CA2DDB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$2,423</w:t>
            </w:r>
          </w:p>
        </w:tc>
        <w:tc>
          <w:tcPr>
            <w:tcW w:w="1260" w:type="dxa"/>
            <w:tcBorders>
              <w:top w:val="nil"/>
              <w:left w:val="nil"/>
              <w:bottom w:val="single" w:sz="4" w:space="0" w:color="auto"/>
              <w:right w:val="single" w:sz="4" w:space="0" w:color="auto"/>
            </w:tcBorders>
            <w:vAlign w:val="bottom"/>
            <w:hideMark/>
          </w:tcPr>
          <w:p w14:paraId="1F2167A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$5,682</w:t>
            </w:r>
          </w:p>
        </w:tc>
        <w:tc>
          <w:tcPr>
            <w:tcW w:w="1080" w:type="dxa"/>
            <w:tcBorders>
              <w:top w:val="nil"/>
              <w:left w:val="nil"/>
              <w:bottom w:val="single" w:sz="4" w:space="0" w:color="auto"/>
              <w:right w:val="single" w:sz="4" w:space="0" w:color="auto"/>
            </w:tcBorders>
            <w:vAlign w:val="bottom"/>
            <w:hideMark/>
          </w:tcPr>
          <w:p w14:paraId="5F91B91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7476C89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$5,682</w:t>
            </w:r>
          </w:p>
        </w:tc>
        <w:tc>
          <w:tcPr>
            <w:tcW w:w="1170" w:type="dxa"/>
            <w:tcBorders>
              <w:top w:val="nil"/>
              <w:left w:val="nil"/>
              <w:bottom w:val="single" w:sz="4" w:space="0" w:color="auto"/>
              <w:right w:val="single" w:sz="4" w:space="0" w:color="auto"/>
            </w:tcBorders>
            <w:vAlign w:val="bottom"/>
            <w:hideMark/>
          </w:tcPr>
          <w:p w14:paraId="0BFA919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234.51%</w:t>
            </w:r>
          </w:p>
        </w:tc>
        <w:tc>
          <w:tcPr>
            <w:tcW w:w="1260" w:type="dxa"/>
            <w:tcBorders>
              <w:top w:val="nil"/>
              <w:left w:val="nil"/>
              <w:bottom w:val="single" w:sz="4" w:space="0" w:color="auto"/>
              <w:right w:val="single" w:sz="4" w:space="0" w:color="auto"/>
            </w:tcBorders>
            <w:vAlign w:val="bottom"/>
            <w:hideMark/>
          </w:tcPr>
          <w:p w14:paraId="26B0190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$3,259</w:t>
            </w:r>
          </w:p>
        </w:tc>
      </w:tr>
      <w:tr w:rsidR="00433DC8" w:rsidRPr="00433DC8" w14:paraId="450F4BBA"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6D570F0F"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3FE9AA56"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BSB</w:t>
            </w:r>
          </w:p>
        </w:tc>
        <w:tc>
          <w:tcPr>
            <w:tcW w:w="4050" w:type="dxa"/>
            <w:tcBorders>
              <w:top w:val="nil"/>
              <w:left w:val="nil"/>
              <w:bottom w:val="single" w:sz="4" w:space="0" w:color="auto"/>
              <w:right w:val="single" w:sz="4" w:space="0" w:color="auto"/>
            </w:tcBorders>
            <w:vAlign w:val="bottom"/>
            <w:hideMark/>
          </w:tcPr>
          <w:p w14:paraId="023870B3"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BUREAU OF THE STATE HOUSE</w:t>
            </w:r>
          </w:p>
        </w:tc>
        <w:tc>
          <w:tcPr>
            <w:tcW w:w="1260" w:type="dxa"/>
            <w:tcBorders>
              <w:top w:val="nil"/>
              <w:left w:val="nil"/>
              <w:bottom w:val="single" w:sz="4" w:space="0" w:color="auto"/>
              <w:right w:val="single" w:sz="4" w:space="0" w:color="auto"/>
            </w:tcBorders>
            <w:vAlign w:val="bottom"/>
            <w:hideMark/>
          </w:tcPr>
          <w:p w14:paraId="4A48332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$1,229,156</w:t>
            </w:r>
          </w:p>
        </w:tc>
        <w:tc>
          <w:tcPr>
            <w:tcW w:w="1170" w:type="dxa"/>
            <w:tcBorders>
              <w:top w:val="nil"/>
              <w:left w:val="nil"/>
              <w:bottom w:val="single" w:sz="4" w:space="0" w:color="auto"/>
              <w:right w:val="single" w:sz="4" w:space="0" w:color="auto"/>
            </w:tcBorders>
            <w:vAlign w:val="bottom"/>
            <w:hideMark/>
          </w:tcPr>
          <w:p w14:paraId="4EDE6A5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$147,499</w:t>
            </w:r>
          </w:p>
        </w:tc>
        <w:tc>
          <w:tcPr>
            <w:tcW w:w="1260" w:type="dxa"/>
            <w:tcBorders>
              <w:top w:val="nil"/>
              <w:left w:val="nil"/>
              <w:bottom w:val="single" w:sz="4" w:space="0" w:color="auto"/>
              <w:right w:val="single" w:sz="4" w:space="0" w:color="auto"/>
            </w:tcBorders>
            <w:vAlign w:val="bottom"/>
            <w:hideMark/>
          </w:tcPr>
          <w:p w14:paraId="45A30F1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$68,049</w:t>
            </w:r>
          </w:p>
        </w:tc>
        <w:tc>
          <w:tcPr>
            <w:tcW w:w="1080" w:type="dxa"/>
            <w:tcBorders>
              <w:top w:val="nil"/>
              <w:left w:val="nil"/>
              <w:bottom w:val="single" w:sz="4" w:space="0" w:color="auto"/>
              <w:right w:val="single" w:sz="4" w:space="0" w:color="auto"/>
            </w:tcBorders>
            <w:vAlign w:val="bottom"/>
            <w:hideMark/>
          </w:tcPr>
          <w:p w14:paraId="1B86734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001D5D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$68,049</w:t>
            </w:r>
          </w:p>
        </w:tc>
        <w:tc>
          <w:tcPr>
            <w:tcW w:w="1170" w:type="dxa"/>
            <w:tcBorders>
              <w:top w:val="nil"/>
              <w:left w:val="nil"/>
              <w:bottom w:val="single" w:sz="4" w:space="0" w:color="auto"/>
              <w:right w:val="single" w:sz="4" w:space="0" w:color="auto"/>
            </w:tcBorders>
            <w:vAlign w:val="bottom"/>
            <w:hideMark/>
          </w:tcPr>
          <w:p w14:paraId="317591E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46.14%</w:t>
            </w:r>
          </w:p>
        </w:tc>
        <w:tc>
          <w:tcPr>
            <w:tcW w:w="1260" w:type="dxa"/>
            <w:tcBorders>
              <w:top w:val="nil"/>
              <w:left w:val="nil"/>
              <w:bottom w:val="single" w:sz="4" w:space="0" w:color="auto"/>
              <w:right w:val="single" w:sz="4" w:space="0" w:color="auto"/>
            </w:tcBorders>
            <w:vAlign w:val="bottom"/>
            <w:hideMark/>
          </w:tcPr>
          <w:p w14:paraId="066AAA2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-$79,450</w:t>
            </w:r>
          </w:p>
        </w:tc>
      </w:tr>
      <w:tr w:rsidR="00433DC8" w:rsidRPr="00433DC8" w14:paraId="4CC76259" w14:textId="77777777" w:rsidTr="009050D8">
        <w:trPr>
          <w:trHeight w:val="125"/>
        </w:trPr>
        <w:tc>
          <w:tcPr>
            <w:tcW w:w="630" w:type="dxa"/>
            <w:tcBorders>
              <w:top w:val="nil"/>
              <w:left w:val="single" w:sz="4" w:space="0" w:color="auto"/>
              <w:bottom w:val="single" w:sz="4" w:space="0" w:color="auto"/>
              <w:right w:val="single" w:sz="4" w:space="0" w:color="auto"/>
            </w:tcBorders>
            <w:vAlign w:val="bottom"/>
            <w:hideMark/>
          </w:tcPr>
          <w:p w14:paraId="76D8EE1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7B31F7A9"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CSC</w:t>
            </w:r>
          </w:p>
        </w:tc>
        <w:tc>
          <w:tcPr>
            <w:tcW w:w="4050" w:type="dxa"/>
            <w:tcBorders>
              <w:top w:val="nil"/>
              <w:left w:val="nil"/>
              <w:bottom w:val="single" w:sz="4" w:space="0" w:color="auto"/>
              <w:right w:val="single" w:sz="4" w:space="0" w:color="auto"/>
            </w:tcBorders>
            <w:vAlign w:val="bottom"/>
            <w:hideMark/>
          </w:tcPr>
          <w:p w14:paraId="46F70767"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CIVIL SERVICE COMMISSION</w:t>
            </w:r>
          </w:p>
        </w:tc>
        <w:tc>
          <w:tcPr>
            <w:tcW w:w="1260" w:type="dxa"/>
            <w:tcBorders>
              <w:top w:val="nil"/>
              <w:left w:val="nil"/>
              <w:bottom w:val="single" w:sz="4" w:space="0" w:color="auto"/>
              <w:right w:val="single" w:sz="4" w:space="0" w:color="auto"/>
            </w:tcBorders>
            <w:vAlign w:val="bottom"/>
            <w:hideMark/>
          </w:tcPr>
          <w:p w14:paraId="0DE3E1B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$12,710</w:t>
            </w:r>
          </w:p>
        </w:tc>
        <w:tc>
          <w:tcPr>
            <w:tcW w:w="1170" w:type="dxa"/>
            <w:tcBorders>
              <w:top w:val="nil"/>
              <w:left w:val="nil"/>
              <w:bottom w:val="single" w:sz="4" w:space="0" w:color="auto"/>
              <w:right w:val="single" w:sz="4" w:space="0" w:color="auto"/>
            </w:tcBorders>
            <w:vAlign w:val="bottom"/>
            <w:hideMark/>
          </w:tcPr>
          <w:p w14:paraId="7A58225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$1,525</w:t>
            </w:r>
          </w:p>
        </w:tc>
        <w:tc>
          <w:tcPr>
            <w:tcW w:w="1260" w:type="dxa"/>
            <w:tcBorders>
              <w:top w:val="nil"/>
              <w:left w:val="nil"/>
              <w:bottom w:val="single" w:sz="4" w:space="0" w:color="auto"/>
              <w:right w:val="single" w:sz="4" w:space="0" w:color="auto"/>
            </w:tcBorders>
            <w:vAlign w:val="bottom"/>
            <w:hideMark/>
          </w:tcPr>
          <w:p w14:paraId="222B630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$2,869</w:t>
            </w:r>
          </w:p>
        </w:tc>
        <w:tc>
          <w:tcPr>
            <w:tcW w:w="1080" w:type="dxa"/>
            <w:tcBorders>
              <w:top w:val="nil"/>
              <w:left w:val="nil"/>
              <w:bottom w:val="single" w:sz="4" w:space="0" w:color="auto"/>
              <w:right w:val="single" w:sz="4" w:space="0" w:color="auto"/>
            </w:tcBorders>
            <w:vAlign w:val="bottom"/>
            <w:hideMark/>
          </w:tcPr>
          <w:p w14:paraId="7582557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241574D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$2,869</w:t>
            </w:r>
          </w:p>
        </w:tc>
        <w:tc>
          <w:tcPr>
            <w:tcW w:w="1170" w:type="dxa"/>
            <w:tcBorders>
              <w:top w:val="nil"/>
              <w:left w:val="nil"/>
              <w:bottom w:val="single" w:sz="4" w:space="0" w:color="auto"/>
              <w:right w:val="single" w:sz="4" w:space="0" w:color="auto"/>
            </w:tcBorders>
            <w:vAlign w:val="bottom"/>
            <w:hideMark/>
          </w:tcPr>
          <w:p w14:paraId="6631632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188.09%</w:t>
            </w:r>
          </w:p>
        </w:tc>
        <w:tc>
          <w:tcPr>
            <w:tcW w:w="1260" w:type="dxa"/>
            <w:tcBorders>
              <w:top w:val="nil"/>
              <w:left w:val="nil"/>
              <w:bottom w:val="single" w:sz="4" w:space="0" w:color="auto"/>
              <w:right w:val="single" w:sz="4" w:space="0" w:color="auto"/>
            </w:tcBorders>
            <w:vAlign w:val="bottom"/>
            <w:hideMark/>
          </w:tcPr>
          <w:p w14:paraId="0FB5CEB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$1,344</w:t>
            </w:r>
          </w:p>
        </w:tc>
      </w:tr>
      <w:tr w:rsidR="00433DC8" w:rsidRPr="00433DC8" w14:paraId="06C7454C"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1814C873"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705AAEA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DCP</w:t>
            </w:r>
          </w:p>
        </w:tc>
        <w:tc>
          <w:tcPr>
            <w:tcW w:w="4050" w:type="dxa"/>
            <w:tcBorders>
              <w:top w:val="nil"/>
              <w:left w:val="nil"/>
              <w:bottom w:val="single" w:sz="4" w:space="0" w:color="auto"/>
              <w:right w:val="single" w:sz="4" w:space="0" w:color="auto"/>
            </w:tcBorders>
            <w:vAlign w:val="bottom"/>
            <w:hideMark/>
          </w:tcPr>
          <w:p w14:paraId="61EA41EF"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CAPITAL ASSET MANAGEMENT AND MAINTENANCE DIVISION</w:t>
            </w:r>
          </w:p>
        </w:tc>
        <w:tc>
          <w:tcPr>
            <w:tcW w:w="1260" w:type="dxa"/>
            <w:tcBorders>
              <w:top w:val="nil"/>
              <w:left w:val="nil"/>
              <w:bottom w:val="single" w:sz="4" w:space="0" w:color="auto"/>
              <w:right w:val="single" w:sz="4" w:space="0" w:color="auto"/>
            </w:tcBorders>
            <w:vAlign w:val="bottom"/>
            <w:hideMark/>
          </w:tcPr>
          <w:p w14:paraId="72F059F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$6,430,949</w:t>
            </w:r>
          </w:p>
        </w:tc>
        <w:tc>
          <w:tcPr>
            <w:tcW w:w="1170" w:type="dxa"/>
            <w:tcBorders>
              <w:top w:val="nil"/>
              <w:left w:val="nil"/>
              <w:bottom w:val="single" w:sz="4" w:space="0" w:color="auto"/>
              <w:right w:val="single" w:sz="4" w:space="0" w:color="auto"/>
            </w:tcBorders>
            <w:vAlign w:val="bottom"/>
            <w:hideMark/>
          </w:tcPr>
          <w:p w14:paraId="09B776E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$771,714</w:t>
            </w:r>
          </w:p>
        </w:tc>
        <w:tc>
          <w:tcPr>
            <w:tcW w:w="1260" w:type="dxa"/>
            <w:tcBorders>
              <w:top w:val="nil"/>
              <w:left w:val="nil"/>
              <w:bottom w:val="single" w:sz="4" w:space="0" w:color="auto"/>
              <w:right w:val="single" w:sz="4" w:space="0" w:color="auto"/>
            </w:tcBorders>
            <w:vAlign w:val="bottom"/>
            <w:hideMark/>
          </w:tcPr>
          <w:p w14:paraId="5E5840D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$2,447,063</w:t>
            </w:r>
          </w:p>
        </w:tc>
        <w:tc>
          <w:tcPr>
            <w:tcW w:w="1080" w:type="dxa"/>
            <w:tcBorders>
              <w:top w:val="nil"/>
              <w:left w:val="nil"/>
              <w:bottom w:val="single" w:sz="4" w:space="0" w:color="auto"/>
              <w:right w:val="single" w:sz="4" w:space="0" w:color="auto"/>
            </w:tcBorders>
            <w:vAlign w:val="bottom"/>
            <w:hideMark/>
          </w:tcPr>
          <w:p w14:paraId="7ABBA32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B6E504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$2,447,063</w:t>
            </w:r>
          </w:p>
        </w:tc>
        <w:tc>
          <w:tcPr>
            <w:tcW w:w="1170" w:type="dxa"/>
            <w:tcBorders>
              <w:top w:val="nil"/>
              <w:left w:val="nil"/>
              <w:bottom w:val="single" w:sz="4" w:space="0" w:color="auto"/>
              <w:right w:val="single" w:sz="4" w:space="0" w:color="auto"/>
            </w:tcBorders>
            <w:vAlign w:val="bottom"/>
            <w:hideMark/>
          </w:tcPr>
          <w:p w14:paraId="220B8B0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317.09%</w:t>
            </w:r>
          </w:p>
        </w:tc>
        <w:tc>
          <w:tcPr>
            <w:tcW w:w="1260" w:type="dxa"/>
            <w:tcBorders>
              <w:top w:val="nil"/>
              <w:left w:val="nil"/>
              <w:bottom w:val="single" w:sz="4" w:space="0" w:color="auto"/>
              <w:right w:val="single" w:sz="4" w:space="0" w:color="auto"/>
            </w:tcBorders>
            <w:vAlign w:val="bottom"/>
            <w:hideMark/>
          </w:tcPr>
          <w:p w14:paraId="2FE1DC2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$1,675,349</w:t>
            </w:r>
          </w:p>
        </w:tc>
      </w:tr>
      <w:tr w:rsidR="00433DC8" w:rsidRPr="00433DC8" w14:paraId="7833A86C"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25BA1D86"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700B57E5"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DOR</w:t>
            </w:r>
          </w:p>
        </w:tc>
        <w:tc>
          <w:tcPr>
            <w:tcW w:w="4050" w:type="dxa"/>
            <w:tcBorders>
              <w:top w:val="nil"/>
              <w:left w:val="nil"/>
              <w:bottom w:val="single" w:sz="4" w:space="0" w:color="auto"/>
              <w:right w:val="single" w:sz="4" w:space="0" w:color="auto"/>
            </w:tcBorders>
            <w:vAlign w:val="bottom"/>
            <w:hideMark/>
          </w:tcPr>
          <w:p w14:paraId="7E37F18F"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REVENUE</w:t>
            </w:r>
          </w:p>
        </w:tc>
        <w:tc>
          <w:tcPr>
            <w:tcW w:w="1260" w:type="dxa"/>
            <w:tcBorders>
              <w:top w:val="nil"/>
              <w:left w:val="nil"/>
              <w:bottom w:val="single" w:sz="4" w:space="0" w:color="auto"/>
              <w:right w:val="single" w:sz="4" w:space="0" w:color="auto"/>
            </w:tcBorders>
            <w:vAlign w:val="bottom"/>
            <w:hideMark/>
          </w:tcPr>
          <w:p w14:paraId="433B077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$52,810,218</w:t>
            </w:r>
          </w:p>
        </w:tc>
        <w:tc>
          <w:tcPr>
            <w:tcW w:w="1170" w:type="dxa"/>
            <w:tcBorders>
              <w:top w:val="nil"/>
              <w:left w:val="nil"/>
              <w:bottom w:val="single" w:sz="4" w:space="0" w:color="auto"/>
              <w:right w:val="single" w:sz="4" w:space="0" w:color="auto"/>
            </w:tcBorders>
            <w:vAlign w:val="bottom"/>
            <w:hideMark/>
          </w:tcPr>
          <w:p w14:paraId="4A9943B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$6,337,226</w:t>
            </w:r>
          </w:p>
        </w:tc>
        <w:tc>
          <w:tcPr>
            <w:tcW w:w="1260" w:type="dxa"/>
            <w:tcBorders>
              <w:top w:val="nil"/>
              <w:left w:val="nil"/>
              <w:bottom w:val="single" w:sz="4" w:space="0" w:color="auto"/>
              <w:right w:val="single" w:sz="4" w:space="0" w:color="auto"/>
            </w:tcBorders>
            <w:vAlign w:val="bottom"/>
            <w:hideMark/>
          </w:tcPr>
          <w:p w14:paraId="74C73F6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$1,748,681</w:t>
            </w:r>
          </w:p>
        </w:tc>
        <w:tc>
          <w:tcPr>
            <w:tcW w:w="1080" w:type="dxa"/>
            <w:tcBorders>
              <w:top w:val="nil"/>
              <w:left w:val="nil"/>
              <w:bottom w:val="single" w:sz="4" w:space="0" w:color="auto"/>
              <w:right w:val="single" w:sz="4" w:space="0" w:color="auto"/>
            </w:tcBorders>
            <w:vAlign w:val="bottom"/>
            <w:hideMark/>
          </w:tcPr>
          <w:p w14:paraId="1AD9668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$661,905</w:t>
            </w:r>
          </w:p>
        </w:tc>
        <w:tc>
          <w:tcPr>
            <w:tcW w:w="1170" w:type="dxa"/>
            <w:tcBorders>
              <w:top w:val="nil"/>
              <w:left w:val="nil"/>
              <w:bottom w:val="single" w:sz="4" w:space="0" w:color="auto"/>
              <w:right w:val="single" w:sz="4" w:space="0" w:color="auto"/>
            </w:tcBorders>
            <w:vAlign w:val="bottom"/>
            <w:hideMark/>
          </w:tcPr>
          <w:p w14:paraId="213E535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$2,410,586</w:t>
            </w:r>
          </w:p>
        </w:tc>
        <w:tc>
          <w:tcPr>
            <w:tcW w:w="1170" w:type="dxa"/>
            <w:tcBorders>
              <w:top w:val="nil"/>
              <w:left w:val="nil"/>
              <w:bottom w:val="single" w:sz="4" w:space="0" w:color="auto"/>
              <w:right w:val="single" w:sz="4" w:space="0" w:color="auto"/>
            </w:tcBorders>
            <w:vAlign w:val="bottom"/>
            <w:hideMark/>
          </w:tcPr>
          <w:p w14:paraId="6F0FB00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38.04%</w:t>
            </w:r>
          </w:p>
        </w:tc>
        <w:tc>
          <w:tcPr>
            <w:tcW w:w="1260" w:type="dxa"/>
            <w:tcBorders>
              <w:top w:val="nil"/>
              <w:left w:val="nil"/>
              <w:bottom w:val="single" w:sz="4" w:space="0" w:color="auto"/>
              <w:right w:val="single" w:sz="4" w:space="0" w:color="auto"/>
            </w:tcBorders>
            <w:vAlign w:val="bottom"/>
            <w:hideMark/>
          </w:tcPr>
          <w:p w14:paraId="47E0052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-$3,926,640</w:t>
            </w:r>
          </w:p>
        </w:tc>
      </w:tr>
      <w:tr w:rsidR="00433DC8" w:rsidRPr="00433DC8" w14:paraId="4A607E04"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70D13AF5"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25CFAF6F"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GIC</w:t>
            </w:r>
          </w:p>
        </w:tc>
        <w:tc>
          <w:tcPr>
            <w:tcW w:w="4050" w:type="dxa"/>
            <w:tcBorders>
              <w:top w:val="nil"/>
              <w:left w:val="nil"/>
              <w:bottom w:val="single" w:sz="4" w:space="0" w:color="auto"/>
              <w:right w:val="single" w:sz="4" w:space="0" w:color="auto"/>
            </w:tcBorders>
            <w:vAlign w:val="bottom"/>
            <w:hideMark/>
          </w:tcPr>
          <w:p w14:paraId="2B89F47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GROUP INSURANCE COMMISSION</w:t>
            </w:r>
          </w:p>
        </w:tc>
        <w:tc>
          <w:tcPr>
            <w:tcW w:w="1260" w:type="dxa"/>
            <w:tcBorders>
              <w:top w:val="nil"/>
              <w:left w:val="nil"/>
              <w:bottom w:val="single" w:sz="4" w:space="0" w:color="auto"/>
              <w:right w:val="single" w:sz="4" w:space="0" w:color="auto"/>
            </w:tcBorders>
            <w:vAlign w:val="bottom"/>
            <w:hideMark/>
          </w:tcPr>
          <w:p w14:paraId="66753DF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$3,530,011</w:t>
            </w:r>
          </w:p>
        </w:tc>
        <w:tc>
          <w:tcPr>
            <w:tcW w:w="1170" w:type="dxa"/>
            <w:tcBorders>
              <w:top w:val="nil"/>
              <w:left w:val="nil"/>
              <w:bottom w:val="single" w:sz="4" w:space="0" w:color="auto"/>
              <w:right w:val="single" w:sz="4" w:space="0" w:color="auto"/>
            </w:tcBorders>
            <w:vAlign w:val="bottom"/>
            <w:hideMark/>
          </w:tcPr>
          <w:p w14:paraId="3AD735C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$423,601</w:t>
            </w:r>
          </w:p>
        </w:tc>
        <w:tc>
          <w:tcPr>
            <w:tcW w:w="1260" w:type="dxa"/>
            <w:tcBorders>
              <w:top w:val="nil"/>
              <w:left w:val="nil"/>
              <w:bottom w:val="single" w:sz="4" w:space="0" w:color="auto"/>
              <w:right w:val="single" w:sz="4" w:space="0" w:color="auto"/>
            </w:tcBorders>
            <w:vAlign w:val="bottom"/>
            <w:hideMark/>
          </w:tcPr>
          <w:p w14:paraId="6D36CF3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$466,243</w:t>
            </w:r>
          </w:p>
        </w:tc>
        <w:tc>
          <w:tcPr>
            <w:tcW w:w="1080" w:type="dxa"/>
            <w:tcBorders>
              <w:top w:val="nil"/>
              <w:left w:val="nil"/>
              <w:bottom w:val="single" w:sz="4" w:space="0" w:color="auto"/>
              <w:right w:val="single" w:sz="4" w:space="0" w:color="auto"/>
            </w:tcBorders>
            <w:vAlign w:val="bottom"/>
            <w:hideMark/>
          </w:tcPr>
          <w:p w14:paraId="6AB9169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9A5CC4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$466,243</w:t>
            </w:r>
          </w:p>
        </w:tc>
        <w:tc>
          <w:tcPr>
            <w:tcW w:w="1170" w:type="dxa"/>
            <w:tcBorders>
              <w:top w:val="nil"/>
              <w:left w:val="nil"/>
              <w:bottom w:val="single" w:sz="4" w:space="0" w:color="auto"/>
              <w:right w:val="single" w:sz="4" w:space="0" w:color="auto"/>
            </w:tcBorders>
            <w:vAlign w:val="bottom"/>
            <w:hideMark/>
          </w:tcPr>
          <w:p w14:paraId="489A4C3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110.07%</w:t>
            </w:r>
          </w:p>
        </w:tc>
        <w:tc>
          <w:tcPr>
            <w:tcW w:w="1260" w:type="dxa"/>
            <w:tcBorders>
              <w:top w:val="nil"/>
              <w:left w:val="nil"/>
              <w:bottom w:val="single" w:sz="4" w:space="0" w:color="auto"/>
              <w:right w:val="single" w:sz="4" w:space="0" w:color="auto"/>
            </w:tcBorders>
            <w:vAlign w:val="bottom"/>
            <w:hideMark/>
          </w:tcPr>
          <w:p w14:paraId="626B531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$42,642</w:t>
            </w:r>
          </w:p>
        </w:tc>
      </w:tr>
      <w:tr w:rsidR="00433DC8" w:rsidRPr="00433DC8" w14:paraId="59283DF7"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72CF2A4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1096DDC9"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HRD</w:t>
            </w:r>
          </w:p>
        </w:tc>
        <w:tc>
          <w:tcPr>
            <w:tcW w:w="4050" w:type="dxa"/>
            <w:tcBorders>
              <w:top w:val="nil"/>
              <w:left w:val="nil"/>
              <w:bottom w:val="single" w:sz="4" w:space="0" w:color="auto"/>
              <w:right w:val="single" w:sz="4" w:space="0" w:color="auto"/>
            </w:tcBorders>
            <w:vAlign w:val="bottom"/>
            <w:hideMark/>
          </w:tcPr>
          <w:p w14:paraId="06C72DC8"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HUMAN RESOURCES DIVISION</w:t>
            </w:r>
          </w:p>
        </w:tc>
        <w:tc>
          <w:tcPr>
            <w:tcW w:w="1260" w:type="dxa"/>
            <w:tcBorders>
              <w:top w:val="nil"/>
              <w:left w:val="nil"/>
              <w:bottom w:val="single" w:sz="4" w:space="0" w:color="auto"/>
              <w:right w:val="single" w:sz="4" w:space="0" w:color="auto"/>
            </w:tcBorders>
            <w:vAlign w:val="bottom"/>
            <w:hideMark/>
          </w:tcPr>
          <w:p w14:paraId="2234094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$918,431</w:t>
            </w:r>
          </w:p>
        </w:tc>
        <w:tc>
          <w:tcPr>
            <w:tcW w:w="1170" w:type="dxa"/>
            <w:tcBorders>
              <w:top w:val="nil"/>
              <w:left w:val="nil"/>
              <w:bottom w:val="single" w:sz="4" w:space="0" w:color="auto"/>
              <w:right w:val="single" w:sz="4" w:space="0" w:color="auto"/>
            </w:tcBorders>
            <w:vAlign w:val="bottom"/>
            <w:hideMark/>
          </w:tcPr>
          <w:p w14:paraId="4153D3E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$110,212</w:t>
            </w:r>
          </w:p>
        </w:tc>
        <w:tc>
          <w:tcPr>
            <w:tcW w:w="1260" w:type="dxa"/>
            <w:tcBorders>
              <w:top w:val="nil"/>
              <w:left w:val="nil"/>
              <w:bottom w:val="single" w:sz="4" w:space="0" w:color="auto"/>
              <w:right w:val="single" w:sz="4" w:space="0" w:color="auto"/>
            </w:tcBorders>
            <w:vAlign w:val="bottom"/>
            <w:hideMark/>
          </w:tcPr>
          <w:p w14:paraId="47F56E8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$539,386</w:t>
            </w:r>
          </w:p>
        </w:tc>
        <w:tc>
          <w:tcPr>
            <w:tcW w:w="1080" w:type="dxa"/>
            <w:tcBorders>
              <w:top w:val="nil"/>
              <w:left w:val="nil"/>
              <w:bottom w:val="single" w:sz="4" w:space="0" w:color="auto"/>
              <w:right w:val="single" w:sz="4" w:space="0" w:color="auto"/>
            </w:tcBorders>
            <w:vAlign w:val="bottom"/>
            <w:hideMark/>
          </w:tcPr>
          <w:p w14:paraId="2D9F206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CAB72C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$539,386</w:t>
            </w:r>
          </w:p>
        </w:tc>
        <w:tc>
          <w:tcPr>
            <w:tcW w:w="1170" w:type="dxa"/>
            <w:tcBorders>
              <w:top w:val="nil"/>
              <w:left w:val="nil"/>
              <w:bottom w:val="single" w:sz="4" w:space="0" w:color="auto"/>
              <w:right w:val="single" w:sz="4" w:space="0" w:color="auto"/>
            </w:tcBorders>
            <w:vAlign w:val="bottom"/>
            <w:hideMark/>
          </w:tcPr>
          <w:p w14:paraId="685E0D5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489.41%</w:t>
            </w:r>
          </w:p>
        </w:tc>
        <w:tc>
          <w:tcPr>
            <w:tcW w:w="1260" w:type="dxa"/>
            <w:tcBorders>
              <w:top w:val="nil"/>
              <w:left w:val="nil"/>
              <w:bottom w:val="single" w:sz="4" w:space="0" w:color="auto"/>
              <w:right w:val="single" w:sz="4" w:space="0" w:color="auto"/>
            </w:tcBorders>
            <w:vAlign w:val="bottom"/>
            <w:hideMark/>
          </w:tcPr>
          <w:p w14:paraId="7B32710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$429,175</w:t>
            </w:r>
          </w:p>
        </w:tc>
      </w:tr>
      <w:tr w:rsidR="00433DC8" w:rsidRPr="00433DC8" w14:paraId="7306EDF3" w14:textId="77777777" w:rsidTr="009050D8">
        <w:trPr>
          <w:trHeight w:val="152"/>
        </w:trPr>
        <w:tc>
          <w:tcPr>
            <w:tcW w:w="630" w:type="dxa"/>
            <w:tcBorders>
              <w:top w:val="nil"/>
              <w:left w:val="single" w:sz="4" w:space="0" w:color="auto"/>
              <w:bottom w:val="single" w:sz="4" w:space="0" w:color="auto"/>
              <w:right w:val="single" w:sz="4" w:space="0" w:color="auto"/>
            </w:tcBorders>
            <w:vAlign w:val="bottom"/>
            <w:hideMark/>
          </w:tcPr>
          <w:p w14:paraId="77DE0DC2"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1CC2D44C"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ITD</w:t>
            </w:r>
          </w:p>
        </w:tc>
        <w:tc>
          <w:tcPr>
            <w:tcW w:w="4050" w:type="dxa"/>
            <w:tcBorders>
              <w:top w:val="nil"/>
              <w:left w:val="nil"/>
              <w:bottom w:val="single" w:sz="4" w:space="0" w:color="auto"/>
              <w:right w:val="single" w:sz="4" w:space="0" w:color="auto"/>
            </w:tcBorders>
            <w:vAlign w:val="bottom"/>
            <w:hideMark/>
          </w:tcPr>
          <w:p w14:paraId="79573528"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INFORMATION TECHNOLOGY DIVISION</w:t>
            </w:r>
          </w:p>
        </w:tc>
        <w:tc>
          <w:tcPr>
            <w:tcW w:w="1260" w:type="dxa"/>
            <w:tcBorders>
              <w:top w:val="nil"/>
              <w:left w:val="nil"/>
              <w:bottom w:val="single" w:sz="4" w:space="0" w:color="auto"/>
              <w:right w:val="single" w:sz="4" w:space="0" w:color="auto"/>
            </w:tcBorders>
            <w:vAlign w:val="bottom"/>
            <w:hideMark/>
          </w:tcPr>
          <w:p w14:paraId="219F3FA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$6,070,217</w:t>
            </w:r>
          </w:p>
        </w:tc>
        <w:tc>
          <w:tcPr>
            <w:tcW w:w="1170" w:type="dxa"/>
            <w:tcBorders>
              <w:top w:val="nil"/>
              <w:left w:val="nil"/>
              <w:bottom w:val="single" w:sz="4" w:space="0" w:color="auto"/>
              <w:right w:val="single" w:sz="4" w:space="0" w:color="auto"/>
            </w:tcBorders>
            <w:vAlign w:val="bottom"/>
            <w:hideMark/>
          </w:tcPr>
          <w:p w14:paraId="755A013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$728,426</w:t>
            </w:r>
          </w:p>
        </w:tc>
        <w:tc>
          <w:tcPr>
            <w:tcW w:w="1260" w:type="dxa"/>
            <w:tcBorders>
              <w:top w:val="nil"/>
              <w:left w:val="nil"/>
              <w:bottom w:val="single" w:sz="4" w:space="0" w:color="auto"/>
              <w:right w:val="single" w:sz="4" w:space="0" w:color="auto"/>
            </w:tcBorders>
            <w:vAlign w:val="bottom"/>
            <w:hideMark/>
          </w:tcPr>
          <w:p w14:paraId="18EEB95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$3,547,709</w:t>
            </w:r>
          </w:p>
        </w:tc>
        <w:tc>
          <w:tcPr>
            <w:tcW w:w="1080" w:type="dxa"/>
            <w:tcBorders>
              <w:top w:val="nil"/>
              <w:left w:val="nil"/>
              <w:bottom w:val="single" w:sz="4" w:space="0" w:color="auto"/>
              <w:right w:val="single" w:sz="4" w:space="0" w:color="auto"/>
            </w:tcBorders>
            <w:vAlign w:val="bottom"/>
            <w:hideMark/>
          </w:tcPr>
          <w:p w14:paraId="1948DE0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B7983F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$3,547,709</w:t>
            </w:r>
          </w:p>
        </w:tc>
        <w:tc>
          <w:tcPr>
            <w:tcW w:w="1170" w:type="dxa"/>
            <w:tcBorders>
              <w:top w:val="nil"/>
              <w:left w:val="nil"/>
              <w:bottom w:val="single" w:sz="4" w:space="0" w:color="auto"/>
              <w:right w:val="single" w:sz="4" w:space="0" w:color="auto"/>
            </w:tcBorders>
            <w:vAlign w:val="bottom"/>
            <w:hideMark/>
          </w:tcPr>
          <w:p w14:paraId="1FC845A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487.04%</w:t>
            </w:r>
          </w:p>
        </w:tc>
        <w:tc>
          <w:tcPr>
            <w:tcW w:w="1260" w:type="dxa"/>
            <w:tcBorders>
              <w:top w:val="nil"/>
              <w:left w:val="nil"/>
              <w:bottom w:val="single" w:sz="4" w:space="0" w:color="auto"/>
              <w:right w:val="single" w:sz="4" w:space="0" w:color="auto"/>
            </w:tcBorders>
            <w:vAlign w:val="bottom"/>
            <w:hideMark/>
          </w:tcPr>
          <w:p w14:paraId="612567A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$2,819,283</w:t>
            </w:r>
          </w:p>
        </w:tc>
      </w:tr>
      <w:tr w:rsidR="00433DC8" w:rsidRPr="00433DC8" w14:paraId="1B8BACA3" w14:textId="77777777" w:rsidTr="009050D8">
        <w:trPr>
          <w:trHeight w:val="125"/>
        </w:trPr>
        <w:tc>
          <w:tcPr>
            <w:tcW w:w="630" w:type="dxa"/>
            <w:tcBorders>
              <w:top w:val="nil"/>
              <w:left w:val="single" w:sz="4" w:space="0" w:color="auto"/>
              <w:bottom w:val="single" w:sz="4" w:space="0" w:color="auto"/>
              <w:right w:val="single" w:sz="4" w:space="0" w:color="auto"/>
            </w:tcBorders>
            <w:vAlign w:val="bottom"/>
            <w:hideMark/>
          </w:tcPr>
          <w:p w14:paraId="6BE37385"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0FD3930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LIB</w:t>
            </w:r>
          </w:p>
        </w:tc>
        <w:tc>
          <w:tcPr>
            <w:tcW w:w="4050" w:type="dxa"/>
            <w:tcBorders>
              <w:top w:val="nil"/>
              <w:left w:val="nil"/>
              <w:bottom w:val="single" w:sz="4" w:space="0" w:color="auto"/>
              <w:right w:val="single" w:sz="4" w:space="0" w:color="auto"/>
            </w:tcBorders>
            <w:vAlign w:val="bottom"/>
            <w:hideMark/>
          </w:tcPr>
          <w:p w14:paraId="42BD3C8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GEORGE FINGOLD LIBRARY</w:t>
            </w:r>
          </w:p>
        </w:tc>
        <w:tc>
          <w:tcPr>
            <w:tcW w:w="1260" w:type="dxa"/>
            <w:tcBorders>
              <w:top w:val="nil"/>
              <w:left w:val="nil"/>
              <w:bottom w:val="single" w:sz="4" w:space="0" w:color="auto"/>
              <w:right w:val="single" w:sz="4" w:space="0" w:color="auto"/>
            </w:tcBorders>
            <w:vAlign w:val="bottom"/>
            <w:hideMark/>
          </w:tcPr>
          <w:p w14:paraId="70C8DD7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$779,058</w:t>
            </w:r>
          </w:p>
        </w:tc>
        <w:tc>
          <w:tcPr>
            <w:tcW w:w="1170" w:type="dxa"/>
            <w:tcBorders>
              <w:top w:val="nil"/>
              <w:left w:val="nil"/>
              <w:bottom w:val="single" w:sz="4" w:space="0" w:color="auto"/>
              <w:right w:val="single" w:sz="4" w:space="0" w:color="auto"/>
            </w:tcBorders>
            <w:vAlign w:val="bottom"/>
            <w:hideMark/>
          </w:tcPr>
          <w:p w14:paraId="64E4FBD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$93,487</w:t>
            </w:r>
          </w:p>
        </w:tc>
        <w:tc>
          <w:tcPr>
            <w:tcW w:w="1260" w:type="dxa"/>
            <w:tcBorders>
              <w:top w:val="nil"/>
              <w:left w:val="nil"/>
              <w:bottom w:val="single" w:sz="4" w:space="0" w:color="auto"/>
              <w:right w:val="single" w:sz="4" w:space="0" w:color="auto"/>
            </w:tcBorders>
            <w:vAlign w:val="bottom"/>
            <w:hideMark/>
          </w:tcPr>
          <w:p w14:paraId="3F9D55D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$10,283</w:t>
            </w:r>
          </w:p>
        </w:tc>
        <w:tc>
          <w:tcPr>
            <w:tcW w:w="1080" w:type="dxa"/>
            <w:tcBorders>
              <w:top w:val="nil"/>
              <w:left w:val="nil"/>
              <w:bottom w:val="single" w:sz="4" w:space="0" w:color="auto"/>
              <w:right w:val="single" w:sz="4" w:space="0" w:color="auto"/>
            </w:tcBorders>
            <w:vAlign w:val="bottom"/>
            <w:hideMark/>
          </w:tcPr>
          <w:p w14:paraId="11F22B6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27837F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$10,283</w:t>
            </w:r>
          </w:p>
        </w:tc>
        <w:tc>
          <w:tcPr>
            <w:tcW w:w="1170" w:type="dxa"/>
            <w:tcBorders>
              <w:top w:val="nil"/>
              <w:left w:val="nil"/>
              <w:bottom w:val="single" w:sz="4" w:space="0" w:color="auto"/>
              <w:right w:val="single" w:sz="4" w:space="0" w:color="auto"/>
            </w:tcBorders>
            <w:vAlign w:val="bottom"/>
            <w:hideMark/>
          </w:tcPr>
          <w:p w14:paraId="2908740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11.00%</w:t>
            </w:r>
          </w:p>
        </w:tc>
        <w:tc>
          <w:tcPr>
            <w:tcW w:w="1260" w:type="dxa"/>
            <w:tcBorders>
              <w:top w:val="nil"/>
              <w:left w:val="nil"/>
              <w:bottom w:val="single" w:sz="4" w:space="0" w:color="auto"/>
              <w:right w:val="single" w:sz="4" w:space="0" w:color="auto"/>
            </w:tcBorders>
            <w:vAlign w:val="bottom"/>
            <w:hideMark/>
          </w:tcPr>
          <w:p w14:paraId="4458BE5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-$83,204</w:t>
            </w:r>
          </w:p>
        </w:tc>
      </w:tr>
      <w:tr w:rsidR="00433DC8" w:rsidRPr="00433DC8" w14:paraId="532E9E76"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586A9B3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0CD08690"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OHA</w:t>
            </w:r>
          </w:p>
        </w:tc>
        <w:tc>
          <w:tcPr>
            <w:tcW w:w="4050" w:type="dxa"/>
            <w:tcBorders>
              <w:top w:val="nil"/>
              <w:left w:val="nil"/>
              <w:bottom w:val="single" w:sz="4" w:space="0" w:color="auto"/>
              <w:right w:val="single" w:sz="4" w:space="0" w:color="auto"/>
            </w:tcBorders>
            <w:vAlign w:val="bottom"/>
            <w:hideMark/>
          </w:tcPr>
          <w:p w14:paraId="36C6FB09"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MASSACHUSETTS OFFICE ON DISABILITY</w:t>
            </w:r>
          </w:p>
        </w:tc>
        <w:tc>
          <w:tcPr>
            <w:tcW w:w="1260" w:type="dxa"/>
            <w:tcBorders>
              <w:top w:val="nil"/>
              <w:left w:val="nil"/>
              <w:bottom w:val="single" w:sz="4" w:space="0" w:color="auto"/>
              <w:right w:val="single" w:sz="4" w:space="0" w:color="auto"/>
            </w:tcBorders>
            <w:vAlign w:val="bottom"/>
            <w:hideMark/>
          </w:tcPr>
          <w:p w14:paraId="0A994F0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$64,967</w:t>
            </w:r>
          </w:p>
        </w:tc>
        <w:tc>
          <w:tcPr>
            <w:tcW w:w="1170" w:type="dxa"/>
            <w:tcBorders>
              <w:top w:val="nil"/>
              <w:left w:val="nil"/>
              <w:bottom w:val="single" w:sz="4" w:space="0" w:color="auto"/>
              <w:right w:val="single" w:sz="4" w:space="0" w:color="auto"/>
            </w:tcBorders>
            <w:vAlign w:val="bottom"/>
            <w:hideMark/>
          </w:tcPr>
          <w:p w14:paraId="36789ED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$7,796</w:t>
            </w:r>
          </w:p>
        </w:tc>
        <w:tc>
          <w:tcPr>
            <w:tcW w:w="1260" w:type="dxa"/>
            <w:tcBorders>
              <w:top w:val="nil"/>
              <w:left w:val="nil"/>
              <w:bottom w:val="single" w:sz="4" w:space="0" w:color="auto"/>
              <w:right w:val="single" w:sz="4" w:space="0" w:color="auto"/>
            </w:tcBorders>
            <w:vAlign w:val="bottom"/>
            <w:hideMark/>
          </w:tcPr>
          <w:p w14:paraId="4C71C6B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$10,694</w:t>
            </w:r>
          </w:p>
        </w:tc>
        <w:tc>
          <w:tcPr>
            <w:tcW w:w="1080" w:type="dxa"/>
            <w:tcBorders>
              <w:top w:val="nil"/>
              <w:left w:val="nil"/>
              <w:bottom w:val="single" w:sz="4" w:space="0" w:color="auto"/>
              <w:right w:val="single" w:sz="4" w:space="0" w:color="auto"/>
            </w:tcBorders>
            <w:vAlign w:val="bottom"/>
            <w:hideMark/>
          </w:tcPr>
          <w:p w14:paraId="43E2227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550247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$10,694</w:t>
            </w:r>
          </w:p>
        </w:tc>
        <w:tc>
          <w:tcPr>
            <w:tcW w:w="1170" w:type="dxa"/>
            <w:tcBorders>
              <w:top w:val="nil"/>
              <w:left w:val="nil"/>
              <w:bottom w:val="single" w:sz="4" w:space="0" w:color="auto"/>
              <w:right w:val="single" w:sz="4" w:space="0" w:color="auto"/>
            </w:tcBorders>
            <w:vAlign w:val="bottom"/>
            <w:hideMark/>
          </w:tcPr>
          <w:p w14:paraId="7E93B3C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137.18%</w:t>
            </w:r>
          </w:p>
        </w:tc>
        <w:tc>
          <w:tcPr>
            <w:tcW w:w="1260" w:type="dxa"/>
            <w:tcBorders>
              <w:top w:val="nil"/>
              <w:left w:val="nil"/>
              <w:bottom w:val="single" w:sz="4" w:space="0" w:color="auto"/>
              <w:right w:val="single" w:sz="4" w:space="0" w:color="auto"/>
            </w:tcBorders>
            <w:vAlign w:val="bottom"/>
            <w:hideMark/>
          </w:tcPr>
          <w:p w14:paraId="0364F59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$2,898</w:t>
            </w:r>
          </w:p>
        </w:tc>
      </w:tr>
      <w:tr w:rsidR="00433DC8" w:rsidRPr="00433DC8" w14:paraId="489D1C50"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3E81F154"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1A1402E7"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OSD</w:t>
            </w:r>
          </w:p>
        </w:tc>
        <w:tc>
          <w:tcPr>
            <w:tcW w:w="4050" w:type="dxa"/>
            <w:tcBorders>
              <w:top w:val="nil"/>
              <w:left w:val="nil"/>
              <w:bottom w:val="single" w:sz="4" w:space="0" w:color="auto"/>
              <w:right w:val="single" w:sz="4" w:space="0" w:color="auto"/>
            </w:tcBorders>
            <w:vAlign w:val="bottom"/>
            <w:hideMark/>
          </w:tcPr>
          <w:p w14:paraId="0CC0142A"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DIVISION OF OPERATIONAL SERVICES</w:t>
            </w:r>
          </w:p>
        </w:tc>
        <w:tc>
          <w:tcPr>
            <w:tcW w:w="1260" w:type="dxa"/>
            <w:tcBorders>
              <w:top w:val="nil"/>
              <w:left w:val="nil"/>
              <w:bottom w:val="single" w:sz="4" w:space="0" w:color="auto"/>
              <w:right w:val="single" w:sz="4" w:space="0" w:color="auto"/>
            </w:tcBorders>
            <w:vAlign w:val="bottom"/>
            <w:hideMark/>
          </w:tcPr>
          <w:p w14:paraId="3FD2443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$404,058</w:t>
            </w:r>
          </w:p>
        </w:tc>
        <w:tc>
          <w:tcPr>
            <w:tcW w:w="1170" w:type="dxa"/>
            <w:tcBorders>
              <w:top w:val="nil"/>
              <w:left w:val="nil"/>
              <w:bottom w:val="single" w:sz="4" w:space="0" w:color="auto"/>
              <w:right w:val="single" w:sz="4" w:space="0" w:color="auto"/>
            </w:tcBorders>
            <w:vAlign w:val="bottom"/>
            <w:hideMark/>
          </w:tcPr>
          <w:p w14:paraId="0090756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$48,487</w:t>
            </w:r>
          </w:p>
        </w:tc>
        <w:tc>
          <w:tcPr>
            <w:tcW w:w="1260" w:type="dxa"/>
            <w:tcBorders>
              <w:top w:val="nil"/>
              <w:left w:val="nil"/>
              <w:bottom w:val="single" w:sz="4" w:space="0" w:color="auto"/>
              <w:right w:val="single" w:sz="4" w:space="0" w:color="auto"/>
            </w:tcBorders>
            <w:vAlign w:val="bottom"/>
            <w:hideMark/>
          </w:tcPr>
          <w:p w14:paraId="40F4044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$214,864</w:t>
            </w:r>
          </w:p>
        </w:tc>
        <w:tc>
          <w:tcPr>
            <w:tcW w:w="1080" w:type="dxa"/>
            <w:tcBorders>
              <w:top w:val="nil"/>
              <w:left w:val="nil"/>
              <w:bottom w:val="single" w:sz="4" w:space="0" w:color="auto"/>
              <w:right w:val="single" w:sz="4" w:space="0" w:color="auto"/>
            </w:tcBorders>
            <w:vAlign w:val="bottom"/>
            <w:hideMark/>
          </w:tcPr>
          <w:p w14:paraId="6C55AD5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2DE74D0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$214,864</w:t>
            </w:r>
          </w:p>
        </w:tc>
        <w:tc>
          <w:tcPr>
            <w:tcW w:w="1170" w:type="dxa"/>
            <w:tcBorders>
              <w:top w:val="nil"/>
              <w:left w:val="nil"/>
              <w:bottom w:val="single" w:sz="4" w:space="0" w:color="auto"/>
              <w:right w:val="single" w:sz="4" w:space="0" w:color="auto"/>
            </w:tcBorders>
            <w:vAlign w:val="bottom"/>
            <w:hideMark/>
          </w:tcPr>
          <w:p w14:paraId="1D82D36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443.14%</w:t>
            </w:r>
          </w:p>
        </w:tc>
        <w:tc>
          <w:tcPr>
            <w:tcW w:w="1260" w:type="dxa"/>
            <w:tcBorders>
              <w:top w:val="nil"/>
              <w:left w:val="nil"/>
              <w:bottom w:val="single" w:sz="4" w:space="0" w:color="auto"/>
              <w:right w:val="single" w:sz="4" w:space="0" w:color="auto"/>
            </w:tcBorders>
            <w:vAlign w:val="bottom"/>
            <w:hideMark/>
          </w:tcPr>
          <w:p w14:paraId="3EF498F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$166,377</w:t>
            </w:r>
          </w:p>
        </w:tc>
      </w:tr>
      <w:tr w:rsidR="00433DC8" w:rsidRPr="00433DC8" w14:paraId="26D8BE02"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4E540812"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08C680AC"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PER</w:t>
            </w:r>
          </w:p>
        </w:tc>
        <w:tc>
          <w:tcPr>
            <w:tcW w:w="4050" w:type="dxa"/>
            <w:tcBorders>
              <w:top w:val="nil"/>
              <w:left w:val="nil"/>
              <w:bottom w:val="single" w:sz="4" w:space="0" w:color="auto"/>
              <w:right w:val="single" w:sz="4" w:space="0" w:color="auto"/>
            </w:tcBorders>
            <w:vAlign w:val="bottom"/>
            <w:hideMark/>
          </w:tcPr>
          <w:p w14:paraId="4242E9B3"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PUBLIC EMPLOYEE RETIREMENT ADMINISTRATION</w:t>
            </w:r>
          </w:p>
        </w:tc>
        <w:tc>
          <w:tcPr>
            <w:tcW w:w="1260" w:type="dxa"/>
            <w:tcBorders>
              <w:top w:val="nil"/>
              <w:left w:val="nil"/>
              <w:bottom w:val="single" w:sz="4" w:space="0" w:color="auto"/>
              <w:right w:val="single" w:sz="4" w:space="0" w:color="auto"/>
            </w:tcBorders>
            <w:vAlign w:val="bottom"/>
            <w:hideMark/>
          </w:tcPr>
          <w:p w14:paraId="1C0C601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$500,835</w:t>
            </w:r>
          </w:p>
        </w:tc>
        <w:tc>
          <w:tcPr>
            <w:tcW w:w="1170" w:type="dxa"/>
            <w:tcBorders>
              <w:top w:val="nil"/>
              <w:left w:val="nil"/>
              <w:bottom w:val="single" w:sz="4" w:space="0" w:color="auto"/>
              <w:right w:val="single" w:sz="4" w:space="0" w:color="auto"/>
            </w:tcBorders>
            <w:vAlign w:val="bottom"/>
            <w:hideMark/>
          </w:tcPr>
          <w:p w14:paraId="21CFAAC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$60,100</w:t>
            </w:r>
          </w:p>
        </w:tc>
        <w:tc>
          <w:tcPr>
            <w:tcW w:w="1260" w:type="dxa"/>
            <w:tcBorders>
              <w:top w:val="nil"/>
              <w:left w:val="nil"/>
              <w:bottom w:val="single" w:sz="4" w:space="0" w:color="auto"/>
              <w:right w:val="single" w:sz="4" w:space="0" w:color="auto"/>
            </w:tcBorders>
            <w:vAlign w:val="bottom"/>
            <w:hideMark/>
          </w:tcPr>
          <w:p w14:paraId="36D6516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$377,765</w:t>
            </w:r>
          </w:p>
        </w:tc>
        <w:tc>
          <w:tcPr>
            <w:tcW w:w="1080" w:type="dxa"/>
            <w:tcBorders>
              <w:top w:val="nil"/>
              <w:left w:val="nil"/>
              <w:bottom w:val="single" w:sz="4" w:space="0" w:color="auto"/>
              <w:right w:val="single" w:sz="4" w:space="0" w:color="auto"/>
            </w:tcBorders>
            <w:vAlign w:val="bottom"/>
            <w:hideMark/>
          </w:tcPr>
          <w:p w14:paraId="56FDCB7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61734F0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$377,765</w:t>
            </w:r>
          </w:p>
        </w:tc>
        <w:tc>
          <w:tcPr>
            <w:tcW w:w="1170" w:type="dxa"/>
            <w:tcBorders>
              <w:top w:val="nil"/>
              <w:left w:val="nil"/>
              <w:bottom w:val="single" w:sz="4" w:space="0" w:color="auto"/>
              <w:right w:val="single" w:sz="4" w:space="0" w:color="auto"/>
            </w:tcBorders>
            <w:vAlign w:val="bottom"/>
            <w:hideMark/>
          </w:tcPr>
          <w:p w14:paraId="1FAC6FC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628.56%</w:t>
            </w:r>
          </w:p>
        </w:tc>
        <w:tc>
          <w:tcPr>
            <w:tcW w:w="1260" w:type="dxa"/>
            <w:tcBorders>
              <w:top w:val="nil"/>
              <w:left w:val="nil"/>
              <w:bottom w:val="single" w:sz="4" w:space="0" w:color="auto"/>
              <w:right w:val="single" w:sz="4" w:space="0" w:color="auto"/>
            </w:tcBorders>
            <w:vAlign w:val="bottom"/>
            <w:hideMark/>
          </w:tcPr>
          <w:p w14:paraId="3548044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$317,665</w:t>
            </w:r>
          </w:p>
        </w:tc>
      </w:tr>
      <w:tr w:rsidR="00433DC8" w:rsidRPr="00433DC8" w14:paraId="048A4D63" w14:textId="77777777" w:rsidTr="009050D8">
        <w:trPr>
          <w:trHeight w:val="170"/>
        </w:trPr>
        <w:tc>
          <w:tcPr>
            <w:tcW w:w="630" w:type="dxa"/>
            <w:tcBorders>
              <w:top w:val="nil"/>
              <w:left w:val="single" w:sz="4" w:space="0" w:color="auto"/>
              <w:bottom w:val="nil"/>
              <w:right w:val="single" w:sz="4" w:space="0" w:color="auto"/>
            </w:tcBorders>
            <w:vAlign w:val="bottom"/>
            <w:hideMark/>
          </w:tcPr>
          <w:p w14:paraId="63FE1EA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ANF</w:t>
            </w:r>
          </w:p>
        </w:tc>
        <w:tc>
          <w:tcPr>
            <w:tcW w:w="630" w:type="dxa"/>
            <w:tcBorders>
              <w:top w:val="nil"/>
              <w:left w:val="nil"/>
              <w:bottom w:val="nil"/>
              <w:right w:val="single" w:sz="4" w:space="0" w:color="auto"/>
            </w:tcBorders>
            <w:vAlign w:val="bottom"/>
            <w:hideMark/>
          </w:tcPr>
          <w:p w14:paraId="26E9E067"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TRB</w:t>
            </w:r>
          </w:p>
        </w:tc>
        <w:tc>
          <w:tcPr>
            <w:tcW w:w="4050" w:type="dxa"/>
            <w:tcBorders>
              <w:top w:val="nil"/>
              <w:left w:val="nil"/>
              <w:bottom w:val="nil"/>
              <w:right w:val="single" w:sz="4" w:space="0" w:color="auto"/>
            </w:tcBorders>
            <w:vAlign w:val="bottom"/>
            <w:hideMark/>
          </w:tcPr>
          <w:p w14:paraId="7552A80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TEACHERS RETIREMENT BOARD</w:t>
            </w:r>
          </w:p>
        </w:tc>
        <w:tc>
          <w:tcPr>
            <w:tcW w:w="1260" w:type="dxa"/>
            <w:tcBorders>
              <w:top w:val="nil"/>
              <w:left w:val="nil"/>
              <w:bottom w:val="nil"/>
              <w:right w:val="single" w:sz="4" w:space="0" w:color="auto"/>
            </w:tcBorders>
            <w:vAlign w:val="bottom"/>
            <w:hideMark/>
          </w:tcPr>
          <w:p w14:paraId="7F061CB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$2,781,597</w:t>
            </w:r>
          </w:p>
        </w:tc>
        <w:tc>
          <w:tcPr>
            <w:tcW w:w="1170" w:type="dxa"/>
            <w:tcBorders>
              <w:top w:val="nil"/>
              <w:left w:val="nil"/>
              <w:bottom w:val="nil"/>
              <w:right w:val="single" w:sz="4" w:space="0" w:color="auto"/>
            </w:tcBorders>
            <w:vAlign w:val="bottom"/>
            <w:hideMark/>
          </w:tcPr>
          <w:p w14:paraId="28888D9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$333,792</w:t>
            </w:r>
          </w:p>
        </w:tc>
        <w:tc>
          <w:tcPr>
            <w:tcW w:w="1260" w:type="dxa"/>
            <w:tcBorders>
              <w:top w:val="nil"/>
              <w:left w:val="nil"/>
              <w:bottom w:val="nil"/>
              <w:right w:val="single" w:sz="4" w:space="0" w:color="auto"/>
            </w:tcBorders>
            <w:vAlign w:val="bottom"/>
            <w:hideMark/>
          </w:tcPr>
          <w:p w14:paraId="19ACD67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$383,846</w:t>
            </w:r>
          </w:p>
        </w:tc>
        <w:tc>
          <w:tcPr>
            <w:tcW w:w="1080" w:type="dxa"/>
            <w:tcBorders>
              <w:top w:val="nil"/>
              <w:left w:val="nil"/>
              <w:bottom w:val="nil"/>
              <w:right w:val="single" w:sz="4" w:space="0" w:color="auto"/>
            </w:tcBorders>
            <w:vAlign w:val="bottom"/>
            <w:hideMark/>
          </w:tcPr>
          <w:p w14:paraId="16AC495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6A85FAE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$383,846</w:t>
            </w:r>
          </w:p>
        </w:tc>
        <w:tc>
          <w:tcPr>
            <w:tcW w:w="1170" w:type="dxa"/>
            <w:tcBorders>
              <w:top w:val="nil"/>
              <w:left w:val="nil"/>
              <w:bottom w:val="nil"/>
              <w:right w:val="single" w:sz="4" w:space="0" w:color="auto"/>
            </w:tcBorders>
            <w:vAlign w:val="bottom"/>
            <w:hideMark/>
          </w:tcPr>
          <w:p w14:paraId="30F72C2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115.00%</w:t>
            </w:r>
          </w:p>
        </w:tc>
        <w:tc>
          <w:tcPr>
            <w:tcW w:w="1260" w:type="dxa"/>
            <w:tcBorders>
              <w:top w:val="nil"/>
              <w:left w:val="nil"/>
              <w:bottom w:val="nil"/>
              <w:right w:val="single" w:sz="4" w:space="0" w:color="auto"/>
            </w:tcBorders>
            <w:vAlign w:val="bottom"/>
            <w:hideMark/>
          </w:tcPr>
          <w:p w14:paraId="1565FC3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$50,055</w:t>
            </w:r>
          </w:p>
        </w:tc>
      </w:tr>
      <w:tr w:rsidR="00433DC8" w:rsidRPr="00433DC8" w14:paraId="515F18AD" w14:textId="77777777" w:rsidTr="009050D8">
        <w:trPr>
          <w:trHeight w:val="151"/>
        </w:trPr>
        <w:tc>
          <w:tcPr>
            <w:tcW w:w="5310" w:type="dxa"/>
            <w:gridSpan w:val="3"/>
            <w:tcBorders>
              <w:top w:val="single" w:sz="8" w:space="0" w:color="auto"/>
              <w:left w:val="single" w:sz="8" w:space="0" w:color="auto"/>
              <w:bottom w:val="single" w:sz="8" w:space="0" w:color="auto"/>
              <w:right w:val="single" w:sz="4" w:space="0" w:color="auto"/>
            </w:tcBorders>
            <w:shd w:val="clear" w:color="000000" w:fill="C5D9F1"/>
            <w:vAlign w:val="bottom"/>
            <w:hideMark/>
          </w:tcPr>
          <w:p w14:paraId="48C77C4C" w14:textId="77777777" w:rsidR="00433DC8" w:rsidRPr="00E67D16" w:rsidRDefault="00433DC8" w:rsidP="00433DC8">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27F84554"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$103,656,895</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7A88798F"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$12,438,827</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60AC5F2E"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$13,145,975</w:t>
            </w:r>
          </w:p>
        </w:tc>
        <w:tc>
          <w:tcPr>
            <w:tcW w:w="1080" w:type="dxa"/>
            <w:tcBorders>
              <w:top w:val="single" w:sz="8" w:space="0" w:color="auto"/>
              <w:left w:val="nil"/>
              <w:bottom w:val="single" w:sz="8" w:space="0" w:color="auto"/>
              <w:right w:val="single" w:sz="4" w:space="0" w:color="auto"/>
            </w:tcBorders>
            <w:shd w:val="clear" w:color="000000" w:fill="C5D9F1"/>
            <w:vAlign w:val="bottom"/>
            <w:hideMark/>
          </w:tcPr>
          <w:p w14:paraId="4FCC47D8"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$661,905</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6AED0507"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$13,807,880</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21E6DC66"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111.01%</w:t>
            </w:r>
          </w:p>
        </w:tc>
        <w:tc>
          <w:tcPr>
            <w:tcW w:w="1260" w:type="dxa"/>
            <w:tcBorders>
              <w:top w:val="single" w:sz="8" w:space="0" w:color="auto"/>
              <w:left w:val="nil"/>
              <w:bottom w:val="single" w:sz="8" w:space="0" w:color="auto"/>
              <w:right w:val="single" w:sz="8" w:space="0" w:color="auto"/>
            </w:tcBorders>
            <w:shd w:val="clear" w:color="000000" w:fill="C5D9F1"/>
            <w:vAlign w:val="bottom"/>
            <w:hideMark/>
          </w:tcPr>
          <w:p w14:paraId="30A1FC76"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$1,369,052</w:t>
            </w:r>
          </w:p>
        </w:tc>
      </w:tr>
      <w:tr w:rsidR="00433DC8" w:rsidRPr="00433DC8" w14:paraId="1D32E634" w14:textId="77777777" w:rsidTr="009050D8">
        <w:trPr>
          <w:trHeight w:val="169"/>
        </w:trPr>
        <w:tc>
          <w:tcPr>
            <w:tcW w:w="630" w:type="dxa"/>
            <w:tcBorders>
              <w:top w:val="nil"/>
              <w:left w:val="single" w:sz="4" w:space="0" w:color="auto"/>
              <w:bottom w:val="nil"/>
              <w:right w:val="single" w:sz="4" w:space="0" w:color="auto"/>
            </w:tcBorders>
            <w:vAlign w:val="bottom"/>
            <w:hideMark/>
          </w:tcPr>
          <w:p w14:paraId="48428E92"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lastRenderedPageBreak/>
              <w:t>CAD</w:t>
            </w:r>
          </w:p>
        </w:tc>
        <w:tc>
          <w:tcPr>
            <w:tcW w:w="630" w:type="dxa"/>
            <w:tcBorders>
              <w:top w:val="nil"/>
              <w:left w:val="nil"/>
              <w:bottom w:val="nil"/>
              <w:right w:val="single" w:sz="4" w:space="0" w:color="auto"/>
            </w:tcBorders>
            <w:vAlign w:val="bottom"/>
            <w:hideMark/>
          </w:tcPr>
          <w:p w14:paraId="3C645C3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CAD</w:t>
            </w:r>
          </w:p>
        </w:tc>
        <w:tc>
          <w:tcPr>
            <w:tcW w:w="4050" w:type="dxa"/>
            <w:tcBorders>
              <w:top w:val="nil"/>
              <w:left w:val="nil"/>
              <w:bottom w:val="nil"/>
              <w:right w:val="single" w:sz="4" w:space="0" w:color="auto"/>
            </w:tcBorders>
            <w:vAlign w:val="bottom"/>
            <w:hideMark/>
          </w:tcPr>
          <w:p w14:paraId="7131A5E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COMMISSION AGAINST DISCRIMINATION</w:t>
            </w:r>
          </w:p>
        </w:tc>
        <w:tc>
          <w:tcPr>
            <w:tcW w:w="1260" w:type="dxa"/>
            <w:tcBorders>
              <w:top w:val="nil"/>
              <w:left w:val="nil"/>
              <w:bottom w:val="nil"/>
              <w:right w:val="single" w:sz="4" w:space="0" w:color="auto"/>
            </w:tcBorders>
            <w:vAlign w:val="bottom"/>
            <w:hideMark/>
          </w:tcPr>
          <w:p w14:paraId="18B5A00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$227,692</w:t>
            </w:r>
          </w:p>
        </w:tc>
        <w:tc>
          <w:tcPr>
            <w:tcW w:w="1170" w:type="dxa"/>
            <w:tcBorders>
              <w:top w:val="nil"/>
              <w:left w:val="nil"/>
              <w:bottom w:val="nil"/>
              <w:right w:val="single" w:sz="4" w:space="0" w:color="auto"/>
            </w:tcBorders>
            <w:vAlign w:val="bottom"/>
            <w:hideMark/>
          </w:tcPr>
          <w:p w14:paraId="0AC8E69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$27,323</w:t>
            </w:r>
          </w:p>
        </w:tc>
        <w:tc>
          <w:tcPr>
            <w:tcW w:w="1260" w:type="dxa"/>
            <w:tcBorders>
              <w:top w:val="nil"/>
              <w:left w:val="nil"/>
              <w:bottom w:val="nil"/>
              <w:right w:val="single" w:sz="4" w:space="0" w:color="auto"/>
            </w:tcBorders>
            <w:vAlign w:val="bottom"/>
            <w:hideMark/>
          </w:tcPr>
          <w:p w14:paraId="5843E61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$83,572</w:t>
            </w:r>
          </w:p>
        </w:tc>
        <w:tc>
          <w:tcPr>
            <w:tcW w:w="1080" w:type="dxa"/>
            <w:tcBorders>
              <w:top w:val="nil"/>
              <w:left w:val="nil"/>
              <w:bottom w:val="nil"/>
              <w:right w:val="single" w:sz="4" w:space="0" w:color="auto"/>
            </w:tcBorders>
            <w:vAlign w:val="bottom"/>
            <w:hideMark/>
          </w:tcPr>
          <w:p w14:paraId="3FDF882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7D78158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$83,572</w:t>
            </w:r>
          </w:p>
        </w:tc>
        <w:tc>
          <w:tcPr>
            <w:tcW w:w="1170" w:type="dxa"/>
            <w:tcBorders>
              <w:top w:val="nil"/>
              <w:left w:val="nil"/>
              <w:bottom w:val="nil"/>
              <w:right w:val="single" w:sz="4" w:space="0" w:color="auto"/>
            </w:tcBorders>
            <w:vAlign w:val="bottom"/>
            <w:hideMark/>
          </w:tcPr>
          <w:p w14:paraId="02DF3E4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305.86%</w:t>
            </w:r>
          </w:p>
        </w:tc>
        <w:tc>
          <w:tcPr>
            <w:tcW w:w="1260" w:type="dxa"/>
            <w:tcBorders>
              <w:top w:val="nil"/>
              <w:left w:val="nil"/>
              <w:bottom w:val="nil"/>
              <w:right w:val="single" w:sz="4" w:space="0" w:color="auto"/>
            </w:tcBorders>
            <w:vAlign w:val="bottom"/>
            <w:hideMark/>
          </w:tcPr>
          <w:p w14:paraId="4964057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$56,249</w:t>
            </w:r>
          </w:p>
        </w:tc>
      </w:tr>
      <w:tr w:rsidR="00433DC8" w:rsidRPr="00433DC8" w14:paraId="1EC0CD76" w14:textId="77777777" w:rsidTr="009050D8">
        <w:trPr>
          <w:trHeight w:val="142"/>
        </w:trPr>
        <w:tc>
          <w:tcPr>
            <w:tcW w:w="5310" w:type="dxa"/>
            <w:gridSpan w:val="3"/>
            <w:tcBorders>
              <w:top w:val="single" w:sz="8" w:space="0" w:color="auto"/>
              <w:left w:val="single" w:sz="8" w:space="0" w:color="auto"/>
              <w:bottom w:val="single" w:sz="8" w:space="0" w:color="auto"/>
              <w:right w:val="single" w:sz="4" w:space="0" w:color="auto"/>
            </w:tcBorders>
            <w:shd w:val="clear" w:color="000000" w:fill="C5D9F1"/>
            <w:vAlign w:val="bottom"/>
            <w:hideMark/>
          </w:tcPr>
          <w:p w14:paraId="44B60AF1" w14:textId="77777777" w:rsidR="00433DC8" w:rsidRPr="00E67D16" w:rsidRDefault="00433DC8" w:rsidP="00433DC8">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16CEA648"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$227,692</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10CDCCC2"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$27,323</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4234F595"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$83,572</w:t>
            </w:r>
          </w:p>
        </w:tc>
        <w:tc>
          <w:tcPr>
            <w:tcW w:w="1080" w:type="dxa"/>
            <w:tcBorders>
              <w:top w:val="single" w:sz="8" w:space="0" w:color="auto"/>
              <w:left w:val="nil"/>
              <w:bottom w:val="single" w:sz="8" w:space="0" w:color="auto"/>
              <w:right w:val="single" w:sz="4" w:space="0" w:color="auto"/>
            </w:tcBorders>
            <w:shd w:val="clear" w:color="000000" w:fill="C5D9F1"/>
            <w:vAlign w:val="bottom"/>
            <w:hideMark/>
          </w:tcPr>
          <w:p w14:paraId="04BE3D6F"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114778CF"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$83,572</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7DF25A7D"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305.86%</w:t>
            </w:r>
          </w:p>
        </w:tc>
        <w:tc>
          <w:tcPr>
            <w:tcW w:w="1260" w:type="dxa"/>
            <w:tcBorders>
              <w:top w:val="single" w:sz="8" w:space="0" w:color="auto"/>
              <w:left w:val="nil"/>
              <w:bottom w:val="single" w:sz="8" w:space="0" w:color="auto"/>
              <w:right w:val="single" w:sz="8" w:space="0" w:color="auto"/>
            </w:tcBorders>
            <w:shd w:val="clear" w:color="000000" w:fill="C5D9F1"/>
            <w:vAlign w:val="bottom"/>
            <w:hideMark/>
          </w:tcPr>
          <w:p w14:paraId="55865D94"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$56,249</w:t>
            </w:r>
          </w:p>
        </w:tc>
      </w:tr>
      <w:tr w:rsidR="00433DC8" w:rsidRPr="00433DC8" w14:paraId="4536F36E" w14:textId="77777777" w:rsidTr="009050D8">
        <w:trPr>
          <w:trHeight w:val="160"/>
        </w:trPr>
        <w:tc>
          <w:tcPr>
            <w:tcW w:w="630" w:type="dxa"/>
            <w:tcBorders>
              <w:top w:val="nil"/>
              <w:left w:val="single" w:sz="4" w:space="0" w:color="auto"/>
              <w:bottom w:val="nil"/>
              <w:right w:val="single" w:sz="4" w:space="0" w:color="auto"/>
            </w:tcBorders>
            <w:vAlign w:val="bottom"/>
            <w:hideMark/>
          </w:tcPr>
          <w:p w14:paraId="6596E169"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CHIA</w:t>
            </w:r>
          </w:p>
        </w:tc>
        <w:tc>
          <w:tcPr>
            <w:tcW w:w="630" w:type="dxa"/>
            <w:tcBorders>
              <w:top w:val="nil"/>
              <w:left w:val="nil"/>
              <w:bottom w:val="nil"/>
              <w:right w:val="single" w:sz="4" w:space="0" w:color="auto"/>
            </w:tcBorders>
            <w:vAlign w:val="bottom"/>
            <w:hideMark/>
          </w:tcPr>
          <w:p w14:paraId="6852662A"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HCF</w:t>
            </w:r>
          </w:p>
        </w:tc>
        <w:tc>
          <w:tcPr>
            <w:tcW w:w="4050" w:type="dxa"/>
            <w:tcBorders>
              <w:top w:val="nil"/>
              <w:left w:val="nil"/>
              <w:bottom w:val="nil"/>
              <w:right w:val="single" w:sz="4" w:space="0" w:color="auto"/>
            </w:tcBorders>
            <w:vAlign w:val="bottom"/>
            <w:hideMark/>
          </w:tcPr>
          <w:p w14:paraId="3C263E1D"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CENTER FOR HEALTH INFORMATION &amp; ANALYSIS</w:t>
            </w:r>
          </w:p>
        </w:tc>
        <w:tc>
          <w:tcPr>
            <w:tcW w:w="1260" w:type="dxa"/>
            <w:tcBorders>
              <w:top w:val="nil"/>
              <w:left w:val="nil"/>
              <w:bottom w:val="nil"/>
              <w:right w:val="single" w:sz="4" w:space="0" w:color="auto"/>
            </w:tcBorders>
            <w:vAlign w:val="bottom"/>
            <w:hideMark/>
          </w:tcPr>
          <w:p w14:paraId="2229A4B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$14,256,492</w:t>
            </w:r>
          </w:p>
        </w:tc>
        <w:tc>
          <w:tcPr>
            <w:tcW w:w="1170" w:type="dxa"/>
            <w:tcBorders>
              <w:top w:val="nil"/>
              <w:left w:val="nil"/>
              <w:bottom w:val="nil"/>
              <w:right w:val="single" w:sz="4" w:space="0" w:color="auto"/>
            </w:tcBorders>
            <w:vAlign w:val="bottom"/>
            <w:hideMark/>
          </w:tcPr>
          <w:p w14:paraId="32A1EE6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$1,710,779</w:t>
            </w:r>
          </w:p>
        </w:tc>
        <w:tc>
          <w:tcPr>
            <w:tcW w:w="1260" w:type="dxa"/>
            <w:tcBorders>
              <w:top w:val="nil"/>
              <w:left w:val="nil"/>
              <w:bottom w:val="nil"/>
              <w:right w:val="single" w:sz="4" w:space="0" w:color="auto"/>
            </w:tcBorders>
            <w:vAlign w:val="bottom"/>
            <w:hideMark/>
          </w:tcPr>
          <w:p w14:paraId="0944D0E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$1,016,449</w:t>
            </w:r>
          </w:p>
        </w:tc>
        <w:tc>
          <w:tcPr>
            <w:tcW w:w="1080" w:type="dxa"/>
            <w:tcBorders>
              <w:top w:val="nil"/>
              <w:left w:val="nil"/>
              <w:bottom w:val="nil"/>
              <w:right w:val="single" w:sz="4" w:space="0" w:color="auto"/>
            </w:tcBorders>
            <w:vAlign w:val="bottom"/>
            <w:hideMark/>
          </w:tcPr>
          <w:p w14:paraId="300EC05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40F60A6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$1,016,449</w:t>
            </w:r>
          </w:p>
        </w:tc>
        <w:tc>
          <w:tcPr>
            <w:tcW w:w="1170" w:type="dxa"/>
            <w:tcBorders>
              <w:top w:val="nil"/>
              <w:left w:val="nil"/>
              <w:bottom w:val="nil"/>
              <w:right w:val="single" w:sz="4" w:space="0" w:color="auto"/>
            </w:tcBorders>
            <w:vAlign w:val="bottom"/>
            <w:hideMark/>
          </w:tcPr>
          <w:p w14:paraId="39F9AC6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59.41%</w:t>
            </w:r>
          </w:p>
        </w:tc>
        <w:tc>
          <w:tcPr>
            <w:tcW w:w="1260" w:type="dxa"/>
            <w:tcBorders>
              <w:top w:val="nil"/>
              <w:left w:val="nil"/>
              <w:bottom w:val="nil"/>
              <w:right w:val="single" w:sz="4" w:space="0" w:color="auto"/>
            </w:tcBorders>
            <w:vAlign w:val="bottom"/>
            <w:hideMark/>
          </w:tcPr>
          <w:p w14:paraId="3A57612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-$694,330</w:t>
            </w:r>
          </w:p>
        </w:tc>
      </w:tr>
      <w:tr w:rsidR="00433DC8" w:rsidRPr="00433DC8" w14:paraId="4D9B765A" w14:textId="77777777" w:rsidTr="009050D8">
        <w:trPr>
          <w:trHeight w:val="169"/>
        </w:trPr>
        <w:tc>
          <w:tcPr>
            <w:tcW w:w="5310" w:type="dxa"/>
            <w:gridSpan w:val="3"/>
            <w:tcBorders>
              <w:top w:val="single" w:sz="8" w:space="0" w:color="auto"/>
              <w:left w:val="single" w:sz="8" w:space="0" w:color="auto"/>
              <w:bottom w:val="single" w:sz="8" w:space="0" w:color="auto"/>
              <w:right w:val="single" w:sz="4" w:space="0" w:color="auto"/>
            </w:tcBorders>
            <w:shd w:val="clear" w:color="000000" w:fill="C5D9F1"/>
            <w:vAlign w:val="bottom"/>
            <w:hideMark/>
          </w:tcPr>
          <w:p w14:paraId="682589C4" w14:textId="77777777" w:rsidR="00433DC8" w:rsidRPr="00E67D16" w:rsidRDefault="00433DC8" w:rsidP="00433DC8">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032316FF"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$14,256,492</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7435F299"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$1,710,779</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54A8E01A"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$1,016,449</w:t>
            </w:r>
          </w:p>
        </w:tc>
        <w:tc>
          <w:tcPr>
            <w:tcW w:w="1080" w:type="dxa"/>
            <w:tcBorders>
              <w:top w:val="single" w:sz="8" w:space="0" w:color="auto"/>
              <w:left w:val="nil"/>
              <w:bottom w:val="single" w:sz="8" w:space="0" w:color="auto"/>
              <w:right w:val="single" w:sz="4" w:space="0" w:color="auto"/>
            </w:tcBorders>
            <w:shd w:val="clear" w:color="000000" w:fill="C5D9F1"/>
            <w:vAlign w:val="bottom"/>
            <w:hideMark/>
          </w:tcPr>
          <w:p w14:paraId="6DAA3469"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35A9A0B9"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$1,016,449</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4787A75B"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59.41%</w:t>
            </w:r>
          </w:p>
        </w:tc>
        <w:tc>
          <w:tcPr>
            <w:tcW w:w="1260" w:type="dxa"/>
            <w:tcBorders>
              <w:top w:val="single" w:sz="8" w:space="0" w:color="auto"/>
              <w:left w:val="nil"/>
              <w:bottom w:val="single" w:sz="8" w:space="0" w:color="auto"/>
              <w:right w:val="single" w:sz="8" w:space="0" w:color="auto"/>
            </w:tcBorders>
            <w:shd w:val="clear" w:color="000000" w:fill="C5D9F1"/>
            <w:vAlign w:val="bottom"/>
            <w:hideMark/>
          </w:tcPr>
          <w:p w14:paraId="3A2C3935"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-$694,330</w:t>
            </w:r>
          </w:p>
        </w:tc>
      </w:tr>
      <w:tr w:rsidR="00433DC8" w:rsidRPr="00433DC8" w14:paraId="6FE75477" w14:textId="77777777" w:rsidTr="009050D8">
        <w:trPr>
          <w:trHeight w:val="160"/>
        </w:trPr>
        <w:tc>
          <w:tcPr>
            <w:tcW w:w="630" w:type="dxa"/>
            <w:tcBorders>
              <w:top w:val="nil"/>
              <w:left w:val="single" w:sz="4" w:space="0" w:color="auto"/>
              <w:bottom w:val="nil"/>
              <w:right w:val="single" w:sz="4" w:space="0" w:color="auto"/>
            </w:tcBorders>
            <w:vAlign w:val="bottom"/>
            <w:hideMark/>
          </w:tcPr>
          <w:p w14:paraId="60183B34"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DAC</w:t>
            </w:r>
          </w:p>
        </w:tc>
        <w:tc>
          <w:tcPr>
            <w:tcW w:w="630" w:type="dxa"/>
            <w:tcBorders>
              <w:top w:val="nil"/>
              <w:left w:val="nil"/>
              <w:bottom w:val="nil"/>
              <w:right w:val="single" w:sz="4" w:space="0" w:color="auto"/>
            </w:tcBorders>
            <w:vAlign w:val="bottom"/>
            <w:hideMark/>
          </w:tcPr>
          <w:p w14:paraId="1CA411EF"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DAC</w:t>
            </w:r>
          </w:p>
        </w:tc>
        <w:tc>
          <w:tcPr>
            <w:tcW w:w="4050" w:type="dxa"/>
            <w:tcBorders>
              <w:top w:val="nil"/>
              <w:left w:val="nil"/>
              <w:bottom w:val="nil"/>
              <w:right w:val="single" w:sz="4" w:space="0" w:color="auto"/>
            </w:tcBorders>
            <w:vAlign w:val="bottom"/>
            <w:hideMark/>
          </w:tcPr>
          <w:p w14:paraId="5D50C1B5"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DISABLED PERSONS PROTECTION COMMISSION</w:t>
            </w:r>
          </w:p>
        </w:tc>
        <w:tc>
          <w:tcPr>
            <w:tcW w:w="1260" w:type="dxa"/>
            <w:tcBorders>
              <w:top w:val="nil"/>
              <w:left w:val="nil"/>
              <w:bottom w:val="nil"/>
              <w:right w:val="single" w:sz="4" w:space="0" w:color="auto"/>
            </w:tcBorders>
            <w:vAlign w:val="bottom"/>
            <w:hideMark/>
          </w:tcPr>
          <w:p w14:paraId="7E242C5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$111,224</w:t>
            </w:r>
          </w:p>
        </w:tc>
        <w:tc>
          <w:tcPr>
            <w:tcW w:w="1170" w:type="dxa"/>
            <w:tcBorders>
              <w:top w:val="nil"/>
              <w:left w:val="nil"/>
              <w:bottom w:val="nil"/>
              <w:right w:val="single" w:sz="4" w:space="0" w:color="auto"/>
            </w:tcBorders>
            <w:vAlign w:val="bottom"/>
            <w:hideMark/>
          </w:tcPr>
          <w:p w14:paraId="4CC5316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$13,347</w:t>
            </w:r>
          </w:p>
        </w:tc>
        <w:tc>
          <w:tcPr>
            <w:tcW w:w="1260" w:type="dxa"/>
            <w:tcBorders>
              <w:top w:val="nil"/>
              <w:left w:val="nil"/>
              <w:bottom w:val="nil"/>
              <w:right w:val="single" w:sz="4" w:space="0" w:color="auto"/>
            </w:tcBorders>
            <w:vAlign w:val="bottom"/>
            <w:hideMark/>
          </w:tcPr>
          <w:p w14:paraId="4404768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$35,419</w:t>
            </w:r>
          </w:p>
        </w:tc>
        <w:tc>
          <w:tcPr>
            <w:tcW w:w="1080" w:type="dxa"/>
            <w:tcBorders>
              <w:top w:val="nil"/>
              <w:left w:val="nil"/>
              <w:bottom w:val="nil"/>
              <w:right w:val="single" w:sz="4" w:space="0" w:color="auto"/>
            </w:tcBorders>
            <w:vAlign w:val="bottom"/>
            <w:hideMark/>
          </w:tcPr>
          <w:p w14:paraId="7A43475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0215E1C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$35,419</w:t>
            </w:r>
          </w:p>
        </w:tc>
        <w:tc>
          <w:tcPr>
            <w:tcW w:w="1170" w:type="dxa"/>
            <w:tcBorders>
              <w:top w:val="nil"/>
              <w:left w:val="nil"/>
              <w:bottom w:val="nil"/>
              <w:right w:val="single" w:sz="4" w:space="0" w:color="auto"/>
            </w:tcBorders>
            <w:vAlign w:val="bottom"/>
            <w:hideMark/>
          </w:tcPr>
          <w:p w14:paraId="1C844AA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265.37%</w:t>
            </w:r>
          </w:p>
        </w:tc>
        <w:tc>
          <w:tcPr>
            <w:tcW w:w="1260" w:type="dxa"/>
            <w:tcBorders>
              <w:top w:val="nil"/>
              <w:left w:val="nil"/>
              <w:bottom w:val="nil"/>
              <w:right w:val="single" w:sz="4" w:space="0" w:color="auto"/>
            </w:tcBorders>
            <w:vAlign w:val="bottom"/>
            <w:hideMark/>
          </w:tcPr>
          <w:p w14:paraId="1A3149C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$22,072</w:t>
            </w:r>
          </w:p>
        </w:tc>
      </w:tr>
      <w:tr w:rsidR="00433DC8" w:rsidRPr="00433DC8" w14:paraId="05C34B58" w14:textId="77777777" w:rsidTr="009050D8">
        <w:trPr>
          <w:trHeight w:val="151"/>
        </w:trPr>
        <w:tc>
          <w:tcPr>
            <w:tcW w:w="5310" w:type="dxa"/>
            <w:gridSpan w:val="3"/>
            <w:tcBorders>
              <w:top w:val="single" w:sz="8" w:space="0" w:color="auto"/>
              <w:left w:val="single" w:sz="8" w:space="0" w:color="auto"/>
              <w:bottom w:val="single" w:sz="8" w:space="0" w:color="auto"/>
              <w:right w:val="single" w:sz="4" w:space="0" w:color="auto"/>
            </w:tcBorders>
            <w:shd w:val="clear" w:color="000000" w:fill="C5D9F1"/>
            <w:vAlign w:val="bottom"/>
            <w:hideMark/>
          </w:tcPr>
          <w:p w14:paraId="18A053E4" w14:textId="77777777" w:rsidR="00433DC8" w:rsidRPr="00E67D16" w:rsidRDefault="00433DC8" w:rsidP="00433DC8">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59BF12A4"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$111,224</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123AFBFE"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$13,347</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7BE1EDA7"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$35,419</w:t>
            </w:r>
          </w:p>
        </w:tc>
        <w:tc>
          <w:tcPr>
            <w:tcW w:w="1080" w:type="dxa"/>
            <w:tcBorders>
              <w:top w:val="single" w:sz="8" w:space="0" w:color="auto"/>
              <w:left w:val="nil"/>
              <w:bottom w:val="single" w:sz="8" w:space="0" w:color="auto"/>
              <w:right w:val="single" w:sz="4" w:space="0" w:color="auto"/>
            </w:tcBorders>
            <w:shd w:val="clear" w:color="000000" w:fill="C5D9F1"/>
            <w:vAlign w:val="bottom"/>
            <w:hideMark/>
          </w:tcPr>
          <w:p w14:paraId="25670A38"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7CFFC535"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$35,419</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7B3D6B4D"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265.37%</w:t>
            </w:r>
          </w:p>
        </w:tc>
        <w:tc>
          <w:tcPr>
            <w:tcW w:w="1260" w:type="dxa"/>
            <w:tcBorders>
              <w:top w:val="single" w:sz="8" w:space="0" w:color="auto"/>
              <w:left w:val="nil"/>
              <w:bottom w:val="single" w:sz="8" w:space="0" w:color="auto"/>
              <w:right w:val="single" w:sz="8" w:space="0" w:color="auto"/>
            </w:tcBorders>
            <w:shd w:val="clear" w:color="000000" w:fill="C5D9F1"/>
            <w:vAlign w:val="bottom"/>
            <w:hideMark/>
          </w:tcPr>
          <w:p w14:paraId="7E4A5C49"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$22,072</w:t>
            </w:r>
          </w:p>
        </w:tc>
      </w:tr>
      <w:tr w:rsidR="00433DC8" w:rsidRPr="00433DC8" w14:paraId="16E6B96A" w14:textId="77777777" w:rsidTr="009050D8">
        <w:trPr>
          <w:trHeight w:val="79"/>
        </w:trPr>
        <w:tc>
          <w:tcPr>
            <w:tcW w:w="630" w:type="dxa"/>
            <w:tcBorders>
              <w:top w:val="nil"/>
              <w:left w:val="single" w:sz="4" w:space="0" w:color="auto"/>
              <w:bottom w:val="nil"/>
              <w:right w:val="single" w:sz="4" w:space="0" w:color="auto"/>
            </w:tcBorders>
            <w:vAlign w:val="bottom"/>
            <w:hideMark/>
          </w:tcPr>
          <w:p w14:paraId="302E14F5"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DOT</w:t>
            </w:r>
          </w:p>
        </w:tc>
        <w:tc>
          <w:tcPr>
            <w:tcW w:w="630" w:type="dxa"/>
            <w:tcBorders>
              <w:top w:val="nil"/>
              <w:left w:val="nil"/>
              <w:bottom w:val="nil"/>
              <w:right w:val="single" w:sz="4" w:space="0" w:color="auto"/>
            </w:tcBorders>
            <w:vAlign w:val="bottom"/>
            <w:hideMark/>
          </w:tcPr>
          <w:p w14:paraId="72E6D85D"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DOT</w:t>
            </w:r>
          </w:p>
        </w:tc>
        <w:tc>
          <w:tcPr>
            <w:tcW w:w="4050" w:type="dxa"/>
            <w:tcBorders>
              <w:top w:val="nil"/>
              <w:left w:val="nil"/>
              <w:bottom w:val="nil"/>
              <w:right w:val="single" w:sz="4" w:space="0" w:color="auto"/>
            </w:tcBorders>
            <w:vAlign w:val="bottom"/>
            <w:hideMark/>
          </w:tcPr>
          <w:p w14:paraId="1D074E1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MASSACHUSETTS DEPARTMENT OF TRANSPORTATION</w:t>
            </w:r>
          </w:p>
        </w:tc>
        <w:tc>
          <w:tcPr>
            <w:tcW w:w="1260" w:type="dxa"/>
            <w:tcBorders>
              <w:top w:val="nil"/>
              <w:left w:val="nil"/>
              <w:bottom w:val="nil"/>
              <w:right w:val="single" w:sz="4" w:space="0" w:color="auto"/>
            </w:tcBorders>
            <w:vAlign w:val="bottom"/>
            <w:hideMark/>
          </w:tcPr>
          <w:p w14:paraId="3C4A936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$184,059,403</w:t>
            </w:r>
          </w:p>
        </w:tc>
        <w:tc>
          <w:tcPr>
            <w:tcW w:w="1170" w:type="dxa"/>
            <w:tcBorders>
              <w:top w:val="nil"/>
              <w:left w:val="nil"/>
              <w:bottom w:val="nil"/>
              <w:right w:val="single" w:sz="4" w:space="0" w:color="auto"/>
            </w:tcBorders>
            <w:vAlign w:val="bottom"/>
            <w:hideMark/>
          </w:tcPr>
          <w:p w14:paraId="1405BD3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$22,087,128</w:t>
            </w:r>
          </w:p>
        </w:tc>
        <w:tc>
          <w:tcPr>
            <w:tcW w:w="1260" w:type="dxa"/>
            <w:tcBorders>
              <w:top w:val="nil"/>
              <w:left w:val="nil"/>
              <w:bottom w:val="nil"/>
              <w:right w:val="single" w:sz="4" w:space="0" w:color="auto"/>
            </w:tcBorders>
            <w:vAlign w:val="bottom"/>
            <w:hideMark/>
          </w:tcPr>
          <w:p w14:paraId="3B38EF4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$36,923,960</w:t>
            </w:r>
          </w:p>
        </w:tc>
        <w:tc>
          <w:tcPr>
            <w:tcW w:w="1080" w:type="dxa"/>
            <w:tcBorders>
              <w:top w:val="nil"/>
              <w:left w:val="nil"/>
              <w:bottom w:val="nil"/>
              <w:right w:val="single" w:sz="4" w:space="0" w:color="auto"/>
            </w:tcBorders>
            <w:vAlign w:val="bottom"/>
            <w:hideMark/>
          </w:tcPr>
          <w:p w14:paraId="124039C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44F56FF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$36,923,960</w:t>
            </w:r>
          </w:p>
        </w:tc>
        <w:tc>
          <w:tcPr>
            <w:tcW w:w="1170" w:type="dxa"/>
            <w:tcBorders>
              <w:top w:val="nil"/>
              <w:left w:val="nil"/>
              <w:bottom w:val="nil"/>
              <w:right w:val="single" w:sz="4" w:space="0" w:color="auto"/>
            </w:tcBorders>
            <w:vAlign w:val="bottom"/>
            <w:hideMark/>
          </w:tcPr>
          <w:p w14:paraId="16D54D6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167.17%</w:t>
            </w:r>
          </w:p>
        </w:tc>
        <w:tc>
          <w:tcPr>
            <w:tcW w:w="1260" w:type="dxa"/>
            <w:tcBorders>
              <w:top w:val="nil"/>
              <w:left w:val="nil"/>
              <w:bottom w:val="nil"/>
              <w:right w:val="single" w:sz="4" w:space="0" w:color="auto"/>
            </w:tcBorders>
            <w:vAlign w:val="bottom"/>
            <w:hideMark/>
          </w:tcPr>
          <w:p w14:paraId="1007D0E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$14,836,831</w:t>
            </w:r>
          </w:p>
        </w:tc>
      </w:tr>
      <w:tr w:rsidR="00433DC8" w:rsidRPr="00433DC8" w14:paraId="66981999" w14:textId="77777777" w:rsidTr="009050D8">
        <w:trPr>
          <w:trHeight w:val="178"/>
        </w:trPr>
        <w:tc>
          <w:tcPr>
            <w:tcW w:w="5310" w:type="dxa"/>
            <w:gridSpan w:val="3"/>
            <w:tcBorders>
              <w:top w:val="single" w:sz="8" w:space="0" w:color="auto"/>
              <w:left w:val="single" w:sz="8" w:space="0" w:color="auto"/>
              <w:bottom w:val="single" w:sz="8" w:space="0" w:color="auto"/>
              <w:right w:val="single" w:sz="4" w:space="0" w:color="auto"/>
            </w:tcBorders>
            <w:shd w:val="clear" w:color="000000" w:fill="C5D9F1"/>
            <w:vAlign w:val="bottom"/>
            <w:hideMark/>
          </w:tcPr>
          <w:p w14:paraId="2C63DC85" w14:textId="77777777" w:rsidR="00433DC8" w:rsidRPr="00E67D16" w:rsidRDefault="00433DC8" w:rsidP="00433DC8">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0E0F98F6"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$184,059,403</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076BC327"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$22,087,128</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4C2A61F8"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$36,923,960</w:t>
            </w:r>
          </w:p>
        </w:tc>
        <w:tc>
          <w:tcPr>
            <w:tcW w:w="1080" w:type="dxa"/>
            <w:tcBorders>
              <w:top w:val="single" w:sz="8" w:space="0" w:color="auto"/>
              <w:left w:val="nil"/>
              <w:bottom w:val="single" w:sz="8" w:space="0" w:color="auto"/>
              <w:right w:val="single" w:sz="4" w:space="0" w:color="auto"/>
            </w:tcBorders>
            <w:shd w:val="clear" w:color="000000" w:fill="C5D9F1"/>
            <w:vAlign w:val="bottom"/>
            <w:hideMark/>
          </w:tcPr>
          <w:p w14:paraId="10FD46C8"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5F911868"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$36,923,960</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5C623EFF"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167.17%</w:t>
            </w:r>
          </w:p>
        </w:tc>
        <w:tc>
          <w:tcPr>
            <w:tcW w:w="1260" w:type="dxa"/>
            <w:tcBorders>
              <w:top w:val="single" w:sz="8" w:space="0" w:color="auto"/>
              <w:left w:val="nil"/>
              <w:bottom w:val="single" w:sz="8" w:space="0" w:color="auto"/>
              <w:right w:val="single" w:sz="8" w:space="0" w:color="auto"/>
            </w:tcBorders>
            <w:shd w:val="clear" w:color="000000" w:fill="C5D9F1"/>
            <w:vAlign w:val="bottom"/>
            <w:hideMark/>
          </w:tcPr>
          <w:p w14:paraId="4017A816"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$14,836,831</w:t>
            </w:r>
          </w:p>
        </w:tc>
      </w:tr>
      <w:tr w:rsidR="00433DC8" w:rsidRPr="00433DC8" w14:paraId="516CD08C" w14:textId="77777777" w:rsidTr="009050D8">
        <w:trPr>
          <w:trHeight w:val="169"/>
        </w:trPr>
        <w:tc>
          <w:tcPr>
            <w:tcW w:w="630" w:type="dxa"/>
            <w:tcBorders>
              <w:top w:val="nil"/>
              <w:left w:val="single" w:sz="4" w:space="0" w:color="auto"/>
              <w:bottom w:val="single" w:sz="4" w:space="0" w:color="auto"/>
              <w:right w:val="single" w:sz="4" w:space="0" w:color="auto"/>
            </w:tcBorders>
            <w:vAlign w:val="bottom"/>
            <w:hideMark/>
          </w:tcPr>
          <w:p w14:paraId="741AF8F7"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EDU</w:t>
            </w:r>
          </w:p>
        </w:tc>
        <w:tc>
          <w:tcPr>
            <w:tcW w:w="630" w:type="dxa"/>
            <w:tcBorders>
              <w:top w:val="nil"/>
              <w:left w:val="nil"/>
              <w:bottom w:val="single" w:sz="4" w:space="0" w:color="auto"/>
              <w:right w:val="single" w:sz="4" w:space="0" w:color="auto"/>
            </w:tcBorders>
            <w:vAlign w:val="bottom"/>
            <w:hideMark/>
          </w:tcPr>
          <w:p w14:paraId="49CE1BA2"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DOE</w:t>
            </w:r>
          </w:p>
        </w:tc>
        <w:tc>
          <w:tcPr>
            <w:tcW w:w="4050" w:type="dxa"/>
            <w:tcBorders>
              <w:top w:val="nil"/>
              <w:left w:val="nil"/>
              <w:bottom w:val="single" w:sz="4" w:space="0" w:color="auto"/>
              <w:right w:val="single" w:sz="4" w:space="0" w:color="auto"/>
            </w:tcBorders>
            <w:vAlign w:val="bottom"/>
            <w:hideMark/>
          </w:tcPr>
          <w:p w14:paraId="0306F218"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ELEMENTARY &amp; SECONDARY EDUCATION</w:t>
            </w:r>
          </w:p>
        </w:tc>
        <w:tc>
          <w:tcPr>
            <w:tcW w:w="1260" w:type="dxa"/>
            <w:tcBorders>
              <w:top w:val="nil"/>
              <w:left w:val="nil"/>
              <w:bottom w:val="single" w:sz="4" w:space="0" w:color="auto"/>
              <w:right w:val="single" w:sz="4" w:space="0" w:color="auto"/>
            </w:tcBorders>
            <w:vAlign w:val="bottom"/>
            <w:hideMark/>
          </w:tcPr>
          <w:p w14:paraId="3C8226D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$30,084,499</w:t>
            </w:r>
          </w:p>
        </w:tc>
        <w:tc>
          <w:tcPr>
            <w:tcW w:w="1170" w:type="dxa"/>
            <w:tcBorders>
              <w:top w:val="nil"/>
              <w:left w:val="nil"/>
              <w:bottom w:val="single" w:sz="4" w:space="0" w:color="auto"/>
              <w:right w:val="single" w:sz="4" w:space="0" w:color="auto"/>
            </w:tcBorders>
            <w:vAlign w:val="bottom"/>
            <w:hideMark/>
          </w:tcPr>
          <w:p w14:paraId="6818A85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$3,610,140</w:t>
            </w:r>
          </w:p>
        </w:tc>
        <w:tc>
          <w:tcPr>
            <w:tcW w:w="1260" w:type="dxa"/>
            <w:tcBorders>
              <w:top w:val="nil"/>
              <w:left w:val="nil"/>
              <w:bottom w:val="single" w:sz="4" w:space="0" w:color="auto"/>
              <w:right w:val="single" w:sz="4" w:space="0" w:color="auto"/>
            </w:tcBorders>
            <w:vAlign w:val="bottom"/>
            <w:hideMark/>
          </w:tcPr>
          <w:p w14:paraId="14FF4F8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$1,744,960</w:t>
            </w:r>
          </w:p>
        </w:tc>
        <w:tc>
          <w:tcPr>
            <w:tcW w:w="1080" w:type="dxa"/>
            <w:tcBorders>
              <w:top w:val="nil"/>
              <w:left w:val="nil"/>
              <w:bottom w:val="single" w:sz="4" w:space="0" w:color="auto"/>
              <w:right w:val="single" w:sz="4" w:space="0" w:color="auto"/>
            </w:tcBorders>
            <w:vAlign w:val="bottom"/>
            <w:hideMark/>
          </w:tcPr>
          <w:p w14:paraId="219B994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6955314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$1,744,960</w:t>
            </w:r>
          </w:p>
        </w:tc>
        <w:tc>
          <w:tcPr>
            <w:tcW w:w="1170" w:type="dxa"/>
            <w:tcBorders>
              <w:top w:val="nil"/>
              <w:left w:val="nil"/>
              <w:bottom w:val="single" w:sz="4" w:space="0" w:color="auto"/>
              <w:right w:val="single" w:sz="4" w:space="0" w:color="auto"/>
            </w:tcBorders>
            <w:vAlign w:val="bottom"/>
            <w:hideMark/>
          </w:tcPr>
          <w:p w14:paraId="045173B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48.33%</w:t>
            </w:r>
          </w:p>
        </w:tc>
        <w:tc>
          <w:tcPr>
            <w:tcW w:w="1260" w:type="dxa"/>
            <w:tcBorders>
              <w:top w:val="nil"/>
              <w:left w:val="nil"/>
              <w:bottom w:val="single" w:sz="4" w:space="0" w:color="auto"/>
              <w:right w:val="single" w:sz="4" w:space="0" w:color="auto"/>
            </w:tcBorders>
            <w:vAlign w:val="bottom"/>
            <w:hideMark/>
          </w:tcPr>
          <w:p w14:paraId="43D159B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-$1,865,179</w:t>
            </w:r>
          </w:p>
        </w:tc>
      </w:tr>
      <w:tr w:rsidR="00433DC8" w:rsidRPr="00433DC8" w14:paraId="07B9DBC7" w14:textId="77777777" w:rsidTr="009050D8">
        <w:trPr>
          <w:trHeight w:val="152"/>
        </w:trPr>
        <w:tc>
          <w:tcPr>
            <w:tcW w:w="630" w:type="dxa"/>
            <w:tcBorders>
              <w:top w:val="nil"/>
              <w:left w:val="single" w:sz="4" w:space="0" w:color="auto"/>
              <w:bottom w:val="single" w:sz="4" w:space="0" w:color="auto"/>
              <w:right w:val="single" w:sz="4" w:space="0" w:color="auto"/>
            </w:tcBorders>
            <w:vAlign w:val="bottom"/>
            <w:hideMark/>
          </w:tcPr>
          <w:p w14:paraId="568974BB"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EDU</w:t>
            </w:r>
          </w:p>
        </w:tc>
        <w:tc>
          <w:tcPr>
            <w:tcW w:w="630" w:type="dxa"/>
            <w:tcBorders>
              <w:top w:val="nil"/>
              <w:left w:val="nil"/>
              <w:bottom w:val="single" w:sz="4" w:space="0" w:color="auto"/>
              <w:right w:val="single" w:sz="4" w:space="0" w:color="auto"/>
            </w:tcBorders>
            <w:vAlign w:val="bottom"/>
            <w:hideMark/>
          </w:tcPr>
          <w:p w14:paraId="72501D05"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EDU</w:t>
            </w:r>
          </w:p>
        </w:tc>
        <w:tc>
          <w:tcPr>
            <w:tcW w:w="4050" w:type="dxa"/>
            <w:tcBorders>
              <w:top w:val="nil"/>
              <w:left w:val="nil"/>
              <w:bottom w:val="single" w:sz="4" w:space="0" w:color="auto"/>
              <w:right w:val="single" w:sz="4" w:space="0" w:color="auto"/>
            </w:tcBorders>
            <w:vAlign w:val="bottom"/>
            <w:hideMark/>
          </w:tcPr>
          <w:p w14:paraId="06764906"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EXECUTIVE OFFICE OF EDUCATION</w:t>
            </w:r>
          </w:p>
        </w:tc>
        <w:tc>
          <w:tcPr>
            <w:tcW w:w="1260" w:type="dxa"/>
            <w:tcBorders>
              <w:top w:val="nil"/>
              <w:left w:val="nil"/>
              <w:bottom w:val="single" w:sz="4" w:space="0" w:color="auto"/>
              <w:right w:val="single" w:sz="4" w:space="0" w:color="auto"/>
            </w:tcBorders>
            <w:vAlign w:val="bottom"/>
            <w:hideMark/>
          </w:tcPr>
          <w:p w14:paraId="02DC169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$26,713,276</w:t>
            </w:r>
          </w:p>
        </w:tc>
        <w:tc>
          <w:tcPr>
            <w:tcW w:w="1170" w:type="dxa"/>
            <w:tcBorders>
              <w:top w:val="nil"/>
              <w:left w:val="nil"/>
              <w:bottom w:val="single" w:sz="4" w:space="0" w:color="auto"/>
              <w:right w:val="single" w:sz="4" w:space="0" w:color="auto"/>
            </w:tcBorders>
            <w:vAlign w:val="bottom"/>
            <w:hideMark/>
          </w:tcPr>
          <w:p w14:paraId="505A72A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$3,205,593</w:t>
            </w:r>
          </w:p>
        </w:tc>
        <w:tc>
          <w:tcPr>
            <w:tcW w:w="1260" w:type="dxa"/>
            <w:tcBorders>
              <w:top w:val="nil"/>
              <w:left w:val="nil"/>
              <w:bottom w:val="single" w:sz="4" w:space="0" w:color="auto"/>
              <w:right w:val="single" w:sz="4" w:space="0" w:color="auto"/>
            </w:tcBorders>
            <w:vAlign w:val="bottom"/>
            <w:hideMark/>
          </w:tcPr>
          <w:p w14:paraId="38EDFA9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$4,011,828</w:t>
            </w:r>
          </w:p>
        </w:tc>
        <w:tc>
          <w:tcPr>
            <w:tcW w:w="1080" w:type="dxa"/>
            <w:tcBorders>
              <w:top w:val="nil"/>
              <w:left w:val="nil"/>
              <w:bottom w:val="single" w:sz="4" w:space="0" w:color="auto"/>
              <w:right w:val="single" w:sz="4" w:space="0" w:color="auto"/>
            </w:tcBorders>
            <w:vAlign w:val="bottom"/>
            <w:hideMark/>
          </w:tcPr>
          <w:p w14:paraId="1CB355F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26F68A4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$4,011,828</w:t>
            </w:r>
          </w:p>
        </w:tc>
        <w:tc>
          <w:tcPr>
            <w:tcW w:w="1170" w:type="dxa"/>
            <w:tcBorders>
              <w:top w:val="nil"/>
              <w:left w:val="nil"/>
              <w:bottom w:val="single" w:sz="4" w:space="0" w:color="auto"/>
              <w:right w:val="single" w:sz="4" w:space="0" w:color="auto"/>
            </w:tcBorders>
            <w:vAlign w:val="bottom"/>
            <w:hideMark/>
          </w:tcPr>
          <w:p w14:paraId="5B24791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125.15%</w:t>
            </w:r>
          </w:p>
        </w:tc>
        <w:tc>
          <w:tcPr>
            <w:tcW w:w="1260" w:type="dxa"/>
            <w:tcBorders>
              <w:top w:val="nil"/>
              <w:left w:val="nil"/>
              <w:bottom w:val="single" w:sz="4" w:space="0" w:color="auto"/>
              <w:right w:val="single" w:sz="4" w:space="0" w:color="auto"/>
            </w:tcBorders>
            <w:vAlign w:val="bottom"/>
            <w:hideMark/>
          </w:tcPr>
          <w:p w14:paraId="2145A43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$806,235</w:t>
            </w:r>
          </w:p>
        </w:tc>
      </w:tr>
      <w:tr w:rsidR="00433DC8" w:rsidRPr="00433DC8" w14:paraId="6AA8D23A" w14:textId="77777777" w:rsidTr="009050D8">
        <w:trPr>
          <w:trHeight w:val="188"/>
        </w:trPr>
        <w:tc>
          <w:tcPr>
            <w:tcW w:w="630" w:type="dxa"/>
            <w:tcBorders>
              <w:top w:val="nil"/>
              <w:left w:val="single" w:sz="4" w:space="0" w:color="auto"/>
              <w:bottom w:val="single" w:sz="4" w:space="0" w:color="auto"/>
              <w:right w:val="single" w:sz="4" w:space="0" w:color="auto"/>
            </w:tcBorders>
            <w:vAlign w:val="bottom"/>
            <w:hideMark/>
          </w:tcPr>
          <w:p w14:paraId="00311632"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EDU</w:t>
            </w:r>
          </w:p>
        </w:tc>
        <w:tc>
          <w:tcPr>
            <w:tcW w:w="630" w:type="dxa"/>
            <w:tcBorders>
              <w:top w:val="nil"/>
              <w:left w:val="nil"/>
              <w:bottom w:val="single" w:sz="4" w:space="0" w:color="auto"/>
              <w:right w:val="single" w:sz="4" w:space="0" w:color="auto"/>
            </w:tcBorders>
            <w:vAlign w:val="bottom"/>
            <w:hideMark/>
          </w:tcPr>
          <w:p w14:paraId="762D38C7"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EEC</w:t>
            </w:r>
          </w:p>
        </w:tc>
        <w:tc>
          <w:tcPr>
            <w:tcW w:w="4050" w:type="dxa"/>
            <w:tcBorders>
              <w:top w:val="nil"/>
              <w:left w:val="nil"/>
              <w:bottom w:val="single" w:sz="4" w:space="0" w:color="auto"/>
              <w:right w:val="single" w:sz="4" w:space="0" w:color="auto"/>
            </w:tcBorders>
            <w:vAlign w:val="bottom"/>
            <w:hideMark/>
          </w:tcPr>
          <w:p w14:paraId="3FE82879"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EARLY EDUCATION &amp; CARE</w:t>
            </w:r>
          </w:p>
        </w:tc>
        <w:tc>
          <w:tcPr>
            <w:tcW w:w="1260" w:type="dxa"/>
            <w:tcBorders>
              <w:top w:val="nil"/>
              <w:left w:val="nil"/>
              <w:bottom w:val="single" w:sz="4" w:space="0" w:color="auto"/>
              <w:right w:val="single" w:sz="4" w:space="0" w:color="auto"/>
            </w:tcBorders>
            <w:vAlign w:val="bottom"/>
            <w:hideMark/>
          </w:tcPr>
          <w:p w14:paraId="48658DB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$216,704,151</w:t>
            </w:r>
          </w:p>
        </w:tc>
        <w:tc>
          <w:tcPr>
            <w:tcW w:w="1170" w:type="dxa"/>
            <w:tcBorders>
              <w:top w:val="nil"/>
              <w:left w:val="nil"/>
              <w:bottom w:val="single" w:sz="4" w:space="0" w:color="auto"/>
              <w:right w:val="single" w:sz="4" w:space="0" w:color="auto"/>
            </w:tcBorders>
            <w:vAlign w:val="bottom"/>
            <w:hideMark/>
          </w:tcPr>
          <w:p w14:paraId="7AF969B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$26,004,498</w:t>
            </w:r>
          </w:p>
        </w:tc>
        <w:tc>
          <w:tcPr>
            <w:tcW w:w="1260" w:type="dxa"/>
            <w:tcBorders>
              <w:top w:val="nil"/>
              <w:left w:val="nil"/>
              <w:bottom w:val="single" w:sz="4" w:space="0" w:color="auto"/>
              <w:right w:val="single" w:sz="4" w:space="0" w:color="auto"/>
            </w:tcBorders>
            <w:vAlign w:val="bottom"/>
            <w:hideMark/>
          </w:tcPr>
          <w:p w14:paraId="4D593D9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$27,696,921</w:t>
            </w:r>
          </w:p>
        </w:tc>
        <w:tc>
          <w:tcPr>
            <w:tcW w:w="1080" w:type="dxa"/>
            <w:tcBorders>
              <w:top w:val="nil"/>
              <w:left w:val="nil"/>
              <w:bottom w:val="single" w:sz="4" w:space="0" w:color="auto"/>
              <w:right w:val="single" w:sz="4" w:space="0" w:color="auto"/>
            </w:tcBorders>
            <w:vAlign w:val="bottom"/>
            <w:hideMark/>
          </w:tcPr>
          <w:p w14:paraId="739D896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$16,271,450</w:t>
            </w:r>
          </w:p>
        </w:tc>
        <w:tc>
          <w:tcPr>
            <w:tcW w:w="1170" w:type="dxa"/>
            <w:tcBorders>
              <w:top w:val="nil"/>
              <w:left w:val="nil"/>
              <w:bottom w:val="single" w:sz="4" w:space="0" w:color="auto"/>
              <w:right w:val="single" w:sz="4" w:space="0" w:color="auto"/>
            </w:tcBorders>
            <w:vAlign w:val="bottom"/>
            <w:hideMark/>
          </w:tcPr>
          <w:p w14:paraId="7DADE8D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$43,968,371</w:t>
            </w:r>
          </w:p>
        </w:tc>
        <w:tc>
          <w:tcPr>
            <w:tcW w:w="1170" w:type="dxa"/>
            <w:tcBorders>
              <w:top w:val="nil"/>
              <w:left w:val="nil"/>
              <w:bottom w:val="single" w:sz="4" w:space="0" w:color="auto"/>
              <w:right w:val="single" w:sz="4" w:space="0" w:color="auto"/>
            </w:tcBorders>
            <w:vAlign w:val="bottom"/>
            <w:hideMark/>
          </w:tcPr>
          <w:p w14:paraId="13C9B26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169.08%</w:t>
            </w:r>
          </w:p>
        </w:tc>
        <w:tc>
          <w:tcPr>
            <w:tcW w:w="1260" w:type="dxa"/>
            <w:tcBorders>
              <w:top w:val="nil"/>
              <w:left w:val="nil"/>
              <w:bottom w:val="single" w:sz="4" w:space="0" w:color="auto"/>
              <w:right w:val="single" w:sz="4" w:space="0" w:color="auto"/>
            </w:tcBorders>
            <w:vAlign w:val="bottom"/>
            <w:hideMark/>
          </w:tcPr>
          <w:p w14:paraId="3BCE0BD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$17,963,872</w:t>
            </w:r>
          </w:p>
        </w:tc>
      </w:tr>
      <w:tr w:rsidR="00433DC8" w:rsidRPr="00433DC8" w14:paraId="78F4FDC5" w14:textId="77777777" w:rsidTr="009050D8">
        <w:trPr>
          <w:trHeight w:val="161"/>
        </w:trPr>
        <w:tc>
          <w:tcPr>
            <w:tcW w:w="630" w:type="dxa"/>
            <w:tcBorders>
              <w:top w:val="nil"/>
              <w:left w:val="single" w:sz="4" w:space="0" w:color="auto"/>
              <w:bottom w:val="nil"/>
              <w:right w:val="single" w:sz="4" w:space="0" w:color="auto"/>
            </w:tcBorders>
            <w:vAlign w:val="bottom"/>
            <w:hideMark/>
          </w:tcPr>
          <w:p w14:paraId="6995F1D4"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EDU</w:t>
            </w:r>
          </w:p>
        </w:tc>
        <w:tc>
          <w:tcPr>
            <w:tcW w:w="630" w:type="dxa"/>
            <w:tcBorders>
              <w:top w:val="nil"/>
              <w:left w:val="nil"/>
              <w:bottom w:val="nil"/>
              <w:right w:val="single" w:sz="4" w:space="0" w:color="auto"/>
            </w:tcBorders>
            <w:vAlign w:val="bottom"/>
            <w:hideMark/>
          </w:tcPr>
          <w:p w14:paraId="386B4E66"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RGT</w:t>
            </w:r>
          </w:p>
        </w:tc>
        <w:tc>
          <w:tcPr>
            <w:tcW w:w="4050" w:type="dxa"/>
            <w:tcBorders>
              <w:top w:val="nil"/>
              <w:left w:val="nil"/>
              <w:bottom w:val="nil"/>
              <w:right w:val="single" w:sz="4" w:space="0" w:color="auto"/>
            </w:tcBorders>
            <w:vAlign w:val="bottom"/>
            <w:hideMark/>
          </w:tcPr>
          <w:p w14:paraId="07AB669D"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HIGHER EDUCATION</w:t>
            </w:r>
          </w:p>
        </w:tc>
        <w:tc>
          <w:tcPr>
            <w:tcW w:w="1260" w:type="dxa"/>
            <w:tcBorders>
              <w:top w:val="nil"/>
              <w:left w:val="nil"/>
              <w:bottom w:val="nil"/>
              <w:right w:val="single" w:sz="4" w:space="0" w:color="auto"/>
            </w:tcBorders>
            <w:vAlign w:val="bottom"/>
            <w:hideMark/>
          </w:tcPr>
          <w:p w14:paraId="558C5A6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$901,011</w:t>
            </w:r>
          </w:p>
        </w:tc>
        <w:tc>
          <w:tcPr>
            <w:tcW w:w="1170" w:type="dxa"/>
            <w:tcBorders>
              <w:top w:val="nil"/>
              <w:left w:val="nil"/>
              <w:bottom w:val="nil"/>
              <w:right w:val="single" w:sz="4" w:space="0" w:color="auto"/>
            </w:tcBorders>
            <w:vAlign w:val="bottom"/>
            <w:hideMark/>
          </w:tcPr>
          <w:p w14:paraId="04759C5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$108,121</w:t>
            </w:r>
          </w:p>
        </w:tc>
        <w:tc>
          <w:tcPr>
            <w:tcW w:w="1260" w:type="dxa"/>
            <w:tcBorders>
              <w:top w:val="nil"/>
              <w:left w:val="nil"/>
              <w:bottom w:val="nil"/>
              <w:right w:val="single" w:sz="4" w:space="0" w:color="auto"/>
            </w:tcBorders>
            <w:vAlign w:val="bottom"/>
            <w:hideMark/>
          </w:tcPr>
          <w:p w14:paraId="2EFC0E9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$71,583</w:t>
            </w:r>
          </w:p>
        </w:tc>
        <w:tc>
          <w:tcPr>
            <w:tcW w:w="1080" w:type="dxa"/>
            <w:tcBorders>
              <w:top w:val="nil"/>
              <w:left w:val="nil"/>
              <w:bottom w:val="nil"/>
              <w:right w:val="single" w:sz="4" w:space="0" w:color="auto"/>
            </w:tcBorders>
            <w:vAlign w:val="bottom"/>
            <w:hideMark/>
          </w:tcPr>
          <w:p w14:paraId="16C8DE9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331147D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$71,583</w:t>
            </w:r>
          </w:p>
        </w:tc>
        <w:tc>
          <w:tcPr>
            <w:tcW w:w="1170" w:type="dxa"/>
            <w:tcBorders>
              <w:top w:val="nil"/>
              <w:left w:val="nil"/>
              <w:bottom w:val="nil"/>
              <w:right w:val="single" w:sz="4" w:space="0" w:color="auto"/>
            </w:tcBorders>
            <w:vAlign w:val="bottom"/>
            <w:hideMark/>
          </w:tcPr>
          <w:p w14:paraId="38FDC0E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66.21%</w:t>
            </w:r>
          </w:p>
        </w:tc>
        <w:tc>
          <w:tcPr>
            <w:tcW w:w="1260" w:type="dxa"/>
            <w:tcBorders>
              <w:top w:val="nil"/>
              <w:left w:val="nil"/>
              <w:bottom w:val="nil"/>
              <w:right w:val="single" w:sz="4" w:space="0" w:color="auto"/>
            </w:tcBorders>
            <w:vAlign w:val="bottom"/>
            <w:hideMark/>
          </w:tcPr>
          <w:p w14:paraId="79DEF1F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-$36,538</w:t>
            </w:r>
          </w:p>
        </w:tc>
      </w:tr>
      <w:tr w:rsidR="00433DC8" w:rsidRPr="00433DC8" w14:paraId="68074847" w14:textId="77777777" w:rsidTr="009050D8">
        <w:trPr>
          <w:trHeight w:val="160"/>
        </w:trPr>
        <w:tc>
          <w:tcPr>
            <w:tcW w:w="5310" w:type="dxa"/>
            <w:gridSpan w:val="3"/>
            <w:tcBorders>
              <w:top w:val="single" w:sz="8" w:space="0" w:color="auto"/>
              <w:left w:val="single" w:sz="8" w:space="0" w:color="auto"/>
              <w:bottom w:val="single" w:sz="8" w:space="0" w:color="auto"/>
              <w:right w:val="single" w:sz="4" w:space="0" w:color="auto"/>
            </w:tcBorders>
            <w:shd w:val="clear" w:color="000000" w:fill="C5D9F1"/>
            <w:vAlign w:val="bottom"/>
            <w:hideMark/>
          </w:tcPr>
          <w:p w14:paraId="69B87091" w14:textId="77777777" w:rsidR="00433DC8" w:rsidRPr="00E67D16" w:rsidRDefault="00433DC8" w:rsidP="00433DC8">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63C34A35"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$274,402,937</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5602C3CC"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$32,928,352</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431E3C34"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$33,525,293</w:t>
            </w:r>
          </w:p>
        </w:tc>
        <w:tc>
          <w:tcPr>
            <w:tcW w:w="1080" w:type="dxa"/>
            <w:tcBorders>
              <w:top w:val="single" w:sz="8" w:space="0" w:color="auto"/>
              <w:left w:val="nil"/>
              <w:bottom w:val="single" w:sz="8" w:space="0" w:color="auto"/>
              <w:right w:val="single" w:sz="4" w:space="0" w:color="auto"/>
            </w:tcBorders>
            <w:shd w:val="clear" w:color="000000" w:fill="C5D9F1"/>
            <w:vAlign w:val="bottom"/>
            <w:hideMark/>
          </w:tcPr>
          <w:p w14:paraId="79F88196"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$16,271,450</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4D904A82"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$49,796,743</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3387302C"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151.23%</w:t>
            </w:r>
          </w:p>
        </w:tc>
        <w:tc>
          <w:tcPr>
            <w:tcW w:w="1260" w:type="dxa"/>
            <w:tcBorders>
              <w:top w:val="single" w:sz="8" w:space="0" w:color="auto"/>
              <w:left w:val="nil"/>
              <w:bottom w:val="single" w:sz="8" w:space="0" w:color="auto"/>
              <w:right w:val="single" w:sz="8" w:space="0" w:color="auto"/>
            </w:tcBorders>
            <w:shd w:val="clear" w:color="000000" w:fill="C5D9F1"/>
            <w:vAlign w:val="bottom"/>
            <w:hideMark/>
          </w:tcPr>
          <w:p w14:paraId="644FE4BE"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$16,868,390</w:t>
            </w:r>
          </w:p>
        </w:tc>
      </w:tr>
      <w:tr w:rsidR="00433DC8" w:rsidRPr="00433DC8" w14:paraId="5C685C7F" w14:textId="77777777" w:rsidTr="009050D8">
        <w:trPr>
          <w:trHeight w:val="169"/>
        </w:trPr>
        <w:tc>
          <w:tcPr>
            <w:tcW w:w="630" w:type="dxa"/>
            <w:tcBorders>
              <w:top w:val="nil"/>
              <w:left w:val="single" w:sz="4" w:space="0" w:color="auto"/>
              <w:bottom w:val="single" w:sz="4" w:space="0" w:color="auto"/>
              <w:right w:val="single" w:sz="4" w:space="0" w:color="auto"/>
            </w:tcBorders>
            <w:vAlign w:val="bottom"/>
            <w:hideMark/>
          </w:tcPr>
          <w:p w14:paraId="7A6CC446"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30" w:type="dxa"/>
            <w:tcBorders>
              <w:top w:val="nil"/>
              <w:left w:val="nil"/>
              <w:bottom w:val="single" w:sz="4" w:space="0" w:color="auto"/>
              <w:right w:val="single" w:sz="4" w:space="0" w:color="auto"/>
            </w:tcBorders>
            <w:vAlign w:val="bottom"/>
            <w:hideMark/>
          </w:tcPr>
          <w:p w14:paraId="39B2B4A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DOB</w:t>
            </w:r>
          </w:p>
        </w:tc>
        <w:tc>
          <w:tcPr>
            <w:tcW w:w="4050" w:type="dxa"/>
            <w:tcBorders>
              <w:top w:val="nil"/>
              <w:left w:val="nil"/>
              <w:bottom w:val="single" w:sz="4" w:space="0" w:color="auto"/>
              <w:right w:val="single" w:sz="4" w:space="0" w:color="auto"/>
            </w:tcBorders>
            <w:vAlign w:val="bottom"/>
            <w:hideMark/>
          </w:tcPr>
          <w:p w14:paraId="17C8606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DIVISION OF BANKS</w:t>
            </w:r>
          </w:p>
        </w:tc>
        <w:tc>
          <w:tcPr>
            <w:tcW w:w="1260" w:type="dxa"/>
            <w:tcBorders>
              <w:top w:val="nil"/>
              <w:left w:val="nil"/>
              <w:bottom w:val="single" w:sz="4" w:space="0" w:color="auto"/>
              <w:right w:val="single" w:sz="4" w:space="0" w:color="auto"/>
            </w:tcBorders>
            <w:vAlign w:val="bottom"/>
            <w:hideMark/>
          </w:tcPr>
          <w:p w14:paraId="7D280A9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$711,621</w:t>
            </w:r>
          </w:p>
        </w:tc>
        <w:tc>
          <w:tcPr>
            <w:tcW w:w="1170" w:type="dxa"/>
            <w:tcBorders>
              <w:top w:val="nil"/>
              <w:left w:val="nil"/>
              <w:bottom w:val="single" w:sz="4" w:space="0" w:color="auto"/>
              <w:right w:val="single" w:sz="4" w:space="0" w:color="auto"/>
            </w:tcBorders>
            <w:vAlign w:val="bottom"/>
            <w:hideMark/>
          </w:tcPr>
          <w:p w14:paraId="042A35C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$85,395</w:t>
            </w:r>
          </w:p>
        </w:tc>
        <w:tc>
          <w:tcPr>
            <w:tcW w:w="1260" w:type="dxa"/>
            <w:tcBorders>
              <w:top w:val="nil"/>
              <w:left w:val="nil"/>
              <w:bottom w:val="single" w:sz="4" w:space="0" w:color="auto"/>
              <w:right w:val="single" w:sz="4" w:space="0" w:color="auto"/>
            </w:tcBorders>
            <w:vAlign w:val="bottom"/>
            <w:hideMark/>
          </w:tcPr>
          <w:p w14:paraId="625D78F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$90,465</w:t>
            </w:r>
          </w:p>
        </w:tc>
        <w:tc>
          <w:tcPr>
            <w:tcW w:w="1080" w:type="dxa"/>
            <w:tcBorders>
              <w:top w:val="nil"/>
              <w:left w:val="nil"/>
              <w:bottom w:val="single" w:sz="4" w:space="0" w:color="auto"/>
              <w:right w:val="single" w:sz="4" w:space="0" w:color="auto"/>
            </w:tcBorders>
            <w:vAlign w:val="bottom"/>
            <w:hideMark/>
          </w:tcPr>
          <w:p w14:paraId="36F78B7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1AEB40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$90,465</w:t>
            </w:r>
          </w:p>
        </w:tc>
        <w:tc>
          <w:tcPr>
            <w:tcW w:w="1170" w:type="dxa"/>
            <w:tcBorders>
              <w:top w:val="nil"/>
              <w:left w:val="nil"/>
              <w:bottom w:val="single" w:sz="4" w:space="0" w:color="auto"/>
              <w:right w:val="single" w:sz="4" w:space="0" w:color="auto"/>
            </w:tcBorders>
            <w:vAlign w:val="bottom"/>
            <w:hideMark/>
          </w:tcPr>
          <w:p w14:paraId="363DD2F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105.94%</w:t>
            </w:r>
          </w:p>
        </w:tc>
        <w:tc>
          <w:tcPr>
            <w:tcW w:w="1260" w:type="dxa"/>
            <w:tcBorders>
              <w:top w:val="nil"/>
              <w:left w:val="nil"/>
              <w:bottom w:val="single" w:sz="4" w:space="0" w:color="auto"/>
              <w:right w:val="single" w:sz="4" w:space="0" w:color="auto"/>
            </w:tcBorders>
            <w:vAlign w:val="bottom"/>
            <w:hideMark/>
          </w:tcPr>
          <w:p w14:paraId="7CD3978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$5,070</w:t>
            </w:r>
          </w:p>
        </w:tc>
      </w:tr>
      <w:tr w:rsidR="00433DC8" w:rsidRPr="00433DC8" w14:paraId="2D3942DF"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2AB16129"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30" w:type="dxa"/>
            <w:tcBorders>
              <w:top w:val="nil"/>
              <w:left w:val="nil"/>
              <w:bottom w:val="single" w:sz="4" w:space="0" w:color="auto"/>
              <w:right w:val="single" w:sz="4" w:space="0" w:color="auto"/>
            </w:tcBorders>
            <w:vAlign w:val="bottom"/>
            <w:hideMark/>
          </w:tcPr>
          <w:p w14:paraId="71E92062"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DOI</w:t>
            </w:r>
          </w:p>
        </w:tc>
        <w:tc>
          <w:tcPr>
            <w:tcW w:w="4050" w:type="dxa"/>
            <w:tcBorders>
              <w:top w:val="nil"/>
              <w:left w:val="nil"/>
              <w:bottom w:val="single" w:sz="4" w:space="0" w:color="auto"/>
              <w:right w:val="single" w:sz="4" w:space="0" w:color="auto"/>
            </w:tcBorders>
            <w:vAlign w:val="bottom"/>
            <w:hideMark/>
          </w:tcPr>
          <w:p w14:paraId="178C3C2D"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DIVISION OF INSURANCE</w:t>
            </w:r>
          </w:p>
        </w:tc>
        <w:tc>
          <w:tcPr>
            <w:tcW w:w="1260" w:type="dxa"/>
            <w:tcBorders>
              <w:top w:val="nil"/>
              <w:left w:val="nil"/>
              <w:bottom w:val="single" w:sz="4" w:space="0" w:color="auto"/>
              <w:right w:val="single" w:sz="4" w:space="0" w:color="auto"/>
            </w:tcBorders>
            <w:vAlign w:val="bottom"/>
            <w:hideMark/>
          </w:tcPr>
          <w:p w14:paraId="79ED457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$1,032,010</w:t>
            </w:r>
          </w:p>
        </w:tc>
        <w:tc>
          <w:tcPr>
            <w:tcW w:w="1170" w:type="dxa"/>
            <w:tcBorders>
              <w:top w:val="nil"/>
              <w:left w:val="nil"/>
              <w:bottom w:val="single" w:sz="4" w:space="0" w:color="auto"/>
              <w:right w:val="single" w:sz="4" w:space="0" w:color="auto"/>
            </w:tcBorders>
            <w:vAlign w:val="bottom"/>
            <w:hideMark/>
          </w:tcPr>
          <w:p w14:paraId="1E8ECC2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$123,841</w:t>
            </w:r>
          </w:p>
        </w:tc>
        <w:tc>
          <w:tcPr>
            <w:tcW w:w="1260" w:type="dxa"/>
            <w:tcBorders>
              <w:top w:val="nil"/>
              <w:left w:val="nil"/>
              <w:bottom w:val="single" w:sz="4" w:space="0" w:color="auto"/>
              <w:right w:val="single" w:sz="4" w:space="0" w:color="auto"/>
            </w:tcBorders>
            <w:vAlign w:val="bottom"/>
            <w:hideMark/>
          </w:tcPr>
          <w:p w14:paraId="673A0F6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$274,745</w:t>
            </w:r>
          </w:p>
        </w:tc>
        <w:tc>
          <w:tcPr>
            <w:tcW w:w="1080" w:type="dxa"/>
            <w:tcBorders>
              <w:top w:val="nil"/>
              <w:left w:val="nil"/>
              <w:bottom w:val="single" w:sz="4" w:space="0" w:color="auto"/>
              <w:right w:val="single" w:sz="4" w:space="0" w:color="auto"/>
            </w:tcBorders>
            <w:vAlign w:val="bottom"/>
            <w:hideMark/>
          </w:tcPr>
          <w:p w14:paraId="396D3D6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2ED97C9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$274,745</w:t>
            </w:r>
          </w:p>
        </w:tc>
        <w:tc>
          <w:tcPr>
            <w:tcW w:w="1170" w:type="dxa"/>
            <w:tcBorders>
              <w:top w:val="nil"/>
              <w:left w:val="nil"/>
              <w:bottom w:val="single" w:sz="4" w:space="0" w:color="auto"/>
              <w:right w:val="single" w:sz="4" w:space="0" w:color="auto"/>
            </w:tcBorders>
            <w:vAlign w:val="bottom"/>
            <w:hideMark/>
          </w:tcPr>
          <w:p w14:paraId="688DCDC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221.85%</w:t>
            </w:r>
          </w:p>
        </w:tc>
        <w:tc>
          <w:tcPr>
            <w:tcW w:w="1260" w:type="dxa"/>
            <w:tcBorders>
              <w:top w:val="nil"/>
              <w:left w:val="nil"/>
              <w:bottom w:val="single" w:sz="4" w:space="0" w:color="auto"/>
              <w:right w:val="single" w:sz="4" w:space="0" w:color="auto"/>
            </w:tcBorders>
            <w:vAlign w:val="bottom"/>
            <w:hideMark/>
          </w:tcPr>
          <w:p w14:paraId="231D119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$150,903</w:t>
            </w:r>
          </w:p>
        </w:tc>
      </w:tr>
      <w:tr w:rsidR="00433DC8" w:rsidRPr="00433DC8" w14:paraId="453F010C"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08C73D8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30" w:type="dxa"/>
            <w:tcBorders>
              <w:top w:val="nil"/>
              <w:left w:val="nil"/>
              <w:bottom w:val="single" w:sz="4" w:space="0" w:color="auto"/>
              <w:right w:val="single" w:sz="4" w:space="0" w:color="auto"/>
            </w:tcBorders>
            <w:vAlign w:val="bottom"/>
            <w:hideMark/>
          </w:tcPr>
          <w:p w14:paraId="5E8F4532"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DOS</w:t>
            </w:r>
          </w:p>
        </w:tc>
        <w:tc>
          <w:tcPr>
            <w:tcW w:w="4050" w:type="dxa"/>
            <w:tcBorders>
              <w:top w:val="nil"/>
              <w:left w:val="nil"/>
              <w:bottom w:val="single" w:sz="4" w:space="0" w:color="auto"/>
              <w:right w:val="single" w:sz="4" w:space="0" w:color="auto"/>
            </w:tcBorders>
            <w:vAlign w:val="bottom"/>
            <w:hideMark/>
          </w:tcPr>
          <w:p w14:paraId="395E6602"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DIVISION OF STANDARDS</w:t>
            </w:r>
          </w:p>
        </w:tc>
        <w:tc>
          <w:tcPr>
            <w:tcW w:w="1260" w:type="dxa"/>
            <w:tcBorders>
              <w:top w:val="nil"/>
              <w:left w:val="nil"/>
              <w:bottom w:val="single" w:sz="4" w:space="0" w:color="auto"/>
              <w:right w:val="single" w:sz="4" w:space="0" w:color="auto"/>
            </w:tcBorders>
            <w:vAlign w:val="bottom"/>
            <w:hideMark/>
          </w:tcPr>
          <w:p w14:paraId="757C223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$52,436</w:t>
            </w:r>
          </w:p>
        </w:tc>
        <w:tc>
          <w:tcPr>
            <w:tcW w:w="1170" w:type="dxa"/>
            <w:tcBorders>
              <w:top w:val="nil"/>
              <w:left w:val="nil"/>
              <w:bottom w:val="single" w:sz="4" w:space="0" w:color="auto"/>
              <w:right w:val="single" w:sz="4" w:space="0" w:color="auto"/>
            </w:tcBorders>
            <w:vAlign w:val="bottom"/>
            <w:hideMark/>
          </w:tcPr>
          <w:p w14:paraId="3639300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$6,292</w:t>
            </w:r>
          </w:p>
        </w:tc>
        <w:tc>
          <w:tcPr>
            <w:tcW w:w="1260" w:type="dxa"/>
            <w:tcBorders>
              <w:top w:val="nil"/>
              <w:left w:val="nil"/>
              <w:bottom w:val="single" w:sz="4" w:space="0" w:color="auto"/>
              <w:right w:val="single" w:sz="4" w:space="0" w:color="auto"/>
            </w:tcBorders>
            <w:vAlign w:val="bottom"/>
            <w:hideMark/>
          </w:tcPr>
          <w:p w14:paraId="4AF4889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$7,556</w:t>
            </w:r>
          </w:p>
        </w:tc>
        <w:tc>
          <w:tcPr>
            <w:tcW w:w="1080" w:type="dxa"/>
            <w:tcBorders>
              <w:top w:val="nil"/>
              <w:left w:val="nil"/>
              <w:bottom w:val="single" w:sz="4" w:space="0" w:color="auto"/>
              <w:right w:val="single" w:sz="4" w:space="0" w:color="auto"/>
            </w:tcBorders>
            <w:vAlign w:val="bottom"/>
            <w:hideMark/>
          </w:tcPr>
          <w:p w14:paraId="2228A8A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CD9DC9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$7,556</w:t>
            </w:r>
          </w:p>
        </w:tc>
        <w:tc>
          <w:tcPr>
            <w:tcW w:w="1170" w:type="dxa"/>
            <w:tcBorders>
              <w:top w:val="nil"/>
              <w:left w:val="nil"/>
              <w:bottom w:val="single" w:sz="4" w:space="0" w:color="auto"/>
              <w:right w:val="single" w:sz="4" w:space="0" w:color="auto"/>
            </w:tcBorders>
            <w:vAlign w:val="bottom"/>
            <w:hideMark/>
          </w:tcPr>
          <w:p w14:paraId="1CEF635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120.08%</w:t>
            </w:r>
          </w:p>
        </w:tc>
        <w:tc>
          <w:tcPr>
            <w:tcW w:w="1260" w:type="dxa"/>
            <w:tcBorders>
              <w:top w:val="nil"/>
              <w:left w:val="nil"/>
              <w:bottom w:val="single" w:sz="4" w:space="0" w:color="auto"/>
              <w:right w:val="single" w:sz="4" w:space="0" w:color="auto"/>
            </w:tcBorders>
            <w:vAlign w:val="bottom"/>
            <w:hideMark/>
          </w:tcPr>
          <w:p w14:paraId="26C3EBE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$1,263</w:t>
            </w:r>
          </w:p>
        </w:tc>
      </w:tr>
      <w:tr w:rsidR="00433DC8" w:rsidRPr="00433DC8" w14:paraId="08A19E2D" w14:textId="77777777" w:rsidTr="009050D8">
        <w:trPr>
          <w:trHeight w:val="89"/>
        </w:trPr>
        <w:tc>
          <w:tcPr>
            <w:tcW w:w="630" w:type="dxa"/>
            <w:tcBorders>
              <w:top w:val="nil"/>
              <w:left w:val="single" w:sz="4" w:space="0" w:color="auto"/>
              <w:bottom w:val="single" w:sz="4" w:space="0" w:color="auto"/>
              <w:right w:val="single" w:sz="4" w:space="0" w:color="auto"/>
            </w:tcBorders>
            <w:vAlign w:val="bottom"/>
            <w:hideMark/>
          </w:tcPr>
          <w:p w14:paraId="1D17FF4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30" w:type="dxa"/>
            <w:tcBorders>
              <w:top w:val="nil"/>
              <w:left w:val="nil"/>
              <w:bottom w:val="single" w:sz="4" w:space="0" w:color="auto"/>
              <w:right w:val="single" w:sz="4" w:space="0" w:color="auto"/>
            </w:tcBorders>
            <w:vAlign w:val="bottom"/>
            <w:hideMark/>
          </w:tcPr>
          <w:p w14:paraId="3CAA13ED"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4050" w:type="dxa"/>
            <w:tcBorders>
              <w:top w:val="nil"/>
              <w:left w:val="nil"/>
              <w:bottom w:val="single" w:sz="4" w:space="0" w:color="auto"/>
              <w:right w:val="single" w:sz="4" w:space="0" w:color="auto"/>
            </w:tcBorders>
            <w:vAlign w:val="bottom"/>
            <w:hideMark/>
          </w:tcPr>
          <w:p w14:paraId="63CB349A"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EXECUTIVE OFFICE OF ECONOMIC DEVELOPMENT</w:t>
            </w:r>
          </w:p>
        </w:tc>
        <w:tc>
          <w:tcPr>
            <w:tcW w:w="1260" w:type="dxa"/>
            <w:tcBorders>
              <w:top w:val="nil"/>
              <w:left w:val="nil"/>
              <w:bottom w:val="single" w:sz="4" w:space="0" w:color="auto"/>
              <w:right w:val="single" w:sz="4" w:space="0" w:color="auto"/>
            </w:tcBorders>
            <w:vAlign w:val="bottom"/>
            <w:hideMark/>
          </w:tcPr>
          <w:p w14:paraId="05ADD90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$507,677</w:t>
            </w:r>
          </w:p>
        </w:tc>
        <w:tc>
          <w:tcPr>
            <w:tcW w:w="1170" w:type="dxa"/>
            <w:tcBorders>
              <w:top w:val="nil"/>
              <w:left w:val="nil"/>
              <w:bottom w:val="single" w:sz="4" w:space="0" w:color="auto"/>
              <w:right w:val="single" w:sz="4" w:space="0" w:color="auto"/>
            </w:tcBorders>
            <w:vAlign w:val="bottom"/>
            <w:hideMark/>
          </w:tcPr>
          <w:p w14:paraId="796CB12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$60,921</w:t>
            </w:r>
          </w:p>
        </w:tc>
        <w:tc>
          <w:tcPr>
            <w:tcW w:w="1260" w:type="dxa"/>
            <w:tcBorders>
              <w:top w:val="nil"/>
              <w:left w:val="nil"/>
              <w:bottom w:val="single" w:sz="4" w:space="0" w:color="auto"/>
              <w:right w:val="single" w:sz="4" w:space="0" w:color="auto"/>
            </w:tcBorders>
            <w:vAlign w:val="bottom"/>
            <w:hideMark/>
          </w:tcPr>
          <w:p w14:paraId="59D4C81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$72,612</w:t>
            </w:r>
          </w:p>
        </w:tc>
        <w:tc>
          <w:tcPr>
            <w:tcW w:w="1080" w:type="dxa"/>
            <w:tcBorders>
              <w:top w:val="nil"/>
              <w:left w:val="nil"/>
              <w:bottom w:val="single" w:sz="4" w:space="0" w:color="auto"/>
              <w:right w:val="single" w:sz="4" w:space="0" w:color="auto"/>
            </w:tcBorders>
            <w:vAlign w:val="bottom"/>
            <w:hideMark/>
          </w:tcPr>
          <w:p w14:paraId="530CC05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2B3BCD5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$72,612</w:t>
            </w:r>
          </w:p>
        </w:tc>
        <w:tc>
          <w:tcPr>
            <w:tcW w:w="1170" w:type="dxa"/>
            <w:tcBorders>
              <w:top w:val="nil"/>
              <w:left w:val="nil"/>
              <w:bottom w:val="single" w:sz="4" w:space="0" w:color="auto"/>
              <w:right w:val="single" w:sz="4" w:space="0" w:color="auto"/>
            </w:tcBorders>
            <w:vAlign w:val="bottom"/>
            <w:hideMark/>
          </w:tcPr>
          <w:p w14:paraId="3040F5C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119.19%</w:t>
            </w:r>
          </w:p>
        </w:tc>
        <w:tc>
          <w:tcPr>
            <w:tcW w:w="1260" w:type="dxa"/>
            <w:tcBorders>
              <w:top w:val="nil"/>
              <w:left w:val="nil"/>
              <w:bottom w:val="single" w:sz="4" w:space="0" w:color="auto"/>
              <w:right w:val="single" w:sz="4" w:space="0" w:color="auto"/>
            </w:tcBorders>
            <w:vAlign w:val="bottom"/>
            <w:hideMark/>
          </w:tcPr>
          <w:p w14:paraId="4722444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$11,691</w:t>
            </w:r>
          </w:p>
        </w:tc>
      </w:tr>
      <w:tr w:rsidR="00433DC8" w:rsidRPr="00433DC8" w14:paraId="4CD7C574" w14:textId="77777777" w:rsidTr="009050D8">
        <w:trPr>
          <w:trHeight w:val="197"/>
        </w:trPr>
        <w:tc>
          <w:tcPr>
            <w:tcW w:w="630" w:type="dxa"/>
            <w:tcBorders>
              <w:top w:val="nil"/>
              <w:left w:val="single" w:sz="4" w:space="0" w:color="auto"/>
              <w:bottom w:val="single" w:sz="4" w:space="0" w:color="auto"/>
              <w:right w:val="single" w:sz="4" w:space="0" w:color="auto"/>
            </w:tcBorders>
            <w:vAlign w:val="bottom"/>
            <w:hideMark/>
          </w:tcPr>
          <w:p w14:paraId="3B3DE40A"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30" w:type="dxa"/>
            <w:tcBorders>
              <w:top w:val="nil"/>
              <w:left w:val="nil"/>
              <w:bottom w:val="single" w:sz="4" w:space="0" w:color="auto"/>
              <w:right w:val="single" w:sz="4" w:space="0" w:color="auto"/>
            </w:tcBorders>
            <w:vAlign w:val="bottom"/>
            <w:hideMark/>
          </w:tcPr>
          <w:p w14:paraId="5062163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MMP</w:t>
            </w:r>
          </w:p>
        </w:tc>
        <w:tc>
          <w:tcPr>
            <w:tcW w:w="4050" w:type="dxa"/>
            <w:tcBorders>
              <w:top w:val="nil"/>
              <w:left w:val="nil"/>
              <w:bottom w:val="single" w:sz="4" w:space="0" w:color="auto"/>
              <w:right w:val="single" w:sz="4" w:space="0" w:color="auto"/>
            </w:tcBorders>
            <w:vAlign w:val="bottom"/>
            <w:hideMark/>
          </w:tcPr>
          <w:p w14:paraId="5DFC34B8"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MASSACHUSETTS MARKETING PARTNERSHIP</w:t>
            </w:r>
          </w:p>
        </w:tc>
        <w:tc>
          <w:tcPr>
            <w:tcW w:w="1260" w:type="dxa"/>
            <w:tcBorders>
              <w:top w:val="nil"/>
              <w:left w:val="nil"/>
              <w:bottom w:val="single" w:sz="4" w:space="0" w:color="auto"/>
              <w:right w:val="single" w:sz="4" w:space="0" w:color="auto"/>
            </w:tcBorders>
            <w:vAlign w:val="bottom"/>
            <w:hideMark/>
          </w:tcPr>
          <w:p w14:paraId="2F7F5BC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$869,758</w:t>
            </w:r>
          </w:p>
        </w:tc>
        <w:tc>
          <w:tcPr>
            <w:tcW w:w="1170" w:type="dxa"/>
            <w:tcBorders>
              <w:top w:val="nil"/>
              <w:left w:val="nil"/>
              <w:bottom w:val="single" w:sz="4" w:space="0" w:color="auto"/>
              <w:right w:val="single" w:sz="4" w:space="0" w:color="auto"/>
            </w:tcBorders>
            <w:vAlign w:val="bottom"/>
            <w:hideMark/>
          </w:tcPr>
          <w:p w14:paraId="43F0881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$104,371</w:t>
            </w:r>
          </w:p>
        </w:tc>
        <w:tc>
          <w:tcPr>
            <w:tcW w:w="1260" w:type="dxa"/>
            <w:tcBorders>
              <w:top w:val="nil"/>
              <w:left w:val="nil"/>
              <w:bottom w:val="single" w:sz="4" w:space="0" w:color="auto"/>
              <w:right w:val="single" w:sz="4" w:space="0" w:color="auto"/>
            </w:tcBorders>
            <w:vAlign w:val="bottom"/>
            <w:hideMark/>
          </w:tcPr>
          <w:p w14:paraId="7DA2511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$179,798</w:t>
            </w:r>
          </w:p>
        </w:tc>
        <w:tc>
          <w:tcPr>
            <w:tcW w:w="1080" w:type="dxa"/>
            <w:tcBorders>
              <w:top w:val="nil"/>
              <w:left w:val="nil"/>
              <w:bottom w:val="single" w:sz="4" w:space="0" w:color="auto"/>
              <w:right w:val="single" w:sz="4" w:space="0" w:color="auto"/>
            </w:tcBorders>
            <w:vAlign w:val="bottom"/>
            <w:hideMark/>
          </w:tcPr>
          <w:p w14:paraId="570DE50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B18192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$179,798</w:t>
            </w:r>
          </w:p>
        </w:tc>
        <w:tc>
          <w:tcPr>
            <w:tcW w:w="1170" w:type="dxa"/>
            <w:tcBorders>
              <w:top w:val="nil"/>
              <w:left w:val="nil"/>
              <w:bottom w:val="single" w:sz="4" w:space="0" w:color="auto"/>
              <w:right w:val="single" w:sz="4" w:space="0" w:color="auto"/>
            </w:tcBorders>
            <w:vAlign w:val="bottom"/>
            <w:hideMark/>
          </w:tcPr>
          <w:p w14:paraId="768AD92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172.27%</w:t>
            </w:r>
          </w:p>
        </w:tc>
        <w:tc>
          <w:tcPr>
            <w:tcW w:w="1260" w:type="dxa"/>
            <w:tcBorders>
              <w:top w:val="nil"/>
              <w:left w:val="nil"/>
              <w:bottom w:val="single" w:sz="4" w:space="0" w:color="auto"/>
              <w:right w:val="single" w:sz="4" w:space="0" w:color="auto"/>
            </w:tcBorders>
            <w:vAlign w:val="bottom"/>
            <w:hideMark/>
          </w:tcPr>
          <w:p w14:paraId="47BA303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$75,427</w:t>
            </w:r>
          </w:p>
        </w:tc>
      </w:tr>
      <w:tr w:rsidR="00433DC8" w:rsidRPr="00433DC8" w14:paraId="318DDB9A"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0CBEE470"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30" w:type="dxa"/>
            <w:tcBorders>
              <w:top w:val="nil"/>
              <w:left w:val="nil"/>
              <w:bottom w:val="single" w:sz="4" w:space="0" w:color="auto"/>
              <w:right w:val="single" w:sz="4" w:space="0" w:color="auto"/>
            </w:tcBorders>
            <w:vAlign w:val="bottom"/>
            <w:hideMark/>
          </w:tcPr>
          <w:p w14:paraId="124E426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OCD</w:t>
            </w:r>
          </w:p>
        </w:tc>
        <w:tc>
          <w:tcPr>
            <w:tcW w:w="4050" w:type="dxa"/>
            <w:tcBorders>
              <w:top w:val="nil"/>
              <w:left w:val="nil"/>
              <w:bottom w:val="single" w:sz="4" w:space="0" w:color="auto"/>
              <w:right w:val="single" w:sz="4" w:space="0" w:color="auto"/>
            </w:tcBorders>
            <w:vAlign w:val="bottom"/>
            <w:hideMark/>
          </w:tcPr>
          <w:p w14:paraId="5F5544B9"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HOUSING AND COMMUNITY DEVELOPMENT</w:t>
            </w:r>
          </w:p>
        </w:tc>
        <w:tc>
          <w:tcPr>
            <w:tcW w:w="1260" w:type="dxa"/>
            <w:tcBorders>
              <w:top w:val="nil"/>
              <w:left w:val="nil"/>
              <w:bottom w:val="single" w:sz="4" w:space="0" w:color="auto"/>
              <w:right w:val="single" w:sz="4" w:space="0" w:color="auto"/>
            </w:tcBorders>
            <w:vAlign w:val="bottom"/>
            <w:hideMark/>
          </w:tcPr>
          <w:p w14:paraId="653A63F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$157,534,825</w:t>
            </w:r>
          </w:p>
        </w:tc>
        <w:tc>
          <w:tcPr>
            <w:tcW w:w="1170" w:type="dxa"/>
            <w:tcBorders>
              <w:top w:val="nil"/>
              <w:left w:val="nil"/>
              <w:bottom w:val="single" w:sz="4" w:space="0" w:color="auto"/>
              <w:right w:val="single" w:sz="4" w:space="0" w:color="auto"/>
            </w:tcBorders>
            <w:vAlign w:val="bottom"/>
            <w:hideMark/>
          </w:tcPr>
          <w:p w14:paraId="0C19F71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$18,904,179</w:t>
            </w:r>
          </w:p>
        </w:tc>
        <w:tc>
          <w:tcPr>
            <w:tcW w:w="1260" w:type="dxa"/>
            <w:tcBorders>
              <w:top w:val="nil"/>
              <w:left w:val="nil"/>
              <w:bottom w:val="single" w:sz="4" w:space="0" w:color="auto"/>
              <w:right w:val="single" w:sz="4" w:space="0" w:color="auto"/>
            </w:tcBorders>
            <w:vAlign w:val="bottom"/>
            <w:hideMark/>
          </w:tcPr>
          <w:p w14:paraId="5B29DB1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$78,155,643</w:t>
            </w:r>
          </w:p>
        </w:tc>
        <w:tc>
          <w:tcPr>
            <w:tcW w:w="1080" w:type="dxa"/>
            <w:tcBorders>
              <w:top w:val="nil"/>
              <w:left w:val="nil"/>
              <w:bottom w:val="single" w:sz="4" w:space="0" w:color="auto"/>
              <w:right w:val="single" w:sz="4" w:space="0" w:color="auto"/>
            </w:tcBorders>
            <w:vAlign w:val="bottom"/>
            <w:hideMark/>
          </w:tcPr>
          <w:p w14:paraId="6FC6ED1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D82DFE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$78,155,643</w:t>
            </w:r>
          </w:p>
        </w:tc>
        <w:tc>
          <w:tcPr>
            <w:tcW w:w="1170" w:type="dxa"/>
            <w:tcBorders>
              <w:top w:val="nil"/>
              <w:left w:val="nil"/>
              <w:bottom w:val="single" w:sz="4" w:space="0" w:color="auto"/>
              <w:right w:val="single" w:sz="4" w:space="0" w:color="auto"/>
            </w:tcBorders>
            <w:vAlign w:val="bottom"/>
            <w:hideMark/>
          </w:tcPr>
          <w:p w14:paraId="60D56D1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413.43%</w:t>
            </w:r>
          </w:p>
        </w:tc>
        <w:tc>
          <w:tcPr>
            <w:tcW w:w="1260" w:type="dxa"/>
            <w:tcBorders>
              <w:top w:val="nil"/>
              <w:left w:val="nil"/>
              <w:bottom w:val="single" w:sz="4" w:space="0" w:color="auto"/>
              <w:right w:val="single" w:sz="4" w:space="0" w:color="auto"/>
            </w:tcBorders>
            <w:vAlign w:val="bottom"/>
            <w:hideMark/>
          </w:tcPr>
          <w:p w14:paraId="76C653E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$59,251,464</w:t>
            </w:r>
          </w:p>
        </w:tc>
      </w:tr>
      <w:tr w:rsidR="00433DC8" w:rsidRPr="00433DC8" w14:paraId="2991984D"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2A2E6136"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30" w:type="dxa"/>
            <w:tcBorders>
              <w:top w:val="nil"/>
              <w:left w:val="nil"/>
              <w:bottom w:val="single" w:sz="4" w:space="0" w:color="auto"/>
              <w:right w:val="single" w:sz="4" w:space="0" w:color="auto"/>
            </w:tcBorders>
            <w:vAlign w:val="bottom"/>
            <w:hideMark/>
          </w:tcPr>
          <w:p w14:paraId="50542C48"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REG</w:t>
            </w:r>
          </w:p>
        </w:tc>
        <w:tc>
          <w:tcPr>
            <w:tcW w:w="4050" w:type="dxa"/>
            <w:tcBorders>
              <w:top w:val="nil"/>
              <w:left w:val="nil"/>
              <w:bottom w:val="single" w:sz="4" w:space="0" w:color="auto"/>
              <w:right w:val="single" w:sz="4" w:space="0" w:color="auto"/>
            </w:tcBorders>
            <w:vAlign w:val="bottom"/>
            <w:hideMark/>
          </w:tcPr>
          <w:p w14:paraId="4833B3ED"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DIVISION OF PROFESSIONAL LICENSURE</w:t>
            </w:r>
          </w:p>
        </w:tc>
        <w:tc>
          <w:tcPr>
            <w:tcW w:w="1260" w:type="dxa"/>
            <w:tcBorders>
              <w:top w:val="nil"/>
              <w:left w:val="nil"/>
              <w:bottom w:val="single" w:sz="4" w:space="0" w:color="auto"/>
              <w:right w:val="single" w:sz="4" w:space="0" w:color="auto"/>
            </w:tcBorders>
            <w:vAlign w:val="bottom"/>
            <w:hideMark/>
          </w:tcPr>
          <w:p w14:paraId="028A68E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$629,969</w:t>
            </w:r>
          </w:p>
        </w:tc>
        <w:tc>
          <w:tcPr>
            <w:tcW w:w="1170" w:type="dxa"/>
            <w:tcBorders>
              <w:top w:val="nil"/>
              <w:left w:val="nil"/>
              <w:bottom w:val="single" w:sz="4" w:space="0" w:color="auto"/>
              <w:right w:val="single" w:sz="4" w:space="0" w:color="auto"/>
            </w:tcBorders>
            <w:vAlign w:val="bottom"/>
            <w:hideMark/>
          </w:tcPr>
          <w:p w14:paraId="12E7760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$75,596</w:t>
            </w:r>
          </w:p>
        </w:tc>
        <w:tc>
          <w:tcPr>
            <w:tcW w:w="1260" w:type="dxa"/>
            <w:tcBorders>
              <w:top w:val="nil"/>
              <w:left w:val="nil"/>
              <w:bottom w:val="single" w:sz="4" w:space="0" w:color="auto"/>
              <w:right w:val="single" w:sz="4" w:space="0" w:color="auto"/>
            </w:tcBorders>
            <w:vAlign w:val="bottom"/>
            <w:hideMark/>
          </w:tcPr>
          <w:p w14:paraId="54A6E98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$382,610</w:t>
            </w:r>
          </w:p>
        </w:tc>
        <w:tc>
          <w:tcPr>
            <w:tcW w:w="1080" w:type="dxa"/>
            <w:tcBorders>
              <w:top w:val="nil"/>
              <w:left w:val="nil"/>
              <w:bottom w:val="single" w:sz="4" w:space="0" w:color="auto"/>
              <w:right w:val="single" w:sz="4" w:space="0" w:color="auto"/>
            </w:tcBorders>
            <w:vAlign w:val="bottom"/>
            <w:hideMark/>
          </w:tcPr>
          <w:p w14:paraId="2259660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AAC557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$382,610</w:t>
            </w:r>
          </w:p>
        </w:tc>
        <w:tc>
          <w:tcPr>
            <w:tcW w:w="1170" w:type="dxa"/>
            <w:tcBorders>
              <w:top w:val="nil"/>
              <w:left w:val="nil"/>
              <w:bottom w:val="single" w:sz="4" w:space="0" w:color="auto"/>
              <w:right w:val="single" w:sz="4" w:space="0" w:color="auto"/>
            </w:tcBorders>
            <w:vAlign w:val="bottom"/>
            <w:hideMark/>
          </w:tcPr>
          <w:p w14:paraId="20587DA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506.12%</w:t>
            </w:r>
          </w:p>
        </w:tc>
        <w:tc>
          <w:tcPr>
            <w:tcW w:w="1260" w:type="dxa"/>
            <w:tcBorders>
              <w:top w:val="nil"/>
              <w:left w:val="nil"/>
              <w:bottom w:val="single" w:sz="4" w:space="0" w:color="auto"/>
              <w:right w:val="single" w:sz="4" w:space="0" w:color="auto"/>
            </w:tcBorders>
            <w:vAlign w:val="bottom"/>
            <w:hideMark/>
          </w:tcPr>
          <w:p w14:paraId="7DD9DA1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$307,014</w:t>
            </w:r>
          </w:p>
        </w:tc>
      </w:tr>
      <w:tr w:rsidR="00433DC8" w:rsidRPr="00433DC8" w14:paraId="2435D618"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518C8EEC"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30" w:type="dxa"/>
            <w:tcBorders>
              <w:top w:val="nil"/>
              <w:left w:val="nil"/>
              <w:bottom w:val="single" w:sz="4" w:space="0" w:color="auto"/>
              <w:right w:val="single" w:sz="4" w:space="0" w:color="auto"/>
            </w:tcBorders>
            <w:vAlign w:val="bottom"/>
            <w:hideMark/>
          </w:tcPr>
          <w:p w14:paraId="1853E27B"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SCA</w:t>
            </w:r>
          </w:p>
        </w:tc>
        <w:tc>
          <w:tcPr>
            <w:tcW w:w="4050" w:type="dxa"/>
            <w:tcBorders>
              <w:top w:val="nil"/>
              <w:left w:val="nil"/>
              <w:bottom w:val="single" w:sz="4" w:space="0" w:color="auto"/>
              <w:right w:val="single" w:sz="4" w:space="0" w:color="auto"/>
            </w:tcBorders>
            <w:vAlign w:val="bottom"/>
            <w:hideMark/>
          </w:tcPr>
          <w:p w14:paraId="65244DF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OFFICE OF CONSUMER AFFAIRS AND BUSINESS REGULATION</w:t>
            </w:r>
          </w:p>
        </w:tc>
        <w:tc>
          <w:tcPr>
            <w:tcW w:w="1260" w:type="dxa"/>
            <w:tcBorders>
              <w:top w:val="nil"/>
              <w:left w:val="nil"/>
              <w:bottom w:val="single" w:sz="4" w:space="0" w:color="auto"/>
              <w:right w:val="single" w:sz="4" w:space="0" w:color="auto"/>
            </w:tcBorders>
            <w:vAlign w:val="bottom"/>
            <w:hideMark/>
          </w:tcPr>
          <w:p w14:paraId="3CD0E3C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$60,998</w:t>
            </w:r>
          </w:p>
        </w:tc>
        <w:tc>
          <w:tcPr>
            <w:tcW w:w="1170" w:type="dxa"/>
            <w:tcBorders>
              <w:top w:val="nil"/>
              <w:left w:val="nil"/>
              <w:bottom w:val="single" w:sz="4" w:space="0" w:color="auto"/>
              <w:right w:val="single" w:sz="4" w:space="0" w:color="auto"/>
            </w:tcBorders>
            <w:vAlign w:val="bottom"/>
            <w:hideMark/>
          </w:tcPr>
          <w:p w14:paraId="34BF800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$7,320</w:t>
            </w:r>
          </w:p>
        </w:tc>
        <w:tc>
          <w:tcPr>
            <w:tcW w:w="1260" w:type="dxa"/>
            <w:tcBorders>
              <w:top w:val="nil"/>
              <w:left w:val="nil"/>
              <w:bottom w:val="single" w:sz="4" w:space="0" w:color="auto"/>
              <w:right w:val="single" w:sz="4" w:space="0" w:color="auto"/>
            </w:tcBorders>
            <w:vAlign w:val="bottom"/>
            <w:hideMark/>
          </w:tcPr>
          <w:p w14:paraId="31A000A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$24,170</w:t>
            </w:r>
          </w:p>
        </w:tc>
        <w:tc>
          <w:tcPr>
            <w:tcW w:w="1080" w:type="dxa"/>
            <w:tcBorders>
              <w:top w:val="nil"/>
              <w:left w:val="nil"/>
              <w:bottom w:val="single" w:sz="4" w:space="0" w:color="auto"/>
              <w:right w:val="single" w:sz="4" w:space="0" w:color="auto"/>
            </w:tcBorders>
            <w:vAlign w:val="bottom"/>
            <w:hideMark/>
          </w:tcPr>
          <w:p w14:paraId="624624F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805F6B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$24,170</w:t>
            </w:r>
          </w:p>
        </w:tc>
        <w:tc>
          <w:tcPr>
            <w:tcW w:w="1170" w:type="dxa"/>
            <w:tcBorders>
              <w:top w:val="nil"/>
              <w:left w:val="nil"/>
              <w:bottom w:val="single" w:sz="4" w:space="0" w:color="auto"/>
              <w:right w:val="single" w:sz="4" w:space="0" w:color="auto"/>
            </w:tcBorders>
            <w:vAlign w:val="bottom"/>
            <w:hideMark/>
          </w:tcPr>
          <w:p w14:paraId="57D5DD0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330.20%</w:t>
            </w:r>
          </w:p>
        </w:tc>
        <w:tc>
          <w:tcPr>
            <w:tcW w:w="1260" w:type="dxa"/>
            <w:tcBorders>
              <w:top w:val="nil"/>
              <w:left w:val="nil"/>
              <w:bottom w:val="single" w:sz="4" w:space="0" w:color="auto"/>
              <w:right w:val="single" w:sz="4" w:space="0" w:color="auto"/>
            </w:tcBorders>
            <w:vAlign w:val="bottom"/>
            <w:hideMark/>
          </w:tcPr>
          <w:p w14:paraId="428C877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$16,850</w:t>
            </w:r>
          </w:p>
        </w:tc>
      </w:tr>
      <w:tr w:rsidR="00433DC8" w:rsidRPr="00433DC8" w14:paraId="02EC8460"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406325D8"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30" w:type="dxa"/>
            <w:tcBorders>
              <w:top w:val="nil"/>
              <w:left w:val="nil"/>
              <w:bottom w:val="single" w:sz="4" w:space="0" w:color="auto"/>
              <w:right w:val="single" w:sz="4" w:space="0" w:color="auto"/>
            </w:tcBorders>
            <w:vAlign w:val="bottom"/>
            <w:hideMark/>
          </w:tcPr>
          <w:p w14:paraId="36AFA21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SEA</w:t>
            </w:r>
          </w:p>
        </w:tc>
        <w:tc>
          <w:tcPr>
            <w:tcW w:w="4050" w:type="dxa"/>
            <w:tcBorders>
              <w:top w:val="nil"/>
              <w:left w:val="nil"/>
              <w:bottom w:val="single" w:sz="4" w:space="0" w:color="auto"/>
              <w:right w:val="single" w:sz="4" w:space="0" w:color="auto"/>
            </w:tcBorders>
            <w:vAlign w:val="bottom"/>
            <w:hideMark/>
          </w:tcPr>
          <w:p w14:paraId="0AEB19CA"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BUSINESS AND TECHNOLOGY</w:t>
            </w:r>
          </w:p>
        </w:tc>
        <w:tc>
          <w:tcPr>
            <w:tcW w:w="1260" w:type="dxa"/>
            <w:tcBorders>
              <w:top w:val="nil"/>
              <w:left w:val="nil"/>
              <w:bottom w:val="single" w:sz="4" w:space="0" w:color="auto"/>
              <w:right w:val="single" w:sz="4" w:space="0" w:color="auto"/>
            </w:tcBorders>
            <w:vAlign w:val="bottom"/>
            <w:hideMark/>
          </w:tcPr>
          <w:p w14:paraId="7849196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$35,602</w:t>
            </w:r>
          </w:p>
        </w:tc>
        <w:tc>
          <w:tcPr>
            <w:tcW w:w="1170" w:type="dxa"/>
            <w:tcBorders>
              <w:top w:val="nil"/>
              <w:left w:val="nil"/>
              <w:bottom w:val="single" w:sz="4" w:space="0" w:color="auto"/>
              <w:right w:val="single" w:sz="4" w:space="0" w:color="auto"/>
            </w:tcBorders>
            <w:vAlign w:val="bottom"/>
            <w:hideMark/>
          </w:tcPr>
          <w:p w14:paraId="27602EA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$4,272</w:t>
            </w:r>
          </w:p>
        </w:tc>
        <w:tc>
          <w:tcPr>
            <w:tcW w:w="1260" w:type="dxa"/>
            <w:tcBorders>
              <w:top w:val="nil"/>
              <w:left w:val="nil"/>
              <w:bottom w:val="single" w:sz="4" w:space="0" w:color="auto"/>
              <w:right w:val="single" w:sz="4" w:space="0" w:color="auto"/>
            </w:tcBorders>
            <w:vAlign w:val="bottom"/>
            <w:hideMark/>
          </w:tcPr>
          <w:p w14:paraId="2FEB8DC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$17,687</w:t>
            </w:r>
          </w:p>
        </w:tc>
        <w:tc>
          <w:tcPr>
            <w:tcW w:w="1080" w:type="dxa"/>
            <w:tcBorders>
              <w:top w:val="nil"/>
              <w:left w:val="nil"/>
              <w:bottom w:val="single" w:sz="4" w:space="0" w:color="auto"/>
              <w:right w:val="single" w:sz="4" w:space="0" w:color="auto"/>
            </w:tcBorders>
            <w:vAlign w:val="bottom"/>
            <w:hideMark/>
          </w:tcPr>
          <w:p w14:paraId="7AAAA01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7ECDB22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$17,687</w:t>
            </w:r>
          </w:p>
        </w:tc>
        <w:tc>
          <w:tcPr>
            <w:tcW w:w="1170" w:type="dxa"/>
            <w:tcBorders>
              <w:top w:val="nil"/>
              <w:left w:val="nil"/>
              <w:bottom w:val="single" w:sz="4" w:space="0" w:color="auto"/>
              <w:right w:val="single" w:sz="4" w:space="0" w:color="auto"/>
            </w:tcBorders>
            <w:vAlign w:val="bottom"/>
            <w:hideMark/>
          </w:tcPr>
          <w:p w14:paraId="3437995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413.99%</w:t>
            </w:r>
          </w:p>
        </w:tc>
        <w:tc>
          <w:tcPr>
            <w:tcW w:w="1260" w:type="dxa"/>
            <w:tcBorders>
              <w:top w:val="nil"/>
              <w:left w:val="nil"/>
              <w:bottom w:val="single" w:sz="4" w:space="0" w:color="auto"/>
              <w:right w:val="single" w:sz="4" w:space="0" w:color="auto"/>
            </w:tcBorders>
            <w:vAlign w:val="bottom"/>
            <w:hideMark/>
          </w:tcPr>
          <w:p w14:paraId="54029A7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$13,414</w:t>
            </w:r>
          </w:p>
        </w:tc>
      </w:tr>
      <w:tr w:rsidR="00433DC8" w:rsidRPr="00433DC8" w14:paraId="1F181C66" w14:textId="77777777" w:rsidTr="009050D8">
        <w:trPr>
          <w:trHeight w:val="179"/>
        </w:trPr>
        <w:tc>
          <w:tcPr>
            <w:tcW w:w="630" w:type="dxa"/>
            <w:tcBorders>
              <w:top w:val="nil"/>
              <w:left w:val="single" w:sz="4" w:space="0" w:color="auto"/>
              <w:bottom w:val="nil"/>
              <w:right w:val="single" w:sz="4" w:space="0" w:color="auto"/>
            </w:tcBorders>
            <w:vAlign w:val="bottom"/>
            <w:hideMark/>
          </w:tcPr>
          <w:p w14:paraId="469F12B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EED</w:t>
            </w:r>
          </w:p>
        </w:tc>
        <w:tc>
          <w:tcPr>
            <w:tcW w:w="630" w:type="dxa"/>
            <w:tcBorders>
              <w:top w:val="nil"/>
              <w:left w:val="nil"/>
              <w:bottom w:val="nil"/>
              <w:right w:val="single" w:sz="4" w:space="0" w:color="auto"/>
            </w:tcBorders>
            <w:vAlign w:val="bottom"/>
            <w:hideMark/>
          </w:tcPr>
          <w:p w14:paraId="5F9EE1E2"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TAC</w:t>
            </w:r>
          </w:p>
        </w:tc>
        <w:tc>
          <w:tcPr>
            <w:tcW w:w="4050" w:type="dxa"/>
            <w:tcBorders>
              <w:top w:val="nil"/>
              <w:left w:val="nil"/>
              <w:bottom w:val="nil"/>
              <w:right w:val="single" w:sz="4" w:space="0" w:color="auto"/>
            </w:tcBorders>
            <w:vAlign w:val="bottom"/>
            <w:hideMark/>
          </w:tcPr>
          <w:p w14:paraId="6D4C8A4B"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TELECOMMUNICATION AND CABLE</w:t>
            </w:r>
          </w:p>
        </w:tc>
        <w:tc>
          <w:tcPr>
            <w:tcW w:w="1260" w:type="dxa"/>
            <w:tcBorders>
              <w:top w:val="nil"/>
              <w:left w:val="nil"/>
              <w:bottom w:val="nil"/>
              <w:right w:val="single" w:sz="4" w:space="0" w:color="auto"/>
            </w:tcBorders>
            <w:vAlign w:val="bottom"/>
            <w:hideMark/>
          </w:tcPr>
          <w:p w14:paraId="2C624E5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$215,916</w:t>
            </w:r>
          </w:p>
        </w:tc>
        <w:tc>
          <w:tcPr>
            <w:tcW w:w="1170" w:type="dxa"/>
            <w:tcBorders>
              <w:top w:val="nil"/>
              <w:left w:val="nil"/>
              <w:bottom w:val="nil"/>
              <w:right w:val="single" w:sz="4" w:space="0" w:color="auto"/>
            </w:tcBorders>
            <w:vAlign w:val="bottom"/>
            <w:hideMark/>
          </w:tcPr>
          <w:p w14:paraId="52652E0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$25,910</w:t>
            </w:r>
          </w:p>
        </w:tc>
        <w:tc>
          <w:tcPr>
            <w:tcW w:w="1260" w:type="dxa"/>
            <w:tcBorders>
              <w:top w:val="nil"/>
              <w:left w:val="nil"/>
              <w:bottom w:val="nil"/>
              <w:right w:val="single" w:sz="4" w:space="0" w:color="auto"/>
            </w:tcBorders>
            <w:vAlign w:val="bottom"/>
            <w:hideMark/>
          </w:tcPr>
          <w:p w14:paraId="0EA2F5F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$25,068</w:t>
            </w:r>
          </w:p>
        </w:tc>
        <w:tc>
          <w:tcPr>
            <w:tcW w:w="1080" w:type="dxa"/>
            <w:tcBorders>
              <w:top w:val="nil"/>
              <w:left w:val="nil"/>
              <w:bottom w:val="nil"/>
              <w:right w:val="single" w:sz="4" w:space="0" w:color="auto"/>
            </w:tcBorders>
            <w:vAlign w:val="bottom"/>
            <w:hideMark/>
          </w:tcPr>
          <w:p w14:paraId="1CC2EC8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7CF800A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$25,068</w:t>
            </w:r>
          </w:p>
        </w:tc>
        <w:tc>
          <w:tcPr>
            <w:tcW w:w="1170" w:type="dxa"/>
            <w:tcBorders>
              <w:top w:val="nil"/>
              <w:left w:val="nil"/>
              <w:bottom w:val="nil"/>
              <w:right w:val="single" w:sz="4" w:space="0" w:color="auto"/>
            </w:tcBorders>
            <w:vAlign w:val="bottom"/>
            <w:hideMark/>
          </w:tcPr>
          <w:p w14:paraId="513E072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96.75%</w:t>
            </w:r>
          </w:p>
        </w:tc>
        <w:tc>
          <w:tcPr>
            <w:tcW w:w="1260" w:type="dxa"/>
            <w:tcBorders>
              <w:top w:val="nil"/>
              <w:left w:val="nil"/>
              <w:bottom w:val="nil"/>
              <w:right w:val="single" w:sz="4" w:space="0" w:color="auto"/>
            </w:tcBorders>
            <w:vAlign w:val="bottom"/>
            <w:hideMark/>
          </w:tcPr>
          <w:p w14:paraId="53A5EA3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-$841</w:t>
            </w:r>
          </w:p>
        </w:tc>
      </w:tr>
      <w:tr w:rsidR="00433DC8" w:rsidRPr="00433DC8" w14:paraId="24D3A6E6" w14:textId="77777777" w:rsidTr="009050D8">
        <w:trPr>
          <w:trHeight w:val="160"/>
        </w:trPr>
        <w:tc>
          <w:tcPr>
            <w:tcW w:w="5310" w:type="dxa"/>
            <w:gridSpan w:val="3"/>
            <w:tcBorders>
              <w:top w:val="single" w:sz="8" w:space="0" w:color="auto"/>
              <w:left w:val="single" w:sz="8" w:space="0" w:color="auto"/>
              <w:bottom w:val="single" w:sz="8" w:space="0" w:color="auto"/>
              <w:right w:val="single" w:sz="4" w:space="0" w:color="auto"/>
            </w:tcBorders>
            <w:shd w:val="clear" w:color="000000" w:fill="C5D9F1"/>
            <w:vAlign w:val="bottom"/>
            <w:hideMark/>
          </w:tcPr>
          <w:p w14:paraId="7B0640A7" w14:textId="77777777" w:rsidR="00433DC8" w:rsidRPr="00E67D16" w:rsidRDefault="00433DC8" w:rsidP="00433DC8">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39EB5170"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$161,650,812</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139FF874"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$19,398,097</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7B0B278B"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$79,230,353</w:t>
            </w:r>
          </w:p>
        </w:tc>
        <w:tc>
          <w:tcPr>
            <w:tcW w:w="1080" w:type="dxa"/>
            <w:tcBorders>
              <w:top w:val="single" w:sz="8" w:space="0" w:color="auto"/>
              <w:left w:val="nil"/>
              <w:bottom w:val="single" w:sz="8" w:space="0" w:color="auto"/>
              <w:right w:val="single" w:sz="4" w:space="0" w:color="auto"/>
            </w:tcBorders>
            <w:shd w:val="clear" w:color="000000" w:fill="C5D9F1"/>
            <w:vAlign w:val="bottom"/>
            <w:hideMark/>
          </w:tcPr>
          <w:p w14:paraId="75F9028B"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6CE382DB"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$79,230,353</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6F200F34"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408.44%</w:t>
            </w:r>
          </w:p>
        </w:tc>
        <w:tc>
          <w:tcPr>
            <w:tcW w:w="1260" w:type="dxa"/>
            <w:tcBorders>
              <w:top w:val="single" w:sz="8" w:space="0" w:color="auto"/>
              <w:left w:val="nil"/>
              <w:bottom w:val="single" w:sz="8" w:space="0" w:color="auto"/>
              <w:right w:val="single" w:sz="8" w:space="0" w:color="auto"/>
            </w:tcBorders>
            <w:shd w:val="clear" w:color="000000" w:fill="C5D9F1"/>
            <w:vAlign w:val="bottom"/>
            <w:hideMark/>
          </w:tcPr>
          <w:p w14:paraId="3BF443A3"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$59,832,255</w:t>
            </w:r>
          </w:p>
        </w:tc>
      </w:tr>
      <w:tr w:rsidR="00433DC8" w:rsidRPr="00433DC8" w14:paraId="77108322" w14:textId="77777777" w:rsidTr="009050D8">
        <w:trPr>
          <w:trHeight w:val="151"/>
        </w:trPr>
        <w:tc>
          <w:tcPr>
            <w:tcW w:w="630" w:type="dxa"/>
            <w:tcBorders>
              <w:top w:val="nil"/>
              <w:left w:val="single" w:sz="4" w:space="0" w:color="auto"/>
              <w:bottom w:val="single" w:sz="4" w:space="0" w:color="auto"/>
              <w:right w:val="single" w:sz="4" w:space="0" w:color="auto"/>
            </w:tcBorders>
            <w:vAlign w:val="bottom"/>
            <w:hideMark/>
          </w:tcPr>
          <w:p w14:paraId="66B6817F"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0292CAF8"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CHE</w:t>
            </w:r>
          </w:p>
        </w:tc>
        <w:tc>
          <w:tcPr>
            <w:tcW w:w="4050" w:type="dxa"/>
            <w:tcBorders>
              <w:top w:val="nil"/>
              <w:left w:val="nil"/>
              <w:bottom w:val="single" w:sz="4" w:space="0" w:color="auto"/>
              <w:right w:val="single" w:sz="4" w:space="0" w:color="auto"/>
            </w:tcBorders>
            <w:vAlign w:val="bottom"/>
            <w:hideMark/>
          </w:tcPr>
          <w:p w14:paraId="548139CD"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SOLDIERS' HOME IN MASSACHUSETTS</w:t>
            </w:r>
          </w:p>
        </w:tc>
        <w:tc>
          <w:tcPr>
            <w:tcW w:w="1260" w:type="dxa"/>
            <w:tcBorders>
              <w:top w:val="nil"/>
              <w:left w:val="nil"/>
              <w:bottom w:val="single" w:sz="4" w:space="0" w:color="auto"/>
              <w:right w:val="single" w:sz="4" w:space="0" w:color="auto"/>
            </w:tcBorders>
            <w:vAlign w:val="bottom"/>
            <w:hideMark/>
          </w:tcPr>
          <w:p w14:paraId="7C933FA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$2,932,360</w:t>
            </w:r>
          </w:p>
        </w:tc>
        <w:tc>
          <w:tcPr>
            <w:tcW w:w="1170" w:type="dxa"/>
            <w:tcBorders>
              <w:top w:val="nil"/>
              <w:left w:val="nil"/>
              <w:bottom w:val="single" w:sz="4" w:space="0" w:color="auto"/>
              <w:right w:val="single" w:sz="4" w:space="0" w:color="auto"/>
            </w:tcBorders>
            <w:vAlign w:val="bottom"/>
            <w:hideMark/>
          </w:tcPr>
          <w:p w14:paraId="37FE7DE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$351,883</w:t>
            </w:r>
          </w:p>
        </w:tc>
        <w:tc>
          <w:tcPr>
            <w:tcW w:w="1260" w:type="dxa"/>
            <w:tcBorders>
              <w:top w:val="nil"/>
              <w:left w:val="nil"/>
              <w:bottom w:val="single" w:sz="4" w:space="0" w:color="auto"/>
              <w:right w:val="single" w:sz="4" w:space="0" w:color="auto"/>
            </w:tcBorders>
            <w:vAlign w:val="bottom"/>
            <w:hideMark/>
          </w:tcPr>
          <w:p w14:paraId="3931E23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$289,180</w:t>
            </w:r>
          </w:p>
        </w:tc>
        <w:tc>
          <w:tcPr>
            <w:tcW w:w="1080" w:type="dxa"/>
            <w:tcBorders>
              <w:top w:val="nil"/>
              <w:left w:val="nil"/>
              <w:bottom w:val="single" w:sz="4" w:space="0" w:color="auto"/>
              <w:right w:val="single" w:sz="4" w:space="0" w:color="auto"/>
            </w:tcBorders>
            <w:vAlign w:val="bottom"/>
            <w:hideMark/>
          </w:tcPr>
          <w:p w14:paraId="49C007C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66F77F8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$289,180</w:t>
            </w:r>
          </w:p>
        </w:tc>
        <w:tc>
          <w:tcPr>
            <w:tcW w:w="1170" w:type="dxa"/>
            <w:tcBorders>
              <w:top w:val="nil"/>
              <w:left w:val="nil"/>
              <w:bottom w:val="single" w:sz="4" w:space="0" w:color="auto"/>
              <w:right w:val="single" w:sz="4" w:space="0" w:color="auto"/>
            </w:tcBorders>
            <w:vAlign w:val="bottom"/>
            <w:hideMark/>
          </w:tcPr>
          <w:p w14:paraId="3FE3A81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82.18%</w:t>
            </w:r>
          </w:p>
        </w:tc>
        <w:tc>
          <w:tcPr>
            <w:tcW w:w="1260" w:type="dxa"/>
            <w:tcBorders>
              <w:top w:val="nil"/>
              <w:left w:val="nil"/>
              <w:bottom w:val="single" w:sz="4" w:space="0" w:color="auto"/>
              <w:right w:val="single" w:sz="4" w:space="0" w:color="auto"/>
            </w:tcBorders>
            <w:vAlign w:val="bottom"/>
            <w:hideMark/>
          </w:tcPr>
          <w:p w14:paraId="1BB482F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-$62,704</w:t>
            </w:r>
          </w:p>
        </w:tc>
      </w:tr>
      <w:tr w:rsidR="00433DC8" w:rsidRPr="00433DC8" w14:paraId="75A82B97"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4F83ADE8"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09B36F2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DMH</w:t>
            </w:r>
          </w:p>
        </w:tc>
        <w:tc>
          <w:tcPr>
            <w:tcW w:w="4050" w:type="dxa"/>
            <w:tcBorders>
              <w:top w:val="nil"/>
              <w:left w:val="nil"/>
              <w:bottom w:val="single" w:sz="4" w:space="0" w:color="auto"/>
              <w:right w:val="single" w:sz="4" w:space="0" w:color="auto"/>
            </w:tcBorders>
            <w:vAlign w:val="bottom"/>
            <w:hideMark/>
          </w:tcPr>
          <w:p w14:paraId="43BCFFA4"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MENTAL HEALTH</w:t>
            </w:r>
          </w:p>
        </w:tc>
        <w:tc>
          <w:tcPr>
            <w:tcW w:w="1260" w:type="dxa"/>
            <w:tcBorders>
              <w:top w:val="nil"/>
              <w:left w:val="nil"/>
              <w:bottom w:val="single" w:sz="4" w:space="0" w:color="auto"/>
              <w:right w:val="single" w:sz="4" w:space="0" w:color="auto"/>
            </w:tcBorders>
            <w:vAlign w:val="bottom"/>
            <w:hideMark/>
          </w:tcPr>
          <w:p w14:paraId="44A81EC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$448,756,035</w:t>
            </w:r>
          </w:p>
        </w:tc>
        <w:tc>
          <w:tcPr>
            <w:tcW w:w="1170" w:type="dxa"/>
            <w:tcBorders>
              <w:top w:val="nil"/>
              <w:left w:val="nil"/>
              <w:bottom w:val="single" w:sz="4" w:space="0" w:color="auto"/>
              <w:right w:val="single" w:sz="4" w:space="0" w:color="auto"/>
            </w:tcBorders>
            <w:vAlign w:val="bottom"/>
            <w:hideMark/>
          </w:tcPr>
          <w:p w14:paraId="00B291B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$53,850,724</w:t>
            </w:r>
          </w:p>
        </w:tc>
        <w:tc>
          <w:tcPr>
            <w:tcW w:w="1260" w:type="dxa"/>
            <w:tcBorders>
              <w:top w:val="nil"/>
              <w:left w:val="nil"/>
              <w:bottom w:val="single" w:sz="4" w:space="0" w:color="auto"/>
              <w:right w:val="single" w:sz="4" w:space="0" w:color="auto"/>
            </w:tcBorders>
            <w:vAlign w:val="bottom"/>
            <w:hideMark/>
          </w:tcPr>
          <w:p w14:paraId="5D8CDAE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$72,054,500</w:t>
            </w:r>
          </w:p>
        </w:tc>
        <w:tc>
          <w:tcPr>
            <w:tcW w:w="1080" w:type="dxa"/>
            <w:tcBorders>
              <w:top w:val="nil"/>
              <w:left w:val="nil"/>
              <w:bottom w:val="single" w:sz="4" w:space="0" w:color="auto"/>
              <w:right w:val="single" w:sz="4" w:space="0" w:color="auto"/>
            </w:tcBorders>
            <w:vAlign w:val="bottom"/>
            <w:hideMark/>
          </w:tcPr>
          <w:p w14:paraId="7FB64C9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$7,764,209</w:t>
            </w:r>
          </w:p>
        </w:tc>
        <w:tc>
          <w:tcPr>
            <w:tcW w:w="1170" w:type="dxa"/>
            <w:tcBorders>
              <w:top w:val="nil"/>
              <w:left w:val="nil"/>
              <w:bottom w:val="single" w:sz="4" w:space="0" w:color="auto"/>
              <w:right w:val="single" w:sz="4" w:space="0" w:color="auto"/>
            </w:tcBorders>
            <w:vAlign w:val="bottom"/>
            <w:hideMark/>
          </w:tcPr>
          <w:p w14:paraId="0FA6555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$79,818,709</w:t>
            </w:r>
          </w:p>
        </w:tc>
        <w:tc>
          <w:tcPr>
            <w:tcW w:w="1170" w:type="dxa"/>
            <w:tcBorders>
              <w:top w:val="nil"/>
              <w:left w:val="nil"/>
              <w:bottom w:val="single" w:sz="4" w:space="0" w:color="auto"/>
              <w:right w:val="single" w:sz="4" w:space="0" w:color="auto"/>
            </w:tcBorders>
            <w:vAlign w:val="bottom"/>
            <w:hideMark/>
          </w:tcPr>
          <w:p w14:paraId="7B25B64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148.22%</w:t>
            </w:r>
          </w:p>
        </w:tc>
        <w:tc>
          <w:tcPr>
            <w:tcW w:w="1260" w:type="dxa"/>
            <w:tcBorders>
              <w:top w:val="nil"/>
              <w:left w:val="nil"/>
              <w:bottom w:val="single" w:sz="4" w:space="0" w:color="auto"/>
              <w:right w:val="single" w:sz="4" w:space="0" w:color="auto"/>
            </w:tcBorders>
            <w:vAlign w:val="bottom"/>
            <w:hideMark/>
          </w:tcPr>
          <w:p w14:paraId="70CFF99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$25,967,984</w:t>
            </w:r>
          </w:p>
        </w:tc>
      </w:tr>
      <w:tr w:rsidR="00433DC8" w:rsidRPr="00433DC8" w14:paraId="3DC78591"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4F9D302C"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5C4DEC9D"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DMR</w:t>
            </w:r>
          </w:p>
        </w:tc>
        <w:tc>
          <w:tcPr>
            <w:tcW w:w="4050" w:type="dxa"/>
            <w:tcBorders>
              <w:top w:val="nil"/>
              <w:left w:val="nil"/>
              <w:bottom w:val="single" w:sz="4" w:space="0" w:color="auto"/>
              <w:right w:val="single" w:sz="4" w:space="0" w:color="auto"/>
            </w:tcBorders>
            <w:vAlign w:val="bottom"/>
            <w:hideMark/>
          </w:tcPr>
          <w:p w14:paraId="347B1AB4"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DEVELOPMENTAL SERVICES</w:t>
            </w:r>
          </w:p>
        </w:tc>
        <w:tc>
          <w:tcPr>
            <w:tcW w:w="1260" w:type="dxa"/>
            <w:tcBorders>
              <w:top w:val="nil"/>
              <w:left w:val="nil"/>
              <w:bottom w:val="single" w:sz="4" w:space="0" w:color="auto"/>
              <w:right w:val="single" w:sz="4" w:space="0" w:color="auto"/>
            </w:tcBorders>
            <w:vAlign w:val="bottom"/>
            <w:hideMark/>
          </w:tcPr>
          <w:p w14:paraId="71BC32C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$1,103,186,654</w:t>
            </w:r>
          </w:p>
        </w:tc>
        <w:tc>
          <w:tcPr>
            <w:tcW w:w="1170" w:type="dxa"/>
            <w:tcBorders>
              <w:top w:val="nil"/>
              <w:left w:val="nil"/>
              <w:bottom w:val="single" w:sz="4" w:space="0" w:color="auto"/>
              <w:right w:val="single" w:sz="4" w:space="0" w:color="auto"/>
            </w:tcBorders>
            <w:vAlign w:val="bottom"/>
            <w:hideMark/>
          </w:tcPr>
          <w:p w14:paraId="5BF599E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$132,382,398</w:t>
            </w:r>
          </w:p>
        </w:tc>
        <w:tc>
          <w:tcPr>
            <w:tcW w:w="1260" w:type="dxa"/>
            <w:tcBorders>
              <w:top w:val="nil"/>
              <w:left w:val="nil"/>
              <w:bottom w:val="single" w:sz="4" w:space="0" w:color="auto"/>
              <w:right w:val="single" w:sz="4" w:space="0" w:color="auto"/>
            </w:tcBorders>
            <w:vAlign w:val="bottom"/>
            <w:hideMark/>
          </w:tcPr>
          <w:p w14:paraId="781EB61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$132,796,478</w:t>
            </w:r>
          </w:p>
        </w:tc>
        <w:tc>
          <w:tcPr>
            <w:tcW w:w="1080" w:type="dxa"/>
            <w:tcBorders>
              <w:top w:val="nil"/>
              <w:left w:val="nil"/>
              <w:bottom w:val="single" w:sz="4" w:space="0" w:color="auto"/>
              <w:right w:val="single" w:sz="4" w:space="0" w:color="auto"/>
            </w:tcBorders>
            <w:vAlign w:val="bottom"/>
            <w:hideMark/>
          </w:tcPr>
          <w:p w14:paraId="4D3C9BD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29349C3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$132,796,478</w:t>
            </w:r>
          </w:p>
        </w:tc>
        <w:tc>
          <w:tcPr>
            <w:tcW w:w="1170" w:type="dxa"/>
            <w:tcBorders>
              <w:top w:val="nil"/>
              <w:left w:val="nil"/>
              <w:bottom w:val="single" w:sz="4" w:space="0" w:color="auto"/>
              <w:right w:val="single" w:sz="4" w:space="0" w:color="auto"/>
            </w:tcBorders>
            <w:vAlign w:val="bottom"/>
            <w:hideMark/>
          </w:tcPr>
          <w:p w14:paraId="625AD56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100.31%</w:t>
            </w:r>
          </w:p>
        </w:tc>
        <w:tc>
          <w:tcPr>
            <w:tcW w:w="1260" w:type="dxa"/>
            <w:tcBorders>
              <w:top w:val="nil"/>
              <w:left w:val="nil"/>
              <w:bottom w:val="single" w:sz="4" w:space="0" w:color="auto"/>
              <w:right w:val="single" w:sz="4" w:space="0" w:color="auto"/>
            </w:tcBorders>
            <w:vAlign w:val="bottom"/>
            <w:hideMark/>
          </w:tcPr>
          <w:p w14:paraId="51B8E8C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$414,080</w:t>
            </w:r>
          </w:p>
        </w:tc>
      </w:tr>
      <w:tr w:rsidR="00433DC8" w:rsidRPr="00433DC8" w14:paraId="1B3E092E"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2A5BF30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24863359"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DPH</w:t>
            </w:r>
          </w:p>
        </w:tc>
        <w:tc>
          <w:tcPr>
            <w:tcW w:w="4050" w:type="dxa"/>
            <w:tcBorders>
              <w:top w:val="nil"/>
              <w:left w:val="nil"/>
              <w:bottom w:val="single" w:sz="4" w:space="0" w:color="auto"/>
              <w:right w:val="single" w:sz="4" w:space="0" w:color="auto"/>
            </w:tcBorders>
            <w:vAlign w:val="bottom"/>
            <w:hideMark/>
          </w:tcPr>
          <w:p w14:paraId="4B6CA9D5"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PUBLIC HEALTH</w:t>
            </w:r>
          </w:p>
        </w:tc>
        <w:tc>
          <w:tcPr>
            <w:tcW w:w="1260" w:type="dxa"/>
            <w:tcBorders>
              <w:top w:val="nil"/>
              <w:left w:val="nil"/>
              <w:bottom w:val="single" w:sz="4" w:space="0" w:color="auto"/>
              <w:right w:val="single" w:sz="4" w:space="0" w:color="auto"/>
            </w:tcBorders>
            <w:vAlign w:val="bottom"/>
            <w:hideMark/>
          </w:tcPr>
          <w:p w14:paraId="22BC3BA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$442,145,269</w:t>
            </w:r>
          </w:p>
        </w:tc>
        <w:tc>
          <w:tcPr>
            <w:tcW w:w="1170" w:type="dxa"/>
            <w:tcBorders>
              <w:top w:val="nil"/>
              <w:left w:val="nil"/>
              <w:bottom w:val="single" w:sz="4" w:space="0" w:color="auto"/>
              <w:right w:val="single" w:sz="4" w:space="0" w:color="auto"/>
            </w:tcBorders>
            <w:vAlign w:val="bottom"/>
            <w:hideMark/>
          </w:tcPr>
          <w:p w14:paraId="2A4A39E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$53,057,432</w:t>
            </w:r>
          </w:p>
        </w:tc>
        <w:tc>
          <w:tcPr>
            <w:tcW w:w="1260" w:type="dxa"/>
            <w:tcBorders>
              <w:top w:val="nil"/>
              <w:left w:val="nil"/>
              <w:bottom w:val="single" w:sz="4" w:space="0" w:color="auto"/>
              <w:right w:val="single" w:sz="4" w:space="0" w:color="auto"/>
            </w:tcBorders>
            <w:vAlign w:val="bottom"/>
            <w:hideMark/>
          </w:tcPr>
          <w:p w14:paraId="7C9B6B5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$44,859,657</w:t>
            </w:r>
          </w:p>
        </w:tc>
        <w:tc>
          <w:tcPr>
            <w:tcW w:w="1080" w:type="dxa"/>
            <w:tcBorders>
              <w:top w:val="nil"/>
              <w:left w:val="nil"/>
              <w:bottom w:val="single" w:sz="4" w:space="0" w:color="auto"/>
              <w:right w:val="single" w:sz="4" w:space="0" w:color="auto"/>
            </w:tcBorders>
            <w:vAlign w:val="bottom"/>
            <w:hideMark/>
          </w:tcPr>
          <w:p w14:paraId="7172CDF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C53537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$44,859,657</w:t>
            </w:r>
          </w:p>
        </w:tc>
        <w:tc>
          <w:tcPr>
            <w:tcW w:w="1170" w:type="dxa"/>
            <w:tcBorders>
              <w:top w:val="nil"/>
              <w:left w:val="nil"/>
              <w:bottom w:val="single" w:sz="4" w:space="0" w:color="auto"/>
              <w:right w:val="single" w:sz="4" w:space="0" w:color="auto"/>
            </w:tcBorders>
            <w:vAlign w:val="bottom"/>
            <w:hideMark/>
          </w:tcPr>
          <w:p w14:paraId="03B5F00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84.55%</w:t>
            </w:r>
          </w:p>
        </w:tc>
        <w:tc>
          <w:tcPr>
            <w:tcW w:w="1260" w:type="dxa"/>
            <w:tcBorders>
              <w:top w:val="nil"/>
              <w:left w:val="nil"/>
              <w:bottom w:val="single" w:sz="4" w:space="0" w:color="auto"/>
              <w:right w:val="single" w:sz="4" w:space="0" w:color="auto"/>
            </w:tcBorders>
            <w:vAlign w:val="bottom"/>
            <w:hideMark/>
          </w:tcPr>
          <w:p w14:paraId="75C4D57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-$8,197,775</w:t>
            </w:r>
          </w:p>
        </w:tc>
      </w:tr>
      <w:tr w:rsidR="00433DC8" w:rsidRPr="00433DC8" w14:paraId="7E89E6C6"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35F2E02F"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418F46F0"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DSS</w:t>
            </w:r>
          </w:p>
        </w:tc>
        <w:tc>
          <w:tcPr>
            <w:tcW w:w="4050" w:type="dxa"/>
            <w:tcBorders>
              <w:top w:val="nil"/>
              <w:left w:val="nil"/>
              <w:bottom w:val="single" w:sz="4" w:space="0" w:color="auto"/>
              <w:right w:val="single" w:sz="4" w:space="0" w:color="auto"/>
            </w:tcBorders>
            <w:vAlign w:val="bottom"/>
            <w:hideMark/>
          </w:tcPr>
          <w:p w14:paraId="30A13330"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CHILDREN AND FAMILIES</w:t>
            </w:r>
          </w:p>
        </w:tc>
        <w:tc>
          <w:tcPr>
            <w:tcW w:w="1260" w:type="dxa"/>
            <w:tcBorders>
              <w:top w:val="nil"/>
              <w:left w:val="nil"/>
              <w:bottom w:val="single" w:sz="4" w:space="0" w:color="auto"/>
              <w:right w:val="single" w:sz="4" w:space="0" w:color="auto"/>
            </w:tcBorders>
            <w:vAlign w:val="bottom"/>
            <w:hideMark/>
          </w:tcPr>
          <w:p w14:paraId="333595A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$389,228,175</w:t>
            </w:r>
          </w:p>
        </w:tc>
        <w:tc>
          <w:tcPr>
            <w:tcW w:w="1170" w:type="dxa"/>
            <w:tcBorders>
              <w:top w:val="nil"/>
              <w:left w:val="nil"/>
              <w:bottom w:val="single" w:sz="4" w:space="0" w:color="auto"/>
              <w:right w:val="single" w:sz="4" w:space="0" w:color="auto"/>
            </w:tcBorders>
            <w:vAlign w:val="bottom"/>
            <w:hideMark/>
          </w:tcPr>
          <w:p w14:paraId="29BAD9A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$46,707,381</w:t>
            </w:r>
          </w:p>
        </w:tc>
        <w:tc>
          <w:tcPr>
            <w:tcW w:w="1260" w:type="dxa"/>
            <w:tcBorders>
              <w:top w:val="nil"/>
              <w:left w:val="nil"/>
              <w:bottom w:val="single" w:sz="4" w:space="0" w:color="auto"/>
              <w:right w:val="single" w:sz="4" w:space="0" w:color="auto"/>
            </w:tcBorders>
            <w:vAlign w:val="bottom"/>
            <w:hideMark/>
          </w:tcPr>
          <w:p w14:paraId="003C6EB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$53,811,484</w:t>
            </w:r>
          </w:p>
        </w:tc>
        <w:tc>
          <w:tcPr>
            <w:tcW w:w="1080" w:type="dxa"/>
            <w:tcBorders>
              <w:top w:val="nil"/>
              <w:left w:val="nil"/>
              <w:bottom w:val="single" w:sz="4" w:space="0" w:color="auto"/>
              <w:right w:val="single" w:sz="4" w:space="0" w:color="auto"/>
            </w:tcBorders>
            <w:vAlign w:val="bottom"/>
            <w:hideMark/>
          </w:tcPr>
          <w:p w14:paraId="296FA81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$420,809</w:t>
            </w:r>
          </w:p>
        </w:tc>
        <w:tc>
          <w:tcPr>
            <w:tcW w:w="1170" w:type="dxa"/>
            <w:tcBorders>
              <w:top w:val="nil"/>
              <w:left w:val="nil"/>
              <w:bottom w:val="single" w:sz="4" w:space="0" w:color="auto"/>
              <w:right w:val="single" w:sz="4" w:space="0" w:color="auto"/>
            </w:tcBorders>
            <w:vAlign w:val="bottom"/>
            <w:hideMark/>
          </w:tcPr>
          <w:p w14:paraId="3B91274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$54,232,293</w:t>
            </w:r>
          </w:p>
        </w:tc>
        <w:tc>
          <w:tcPr>
            <w:tcW w:w="1170" w:type="dxa"/>
            <w:tcBorders>
              <w:top w:val="nil"/>
              <w:left w:val="nil"/>
              <w:bottom w:val="single" w:sz="4" w:space="0" w:color="auto"/>
              <w:right w:val="single" w:sz="4" w:space="0" w:color="auto"/>
            </w:tcBorders>
            <w:vAlign w:val="bottom"/>
            <w:hideMark/>
          </w:tcPr>
          <w:p w14:paraId="4A9C55E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116.11%</w:t>
            </w:r>
          </w:p>
        </w:tc>
        <w:tc>
          <w:tcPr>
            <w:tcW w:w="1260" w:type="dxa"/>
            <w:tcBorders>
              <w:top w:val="nil"/>
              <w:left w:val="nil"/>
              <w:bottom w:val="single" w:sz="4" w:space="0" w:color="auto"/>
              <w:right w:val="single" w:sz="4" w:space="0" w:color="auto"/>
            </w:tcBorders>
            <w:vAlign w:val="bottom"/>
            <w:hideMark/>
          </w:tcPr>
          <w:p w14:paraId="6A98AF4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$7,524,912</w:t>
            </w:r>
          </w:p>
        </w:tc>
      </w:tr>
      <w:tr w:rsidR="00433DC8" w:rsidRPr="00433DC8" w14:paraId="42B87598"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0B6736EA"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11B26196"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DYS</w:t>
            </w:r>
          </w:p>
        </w:tc>
        <w:tc>
          <w:tcPr>
            <w:tcW w:w="4050" w:type="dxa"/>
            <w:tcBorders>
              <w:top w:val="nil"/>
              <w:left w:val="nil"/>
              <w:bottom w:val="single" w:sz="4" w:space="0" w:color="auto"/>
              <w:right w:val="single" w:sz="4" w:space="0" w:color="auto"/>
            </w:tcBorders>
            <w:vAlign w:val="bottom"/>
            <w:hideMark/>
          </w:tcPr>
          <w:p w14:paraId="03568246"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YOUTH SERVICES</w:t>
            </w:r>
          </w:p>
        </w:tc>
        <w:tc>
          <w:tcPr>
            <w:tcW w:w="1260" w:type="dxa"/>
            <w:tcBorders>
              <w:top w:val="nil"/>
              <w:left w:val="nil"/>
              <w:bottom w:val="single" w:sz="4" w:space="0" w:color="auto"/>
              <w:right w:val="single" w:sz="4" w:space="0" w:color="auto"/>
            </w:tcBorders>
            <w:vAlign w:val="bottom"/>
            <w:hideMark/>
          </w:tcPr>
          <w:p w14:paraId="28D0758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$96,187,311</w:t>
            </w:r>
          </w:p>
        </w:tc>
        <w:tc>
          <w:tcPr>
            <w:tcW w:w="1170" w:type="dxa"/>
            <w:tcBorders>
              <w:top w:val="nil"/>
              <w:left w:val="nil"/>
              <w:bottom w:val="single" w:sz="4" w:space="0" w:color="auto"/>
              <w:right w:val="single" w:sz="4" w:space="0" w:color="auto"/>
            </w:tcBorders>
            <w:vAlign w:val="bottom"/>
            <w:hideMark/>
          </w:tcPr>
          <w:p w14:paraId="603A459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$11,542,477</w:t>
            </w:r>
          </w:p>
        </w:tc>
        <w:tc>
          <w:tcPr>
            <w:tcW w:w="1260" w:type="dxa"/>
            <w:tcBorders>
              <w:top w:val="nil"/>
              <w:left w:val="nil"/>
              <w:bottom w:val="single" w:sz="4" w:space="0" w:color="auto"/>
              <w:right w:val="single" w:sz="4" w:space="0" w:color="auto"/>
            </w:tcBorders>
            <w:vAlign w:val="bottom"/>
            <w:hideMark/>
          </w:tcPr>
          <w:p w14:paraId="368C818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$17,131,702</w:t>
            </w:r>
          </w:p>
        </w:tc>
        <w:tc>
          <w:tcPr>
            <w:tcW w:w="1080" w:type="dxa"/>
            <w:tcBorders>
              <w:top w:val="nil"/>
              <w:left w:val="nil"/>
              <w:bottom w:val="single" w:sz="4" w:space="0" w:color="auto"/>
              <w:right w:val="single" w:sz="4" w:space="0" w:color="auto"/>
            </w:tcBorders>
            <w:vAlign w:val="bottom"/>
            <w:hideMark/>
          </w:tcPr>
          <w:p w14:paraId="47510EE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BB6648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$17,131,702</w:t>
            </w:r>
          </w:p>
        </w:tc>
        <w:tc>
          <w:tcPr>
            <w:tcW w:w="1170" w:type="dxa"/>
            <w:tcBorders>
              <w:top w:val="nil"/>
              <w:left w:val="nil"/>
              <w:bottom w:val="single" w:sz="4" w:space="0" w:color="auto"/>
              <w:right w:val="single" w:sz="4" w:space="0" w:color="auto"/>
            </w:tcBorders>
            <w:vAlign w:val="bottom"/>
            <w:hideMark/>
          </w:tcPr>
          <w:p w14:paraId="6F3A6A7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148.42%</w:t>
            </w:r>
          </w:p>
        </w:tc>
        <w:tc>
          <w:tcPr>
            <w:tcW w:w="1260" w:type="dxa"/>
            <w:tcBorders>
              <w:top w:val="nil"/>
              <w:left w:val="nil"/>
              <w:bottom w:val="single" w:sz="4" w:space="0" w:color="auto"/>
              <w:right w:val="single" w:sz="4" w:space="0" w:color="auto"/>
            </w:tcBorders>
            <w:vAlign w:val="bottom"/>
            <w:hideMark/>
          </w:tcPr>
          <w:p w14:paraId="2F148ED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$5,589,224</w:t>
            </w:r>
          </w:p>
        </w:tc>
      </w:tr>
      <w:tr w:rsidR="00433DC8" w:rsidRPr="00433DC8" w14:paraId="0D6BB667"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3984177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1B861D5C"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4050" w:type="dxa"/>
            <w:tcBorders>
              <w:top w:val="nil"/>
              <w:left w:val="nil"/>
              <w:bottom w:val="single" w:sz="4" w:space="0" w:color="auto"/>
              <w:right w:val="single" w:sz="4" w:space="0" w:color="auto"/>
            </w:tcBorders>
            <w:vAlign w:val="bottom"/>
            <w:hideMark/>
          </w:tcPr>
          <w:p w14:paraId="03210B12"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EXECUTIVE OFFICE OF HEALTH AND HUMAN SERVICES</w:t>
            </w:r>
          </w:p>
        </w:tc>
        <w:tc>
          <w:tcPr>
            <w:tcW w:w="1260" w:type="dxa"/>
            <w:tcBorders>
              <w:top w:val="nil"/>
              <w:left w:val="nil"/>
              <w:bottom w:val="single" w:sz="4" w:space="0" w:color="auto"/>
              <w:right w:val="single" w:sz="4" w:space="0" w:color="auto"/>
            </w:tcBorders>
            <w:vAlign w:val="bottom"/>
            <w:hideMark/>
          </w:tcPr>
          <w:p w14:paraId="25B2714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$77,695,403</w:t>
            </w:r>
          </w:p>
        </w:tc>
        <w:tc>
          <w:tcPr>
            <w:tcW w:w="1170" w:type="dxa"/>
            <w:tcBorders>
              <w:top w:val="nil"/>
              <w:left w:val="nil"/>
              <w:bottom w:val="single" w:sz="4" w:space="0" w:color="auto"/>
              <w:right w:val="single" w:sz="4" w:space="0" w:color="auto"/>
            </w:tcBorders>
            <w:vAlign w:val="bottom"/>
            <w:hideMark/>
          </w:tcPr>
          <w:p w14:paraId="49B186E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$9,323,448</w:t>
            </w:r>
          </w:p>
        </w:tc>
        <w:tc>
          <w:tcPr>
            <w:tcW w:w="1260" w:type="dxa"/>
            <w:tcBorders>
              <w:top w:val="nil"/>
              <w:left w:val="nil"/>
              <w:bottom w:val="single" w:sz="4" w:space="0" w:color="auto"/>
              <w:right w:val="single" w:sz="4" w:space="0" w:color="auto"/>
            </w:tcBorders>
            <w:vAlign w:val="bottom"/>
            <w:hideMark/>
          </w:tcPr>
          <w:p w14:paraId="3A91BE1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$12,449,260</w:t>
            </w:r>
          </w:p>
        </w:tc>
        <w:tc>
          <w:tcPr>
            <w:tcW w:w="1080" w:type="dxa"/>
            <w:tcBorders>
              <w:top w:val="nil"/>
              <w:left w:val="nil"/>
              <w:bottom w:val="single" w:sz="4" w:space="0" w:color="auto"/>
              <w:right w:val="single" w:sz="4" w:space="0" w:color="auto"/>
            </w:tcBorders>
            <w:vAlign w:val="bottom"/>
            <w:hideMark/>
          </w:tcPr>
          <w:p w14:paraId="04362E3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2D9857E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$12,449,260</w:t>
            </w:r>
          </w:p>
        </w:tc>
        <w:tc>
          <w:tcPr>
            <w:tcW w:w="1170" w:type="dxa"/>
            <w:tcBorders>
              <w:top w:val="nil"/>
              <w:left w:val="nil"/>
              <w:bottom w:val="single" w:sz="4" w:space="0" w:color="auto"/>
              <w:right w:val="single" w:sz="4" w:space="0" w:color="auto"/>
            </w:tcBorders>
            <w:vAlign w:val="bottom"/>
            <w:hideMark/>
          </w:tcPr>
          <w:p w14:paraId="4871749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133.53%</w:t>
            </w:r>
          </w:p>
        </w:tc>
        <w:tc>
          <w:tcPr>
            <w:tcW w:w="1260" w:type="dxa"/>
            <w:tcBorders>
              <w:top w:val="nil"/>
              <w:left w:val="nil"/>
              <w:bottom w:val="single" w:sz="4" w:space="0" w:color="auto"/>
              <w:right w:val="single" w:sz="4" w:space="0" w:color="auto"/>
            </w:tcBorders>
            <w:vAlign w:val="bottom"/>
            <w:hideMark/>
          </w:tcPr>
          <w:p w14:paraId="4393854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$3,125,812</w:t>
            </w:r>
          </w:p>
        </w:tc>
      </w:tr>
      <w:tr w:rsidR="00433DC8" w:rsidRPr="00433DC8" w14:paraId="245B0246"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78415233"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7CFB64FC"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ELD</w:t>
            </w:r>
          </w:p>
        </w:tc>
        <w:tc>
          <w:tcPr>
            <w:tcW w:w="4050" w:type="dxa"/>
            <w:tcBorders>
              <w:top w:val="nil"/>
              <w:left w:val="nil"/>
              <w:bottom w:val="single" w:sz="4" w:space="0" w:color="auto"/>
              <w:right w:val="single" w:sz="4" w:space="0" w:color="auto"/>
            </w:tcBorders>
            <w:vAlign w:val="bottom"/>
            <w:hideMark/>
          </w:tcPr>
          <w:p w14:paraId="535E1E7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ELDER AFFAIRS</w:t>
            </w:r>
          </w:p>
        </w:tc>
        <w:tc>
          <w:tcPr>
            <w:tcW w:w="1260" w:type="dxa"/>
            <w:tcBorders>
              <w:top w:val="nil"/>
              <w:left w:val="nil"/>
              <w:bottom w:val="single" w:sz="4" w:space="0" w:color="auto"/>
              <w:right w:val="single" w:sz="4" w:space="0" w:color="auto"/>
            </w:tcBorders>
            <w:vAlign w:val="bottom"/>
            <w:hideMark/>
          </w:tcPr>
          <w:p w14:paraId="5CC4A6D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$398,225,362</w:t>
            </w:r>
          </w:p>
        </w:tc>
        <w:tc>
          <w:tcPr>
            <w:tcW w:w="1170" w:type="dxa"/>
            <w:tcBorders>
              <w:top w:val="nil"/>
              <w:left w:val="nil"/>
              <w:bottom w:val="single" w:sz="4" w:space="0" w:color="auto"/>
              <w:right w:val="single" w:sz="4" w:space="0" w:color="auto"/>
            </w:tcBorders>
            <w:vAlign w:val="bottom"/>
            <w:hideMark/>
          </w:tcPr>
          <w:p w14:paraId="7F420CA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$47,787,043</w:t>
            </w:r>
          </w:p>
        </w:tc>
        <w:tc>
          <w:tcPr>
            <w:tcW w:w="1260" w:type="dxa"/>
            <w:tcBorders>
              <w:top w:val="nil"/>
              <w:left w:val="nil"/>
              <w:bottom w:val="single" w:sz="4" w:space="0" w:color="auto"/>
              <w:right w:val="single" w:sz="4" w:space="0" w:color="auto"/>
            </w:tcBorders>
            <w:vAlign w:val="bottom"/>
            <w:hideMark/>
          </w:tcPr>
          <w:p w14:paraId="23EC4E7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$17,568,457</w:t>
            </w:r>
          </w:p>
        </w:tc>
        <w:tc>
          <w:tcPr>
            <w:tcW w:w="1080" w:type="dxa"/>
            <w:tcBorders>
              <w:top w:val="nil"/>
              <w:left w:val="nil"/>
              <w:bottom w:val="single" w:sz="4" w:space="0" w:color="auto"/>
              <w:right w:val="single" w:sz="4" w:space="0" w:color="auto"/>
            </w:tcBorders>
            <w:vAlign w:val="bottom"/>
            <w:hideMark/>
          </w:tcPr>
          <w:p w14:paraId="3B8BF9F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4002E9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$17,568,457</w:t>
            </w:r>
          </w:p>
        </w:tc>
        <w:tc>
          <w:tcPr>
            <w:tcW w:w="1170" w:type="dxa"/>
            <w:tcBorders>
              <w:top w:val="nil"/>
              <w:left w:val="nil"/>
              <w:bottom w:val="single" w:sz="4" w:space="0" w:color="auto"/>
              <w:right w:val="single" w:sz="4" w:space="0" w:color="auto"/>
            </w:tcBorders>
            <w:vAlign w:val="bottom"/>
            <w:hideMark/>
          </w:tcPr>
          <w:p w14:paraId="160794B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36.76%</w:t>
            </w:r>
          </w:p>
        </w:tc>
        <w:tc>
          <w:tcPr>
            <w:tcW w:w="1260" w:type="dxa"/>
            <w:tcBorders>
              <w:top w:val="nil"/>
              <w:left w:val="nil"/>
              <w:bottom w:val="single" w:sz="4" w:space="0" w:color="auto"/>
              <w:right w:val="single" w:sz="4" w:space="0" w:color="auto"/>
            </w:tcBorders>
            <w:vAlign w:val="bottom"/>
            <w:hideMark/>
          </w:tcPr>
          <w:p w14:paraId="3BE03B9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-$30,218,587</w:t>
            </w:r>
          </w:p>
        </w:tc>
      </w:tr>
      <w:tr w:rsidR="00433DC8" w:rsidRPr="00433DC8" w14:paraId="3701E024"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5272F8EB"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1FC41FC5"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HLY</w:t>
            </w:r>
          </w:p>
        </w:tc>
        <w:tc>
          <w:tcPr>
            <w:tcW w:w="4050" w:type="dxa"/>
            <w:tcBorders>
              <w:top w:val="nil"/>
              <w:left w:val="nil"/>
              <w:bottom w:val="single" w:sz="4" w:space="0" w:color="auto"/>
              <w:right w:val="single" w:sz="4" w:space="0" w:color="auto"/>
            </w:tcBorders>
            <w:vAlign w:val="bottom"/>
            <w:hideMark/>
          </w:tcPr>
          <w:p w14:paraId="42039E96"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SOLDIERS' HOME IN HOLYOKE</w:t>
            </w:r>
          </w:p>
        </w:tc>
        <w:tc>
          <w:tcPr>
            <w:tcW w:w="1260" w:type="dxa"/>
            <w:tcBorders>
              <w:top w:val="nil"/>
              <w:left w:val="nil"/>
              <w:bottom w:val="single" w:sz="4" w:space="0" w:color="auto"/>
              <w:right w:val="single" w:sz="4" w:space="0" w:color="auto"/>
            </w:tcBorders>
            <w:vAlign w:val="bottom"/>
            <w:hideMark/>
          </w:tcPr>
          <w:p w14:paraId="1FE7A80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$1,481,326</w:t>
            </w:r>
          </w:p>
        </w:tc>
        <w:tc>
          <w:tcPr>
            <w:tcW w:w="1170" w:type="dxa"/>
            <w:tcBorders>
              <w:top w:val="nil"/>
              <w:left w:val="nil"/>
              <w:bottom w:val="single" w:sz="4" w:space="0" w:color="auto"/>
              <w:right w:val="single" w:sz="4" w:space="0" w:color="auto"/>
            </w:tcBorders>
            <w:vAlign w:val="bottom"/>
            <w:hideMark/>
          </w:tcPr>
          <w:p w14:paraId="1526C01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$177,759</w:t>
            </w:r>
          </w:p>
        </w:tc>
        <w:tc>
          <w:tcPr>
            <w:tcW w:w="1260" w:type="dxa"/>
            <w:tcBorders>
              <w:top w:val="nil"/>
              <w:left w:val="nil"/>
              <w:bottom w:val="single" w:sz="4" w:space="0" w:color="auto"/>
              <w:right w:val="single" w:sz="4" w:space="0" w:color="auto"/>
            </w:tcBorders>
            <w:vAlign w:val="bottom"/>
            <w:hideMark/>
          </w:tcPr>
          <w:p w14:paraId="0AA4AD4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$39,119</w:t>
            </w:r>
          </w:p>
        </w:tc>
        <w:tc>
          <w:tcPr>
            <w:tcW w:w="1080" w:type="dxa"/>
            <w:tcBorders>
              <w:top w:val="nil"/>
              <w:left w:val="nil"/>
              <w:bottom w:val="single" w:sz="4" w:space="0" w:color="auto"/>
              <w:right w:val="single" w:sz="4" w:space="0" w:color="auto"/>
            </w:tcBorders>
            <w:vAlign w:val="bottom"/>
            <w:hideMark/>
          </w:tcPr>
          <w:p w14:paraId="6A98D5C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$3,212</w:t>
            </w:r>
          </w:p>
        </w:tc>
        <w:tc>
          <w:tcPr>
            <w:tcW w:w="1170" w:type="dxa"/>
            <w:tcBorders>
              <w:top w:val="nil"/>
              <w:left w:val="nil"/>
              <w:bottom w:val="single" w:sz="4" w:space="0" w:color="auto"/>
              <w:right w:val="single" w:sz="4" w:space="0" w:color="auto"/>
            </w:tcBorders>
            <w:vAlign w:val="bottom"/>
            <w:hideMark/>
          </w:tcPr>
          <w:p w14:paraId="044E5B1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$42,331</w:t>
            </w:r>
          </w:p>
        </w:tc>
        <w:tc>
          <w:tcPr>
            <w:tcW w:w="1170" w:type="dxa"/>
            <w:tcBorders>
              <w:top w:val="nil"/>
              <w:left w:val="nil"/>
              <w:bottom w:val="single" w:sz="4" w:space="0" w:color="auto"/>
              <w:right w:val="single" w:sz="4" w:space="0" w:color="auto"/>
            </w:tcBorders>
            <w:vAlign w:val="bottom"/>
            <w:hideMark/>
          </w:tcPr>
          <w:p w14:paraId="4D081C8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23.81%</w:t>
            </w:r>
          </w:p>
        </w:tc>
        <w:tc>
          <w:tcPr>
            <w:tcW w:w="1260" w:type="dxa"/>
            <w:tcBorders>
              <w:top w:val="nil"/>
              <w:left w:val="nil"/>
              <w:bottom w:val="single" w:sz="4" w:space="0" w:color="auto"/>
              <w:right w:val="single" w:sz="4" w:space="0" w:color="auto"/>
            </w:tcBorders>
            <w:vAlign w:val="bottom"/>
            <w:hideMark/>
          </w:tcPr>
          <w:p w14:paraId="4B3B24D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-$135,428</w:t>
            </w:r>
          </w:p>
        </w:tc>
      </w:tr>
      <w:tr w:rsidR="00433DC8" w:rsidRPr="00433DC8" w14:paraId="37219E9C"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5E00A536"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59CEE42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MCB</w:t>
            </w:r>
          </w:p>
        </w:tc>
        <w:tc>
          <w:tcPr>
            <w:tcW w:w="4050" w:type="dxa"/>
            <w:tcBorders>
              <w:top w:val="nil"/>
              <w:left w:val="nil"/>
              <w:bottom w:val="single" w:sz="4" w:space="0" w:color="auto"/>
              <w:right w:val="single" w:sz="4" w:space="0" w:color="auto"/>
            </w:tcBorders>
            <w:vAlign w:val="bottom"/>
            <w:hideMark/>
          </w:tcPr>
          <w:p w14:paraId="71149133"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MASSACHUSETTS COMMISSION FOR THE BLIND</w:t>
            </w:r>
          </w:p>
        </w:tc>
        <w:tc>
          <w:tcPr>
            <w:tcW w:w="1260" w:type="dxa"/>
            <w:tcBorders>
              <w:top w:val="nil"/>
              <w:left w:val="nil"/>
              <w:bottom w:val="single" w:sz="4" w:space="0" w:color="auto"/>
              <w:right w:val="single" w:sz="4" w:space="0" w:color="auto"/>
            </w:tcBorders>
            <w:vAlign w:val="bottom"/>
            <w:hideMark/>
          </w:tcPr>
          <w:p w14:paraId="3D133F3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$17,767,205</w:t>
            </w:r>
          </w:p>
        </w:tc>
        <w:tc>
          <w:tcPr>
            <w:tcW w:w="1170" w:type="dxa"/>
            <w:tcBorders>
              <w:top w:val="nil"/>
              <w:left w:val="nil"/>
              <w:bottom w:val="single" w:sz="4" w:space="0" w:color="auto"/>
              <w:right w:val="single" w:sz="4" w:space="0" w:color="auto"/>
            </w:tcBorders>
            <w:vAlign w:val="bottom"/>
            <w:hideMark/>
          </w:tcPr>
          <w:p w14:paraId="266D448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$2,132,065</w:t>
            </w:r>
          </w:p>
        </w:tc>
        <w:tc>
          <w:tcPr>
            <w:tcW w:w="1260" w:type="dxa"/>
            <w:tcBorders>
              <w:top w:val="nil"/>
              <w:left w:val="nil"/>
              <w:bottom w:val="single" w:sz="4" w:space="0" w:color="auto"/>
              <w:right w:val="single" w:sz="4" w:space="0" w:color="auto"/>
            </w:tcBorders>
            <w:vAlign w:val="bottom"/>
            <w:hideMark/>
          </w:tcPr>
          <w:p w14:paraId="48EB9CB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$1,394,348</w:t>
            </w:r>
          </w:p>
        </w:tc>
        <w:tc>
          <w:tcPr>
            <w:tcW w:w="1080" w:type="dxa"/>
            <w:tcBorders>
              <w:top w:val="nil"/>
              <w:left w:val="nil"/>
              <w:bottom w:val="single" w:sz="4" w:space="0" w:color="auto"/>
              <w:right w:val="single" w:sz="4" w:space="0" w:color="auto"/>
            </w:tcBorders>
            <w:vAlign w:val="bottom"/>
            <w:hideMark/>
          </w:tcPr>
          <w:p w14:paraId="11E78A2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7AAC793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$1,394,348</w:t>
            </w:r>
          </w:p>
        </w:tc>
        <w:tc>
          <w:tcPr>
            <w:tcW w:w="1170" w:type="dxa"/>
            <w:tcBorders>
              <w:top w:val="nil"/>
              <w:left w:val="nil"/>
              <w:bottom w:val="single" w:sz="4" w:space="0" w:color="auto"/>
              <w:right w:val="single" w:sz="4" w:space="0" w:color="auto"/>
            </w:tcBorders>
            <w:vAlign w:val="bottom"/>
            <w:hideMark/>
          </w:tcPr>
          <w:p w14:paraId="45B3653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65.40%</w:t>
            </w:r>
          </w:p>
        </w:tc>
        <w:tc>
          <w:tcPr>
            <w:tcW w:w="1260" w:type="dxa"/>
            <w:tcBorders>
              <w:top w:val="nil"/>
              <w:left w:val="nil"/>
              <w:bottom w:val="single" w:sz="4" w:space="0" w:color="auto"/>
              <w:right w:val="single" w:sz="4" w:space="0" w:color="auto"/>
            </w:tcBorders>
            <w:vAlign w:val="bottom"/>
            <w:hideMark/>
          </w:tcPr>
          <w:p w14:paraId="0E3F8D6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-$737,716</w:t>
            </w:r>
          </w:p>
        </w:tc>
      </w:tr>
      <w:tr w:rsidR="00433DC8" w:rsidRPr="00433DC8" w14:paraId="5F2C83DE"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1FCEA4DC"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55974BC3"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MCD</w:t>
            </w:r>
          </w:p>
        </w:tc>
        <w:tc>
          <w:tcPr>
            <w:tcW w:w="4050" w:type="dxa"/>
            <w:tcBorders>
              <w:top w:val="nil"/>
              <w:left w:val="nil"/>
              <w:bottom w:val="single" w:sz="4" w:space="0" w:color="auto"/>
              <w:right w:val="single" w:sz="4" w:space="0" w:color="auto"/>
            </w:tcBorders>
            <w:vAlign w:val="bottom"/>
            <w:hideMark/>
          </w:tcPr>
          <w:p w14:paraId="28424864"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COMMISSION FOR THE DEAF AND HARD OF HEARING</w:t>
            </w:r>
          </w:p>
        </w:tc>
        <w:tc>
          <w:tcPr>
            <w:tcW w:w="1260" w:type="dxa"/>
            <w:tcBorders>
              <w:top w:val="nil"/>
              <w:left w:val="nil"/>
              <w:bottom w:val="single" w:sz="4" w:space="0" w:color="auto"/>
              <w:right w:val="single" w:sz="4" w:space="0" w:color="auto"/>
            </w:tcBorders>
            <w:vAlign w:val="bottom"/>
            <w:hideMark/>
          </w:tcPr>
          <w:p w14:paraId="11DFE1E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$214,149</w:t>
            </w:r>
          </w:p>
        </w:tc>
        <w:tc>
          <w:tcPr>
            <w:tcW w:w="1170" w:type="dxa"/>
            <w:tcBorders>
              <w:top w:val="nil"/>
              <w:left w:val="nil"/>
              <w:bottom w:val="single" w:sz="4" w:space="0" w:color="auto"/>
              <w:right w:val="single" w:sz="4" w:space="0" w:color="auto"/>
            </w:tcBorders>
            <w:vAlign w:val="bottom"/>
            <w:hideMark/>
          </w:tcPr>
          <w:p w14:paraId="54EADA0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$25,698</w:t>
            </w:r>
          </w:p>
        </w:tc>
        <w:tc>
          <w:tcPr>
            <w:tcW w:w="1260" w:type="dxa"/>
            <w:tcBorders>
              <w:top w:val="nil"/>
              <w:left w:val="nil"/>
              <w:bottom w:val="single" w:sz="4" w:space="0" w:color="auto"/>
              <w:right w:val="single" w:sz="4" w:space="0" w:color="auto"/>
            </w:tcBorders>
            <w:vAlign w:val="bottom"/>
            <w:hideMark/>
          </w:tcPr>
          <w:p w14:paraId="50BBEAD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$20,201</w:t>
            </w:r>
          </w:p>
        </w:tc>
        <w:tc>
          <w:tcPr>
            <w:tcW w:w="1080" w:type="dxa"/>
            <w:tcBorders>
              <w:top w:val="nil"/>
              <w:left w:val="nil"/>
              <w:bottom w:val="single" w:sz="4" w:space="0" w:color="auto"/>
              <w:right w:val="single" w:sz="4" w:space="0" w:color="auto"/>
            </w:tcBorders>
            <w:vAlign w:val="bottom"/>
            <w:hideMark/>
          </w:tcPr>
          <w:p w14:paraId="542DADF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7778F2B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$20,201</w:t>
            </w:r>
          </w:p>
        </w:tc>
        <w:tc>
          <w:tcPr>
            <w:tcW w:w="1170" w:type="dxa"/>
            <w:tcBorders>
              <w:top w:val="nil"/>
              <w:left w:val="nil"/>
              <w:bottom w:val="single" w:sz="4" w:space="0" w:color="auto"/>
              <w:right w:val="single" w:sz="4" w:space="0" w:color="auto"/>
            </w:tcBorders>
            <w:vAlign w:val="bottom"/>
            <w:hideMark/>
          </w:tcPr>
          <w:p w14:paraId="76034F1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78.61%</w:t>
            </w:r>
          </w:p>
        </w:tc>
        <w:tc>
          <w:tcPr>
            <w:tcW w:w="1260" w:type="dxa"/>
            <w:tcBorders>
              <w:top w:val="nil"/>
              <w:left w:val="nil"/>
              <w:bottom w:val="single" w:sz="4" w:space="0" w:color="auto"/>
              <w:right w:val="single" w:sz="4" w:space="0" w:color="auto"/>
            </w:tcBorders>
            <w:vAlign w:val="bottom"/>
            <w:hideMark/>
          </w:tcPr>
          <w:p w14:paraId="77FDD04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-$5,497</w:t>
            </w:r>
          </w:p>
        </w:tc>
      </w:tr>
      <w:tr w:rsidR="00433DC8" w:rsidRPr="00433DC8" w14:paraId="609AC96B"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49CBC586"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29657268"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MRC</w:t>
            </w:r>
          </w:p>
        </w:tc>
        <w:tc>
          <w:tcPr>
            <w:tcW w:w="4050" w:type="dxa"/>
            <w:tcBorders>
              <w:top w:val="nil"/>
              <w:left w:val="nil"/>
              <w:bottom w:val="single" w:sz="4" w:space="0" w:color="auto"/>
              <w:right w:val="single" w:sz="4" w:space="0" w:color="auto"/>
            </w:tcBorders>
            <w:vAlign w:val="bottom"/>
            <w:hideMark/>
          </w:tcPr>
          <w:p w14:paraId="33E2D99F"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MASSACHUSETTS REHABILITATION COMMISSION</w:t>
            </w:r>
          </w:p>
        </w:tc>
        <w:tc>
          <w:tcPr>
            <w:tcW w:w="1260" w:type="dxa"/>
            <w:tcBorders>
              <w:top w:val="nil"/>
              <w:left w:val="nil"/>
              <w:bottom w:val="single" w:sz="4" w:space="0" w:color="auto"/>
              <w:right w:val="single" w:sz="4" w:space="0" w:color="auto"/>
            </w:tcBorders>
            <w:vAlign w:val="bottom"/>
            <w:hideMark/>
          </w:tcPr>
          <w:p w14:paraId="20C37A7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$51,050,600</w:t>
            </w:r>
          </w:p>
        </w:tc>
        <w:tc>
          <w:tcPr>
            <w:tcW w:w="1170" w:type="dxa"/>
            <w:tcBorders>
              <w:top w:val="nil"/>
              <w:left w:val="nil"/>
              <w:bottom w:val="single" w:sz="4" w:space="0" w:color="auto"/>
              <w:right w:val="single" w:sz="4" w:space="0" w:color="auto"/>
            </w:tcBorders>
            <w:vAlign w:val="bottom"/>
            <w:hideMark/>
          </w:tcPr>
          <w:p w14:paraId="063CCDB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$6,126,072</w:t>
            </w:r>
          </w:p>
        </w:tc>
        <w:tc>
          <w:tcPr>
            <w:tcW w:w="1260" w:type="dxa"/>
            <w:tcBorders>
              <w:top w:val="nil"/>
              <w:left w:val="nil"/>
              <w:bottom w:val="single" w:sz="4" w:space="0" w:color="auto"/>
              <w:right w:val="single" w:sz="4" w:space="0" w:color="auto"/>
            </w:tcBorders>
            <w:vAlign w:val="bottom"/>
            <w:hideMark/>
          </w:tcPr>
          <w:p w14:paraId="65ACB3B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$9,136,704</w:t>
            </w:r>
          </w:p>
        </w:tc>
        <w:tc>
          <w:tcPr>
            <w:tcW w:w="1080" w:type="dxa"/>
            <w:tcBorders>
              <w:top w:val="nil"/>
              <w:left w:val="nil"/>
              <w:bottom w:val="single" w:sz="4" w:space="0" w:color="auto"/>
              <w:right w:val="single" w:sz="4" w:space="0" w:color="auto"/>
            </w:tcBorders>
            <w:vAlign w:val="bottom"/>
            <w:hideMark/>
          </w:tcPr>
          <w:p w14:paraId="2D76F28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742313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$9,136,704</w:t>
            </w:r>
          </w:p>
        </w:tc>
        <w:tc>
          <w:tcPr>
            <w:tcW w:w="1170" w:type="dxa"/>
            <w:tcBorders>
              <w:top w:val="nil"/>
              <w:left w:val="nil"/>
              <w:bottom w:val="single" w:sz="4" w:space="0" w:color="auto"/>
              <w:right w:val="single" w:sz="4" w:space="0" w:color="auto"/>
            </w:tcBorders>
            <w:vAlign w:val="bottom"/>
            <w:hideMark/>
          </w:tcPr>
          <w:p w14:paraId="516678C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149.14%</w:t>
            </w:r>
          </w:p>
        </w:tc>
        <w:tc>
          <w:tcPr>
            <w:tcW w:w="1260" w:type="dxa"/>
            <w:tcBorders>
              <w:top w:val="nil"/>
              <w:left w:val="nil"/>
              <w:bottom w:val="single" w:sz="4" w:space="0" w:color="auto"/>
              <w:right w:val="single" w:sz="4" w:space="0" w:color="auto"/>
            </w:tcBorders>
            <w:vAlign w:val="bottom"/>
            <w:hideMark/>
          </w:tcPr>
          <w:p w14:paraId="6334187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$3,010,632</w:t>
            </w:r>
          </w:p>
        </w:tc>
      </w:tr>
      <w:tr w:rsidR="00433DC8" w:rsidRPr="00433DC8" w14:paraId="61A79B6B"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2D2DFF50"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58A87A0D"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ORI</w:t>
            </w:r>
          </w:p>
        </w:tc>
        <w:tc>
          <w:tcPr>
            <w:tcW w:w="4050" w:type="dxa"/>
            <w:tcBorders>
              <w:top w:val="nil"/>
              <w:left w:val="nil"/>
              <w:bottom w:val="single" w:sz="4" w:space="0" w:color="auto"/>
              <w:right w:val="single" w:sz="4" w:space="0" w:color="auto"/>
            </w:tcBorders>
            <w:vAlign w:val="bottom"/>
            <w:hideMark/>
          </w:tcPr>
          <w:p w14:paraId="525F2455"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OFFICE FOR REFUGEES AND IMMIGRANTS</w:t>
            </w:r>
          </w:p>
        </w:tc>
        <w:tc>
          <w:tcPr>
            <w:tcW w:w="1260" w:type="dxa"/>
            <w:tcBorders>
              <w:top w:val="nil"/>
              <w:left w:val="nil"/>
              <w:bottom w:val="single" w:sz="4" w:space="0" w:color="auto"/>
              <w:right w:val="single" w:sz="4" w:space="0" w:color="auto"/>
            </w:tcBorders>
            <w:vAlign w:val="bottom"/>
            <w:hideMark/>
          </w:tcPr>
          <w:p w14:paraId="2701A20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$4,896,413</w:t>
            </w:r>
          </w:p>
        </w:tc>
        <w:tc>
          <w:tcPr>
            <w:tcW w:w="1170" w:type="dxa"/>
            <w:tcBorders>
              <w:top w:val="nil"/>
              <w:left w:val="nil"/>
              <w:bottom w:val="single" w:sz="4" w:space="0" w:color="auto"/>
              <w:right w:val="single" w:sz="4" w:space="0" w:color="auto"/>
            </w:tcBorders>
            <w:vAlign w:val="bottom"/>
            <w:hideMark/>
          </w:tcPr>
          <w:p w14:paraId="04B1B58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$587,570</w:t>
            </w:r>
          </w:p>
        </w:tc>
        <w:tc>
          <w:tcPr>
            <w:tcW w:w="1260" w:type="dxa"/>
            <w:tcBorders>
              <w:top w:val="nil"/>
              <w:left w:val="nil"/>
              <w:bottom w:val="single" w:sz="4" w:space="0" w:color="auto"/>
              <w:right w:val="single" w:sz="4" w:space="0" w:color="auto"/>
            </w:tcBorders>
            <w:vAlign w:val="bottom"/>
            <w:hideMark/>
          </w:tcPr>
          <w:p w14:paraId="308D740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$26,210</w:t>
            </w:r>
          </w:p>
        </w:tc>
        <w:tc>
          <w:tcPr>
            <w:tcW w:w="1080" w:type="dxa"/>
            <w:tcBorders>
              <w:top w:val="nil"/>
              <w:left w:val="nil"/>
              <w:bottom w:val="single" w:sz="4" w:space="0" w:color="auto"/>
              <w:right w:val="single" w:sz="4" w:space="0" w:color="auto"/>
            </w:tcBorders>
            <w:vAlign w:val="bottom"/>
            <w:hideMark/>
          </w:tcPr>
          <w:p w14:paraId="3DA8F9A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67F201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$26,210</w:t>
            </w:r>
          </w:p>
        </w:tc>
        <w:tc>
          <w:tcPr>
            <w:tcW w:w="1170" w:type="dxa"/>
            <w:tcBorders>
              <w:top w:val="nil"/>
              <w:left w:val="nil"/>
              <w:bottom w:val="single" w:sz="4" w:space="0" w:color="auto"/>
              <w:right w:val="single" w:sz="4" w:space="0" w:color="auto"/>
            </w:tcBorders>
            <w:vAlign w:val="bottom"/>
            <w:hideMark/>
          </w:tcPr>
          <w:p w14:paraId="25FFD03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4.46%</w:t>
            </w:r>
          </w:p>
        </w:tc>
        <w:tc>
          <w:tcPr>
            <w:tcW w:w="1260" w:type="dxa"/>
            <w:tcBorders>
              <w:top w:val="nil"/>
              <w:left w:val="nil"/>
              <w:bottom w:val="single" w:sz="4" w:space="0" w:color="auto"/>
              <w:right w:val="single" w:sz="4" w:space="0" w:color="auto"/>
            </w:tcBorders>
            <w:vAlign w:val="bottom"/>
            <w:hideMark/>
          </w:tcPr>
          <w:p w14:paraId="61E3224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-$561,359</w:t>
            </w:r>
          </w:p>
        </w:tc>
      </w:tr>
      <w:tr w:rsidR="00433DC8" w:rsidRPr="00433DC8" w14:paraId="1E0BD155"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76024198"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4F9B495F"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VET</w:t>
            </w:r>
          </w:p>
        </w:tc>
        <w:tc>
          <w:tcPr>
            <w:tcW w:w="4050" w:type="dxa"/>
            <w:tcBorders>
              <w:top w:val="nil"/>
              <w:left w:val="nil"/>
              <w:bottom w:val="single" w:sz="4" w:space="0" w:color="auto"/>
              <w:right w:val="single" w:sz="4" w:space="0" w:color="auto"/>
            </w:tcBorders>
            <w:vAlign w:val="bottom"/>
            <w:hideMark/>
          </w:tcPr>
          <w:p w14:paraId="135AA3BF"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VETERANS SERVICES</w:t>
            </w:r>
          </w:p>
        </w:tc>
        <w:tc>
          <w:tcPr>
            <w:tcW w:w="1260" w:type="dxa"/>
            <w:tcBorders>
              <w:top w:val="nil"/>
              <w:left w:val="nil"/>
              <w:bottom w:val="single" w:sz="4" w:space="0" w:color="auto"/>
              <w:right w:val="single" w:sz="4" w:space="0" w:color="auto"/>
            </w:tcBorders>
            <w:vAlign w:val="bottom"/>
            <w:hideMark/>
          </w:tcPr>
          <w:p w14:paraId="17488EE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$665,527</w:t>
            </w:r>
          </w:p>
        </w:tc>
        <w:tc>
          <w:tcPr>
            <w:tcW w:w="1170" w:type="dxa"/>
            <w:tcBorders>
              <w:top w:val="nil"/>
              <w:left w:val="nil"/>
              <w:bottom w:val="single" w:sz="4" w:space="0" w:color="auto"/>
              <w:right w:val="single" w:sz="4" w:space="0" w:color="auto"/>
            </w:tcBorders>
            <w:vAlign w:val="bottom"/>
            <w:hideMark/>
          </w:tcPr>
          <w:p w14:paraId="559E4C4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$79,863</w:t>
            </w:r>
          </w:p>
        </w:tc>
        <w:tc>
          <w:tcPr>
            <w:tcW w:w="1260" w:type="dxa"/>
            <w:tcBorders>
              <w:top w:val="nil"/>
              <w:left w:val="nil"/>
              <w:bottom w:val="single" w:sz="4" w:space="0" w:color="auto"/>
              <w:right w:val="single" w:sz="4" w:space="0" w:color="auto"/>
            </w:tcBorders>
            <w:vAlign w:val="bottom"/>
            <w:hideMark/>
          </w:tcPr>
          <w:p w14:paraId="34E1AB1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$234,569</w:t>
            </w:r>
          </w:p>
        </w:tc>
        <w:tc>
          <w:tcPr>
            <w:tcW w:w="1080" w:type="dxa"/>
            <w:tcBorders>
              <w:top w:val="nil"/>
              <w:left w:val="nil"/>
              <w:bottom w:val="single" w:sz="4" w:space="0" w:color="auto"/>
              <w:right w:val="single" w:sz="4" w:space="0" w:color="auto"/>
            </w:tcBorders>
            <w:vAlign w:val="bottom"/>
            <w:hideMark/>
          </w:tcPr>
          <w:p w14:paraId="506C928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703D24D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$234,569</w:t>
            </w:r>
          </w:p>
        </w:tc>
        <w:tc>
          <w:tcPr>
            <w:tcW w:w="1170" w:type="dxa"/>
            <w:tcBorders>
              <w:top w:val="nil"/>
              <w:left w:val="nil"/>
              <w:bottom w:val="single" w:sz="4" w:space="0" w:color="auto"/>
              <w:right w:val="single" w:sz="4" w:space="0" w:color="auto"/>
            </w:tcBorders>
            <w:vAlign w:val="bottom"/>
            <w:hideMark/>
          </w:tcPr>
          <w:p w14:paraId="74BB655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293.71%</w:t>
            </w:r>
          </w:p>
        </w:tc>
        <w:tc>
          <w:tcPr>
            <w:tcW w:w="1260" w:type="dxa"/>
            <w:tcBorders>
              <w:top w:val="nil"/>
              <w:left w:val="nil"/>
              <w:bottom w:val="single" w:sz="4" w:space="0" w:color="auto"/>
              <w:right w:val="single" w:sz="4" w:space="0" w:color="auto"/>
            </w:tcBorders>
            <w:vAlign w:val="bottom"/>
            <w:hideMark/>
          </w:tcPr>
          <w:p w14:paraId="542B594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$154,705</w:t>
            </w:r>
          </w:p>
        </w:tc>
      </w:tr>
      <w:tr w:rsidR="00433DC8" w:rsidRPr="00433DC8" w14:paraId="6071391C" w14:textId="77777777" w:rsidTr="009050D8">
        <w:trPr>
          <w:trHeight w:val="179"/>
        </w:trPr>
        <w:tc>
          <w:tcPr>
            <w:tcW w:w="630" w:type="dxa"/>
            <w:tcBorders>
              <w:top w:val="nil"/>
              <w:left w:val="single" w:sz="4" w:space="0" w:color="auto"/>
              <w:bottom w:val="nil"/>
              <w:right w:val="single" w:sz="4" w:space="0" w:color="auto"/>
            </w:tcBorders>
            <w:vAlign w:val="bottom"/>
            <w:hideMark/>
          </w:tcPr>
          <w:p w14:paraId="466A5EA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EHS</w:t>
            </w:r>
          </w:p>
        </w:tc>
        <w:tc>
          <w:tcPr>
            <w:tcW w:w="630" w:type="dxa"/>
            <w:tcBorders>
              <w:top w:val="nil"/>
              <w:left w:val="nil"/>
              <w:bottom w:val="nil"/>
              <w:right w:val="single" w:sz="4" w:space="0" w:color="auto"/>
            </w:tcBorders>
            <w:vAlign w:val="bottom"/>
            <w:hideMark/>
          </w:tcPr>
          <w:p w14:paraId="79BD1B87"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WEL</w:t>
            </w:r>
          </w:p>
        </w:tc>
        <w:tc>
          <w:tcPr>
            <w:tcW w:w="4050" w:type="dxa"/>
            <w:tcBorders>
              <w:top w:val="nil"/>
              <w:left w:val="nil"/>
              <w:bottom w:val="nil"/>
              <w:right w:val="single" w:sz="4" w:space="0" w:color="auto"/>
            </w:tcBorders>
            <w:vAlign w:val="bottom"/>
            <w:hideMark/>
          </w:tcPr>
          <w:p w14:paraId="66D61076"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TRANSITIONAL ASSISTANCE</w:t>
            </w:r>
          </w:p>
        </w:tc>
        <w:tc>
          <w:tcPr>
            <w:tcW w:w="1260" w:type="dxa"/>
            <w:tcBorders>
              <w:top w:val="nil"/>
              <w:left w:val="nil"/>
              <w:bottom w:val="nil"/>
              <w:right w:val="single" w:sz="4" w:space="0" w:color="auto"/>
            </w:tcBorders>
            <w:vAlign w:val="bottom"/>
            <w:hideMark/>
          </w:tcPr>
          <w:p w14:paraId="3D4279F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$27,476,323</w:t>
            </w:r>
          </w:p>
        </w:tc>
        <w:tc>
          <w:tcPr>
            <w:tcW w:w="1170" w:type="dxa"/>
            <w:tcBorders>
              <w:top w:val="nil"/>
              <w:left w:val="nil"/>
              <w:bottom w:val="nil"/>
              <w:right w:val="single" w:sz="4" w:space="0" w:color="auto"/>
            </w:tcBorders>
            <w:vAlign w:val="bottom"/>
            <w:hideMark/>
          </w:tcPr>
          <w:p w14:paraId="3A4E300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$3,297,159</w:t>
            </w:r>
          </w:p>
        </w:tc>
        <w:tc>
          <w:tcPr>
            <w:tcW w:w="1260" w:type="dxa"/>
            <w:tcBorders>
              <w:top w:val="nil"/>
              <w:left w:val="nil"/>
              <w:bottom w:val="nil"/>
              <w:right w:val="single" w:sz="4" w:space="0" w:color="auto"/>
            </w:tcBorders>
            <w:vAlign w:val="bottom"/>
            <w:hideMark/>
          </w:tcPr>
          <w:p w14:paraId="64947B7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$2,678,908</w:t>
            </w:r>
          </w:p>
        </w:tc>
        <w:tc>
          <w:tcPr>
            <w:tcW w:w="1080" w:type="dxa"/>
            <w:tcBorders>
              <w:top w:val="nil"/>
              <w:left w:val="nil"/>
              <w:bottom w:val="nil"/>
              <w:right w:val="single" w:sz="4" w:space="0" w:color="auto"/>
            </w:tcBorders>
            <w:vAlign w:val="bottom"/>
            <w:hideMark/>
          </w:tcPr>
          <w:p w14:paraId="2F50792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3D45154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$2,678,908</w:t>
            </w:r>
          </w:p>
        </w:tc>
        <w:tc>
          <w:tcPr>
            <w:tcW w:w="1170" w:type="dxa"/>
            <w:tcBorders>
              <w:top w:val="nil"/>
              <w:left w:val="nil"/>
              <w:bottom w:val="nil"/>
              <w:right w:val="single" w:sz="4" w:space="0" w:color="auto"/>
            </w:tcBorders>
            <w:vAlign w:val="bottom"/>
            <w:hideMark/>
          </w:tcPr>
          <w:p w14:paraId="1E4F0B0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81.25%</w:t>
            </w:r>
          </w:p>
        </w:tc>
        <w:tc>
          <w:tcPr>
            <w:tcW w:w="1260" w:type="dxa"/>
            <w:tcBorders>
              <w:top w:val="nil"/>
              <w:left w:val="nil"/>
              <w:bottom w:val="nil"/>
              <w:right w:val="single" w:sz="4" w:space="0" w:color="auto"/>
            </w:tcBorders>
            <w:vAlign w:val="bottom"/>
            <w:hideMark/>
          </w:tcPr>
          <w:p w14:paraId="5967068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-$618,251</w:t>
            </w:r>
          </w:p>
        </w:tc>
      </w:tr>
      <w:tr w:rsidR="00433DC8" w:rsidRPr="00433DC8" w14:paraId="0D1E810D" w14:textId="77777777" w:rsidTr="009050D8">
        <w:trPr>
          <w:trHeight w:val="151"/>
        </w:trPr>
        <w:tc>
          <w:tcPr>
            <w:tcW w:w="5310" w:type="dxa"/>
            <w:gridSpan w:val="3"/>
            <w:tcBorders>
              <w:top w:val="single" w:sz="8" w:space="0" w:color="auto"/>
              <w:left w:val="single" w:sz="8" w:space="0" w:color="auto"/>
              <w:bottom w:val="single" w:sz="8" w:space="0" w:color="auto"/>
              <w:right w:val="single" w:sz="4" w:space="0" w:color="auto"/>
            </w:tcBorders>
            <w:shd w:val="clear" w:color="000000" w:fill="C5D9F1"/>
            <w:vAlign w:val="bottom"/>
            <w:hideMark/>
          </w:tcPr>
          <w:p w14:paraId="72A8D47D" w14:textId="77777777" w:rsidR="00433DC8" w:rsidRPr="00E67D16" w:rsidRDefault="00433DC8" w:rsidP="00433DC8">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51ECC023"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$3,061,908,112</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0293DAF5"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$367,428,973</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7D438D1E"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$364,490,776</w:t>
            </w:r>
          </w:p>
        </w:tc>
        <w:tc>
          <w:tcPr>
            <w:tcW w:w="1080" w:type="dxa"/>
            <w:tcBorders>
              <w:top w:val="single" w:sz="8" w:space="0" w:color="auto"/>
              <w:left w:val="nil"/>
              <w:bottom w:val="single" w:sz="8" w:space="0" w:color="auto"/>
              <w:right w:val="single" w:sz="4" w:space="0" w:color="auto"/>
            </w:tcBorders>
            <w:shd w:val="clear" w:color="000000" w:fill="C5D9F1"/>
            <w:vAlign w:val="bottom"/>
            <w:hideMark/>
          </w:tcPr>
          <w:p w14:paraId="2389A6DF"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$8,188,230</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72D383DD"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$372,679,006</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3776A0BC"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101.43%</w:t>
            </w:r>
          </w:p>
        </w:tc>
        <w:tc>
          <w:tcPr>
            <w:tcW w:w="1260" w:type="dxa"/>
            <w:tcBorders>
              <w:top w:val="single" w:sz="8" w:space="0" w:color="auto"/>
              <w:left w:val="nil"/>
              <w:bottom w:val="single" w:sz="8" w:space="0" w:color="auto"/>
              <w:right w:val="single" w:sz="8" w:space="0" w:color="auto"/>
            </w:tcBorders>
            <w:shd w:val="clear" w:color="000000" w:fill="C5D9F1"/>
            <w:vAlign w:val="bottom"/>
            <w:hideMark/>
          </w:tcPr>
          <w:p w14:paraId="5D01120E"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$5,250,033</w:t>
            </w:r>
          </w:p>
        </w:tc>
      </w:tr>
      <w:tr w:rsidR="00433DC8" w:rsidRPr="00433DC8" w14:paraId="020A3143" w14:textId="77777777" w:rsidTr="009050D8">
        <w:trPr>
          <w:trHeight w:val="169"/>
        </w:trPr>
        <w:tc>
          <w:tcPr>
            <w:tcW w:w="630" w:type="dxa"/>
            <w:tcBorders>
              <w:top w:val="nil"/>
              <w:left w:val="single" w:sz="4" w:space="0" w:color="auto"/>
              <w:bottom w:val="single" w:sz="4" w:space="0" w:color="auto"/>
              <w:right w:val="single" w:sz="4" w:space="0" w:color="auto"/>
            </w:tcBorders>
            <w:vAlign w:val="bottom"/>
            <w:hideMark/>
          </w:tcPr>
          <w:p w14:paraId="66497AA8"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630" w:type="dxa"/>
            <w:tcBorders>
              <w:top w:val="nil"/>
              <w:left w:val="nil"/>
              <w:bottom w:val="single" w:sz="4" w:space="0" w:color="auto"/>
              <w:right w:val="single" w:sz="4" w:space="0" w:color="auto"/>
            </w:tcBorders>
            <w:vAlign w:val="bottom"/>
            <w:hideMark/>
          </w:tcPr>
          <w:p w14:paraId="2BF35BF2"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AGR</w:t>
            </w:r>
          </w:p>
        </w:tc>
        <w:tc>
          <w:tcPr>
            <w:tcW w:w="4050" w:type="dxa"/>
            <w:tcBorders>
              <w:top w:val="nil"/>
              <w:left w:val="nil"/>
              <w:bottom w:val="single" w:sz="4" w:space="0" w:color="auto"/>
              <w:right w:val="single" w:sz="4" w:space="0" w:color="auto"/>
            </w:tcBorders>
            <w:vAlign w:val="bottom"/>
            <w:hideMark/>
          </w:tcPr>
          <w:p w14:paraId="321B0F62"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AGRICULTURAL RESOURCES</w:t>
            </w:r>
          </w:p>
        </w:tc>
        <w:tc>
          <w:tcPr>
            <w:tcW w:w="1260" w:type="dxa"/>
            <w:tcBorders>
              <w:top w:val="nil"/>
              <w:left w:val="nil"/>
              <w:bottom w:val="single" w:sz="4" w:space="0" w:color="auto"/>
              <w:right w:val="single" w:sz="4" w:space="0" w:color="auto"/>
            </w:tcBorders>
            <w:vAlign w:val="bottom"/>
            <w:hideMark/>
          </w:tcPr>
          <w:p w14:paraId="5329EC7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$905,459</w:t>
            </w:r>
          </w:p>
        </w:tc>
        <w:tc>
          <w:tcPr>
            <w:tcW w:w="1170" w:type="dxa"/>
            <w:tcBorders>
              <w:top w:val="nil"/>
              <w:left w:val="nil"/>
              <w:bottom w:val="single" w:sz="4" w:space="0" w:color="auto"/>
              <w:right w:val="single" w:sz="4" w:space="0" w:color="auto"/>
            </w:tcBorders>
            <w:vAlign w:val="bottom"/>
            <w:hideMark/>
          </w:tcPr>
          <w:p w14:paraId="0A62084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$108,655</w:t>
            </w:r>
          </w:p>
        </w:tc>
        <w:tc>
          <w:tcPr>
            <w:tcW w:w="1260" w:type="dxa"/>
            <w:tcBorders>
              <w:top w:val="nil"/>
              <w:left w:val="nil"/>
              <w:bottom w:val="single" w:sz="4" w:space="0" w:color="auto"/>
              <w:right w:val="single" w:sz="4" w:space="0" w:color="auto"/>
            </w:tcBorders>
            <w:vAlign w:val="bottom"/>
            <w:hideMark/>
          </w:tcPr>
          <w:p w14:paraId="6DE413E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$113,199</w:t>
            </w:r>
          </w:p>
        </w:tc>
        <w:tc>
          <w:tcPr>
            <w:tcW w:w="1080" w:type="dxa"/>
            <w:tcBorders>
              <w:top w:val="nil"/>
              <w:left w:val="nil"/>
              <w:bottom w:val="single" w:sz="4" w:space="0" w:color="auto"/>
              <w:right w:val="single" w:sz="4" w:space="0" w:color="auto"/>
            </w:tcBorders>
            <w:vAlign w:val="bottom"/>
            <w:hideMark/>
          </w:tcPr>
          <w:p w14:paraId="61DBB69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4F9AC6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$113,199</w:t>
            </w:r>
          </w:p>
        </w:tc>
        <w:tc>
          <w:tcPr>
            <w:tcW w:w="1170" w:type="dxa"/>
            <w:tcBorders>
              <w:top w:val="nil"/>
              <w:left w:val="nil"/>
              <w:bottom w:val="single" w:sz="4" w:space="0" w:color="auto"/>
              <w:right w:val="single" w:sz="4" w:space="0" w:color="auto"/>
            </w:tcBorders>
            <w:vAlign w:val="bottom"/>
            <w:hideMark/>
          </w:tcPr>
          <w:p w14:paraId="3958DA6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104.18%</w:t>
            </w:r>
          </w:p>
        </w:tc>
        <w:tc>
          <w:tcPr>
            <w:tcW w:w="1260" w:type="dxa"/>
            <w:tcBorders>
              <w:top w:val="nil"/>
              <w:left w:val="nil"/>
              <w:bottom w:val="single" w:sz="4" w:space="0" w:color="auto"/>
              <w:right w:val="single" w:sz="4" w:space="0" w:color="auto"/>
            </w:tcBorders>
            <w:vAlign w:val="bottom"/>
            <w:hideMark/>
          </w:tcPr>
          <w:p w14:paraId="20C0084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$4,544</w:t>
            </w:r>
          </w:p>
        </w:tc>
      </w:tr>
      <w:tr w:rsidR="00433DC8" w:rsidRPr="00433DC8" w14:paraId="56A30C8F" w14:textId="77777777" w:rsidTr="009050D8">
        <w:trPr>
          <w:trHeight w:val="89"/>
        </w:trPr>
        <w:tc>
          <w:tcPr>
            <w:tcW w:w="630" w:type="dxa"/>
            <w:tcBorders>
              <w:top w:val="nil"/>
              <w:left w:val="single" w:sz="4" w:space="0" w:color="auto"/>
              <w:bottom w:val="single" w:sz="4" w:space="0" w:color="auto"/>
              <w:right w:val="single" w:sz="4" w:space="0" w:color="auto"/>
            </w:tcBorders>
            <w:vAlign w:val="bottom"/>
            <w:hideMark/>
          </w:tcPr>
          <w:p w14:paraId="5C1083EC"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630" w:type="dxa"/>
            <w:tcBorders>
              <w:top w:val="nil"/>
              <w:left w:val="nil"/>
              <w:bottom w:val="single" w:sz="4" w:space="0" w:color="auto"/>
              <w:right w:val="single" w:sz="4" w:space="0" w:color="auto"/>
            </w:tcBorders>
            <w:vAlign w:val="bottom"/>
            <w:hideMark/>
          </w:tcPr>
          <w:p w14:paraId="00A1D18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DCR</w:t>
            </w:r>
          </w:p>
        </w:tc>
        <w:tc>
          <w:tcPr>
            <w:tcW w:w="4050" w:type="dxa"/>
            <w:tcBorders>
              <w:top w:val="nil"/>
              <w:left w:val="nil"/>
              <w:bottom w:val="single" w:sz="4" w:space="0" w:color="auto"/>
              <w:right w:val="single" w:sz="4" w:space="0" w:color="auto"/>
            </w:tcBorders>
            <w:vAlign w:val="bottom"/>
            <w:hideMark/>
          </w:tcPr>
          <w:p w14:paraId="5AEEE108"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CONSERVATION AND RECREATION</w:t>
            </w:r>
          </w:p>
        </w:tc>
        <w:tc>
          <w:tcPr>
            <w:tcW w:w="1260" w:type="dxa"/>
            <w:tcBorders>
              <w:top w:val="nil"/>
              <w:left w:val="nil"/>
              <w:bottom w:val="single" w:sz="4" w:space="0" w:color="auto"/>
              <w:right w:val="single" w:sz="4" w:space="0" w:color="auto"/>
            </w:tcBorders>
            <w:vAlign w:val="bottom"/>
            <w:hideMark/>
          </w:tcPr>
          <w:p w14:paraId="193BDF5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$28,312,350</w:t>
            </w:r>
          </w:p>
        </w:tc>
        <w:tc>
          <w:tcPr>
            <w:tcW w:w="1170" w:type="dxa"/>
            <w:tcBorders>
              <w:top w:val="nil"/>
              <w:left w:val="nil"/>
              <w:bottom w:val="single" w:sz="4" w:space="0" w:color="auto"/>
              <w:right w:val="single" w:sz="4" w:space="0" w:color="auto"/>
            </w:tcBorders>
            <w:vAlign w:val="bottom"/>
            <w:hideMark/>
          </w:tcPr>
          <w:p w14:paraId="28F35C4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$3,397,482</w:t>
            </w:r>
          </w:p>
        </w:tc>
        <w:tc>
          <w:tcPr>
            <w:tcW w:w="1260" w:type="dxa"/>
            <w:tcBorders>
              <w:top w:val="nil"/>
              <w:left w:val="nil"/>
              <w:bottom w:val="single" w:sz="4" w:space="0" w:color="auto"/>
              <w:right w:val="single" w:sz="4" w:space="0" w:color="auto"/>
            </w:tcBorders>
            <w:vAlign w:val="bottom"/>
            <w:hideMark/>
          </w:tcPr>
          <w:p w14:paraId="1B27E39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$2,907,110</w:t>
            </w:r>
          </w:p>
        </w:tc>
        <w:tc>
          <w:tcPr>
            <w:tcW w:w="1080" w:type="dxa"/>
            <w:tcBorders>
              <w:top w:val="nil"/>
              <w:left w:val="nil"/>
              <w:bottom w:val="single" w:sz="4" w:space="0" w:color="auto"/>
              <w:right w:val="single" w:sz="4" w:space="0" w:color="auto"/>
            </w:tcBorders>
            <w:vAlign w:val="bottom"/>
            <w:hideMark/>
          </w:tcPr>
          <w:p w14:paraId="6451E7F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53E15E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$2,907,110</w:t>
            </w:r>
          </w:p>
        </w:tc>
        <w:tc>
          <w:tcPr>
            <w:tcW w:w="1170" w:type="dxa"/>
            <w:tcBorders>
              <w:top w:val="nil"/>
              <w:left w:val="nil"/>
              <w:bottom w:val="single" w:sz="4" w:space="0" w:color="auto"/>
              <w:right w:val="single" w:sz="4" w:space="0" w:color="auto"/>
            </w:tcBorders>
            <w:vAlign w:val="bottom"/>
            <w:hideMark/>
          </w:tcPr>
          <w:p w14:paraId="29DBFB5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85.57%</w:t>
            </w:r>
          </w:p>
        </w:tc>
        <w:tc>
          <w:tcPr>
            <w:tcW w:w="1260" w:type="dxa"/>
            <w:tcBorders>
              <w:top w:val="nil"/>
              <w:left w:val="nil"/>
              <w:bottom w:val="single" w:sz="4" w:space="0" w:color="auto"/>
              <w:right w:val="single" w:sz="4" w:space="0" w:color="auto"/>
            </w:tcBorders>
            <w:vAlign w:val="bottom"/>
            <w:hideMark/>
          </w:tcPr>
          <w:p w14:paraId="7746151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-$490,372</w:t>
            </w:r>
          </w:p>
        </w:tc>
      </w:tr>
      <w:tr w:rsidR="00433DC8" w:rsidRPr="00433DC8" w14:paraId="66273D69" w14:textId="77777777" w:rsidTr="009050D8">
        <w:trPr>
          <w:trHeight w:val="125"/>
        </w:trPr>
        <w:tc>
          <w:tcPr>
            <w:tcW w:w="630" w:type="dxa"/>
            <w:tcBorders>
              <w:top w:val="nil"/>
              <w:left w:val="single" w:sz="4" w:space="0" w:color="auto"/>
              <w:bottom w:val="single" w:sz="4" w:space="0" w:color="auto"/>
              <w:right w:val="single" w:sz="4" w:space="0" w:color="auto"/>
            </w:tcBorders>
            <w:vAlign w:val="bottom"/>
            <w:hideMark/>
          </w:tcPr>
          <w:p w14:paraId="4825ACA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630" w:type="dxa"/>
            <w:tcBorders>
              <w:top w:val="nil"/>
              <w:left w:val="nil"/>
              <w:bottom w:val="single" w:sz="4" w:space="0" w:color="auto"/>
              <w:right w:val="single" w:sz="4" w:space="0" w:color="auto"/>
            </w:tcBorders>
            <w:vAlign w:val="bottom"/>
            <w:hideMark/>
          </w:tcPr>
          <w:p w14:paraId="685C7ECB"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DPU</w:t>
            </w:r>
          </w:p>
        </w:tc>
        <w:tc>
          <w:tcPr>
            <w:tcW w:w="4050" w:type="dxa"/>
            <w:tcBorders>
              <w:top w:val="nil"/>
              <w:left w:val="nil"/>
              <w:bottom w:val="single" w:sz="4" w:space="0" w:color="auto"/>
              <w:right w:val="single" w:sz="4" w:space="0" w:color="auto"/>
            </w:tcBorders>
            <w:vAlign w:val="bottom"/>
            <w:hideMark/>
          </w:tcPr>
          <w:p w14:paraId="3F791793"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PUBLIC UTILITIES</w:t>
            </w:r>
          </w:p>
        </w:tc>
        <w:tc>
          <w:tcPr>
            <w:tcW w:w="1260" w:type="dxa"/>
            <w:tcBorders>
              <w:top w:val="nil"/>
              <w:left w:val="nil"/>
              <w:bottom w:val="single" w:sz="4" w:space="0" w:color="auto"/>
              <w:right w:val="single" w:sz="4" w:space="0" w:color="auto"/>
            </w:tcBorders>
            <w:vAlign w:val="bottom"/>
            <w:hideMark/>
          </w:tcPr>
          <w:p w14:paraId="238A367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$764,796</w:t>
            </w:r>
          </w:p>
        </w:tc>
        <w:tc>
          <w:tcPr>
            <w:tcW w:w="1170" w:type="dxa"/>
            <w:tcBorders>
              <w:top w:val="nil"/>
              <w:left w:val="nil"/>
              <w:bottom w:val="single" w:sz="4" w:space="0" w:color="auto"/>
              <w:right w:val="single" w:sz="4" w:space="0" w:color="auto"/>
            </w:tcBorders>
            <w:vAlign w:val="bottom"/>
            <w:hideMark/>
          </w:tcPr>
          <w:p w14:paraId="0858922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$91,776</w:t>
            </w:r>
          </w:p>
        </w:tc>
        <w:tc>
          <w:tcPr>
            <w:tcW w:w="1260" w:type="dxa"/>
            <w:tcBorders>
              <w:top w:val="nil"/>
              <w:left w:val="nil"/>
              <w:bottom w:val="single" w:sz="4" w:space="0" w:color="auto"/>
              <w:right w:val="single" w:sz="4" w:space="0" w:color="auto"/>
            </w:tcBorders>
            <w:vAlign w:val="bottom"/>
            <w:hideMark/>
          </w:tcPr>
          <w:p w14:paraId="48EBC5F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$149,252</w:t>
            </w:r>
          </w:p>
        </w:tc>
        <w:tc>
          <w:tcPr>
            <w:tcW w:w="1080" w:type="dxa"/>
            <w:tcBorders>
              <w:top w:val="nil"/>
              <w:left w:val="nil"/>
              <w:bottom w:val="single" w:sz="4" w:space="0" w:color="auto"/>
              <w:right w:val="single" w:sz="4" w:space="0" w:color="auto"/>
            </w:tcBorders>
            <w:vAlign w:val="bottom"/>
            <w:hideMark/>
          </w:tcPr>
          <w:p w14:paraId="1816B93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ACBA7E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$149,252</w:t>
            </w:r>
          </w:p>
        </w:tc>
        <w:tc>
          <w:tcPr>
            <w:tcW w:w="1170" w:type="dxa"/>
            <w:tcBorders>
              <w:top w:val="nil"/>
              <w:left w:val="nil"/>
              <w:bottom w:val="single" w:sz="4" w:space="0" w:color="auto"/>
              <w:right w:val="single" w:sz="4" w:space="0" w:color="auto"/>
            </w:tcBorders>
            <w:vAlign w:val="bottom"/>
            <w:hideMark/>
          </w:tcPr>
          <w:p w14:paraId="31F5229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162.63%</w:t>
            </w:r>
          </w:p>
        </w:tc>
        <w:tc>
          <w:tcPr>
            <w:tcW w:w="1260" w:type="dxa"/>
            <w:tcBorders>
              <w:top w:val="nil"/>
              <w:left w:val="nil"/>
              <w:bottom w:val="single" w:sz="4" w:space="0" w:color="auto"/>
              <w:right w:val="single" w:sz="4" w:space="0" w:color="auto"/>
            </w:tcBorders>
            <w:vAlign w:val="bottom"/>
            <w:hideMark/>
          </w:tcPr>
          <w:p w14:paraId="243D7E6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$57,476</w:t>
            </w:r>
          </w:p>
        </w:tc>
      </w:tr>
      <w:tr w:rsidR="00433DC8" w:rsidRPr="00433DC8" w14:paraId="1DADE839"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0A6BD8FD"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630" w:type="dxa"/>
            <w:tcBorders>
              <w:top w:val="nil"/>
              <w:left w:val="nil"/>
              <w:bottom w:val="single" w:sz="4" w:space="0" w:color="auto"/>
              <w:right w:val="single" w:sz="4" w:space="0" w:color="auto"/>
            </w:tcBorders>
            <w:vAlign w:val="bottom"/>
            <w:hideMark/>
          </w:tcPr>
          <w:p w14:paraId="66700E57"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ENE</w:t>
            </w:r>
          </w:p>
        </w:tc>
        <w:tc>
          <w:tcPr>
            <w:tcW w:w="4050" w:type="dxa"/>
            <w:tcBorders>
              <w:top w:val="nil"/>
              <w:left w:val="nil"/>
              <w:bottom w:val="single" w:sz="4" w:space="0" w:color="auto"/>
              <w:right w:val="single" w:sz="4" w:space="0" w:color="auto"/>
            </w:tcBorders>
            <w:vAlign w:val="bottom"/>
            <w:hideMark/>
          </w:tcPr>
          <w:p w14:paraId="73E314CA"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ENERGY RESOURCES</w:t>
            </w:r>
          </w:p>
        </w:tc>
        <w:tc>
          <w:tcPr>
            <w:tcW w:w="1260" w:type="dxa"/>
            <w:tcBorders>
              <w:top w:val="nil"/>
              <w:left w:val="nil"/>
              <w:bottom w:val="single" w:sz="4" w:space="0" w:color="auto"/>
              <w:right w:val="single" w:sz="4" w:space="0" w:color="auto"/>
            </w:tcBorders>
            <w:vAlign w:val="bottom"/>
            <w:hideMark/>
          </w:tcPr>
          <w:p w14:paraId="69A18CE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$210,000</w:t>
            </w:r>
          </w:p>
        </w:tc>
        <w:tc>
          <w:tcPr>
            <w:tcW w:w="1170" w:type="dxa"/>
            <w:tcBorders>
              <w:top w:val="nil"/>
              <w:left w:val="nil"/>
              <w:bottom w:val="single" w:sz="4" w:space="0" w:color="auto"/>
              <w:right w:val="single" w:sz="4" w:space="0" w:color="auto"/>
            </w:tcBorders>
            <w:vAlign w:val="bottom"/>
            <w:hideMark/>
          </w:tcPr>
          <w:p w14:paraId="75A68B8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$25,200</w:t>
            </w:r>
          </w:p>
        </w:tc>
        <w:tc>
          <w:tcPr>
            <w:tcW w:w="1260" w:type="dxa"/>
            <w:tcBorders>
              <w:top w:val="nil"/>
              <w:left w:val="nil"/>
              <w:bottom w:val="single" w:sz="4" w:space="0" w:color="auto"/>
              <w:right w:val="single" w:sz="4" w:space="0" w:color="auto"/>
            </w:tcBorders>
            <w:vAlign w:val="bottom"/>
            <w:hideMark/>
          </w:tcPr>
          <w:p w14:paraId="114464B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$8,731</w:t>
            </w:r>
          </w:p>
        </w:tc>
        <w:tc>
          <w:tcPr>
            <w:tcW w:w="1080" w:type="dxa"/>
            <w:tcBorders>
              <w:top w:val="nil"/>
              <w:left w:val="nil"/>
              <w:bottom w:val="single" w:sz="4" w:space="0" w:color="auto"/>
              <w:right w:val="single" w:sz="4" w:space="0" w:color="auto"/>
            </w:tcBorders>
            <w:vAlign w:val="bottom"/>
            <w:hideMark/>
          </w:tcPr>
          <w:p w14:paraId="07D84E7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048105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$8,731</w:t>
            </w:r>
          </w:p>
        </w:tc>
        <w:tc>
          <w:tcPr>
            <w:tcW w:w="1170" w:type="dxa"/>
            <w:tcBorders>
              <w:top w:val="nil"/>
              <w:left w:val="nil"/>
              <w:bottom w:val="single" w:sz="4" w:space="0" w:color="auto"/>
              <w:right w:val="single" w:sz="4" w:space="0" w:color="auto"/>
            </w:tcBorders>
            <w:vAlign w:val="bottom"/>
            <w:hideMark/>
          </w:tcPr>
          <w:p w14:paraId="37A7A7E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34.65%</w:t>
            </w:r>
          </w:p>
        </w:tc>
        <w:tc>
          <w:tcPr>
            <w:tcW w:w="1260" w:type="dxa"/>
            <w:tcBorders>
              <w:top w:val="nil"/>
              <w:left w:val="nil"/>
              <w:bottom w:val="single" w:sz="4" w:space="0" w:color="auto"/>
              <w:right w:val="single" w:sz="4" w:space="0" w:color="auto"/>
            </w:tcBorders>
            <w:vAlign w:val="bottom"/>
            <w:hideMark/>
          </w:tcPr>
          <w:p w14:paraId="35E1420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-$16,469</w:t>
            </w:r>
          </w:p>
        </w:tc>
      </w:tr>
      <w:tr w:rsidR="00433DC8" w:rsidRPr="00433DC8" w14:paraId="7DEB844A"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33B28D9A"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630" w:type="dxa"/>
            <w:tcBorders>
              <w:top w:val="nil"/>
              <w:left w:val="nil"/>
              <w:bottom w:val="single" w:sz="4" w:space="0" w:color="auto"/>
              <w:right w:val="single" w:sz="4" w:space="0" w:color="auto"/>
            </w:tcBorders>
            <w:vAlign w:val="bottom"/>
            <w:hideMark/>
          </w:tcPr>
          <w:p w14:paraId="63EF1DF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4050" w:type="dxa"/>
            <w:tcBorders>
              <w:top w:val="nil"/>
              <w:left w:val="nil"/>
              <w:bottom w:val="single" w:sz="4" w:space="0" w:color="auto"/>
              <w:right w:val="single" w:sz="4" w:space="0" w:color="auto"/>
            </w:tcBorders>
            <w:vAlign w:val="bottom"/>
            <w:hideMark/>
          </w:tcPr>
          <w:p w14:paraId="675C8DF3"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EXECUTIVE OFFICE OF ENVIRONMENTAL AFFAIRS</w:t>
            </w:r>
          </w:p>
        </w:tc>
        <w:tc>
          <w:tcPr>
            <w:tcW w:w="1260" w:type="dxa"/>
            <w:tcBorders>
              <w:top w:val="nil"/>
              <w:left w:val="nil"/>
              <w:bottom w:val="single" w:sz="4" w:space="0" w:color="auto"/>
              <w:right w:val="single" w:sz="4" w:space="0" w:color="auto"/>
            </w:tcBorders>
            <w:vAlign w:val="bottom"/>
            <w:hideMark/>
          </w:tcPr>
          <w:p w14:paraId="64BE969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$5,989,337</w:t>
            </w:r>
          </w:p>
        </w:tc>
        <w:tc>
          <w:tcPr>
            <w:tcW w:w="1170" w:type="dxa"/>
            <w:tcBorders>
              <w:top w:val="nil"/>
              <w:left w:val="nil"/>
              <w:bottom w:val="single" w:sz="4" w:space="0" w:color="auto"/>
              <w:right w:val="single" w:sz="4" w:space="0" w:color="auto"/>
            </w:tcBorders>
            <w:vAlign w:val="bottom"/>
            <w:hideMark/>
          </w:tcPr>
          <w:p w14:paraId="7EA40D9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$718,720</w:t>
            </w:r>
          </w:p>
        </w:tc>
        <w:tc>
          <w:tcPr>
            <w:tcW w:w="1260" w:type="dxa"/>
            <w:tcBorders>
              <w:top w:val="nil"/>
              <w:left w:val="nil"/>
              <w:bottom w:val="single" w:sz="4" w:space="0" w:color="auto"/>
              <w:right w:val="single" w:sz="4" w:space="0" w:color="auto"/>
            </w:tcBorders>
            <w:vAlign w:val="bottom"/>
            <w:hideMark/>
          </w:tcPr>
          <w:p w14:paraId="76AA924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$2,603,510</w:t>
            </w:r>
          </w:p>
        </w:tc>
        <w:tc>
          <w:tcPr>
            <w:tcW w:w="1080" w:type="dxa"/>
            <w:tcBorders>
              <w:top w:val="nil"/>
              <w:left w:val="nil"/>
              <w:bottom w:val="single" w:sz="4" w:space="0" w:color="auto"/>
              <w:right w:val="single" w:sz="4" w:space="0" w:color="auto"/>
            </w:tcBorders>
            <w:vAlign w:val="bottom"/>
            <w:hideMark/>
          </w:tcPr>
          <w:p w14:paraId="08B9A23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4906F9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$2,603,510</w:t>
            </w:r>
          </w:p>
        </w:tc>
        <w:tc>
          <w:tcPr>
            <w:tcW w:w="1170" w:type="dxa"/>
            <w:tcBorders>
              <w:top w:val="nil"/>
              <w:left w:val="nil"/>
              <w:bottom w:val="single" w:sz="4" w:space="0" w:color="auto"/>
              <w:right w:val="single" w:sz="4" w:space="0" w:color="auto"/>
            </w:tcBorders>
            <w:vAlign w:val="bottom"/>
            <w:hideMark/>
          </w:tcPr>
          <w:p w14:paraId="4415F7B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362.24%</w:t>
            </w:r>
          </w:p>
        </w:tc>
        <w:tc>
          <w:tcPr>
            <w:tcW w:w="1260" w:type="dxa"/>
            <w:tcBorders>
              <w:top w:val="nil"/>
              <w:left w:val="nil"/>
              <w:bottom w:val="single" w:sz="4" w:space="0" w:color="auto"/>
              <w:right w:val="single" w:sz="4" w:space="0" w:color="auto"/>
            </w:tcBorders>
            <w:vAlign w:val="bottom"/>
            <w:hideMark/>
          </w:tcPr>
          <w:p w14:paraId="19CD8EC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$1,884,790</w:t>
            </w:r>
          </w:p>
        </w:tc>
      </w:tr>
      <w:tr w:rsidR="00433DC8" w:rsidRPr="00433DC8" w14:paraId="5E4439C7"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4F3F11D4"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630" w:type="dxa"/>
            <w:tcBorders>
              <w:top w:val="nil"/>
              <w:left w:val="nil"/>
              <w:bottom w:val="single" w:sz="4" w:space="0" w:color="auto"/>
              <w:right w:val="single" w:sz="4" w:space="0" w:color="auto"/>
            </w:tcBorders>
            <w:vAlign w:val="bottom"/>
            <w:hideMark/>
          </w:tcPr>
          <w:p w14:paraId="419BD11A"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EQE</w:t>
            </w:r>
          </w:p>
        </w:tc>
        <w:tc>
          <w:tcPr>
            <w:tcW w:w="4050" w:type="dxa"/>
            <w:tcBorders>
              <w:top w:val="nil"/>
              <w:left w:val="nil"/>
              <w:bottom w:val="single" w:sz="4" w:space="0" w:color="auto"/>
              <w:right w:val="single" w:sz="4" w:space="0" w:color="auto"/>
            </w:tcBorders>
            <w:vAlign w:val="bottom"/>
            <w:hideMark/>
          </w:tcPr>
          <w:p w14:paraId="11B1992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ENVIRONMENTAL PROTECTION</w:t>
            </w:r>
          </w:p>
        </w:tc>
        <w:tc>
          <w:tcPr>
            <w:tcW w:w="1260" w:type="dxa"/>
            <w:tcBorders>
              <w:top w:val="nil"/>
              <w:left w:val="nil"/>
              <w:bottom w:val="single" w:sz="4" w:space="0" w:color="auto"/>
              <w:right w:val="single" w:sz="4" w:space="0" w:color="auto"/>
            </w:tcBorders>
            <w:vAlign w:val="bottom"/>
            <w:hideMark/>
          </w:tcPr>
          <w:p w14:paraId="654E3F2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$10,029,945</w:t>
            </w:r>
          </w:p>
        </w:tc>
        <w:tc>
          <w:tcPr>
            <w:tcW w:w="1170" w:type="dxa"/>
            <w:tcBorders>
              <w:top w:val="nil"/>
              <w:left w:val="nil"/>
              <w:bottom w:val="single" w:sz="4" w:space="0" w:color="auto"/>
              <w:right w:val="single" w:sz="4" w:space="0" w:color="auto"/>
            </w:tcBorders>
            <w:vAlign w:val="bottom"/>
            <w:hideMark/>
          </w:tcPr>
          <w:p w14:paraId="05DA3D1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$1,203,593</w:t>
            </w:r>
          </w:p>
        </w:tc>
        <w:tc>
          <w:tcPr>
            <w:tcW w:w="1260" w:type="dxa"/>
            <w:tcBorders>
              <w:top w:val="nil"/>
              <w:left w:val="nil"/>
              <w:bottom w:val="single" w:sz="4" w:space="0" w:color="auto"/>
              <w:right w:val="single" w:sz="4" w:space="0" w:color="auto"/>
            </w:tcBorders>
            <w:vAlign w:val="bottom"/>
            <w:hideMark/>
          </w:tcPr>
          <w:p w14:paraId="2065BD5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$318,720</w:t>
            </w:r>
          </w:p>
        </w:tc>
        <w:tc>
          <w:tcPr>
            <w:tcW w:w="1080" w:type="dxa"/>
            <w:tcBorders>
              <w:top w:val="nil"/>
              <w:left w:val="nil"/>
              <w:bottom w:val="single" w:sz="4" w:space="0" w:color="auto"/>
              <w:right w:val="single" w:sz="4" w:space="0" w:color="auto"/>
            </w:tcBorders>
            <w:vAlign w:val="bottom"/>
            <w:hideMark/>
          </w:tcPr>
          <w:p w14:paraId="7A1CCE3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E1F6B7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$318,720</w:t>
            </w:r>
          </w:p>
        </w:tc>
        <w:tc>
          <w:tcPr>
            <w:tcW w:w="1170" w:type="dxa"/>
            <w:tcBorders>
              <w:top w:val="nil"/>
              <w:left w:val="nil"/>
              <w:bottom w:val="single" w:sz="4" w:space="0" w:color="auto"/>
              <w:right w:val="single" w:sz="4" w:space="0" w:color="auto"/>
            </w:tcBorders>
            <w:vAlign w:val="bottom"/>
            <w:hideMark/>
          </w:tcPr>
          <w:p w14:paraId="5669C41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26.48%</w:t>
            </w:r>
          </w:p>
        </w:tc>
        <w:tc>
          <w:tcPr>
            <w:tcW w:w="1260" w:type="dxa"/>
            <w:tcBorders>
              <w:top w:val="nil"/>
              <w:left w:val="nil"/>
              <w:bottom w:val="single" w:sz="4" w:space="0" w:color="auto"/>
              <w:right w:val="single" w:sz="4" w:space="0" w:color="auto"/>
            </w:tcBorders>
            <w:vAlign w:val="bottom"/>
            <w:hideMark/>
          </w:tcPr>
          <w:p w14:paraId="329376E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-$884,873</w:t>
            </w:r>
          </w:p>
        </w:tc>
      </w:tr>
      <w:tr w:rsidR="00433DC8" w:rsidRPr="00433DC8" w14:paraId="1C8503BE" w14:textId="77777777" w:rsidTr="009050D8">
        <w:trPr>
          <w:trHeight w:val="89"/>
        </w:trPr>
        <w:tc>
          <w:tcPr>
            <w:tcW w:w="630" w:type="dxa"/>
            <w:tcBorders>
              <w:top w:val="nil"/>
              <w:left w:val="single" w:sz="4" w:space="0" w:color="auto"/>
              <w:bottom w:val="single" w:sz="4" w:space="0" w:color="auto"/>
              <w:right w:val="single" w:sz="4" w:space="0" w:color="auto"/>
            </w:tcBorders>
            <w:vAlign w:val="bottom"/>
            <w:hideMark/>
          </w:tcPr>
          <w:p w14:paraId="7A696F4A"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630" w:type="dxa"/>
            <w:tcBorders>
              <w:top w:val="nil"/>
              <w:left w:val="nil"/>
              <w:bottom w:val="single" w:sz="4" w:space="0" w:color="auto"/>
              <w:right w:val="single" w:sz="4" w:space="0" w:color="auto"/>
            </w:tcBorders>
            <w:vAlign w:val="bottom"/>
            <w:hideMark/>
          </w:tcPr>
          <w:p w14:paraId="39DF6E95"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FWE</w:t>
            </w:r>
          </w:p>
        </w:tc>
        <w:tc>
          <w:tcPr>
            <w:tcW w:w="4050" w:type="dxa"/>
            <w:tcBorders>
              <w:top w:val="nil"/>
              <w:left w:val="nil"/>
              <w:bottom w:val="single" w:sz="4" w:space="0" w:color="auto"/>
              <w:right w:val="single" w:sz="4" w:space="0" w:color="auto"/>
            </w:tcBorders>
            <w:vAlign w:val="bottom"/>
            <w:hideMark/>
          </w:tcPr>
          <w:p w14:paraId="4BA217FB"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FISH AND GAME</w:t>
            </w:r>
          </w:p>
        </w:tc>
        <w:tc>
          <w:tcPr>
            <w:tcW w:w="1260" w:type="dxa"/>
            <w:tcBorders>
              <w:top w:val="nil"/>
              <w:left w:val="nil"/>
              <w:bottom w:val="single" w:sz="4" w:space="0" w:color="auto"/>
              <w:right w:val="single" w:sz="4" w:space="0" w:color="auto"/>
            </w:tcBorders>
            <w:vAlign w:val="bottom"/>
            <w:hideMark/>
          </w:tcPr>
          <w:p w14:paraId="247EC77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$4,883,214</w:t>
            </w:r>
          </w:p>
        </w:tc>
        <w:tc>
          <w:tcPr>
            <w:tcW w:w="1170" w:type="dxa"/>
            <w:tcBorders>
              <w:top w:val="nil"/>
              <w:left w:val="nil"/>
              <w:bottom w:val="single" w:sz="4" w:space="0" w:color="auto"/>
              <w:right w:val="single" w:sz="4" w:space="0" w:color="auto"/>
            </w:tcBorders>
            <w:vAlign w:val="bottom"/>
            <w:hideMark/>
          </w:tcPr>
          <w:p w14:paraId="2EB6B41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$585,986</w:t>
            </w:r>
          </w:p>
        </w:tc>
        <w:tc>
          <w:tcPr>
            <w:tcW w:w="1260" w:type="dxa"/>
            <w:tcBorders>
              <w:top w:val="nil"/>
              <w:left w:val="nil"/>
              <w:bottom w:val="single" w:sz="4" w:space="0" w:color="auto"/>
              <w:right w:val="single" w:sz="4" w:space="0" w:color="auto"/>
            </w:tcBorders>
            <w:vAlign w:val="bottom"/>
            <w:hideMark/>
          </w:tcPr>
          <w:p w14:paraId="32278F0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$489,752</w:t>
            </w:r>
          </w:p>
        </w:tc>
        <w:tc>
          <w:tcPr>
            <w:tcW w:w="1080" w:type="dxa"/>
            <w:tcBorders>
              <w:top w:val="nil"/>
              <w:left w:val="nil"/>
              <w:bottom w:val="single" w:sz="4" w:space="0" w:color="auto"/>
              <w:right w:val="single" w:sz="4" w:space="0" w:color="auto"/>
            </w:tcBorders>
            <w:vAlign w:val="bottom"/>
            <w:hideMark/>
          </w:tcPr>
          <w:p w14:paraId="32A5D92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$13,950</w:t>
            </w:r>
          </w:p>
        </w:tc>
        <w:tc>
          <w:tcPr>
            <w:tcW w:w="1170" w:type="dxa"/>
            <w:tcBorders>
              <w:top w:val="nil"/>
              <w:left w:val="nil"/>
              <w:bottom w:val="single" w:sz="4" w:space="0" w:color="auto"/>
              <w:right w:val="single" w:sz="4" w:space="0" w:color="auto"/>
            </w:tcBorders>
            <w:vAlign w:val="bottom"/>
            <w:hideMark/>
          </w:tcPr>
          <w:p w14:paraId="1F87909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$503,702</w:t>
            </w:r>
          </w:p>
        </w:tc>
        <w:tc>
          <w:tcPr>
            <w:tcW w:w="1170" w:type="dxa"/>
            <w:tcBorders>
              <w:top w:val="nil"/>
              <w:left w:val="nil"/>
              <w:bottom w:val="single" w:sz="4" w:space="0" w:color="auto"/>
              <w:right w:val="single" w:sz="4" w:space="0" w:color="auto"/>
            </w:tcBorders>
            <w:vAlign w:val="bottom"/>
            <w:hideMark/>
          </w:tcPr>
          <w:p w14:paraId="2EC1F2C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85.96%</w:t>
            </w:r>
          </w:p>
        </w:tc>
        <w:tc>
          <w:tcPr>
            <w:tcW w:w="1260" w:type="dxa"/>
            <w:tcBorders>
              <w:top w:val="nil"/>
              <w:left w:val="nil"/>
              <w:bottom w:val="single" w:sz="4" w:space="0" w:color="auto"/>
              <w:right w:val="single" w:sz="4" w:space="0" w:color="auto"/>
            </w:tcBorders>
            <w:vAlign w:val="bottom"/>
            <w:hideMark/>
          </w:tcPr>
          <w:p w14:paraId="618A950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-$82,284</w:t>
            </w:r>
          </w:p>
        </w:tc>
      </w:tr>
      <w:tr w:rsidR="00433DC8" w:rsidRPr="00433DC8" w14:paraId="1BC9DF27" w14:textId="77777777" w:rsidTr="009050D8">
        <w:trPr>
          <w:trHeight w:val="107"/>
        </w:trPr>
        <w:tc>
          <w:tcPr>
            <w:tcW w:w="630" w:type="dxa"/>
            <w:tcBorders>
              <w:top w:val="nil"/>
              <w:left w:val="single" w:sz="4" w:space="0" w:color="auto"/>
              <w:bottom w:val="nil"/>
              <w:right w:val="single" w:sz="4" w:space="0" w:color="auto"/>
            </w:tcBorders>
            <w:vAlign w:val="bottom"/>
            <w:hideMark/>
          </w:tcPr>
          <w:p w14:paraId="35ED58B4"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ENV</w:t>
            </w:r>
          </w:p>
        </w:tc>
        <w:tc>
          <w:tcPr>
            <w:tcW w:w="630" w:type="dxa"/>
            <w:tcBorders>
              <w:top w:val="nil"/>
              <w:left w:val="nil"/>
              <w:bottom w:val="nil"/>
              <w:right w:val="single" w:sz="4" w:space="0" w:color="auto"/>
            </w:tcBorders>
            <w:vAlign w:val="bottom"/>
            <w:hideMark/>
          </w:tcPr>
          <w:p w14:paraId="6D70D292"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SRB</w:t>
            </w:r>
          </w:p>
        </w:tc>
        <w:tc>
          <w:tcPr>
            <w:tcW w:w="4050" w:type="dxa"/>
            <w:tcBorders>
              <w:top w:val="nil"/>
              <w:left w:val="nil"/>
              <w:bottom w:val="nil"/>
              <w:right w:val="single" w:sz="4" w:space="0" w:color="auto"/>
            </w:tcBorders>
            <w:vAlign w:val="bottom"/>
            <w:hideMark/>
          </w:tcPr>
          <w:p w14:paraId="1C4B1B6F"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STATE RECLAMATION BOARD</w:t>
            </w:r>
          </w:p>
        </w:tc>
        <w:tc>
          <w:tcPr>
            <w:tcW w:w="1260" w:type="dxa"/>
            <w:tcBorders>
              <w:top w:val="nil"/>
              <w:left w:val="nil"/>
              <w:bottom w:val="nil"/>
              <w:right w:val="single" w:sz="4" w:space="0" w:color="auto"/>
            </w:tcBorders>
            <w:vAlign w:val="bottom"/>
            <w:hideMark/>
          </w:tcPr>
          <w:p w14:paraId="0868367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$3,430,457</w:t>
            </w:r>
          </w:p>
        </w:tc>
        <w:tc>
          <w:tcPr>
            <w:tcW w:w="1170" w:type="dxa"/>
            <w:tcBorders>
              <w:top w:val="nil"/>
              <w:left w:val="nil"/>
              <w:bottom w:val="nil"/>
              <w:right w:val="single" w:sz="4" w:space="0" w:color="auto"/>
            </w:tcBorders>
            <w:vAlign w:val="bottom"/>
            <w:hideMark/>
          </w:tcPr>
          <w:p w14:paraId="20FEFFA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$411,655</w:t>
            </w:r>
          </w:p>
        </w:tc>
        <w:tc>
          <w:tcPr>
            <w:tcW w:w="1260" w:type="dxa"/>
            <w:tcBorders>
              <w:top w:val="nil"/>
              <w:left w:val="nil"/>
              <w:bottom w:val="nil"/>
              <w:right w:val="single" w:sz="4" w:space="0" w:color="auto"/>
            </w:tcBorders>
            <w:vAlign w:val="bottom"/>
            <w:hideMark/>
          </w:tcPr>
          <w:p w14:paraId="71A1690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$55,606</w:t>
            </w:r>
          </w:p>
        </w:tc>
        <w:tc>
          <w:tcPr>
            <w:tcW w:w="1080" w:type="dxa"/>
            <w:tcBorders>
              <w:top w:val="nil"/>
              <w:left w:val="nil"/>
              <w:bottom w:val="nil"/>
              <w:right w:val="single" w:sz="4" w:space="0" w:color="auto"/>
            </w:tcBorders>
            <w:vAlign w:val="bottom"/>
            <w:hideMark/>
          </w:tcPr>
          <w:p w14:paraId="58470B7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388F602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$55,606</w:t>
            </w:r>
          </w:p>
        </w:tc>
        <w:tc>
          <w:tcPr>
            <w:tcW w:w="1170" w:type="dxa"/>
            <w:tcBorders>
              <w:top w:val="nil"/>
              <w:left w:val="nil"/>
              <w:bottom w:val="nil"/>
              <w:right w:val="single" w:sz="4" w:space="0" w:color="auto"/>
            </w:tcBorders>
            <w:vAlign w:val="bottom"/>
            <w:hideMark/>
          </w:tcPr>
          <w:p w14:paraId="6F6840B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13.51%</w:t>
            </w:r>
          </w:p>
        </w:tc>
        <w:tc>
          <w:tcPr>
            <w:tcW w:w="1260" w:type="dxa"/>
            <w:tcBorders>
              <w:top w:val="nil"/>
              <w:left w:val="nil"/>
              <w:bottom w:val="nil"/>
              <w:right w:val="single" w:sz="4" w:space="0" w:color="auto"/>
            </w:tcBorders>
            <w:vAlign w:val="bottom"/>
            <w:hideMark/>
          </w:tcPr>
          <w:p w14:paraId="0D8754B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-$356,049</w:t>
            </w:r>
          </w:p>
        </w:tc>
      </w:tr>
      <w:tr w:rsidR="00433DC8" w:rsidRPr="00433DC8" w14:paraId="424960B1" w14:textId="77777777" w:rsidTr="009050D8">
        <w:trPr>
          <w:trHeight w:val="124"/>
        </w:trPr>
        <w:tc>
          <w:tcPr>
            <w:tcW w:w="5310" w:type="dxa"/>
            <w:gridSpan w:val="3"/>
            <w:tcBorders>
              <w:top w:val="single" w:sz="8" w:space="0" w:color="auto"/>
              <w:left w:val="single" w:sz="8" w:space="0" w:color="auto"/>
              <w:bottom w:val="single" w:sz="8" w:space="0" w:color="auto"/>
              <w:right w:val="single" w:sz="4" w:space="0" w:color="auto"/>
            </w:tcBorders>
            <w:shd w:val="clear" w:color="000000" w:fill="C5D9F1"/>
            <w:vAlign w:val="bottom"/>
            <w:hideMark/>
          </w:tcPr>
          <w:p w14:paraId="2A829983" w14:textId="77777777" w:rsidR="00433DC8" w:rsidRPr="00E67D16" w:rsidRDefault="00433DC8" w:rsidP="00433DC8">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6F47EEDC"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$54,525,558</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35A35792"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$6,543,067</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56635A5F"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$6,645,882</w:t>
            </w:r>
          </w:p>
        </w:tc>
        <w:tc>
          <w:tcPr>
            <w:tcW w:w="1080" w:type="dxa"/>
            <w:tcBorders>
              <w:top w:val="single" w:sz="8" w:space="0" w:color="auto"/>
              <w:left w:val="nil"/>
              <w:bottom w:val="single" w:sz="8" w:space="0" w:color="auto"/>
              <w:right w:val="single" w:sz="4" w:space="0" w:color="auto"/>
            </w:tcBorders>
            <w:shd w:val="clear" w:color="000000" w:fill="C5D9F1"/>
            <w:vAlign w:val="bottom"/>
            <w:hideMark/>
          </w:tcPr>
          <w:p w14:paraId="3C8EE2A7"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$13,950</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5099E8F9"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$6,659,832</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3B8B7D29"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101.78%</w:t>
            </w:r>
          </w:p>
        </w:tc>
        <w:tc>
          <w:tcPr>
            <w:tcW w:w="1260" w:type="dxa"/>
            <w:tcBorders>
              <w:top w:val="single" w:sz="8" w:space="0" w:color="auto"/>
              <w:left w:val="nil"/>
              <w:bottom w:val="single" w:sz="8" w:space="0" w:color="auto"/>
              <w:right w:val="single" w:sz="8" w:space="0" w:color="auto"/>
            </w:tcBorders>
            <w:shd w:val="clear" w:color="000000" w:fill="C5D9F1"/>
            <w:vAlign w:val="bottom"/>
            <w:hideMark/>
          </w:tcPr>
          <w:p w14:paraId="714D6C87"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$116,765</w:t>
            </w:r>
          </w:p>
        </w:tc>
      </w:tr>
      <w:tr w:rsidR="00433DC8" w:rsidRPr="00433DC8" w14:paraId="5A95E4E0" w14:textId="77777777" w:rsidTr="009050D8">
        <w:trPr>
          <w:trHeight w:val="223"/>
        </w:trPr>
        <w:tc>
          <w:tcPr>
            <w:tcW w:w="630" w:type="dxa"/>
            <w:tcBorders>
              <w:top w:val="nil"/>
              <w:left w:val="single" w:sz="4" w:space="0" w:color="auto"/>
              <w:bottom w:val="nil"/>
              <w:right w:val="single" w:sz="4" w:space="0" w:color="auto"/>
            </w:tcBorders>
            <w:vAlign w:val="bottom"/>
            <w:hideMark/>
          </w:tcPr>
          <w:p w14:paraId="140F44A3"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EOL</w:t>
            </w:r>
          </w:p>
        </w:tc>
        <w:tc>
          <w:tcPr>
            <w:tcW w:w="630" w:type="dxa"/>
            <w:tcBorders>
              <w:top w:val="nil"/>
              <w:left w:val="nil"/>
              <w:bottom w:val="nil"/>
              <w:right w:val="single" w:sz="4" w:space="0" w:color="auto"/>
            </w:tcBorders>
            <w:vAlign w:val="bottom"/>
            <w:hideMark/>
          </w:tcPr>
          <w:p w14:paraId="28C8EEFE"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EOL</w:t>
            </w:r>
          </w:p>
        </w:tc>
        <w:tc>
          <w:tcPr>
            <w:tcW w:w="4050" w:type="dxa"/>
            <w:tcBorders>
              <w:top w:val="nil"/>
              <w:left w:val="nil"/>
              <w:bottom w:val="nil"/>
              <w:right w:val="single" w:sz="4" w:space="0" w:color="auto"/>
            </w:tcBorders>
            <w:vAlign w:val="bottom"/>
            <w:hideMark/>
          </w:tcPr>
          <w:p w14:paraId="3F854E94"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WORKFORCE DEVELOPMENT</w:t>
            </w:r>
          </w:p>
        </w:tc>
        <w:tc>
          <w:tcPr>
            <w:tcW w:w="1260" w:type="dxa"/>
            <w:tcBorders>
              <w:top w:val="nil"/>
              <w:left w:val="nil"/>
              <w:bottom w:val="nil"/>
              <w:right w:val="single" w:sz="4" w:space="0" w:color="auto"/>
            </w:tcBorders>
            <w:vAlign w:val="bottom"/>
            <w:hideMark/>
          </w:tcPr>
          <w:p w14:paraId="7824687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$28,226,186</w:t>
            </w:r>
          </w:p>
        </w:tc>
        <w:tc>
          <w:tcPr>
            <w:tcW w:w="1170" w:type="dxa"/>
            <w:tcBorders>
              <w:top w:val="nil"/>
              <w:left w:val="nil"/>
              <w:bottom w:val="nil"/>
              <w:right w:val="single" w:sz="4" w:space="0" w:color="auto"/>
            </w:tcBorders>
            <w:vAlign w:val="bottom"/>
            <w:hideMark/>
          </w:tcPr>
          <w:p w14:paraId="27C8A23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$3,387,142</w:t>
            </w:r>
          </w:p>
        </w:tc>
        <w:tc>
          <w:tcPr>
            <w:tcW w:w="1260" w:type="dxa"/>
            <w:tcBorders>
              <w:top w:val="nil"/>
              <w:left w:val="nil"/>
              <w:bottom w:val="nil"/>
              <w:right w:val="single" w:sz="4" w:space="0" w:color="auto"/>
            </w:tcBorders>
            <w:vAlign w:val="bottom"/>
            <w:hideMark/>
          </w:tcPr>
          <w:p w14:paraId="570474C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$2,236,951</w:t>
            </w:r>
          </w:p>
        </w:tc>
        <w:tc>
          <w:tcPr>
            <w:tcW w:w="1080" w:type="dxa"/>
            <w:tcBorders>
              <w:top w:val="nil"/>
              <w:left w:val="nil"/>
              <w:bottom w:val="nil"/>
              <w:right w:val="single" w:sz="4" w:space="0" w:color="auto"/>
            </w:tcBorders>
            <w:vAlign w:val="bottom"/>
            <w:hideMark/>
          </w:tcPr>
          <w:p w14:paraId="610174E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0FEE7DA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$2,236,951</w:t>
            </w:r>
          </w:p>
        </w:tc>
        <w:tc>
          <w:tcPr>
            <w:tcW w:w="1170" w:type="dxa"/>
            <w:tcBorders>
              <w:top w:val="nil"/>
              <w:left w:val="nil"/>
              <w:bottom w:val="nil"/>
              <w:right w:val="single" w:sz="4" w:space="0" w:color="auto"/>
            </w:tcBorders>
            <w:vAlign w:val="bottom"/>
            <w:hideMark/>
          </w:tcPr>
          <w:p w14:paraId="4B56A72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66.04%</w:t>
            </w:r>
          </w:p>
        </w:tc>
        <w:tc>
          <w:tcPr>
            <w:tcW w:w="1260" w:type="dxa"/>
            <w:tcBorders>
              <w:top w:val="nil"/>
              <w:left w:val="nil"/>
              <w:bottom w:val="nil"/>
              <w:right w:val="single" w:sz="4" w:space="0" w:color="auto"/>
            </w:tcBorders>
            <w:vAlign w:val="bottom"/>
            <w:hideMark/>
          </w:tcPr>
          <w:p w14:paraId="5656CA2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-$1,150,191</w:t>
            </w:r>
          </w:p>
        </w:tc>
      </w:tr>
      <w:tr w:rsidR="00433DC8" w:rsidRPr="00433DC8" w14:paraId="39CFE2C5" w14:textId="77777777" w:rsidTr="009050D8">
        <w:trPr>
          <w:trHeight w:val="160"/>
        </w:trPr>
        <w:tc>
          <w:tcPr>
            <w:tcW w:w="5310" w:type="dxa"/>
            <w:gridSpan w:val="3"/>
            <w:tcBorders>
              <w:top w:val="single" w:sz="8" w:space="0" w:color="auto"/>
              <w:left w:val="single" w:sz="8" w:space="0" w:color="auto"/>
              <w:bottom w:val="single" w:sz="8" w:space="0" w:color="auto"/>
              <w:right w:val="single" w:sz="4" w:space="0" w:color="auto"/>
            </w:tcBorders>
            <w:shd w:val="clear" w:color="000000" w:fill="C5D9F1"/>
            <w:vAlign w:val="bottom"/>
            <w:hideMark/>
          </w:tcPr>
          <w:p w14:paraId="437A53BF" w14:textId="77777777" w:rsidR="00433DC8" w:rsidRPr="00E67D16" w:rsidRDefault="00433DC8" w:rsidP="00433DC8">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46EB8F38"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$28,226,186</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55E22019"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$3,387,142</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5EF6473B"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$2,236,951</w:t>
            </w:r>
          </w:p>
        </w:tc>
        <w:tc>
          <w:tcPr>
            <w:tcW w:w="1080" w:type="dxa"/>
            <w:tcBorders>
              <w:top w:val="single" w:sz="8" w:space="0" w:color="auto"/>
              <w:left w:val="nil"/>
              <w:bottom w:val="single" w:sz="8" w:space="0" w:color="auto"/>
              <w:right w:val="single" w:sz="4" w:space="0" w:color="auto"/>
            </w:tcBorders>
            <w:shd w:val="clear" w:color="000000" w:fill="C5D9F1"/>
            <w:vAlign w:val="bottom"/>
            <w:hideMark/>
          </w:tcPr>
          <w:p w14:paraId="29178EB5"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07CA7B4B"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$2,236,951</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7DE88EEF"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66.04%</w:t>
            </w:r>
          </w:p>
        </w:tc>
        <w:tc>
          <w:tcPr>
            <w:tcW w:w="1260" w:type="dxa"/>
            <w:tcBorders>
              <w:top w:val="single" w:sz="8" w:space="0" w:color="auto"/>
              <w:left w:val="nil"/>
              <w:bottom w:val="single" w:sz="8" w:space="0" w:color="auto"/>
              <w:right w:val="single" w:sz="8" w:space="0" w:color="auto"/>
            </w:tcBorders>
            <w:shd w:val="clear" w:color="000000" w:fill="C5D9F1"/>
            <w:vAlign w:val="bottom"/>
            <w:hideMark/>
          </w:tcPr>
          <w:p w14:paraId="5DC06AD9"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-$1,150,191</w:t>
            </w:r>
          </w:p>
        </w:tc>
      </w:tr>
      <w:tr w:rsidR="00433DC8" w:rsidRPr="00433DC8" w14:paraId="4DA56B18" w14:textId="77777777" w:rsidTr="009050D8">
        <w:trPr>
          <w:trHeight w:val="169"/>
        </w:trPr>
        <w:tc>
          <w:tcPr>
            <w:tcW w:w="630" w:type="dxa"/>
            <w:tcBorders>
              <w:top w:val="nil"/>
              <w:left w:val="single" w:sz="4" w:space="0" w:color="auto"/>
              <w:bottom w:val="single" w:sz="4" w:space="0" w:color="auto"/>
              <w:right w:val="single" w:sz="4" w:space="0" w:color="auto"/>
            </w:tcBorders>
            <w:vAlign w:val="bottom"/>
            <w:hideMark/>
          </w:tcPr>
          <w:p w14:paraId="773B7488"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3EF284DC"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CDA</w:t>
            </w:r>
          </w:p>
        </w:tc>
        <w:tc>
          <w:tcPr>
            <w:tcW w:w="4050" w:type="dxa"/>
            <w:tcBorders>
              <w:top w:val="nil"/>
              <w:left w:val="nil"/>
              <w:bottom w:val="single" w:sz="4" w:space="0" w:color="auto"/>
              <w:right w:val="single" w:sz="4" w:space="0" w:color="auto"/>
            </w:tcBorders>
            <w:vAlign w:val="bottom"/>
            <w:hideMark/>
          </w:tcPr>
          <w:p w14:paraId="78DFC4B5"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EMERGENCY MANAGEMENT AGENCY</w:t>
            </w:r>
          </w:p>
        </w:tc>
        <w:tc>
          <w:tcPr>
            <w:tcW w:w="1260" w:type="dxa"/>
            <w:tcBorders>
              <w:top w:val="nil"/>
              <w:left w:val="nil"/>
              <w:bottom w:val="single" w:sz="4" w:space="0" w:color="auto"/>
              <w:right w:val="single" w:sz="4" w:space="0" w:color="auto"/>
            </w:tcBorders>
            <w:vAlign w:val="bottom"/>
            <w:hideMark/>
          </w:tcPr>
          <w:p w14:paraId="3B8A5D5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$1,200,016</w:t>
            </w:r>
          </w:p>
        </w:tc>
        <w:tc>
          <w:tcPr>
            <w:tcW w:w="1170" w:type="dxa"/>
            <w:tcBorders>
              <w:top w:val="nil"/>
              <w:left w:val="nil"/>
              <w:bottom w:val="single" w:sz="4" w:space="0" w:color="auto"/>
              <w:right w:val="single" w:sz="4" w:space="0" w:color="auto"/>
            </w:tcBorders>
            <w:vAlign w:val="bottom"/>
            <w:hideMark/>
          </w:tcPr>
          <w:p w14:paraId="462AFF8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$144,002</w:t>
            </w:r>
          </w:p>
        </w:tc>
        <w:tc>
          <w:tcPr>
            <w:tcW w:w="1260" w:type="dxa"/>
            <w:tcBorders>
              <w:top w:val="nil"/>
              <w:left w:val="nil"/>
              <w:bottom w:val="single" w:sz="4" w:space="0" w:color="auto"/>
              <w:right w:val="single" w:sz="4" w:space="0" w:color="auto"/>
            </w:tcBorders>
            <w:vAlign w:val="bottom"/>
            <w:hideMark/>
          </w:tcPr>
          <w:p w14:paraId="7A990D9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$203,347</w:t>
            </w:r>
          </w:p>
        </w:tc>
        <w:tc>
          <w:tcPr>
            <w:tcW w:w="1080" w:type="dxa"/>
            <w:tcBorders>
              <w:top w:val="nil"/>
              <w:left w:val="nil"/>
              <w:bottom w:val="single" w:sz="4" w:space="0" w:color="auto"/>
              <w:right w:val="single" w:sz="4" w:space="0" w:color="auto"/>
            </w:tcBorders>
            <w:vAlign w:val="bottom"/>
            <w:hideMark/>
          </w:tcPr>
          <w:p w14:paraId="5CAA70B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1B395E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$203,347</w:t>
            </w:r>
          </w:p>
        </w:tc>
        <w:tc>
          <w:tcPr>
            <w:tcW w:w="1170" w:type="dxa"/>
            <w:tcBorders>
              <w:top w:val="nil"/>
              <w:left w:val="nil"/>
              <w:bottom w:val="single" w:sz="4" w:space="0" w:color="auto"/>
              <w:right w:val="single" w:sz="4" w:space="0" w:color="auto"/>
            </w:tcBorders>
            <w:vAlign w:val="bottom"/>
            <w:hideMark/>
          </w:tcPr>
          <w:p w14:paraId="318B25F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141.21%</w:t>
            </w:r>
          </w:p>
        </w:tc>
        <w:tc>
          <w:tcPr>
            <w:tcW w:w="1260" w:type="dxa"/>
            <w:tcBorders>
              <w:top w:val="nil"/>
              <w:left w:val="nil"/>
              <w:bottom w:val="single" w:sz="4" w:space="0" w:color="auto"/>
              <w:right w:val="single" w:sz="4" w:space="0" w:color="auto"/>
            </w:tcBorders>
            <w:vAlign w:val="bottom"/>
            <w:hideMark/>
          </w:tcPr>
          <w:p w14:paraId="423D885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$59,345</w:t>
            </w:r>
          </w:p>
        </w:tc>
      </w:tr>
      <w:tr w:rsidR="00433DC8" w:rsidRPr="00433DC8" w14:paraId="250641D3"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5E0A559A"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4D82E5A3"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CHS</w:t>
            </w:r>
          </w:p>
        </w:tc>
        <w:tc>
          <w:tcPr>
            <w:tcW w:w="4050" w:type="dxa"/>
            <w:tcBorders>
              <w:top w:val="nil"/>
              <w:left w:val="nil"/>
              <w:bottom w:val="single" w:sz="4" w:space="0" w:color="auto"/>
              <w:right w:val="single" w:sz="4" w:space="0" w:color="auto"/>
            </w:tcBorders>
            <w:vAlign w:val="bottom"/>
            <w:hideMark/>
          </w:tcPr>
          <w:p w14:paraId="31B07F40"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CRIMINAL JUSTICE INFORMATION SERVICES DEPARTMENT</w:t>
            </w:r>
          </w:p>
        </w:tc>
        <w:tc>
          <w:tcPr>
            <w:tcW w:w="1260" w:type="dxa"/>
            <w:tcBorders>
              <w:top w:val="nil"/>
              <w:left w:val="nil"/>
              <w:bottom w:val="single" w:sz="4" w:space="0" w:color="auto"/>
              <w:right w:val="single" w:sz="4" w:space="0" w:color="auto"/>
            </w:tcBorders>
            <w:vAlign w:val="bottom"/>
            <w:hideMark/>
          </w:tcPr>
          <w:p w14:paraId="5B0E765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$579,281</w:t>
            </w:r>
          </w:p>
        </w:tc>
        <w:tc>
          <w:tcPr>
            <w:tcW w:w="1170" w:type="dxa"/>
            <w:tcBorders>
              <w:top w:val="nil"/>
              <w:left w:val="nil"/>
              <w:bottom w:val="single" w:sz="4" w:space="0" w:color="auto"/>
              <w:right w:val="single" w:sz="4" w:space="0" w:color="auto"/>
            </w:tcBorders>
            <w:vAlign w:val="bottom"/>
            <w:hideMark/>
          </w:tcPr>
          <w:p w14:paraId="54DEDB5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$69,514</w:t>
            </w:r>
          </w:p>
        </w:tc>
        <w:tc>
          <w:tcPr>
            <w:tcW w:w="1260" w:type="dxa"/>
            <w:tcBorders>
              <w:top w:val="nil"/>
              <w:left w:val="nil"/>
              <w:bottom w:val="single" w:sz="4" w:space="0" w:color="auto"/>
              <w:right w:val="single" w:sz="4" w:space="0" w:color="auto"/>
            </w:tcBorders>
            <w:vAlign w:val="bottom"/>
            <w:hideMark/>
          </w:tcPr>
          <w:p w14:paraId="0492975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$21,761</w:t>
            </w:r>
          </w:p>
        </w:tc>
        <w:tc>
          <w:tcPr>
            <w:tcW w:w="1080" w:type="dxa"/>
            <w:tcBorders>
              <w:top w:val="nil"/>
              <w:left w:val="nil"/>
              <w:bottom w:val="single" w:sz="4" w:space="0" w:color="auto"/>
              <w:right w:val="single" w:sz="4" w:space="0" w:color="auto"/>
            </w:tcBorders>
            <w:vAlign w:val="bottom"/>
            <w:hideMark/>
          </w:tcPr>
          <w:p w14:paraId="06C4B78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3C278F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$21,761</w:t>
            </w:r>
          </w:p>
        </w:tc>
        <w:tc>
          <w:tcPr>
            <w:tcW w:w="1170" w:type="dxa"/>
            <w:tcBorders>
              <w:top w:val="nil"/>
              <w:left w:val="nil"/>
              <w:bottom w:val="single" w:sz="4" w:space="0" w:color="auto"/>
              <w:right w:val="single" w:sz="4" w:space="0" w:color="auto"/>
            </w:tcBorders>
            <w:vAlign w:val="bottom"/>
            <w:hideMark/>
          </w:tcPr>
          <w:p w14:paraId="16A8307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31.30%</w:t>
            </w:r>
          </w:p>
        </w:tc>
        <w:tc>
          <w:tcPr>
            <w:tcW w:w="1260" w:type="dxa"/>
            <w:tcBorders>
              <w:top w:val="nil"/>
              <w:left w:val="nil"/>
              <w:bottom w:val="single" w:sz="4" w:space="0" w:color="auto"/>
              <w:right w:val="single" w:sz="4" w:space="0" w:color="auto"/>
            </w:tcBorders>
            <w:vAlign w:val="bottom"/>
            <w:hideMark/>
          </w:tcPr>
          <w:p w14:paraId="4D57312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-$47,753</w:t>
            </w:r>
          </w:p>
        </w:tc>
      </w:tr>
      <w:tr w:rsidR="00433DC8" w:rsidRPr="00433DC8" w14:paraId="10363E3F"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7C17F126"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3D8B332B"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CJT</w:t>
            </w:r>
          </w:p>
        </w:tc>
        <w:tc>
          <w:tcPr>
            <w:tcW w:w="4050" w:type="dxa"/>
            <w:tcBorders>
              <w:top w:val="nil"/>
              <w:left w:val="nil"/>
              <w:bottom w:val="single" w:sz="4" w:space="0" w:color="auto"/>
              <w:right w:val="single" w:sz="4" w:space="0" w:color="auto"/>
            </w:tcBorders>
            <w:vAlign w:val="bottom"/>
            <w:hideMark/>
          </w:tcPr>
          <w:p w14:paraId="2036D5E9"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MUNICIPAL POLICE TRAINING COMMITTEE</w:t>
            </w:r>
          </w:p>
        </w:tc>
        <w:tc>
          <w:tcPr>
            <w:tcW w:w="1260" w:type="dxa"/>
            <w:tcBorders>
              <w:top w:val="nil"/>
              <w:left w:val="nil"/>
              <w:bottom w:val="single" w:sz="4" w:space="0" w:color="auto"/>
              <w:right w:val="single" w:sz="4" w:space="0" w:color="auto"/>
            </w:tcBorders>
            <w:vAlign w:val="bottom"/>
            <w:hideMark/>
          </w:tcPr>
          <w:p w14:paraId="72B9049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$598,754</w:t>
            </w:r>
          </w:p>
        </w:tc>
        <w:tc>
          <w:tcPr>
            <w:tcW w:w="1170" w:type="dxa"/>
            <w:tcBorders>
              <w:top w:val="nil"/>
              <w:left w:val="nil"/>
              <w:bottom w:val="single" w:sz="4" w:space="0" w:color="auto"/>
              <w:right w:val="single" w:sz="4" w:space="0" w:color="auto"/>
            </w:tcBorders>
            <w:vAlign w:val="bottom"/>
            <w:hideMark/>
          </w:tcPr>
          <w:p w14:paraId="3EF1F07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$71,850</w:t>
            </w:r>
          </w:p>
        </w:tc>
        <w:tc>
          <w:tcPr>
            <w:tcW w:w="1260" w:type="dxa"/>
            <w:tcBorders>
              <w:top w:val="nil"/>
              <w:left w:val="nil"/>
              <w:bottom w:val="single" w:sz="4" w:space="0" w:color="auto"/>
              <w:right w:val="single" w:sz="4" w:space="0" w:color="auto"/>
            </w:tcBorders>
            <w:vAlign w:val="bottom"/>
            <w:hideMark/>
          </w:tcPr>
          <w:p w14:paraId="62A3F14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$83,313</w:t>
            </w:r>
          </w:p>
        </w:tc>
        <w:tc>
          <w:tcPr>
            <w:tcW w:w="1080" w:type="dxa"/>
            <w:tcBorders>
              <w:top w:val="nil"/>
              <w:left w:val="nil"/>
              <w:bottom w:val="single" w:sz="4" w:space="0" w:color="auto"/>
              <w:right w:val="single" w:sz="4" w:space="0" w:color="auto"/>
            </w:tcBorders>
            <w:vAlign w:val="bottom"/>
            <w:hideMark/>
          </w:tcPr>
          <w:p w14:paraId="466D2DE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6585E3D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$83,313</w:t>
            </w:r>
          </w:p>
        </w:tc>
        <w:tc>
          <w:tcPr>
            <w:tcW w:w="1170" w:type="dxa"/>
            <w:tcBorders>
              <w:top w:val="nil"/>
              <w:left w:val="nil"/>
              <w:bottom w:val="single" w:sz="4" w:space="0" w:color="auto"/>
              <w:right w:val="single" w:sz="4" w:space="0" w:color="auto"/>
            </w:tcBorders>
            <w:vAlign w:val="bottom"/>
            <w:hideMark/>
          </w:tcPr>
          <w:p w14:paraId="5C824D1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115.95%</w:t>
            </w:r>
          </w:p>
        </w:tc>
        <w:tc>
          <w:tcPr>
            <w:tcW w:w="1260" w:type="dxa"/>
            <w:tcBorders>
              <w:top w:val="nil"/>
              <w:left w:val="nil"/>
              <w:bottom w:val="single" w:sz="4" w:space="0" w:color="auto"/>
              <w:right w:val="single" w:sz="4" w:space="0" w:color="auto"/>
            </w:tcBorders>
            <w:vAlign w:val="bottom"/>
            <w:hideMark/>
          </w:tcPr>
          <w:p w14:paraId="0DD3C4E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$11,462</w:t>
            </w:r>
          </w:p>
        </w:tc>
      </w:tr>
      <w:tr w:rsidR="00433DC8" w:rsidRPr="00433DC8" w14:paraId="575A2BF5"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0BFEA652"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433F4A7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CME</w:t>
            </w:r>
          </w:p>
        </w:tc>
        <w:tc>
          <w:tcPr>
            <w:tcW w:w="4050" w:type="dxa"/>
            <w:tcBorders>
              <w:top w:val="nil"/>
              <w:left w:val="nil"/>
              <w:bottom w:val="single" w:sz="4" w:space="0" w:color="auto"/>
              <w:right w:val="single" w:sz="4" w:space="0" w:color="auto"/>
            </w:tcBorders>
            <w:vAlign w:val="bottom"/>
            <w:hideMark/>
          </w:tcPr>
          <w:p w14:paraId="6E17A2CC"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CHIEF MEDICAL EXAMINER</w:t>
            </w:r>
          </w:p>
        </w:tc>
        <w:tc>
          <w:tcPr>
            <w:tcW w:w="1260" w:type="dxa"/>
            <w:tcBorders>
              <w:top w:val="nil"/>
              <w:left w:val="nil"/>
              <w:bottom w:val="single" w:sz="4" w:space="0" w:color="auto"/>
              <w:right w:val="single" w:sz="4" w:space="0" w:color="auto"/>
            </w:tcBorders>
            <w:vAlign w:val="bottom"/>
            <w:hideMark/>
          </w:tcPr>
          <w:p w14:paraId="1BCD4C7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$735,485</w:t>
            </w:r>
          </w:p>
        </w:tc>
        <w:tc>
          <w:tcPr>
            <w:tcW w:w="1170" w:type="dxa"/>
            <w:tcBorders>
              <w:top w:val="nil"/>
              <w:left w:val="nil"/>
              <w:bottom w:val="single" w:sz="4" w:space="0" w:color="auto"/>
              <w:right w:val="single" w:sz="4" w:space="0" w:color="auto"/>
            </w:tcBorders>
            <w:vAlign w:val="bottom"/>
            <w:hideMark/>
          </w:tcPr>
          <w:p w14:paraId="2DFB61D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$88,258</w:t>
            </w:r>
          </w:p>
        </w:tc>
        <w:tc>
          <w:tcPr>
            <w:tcW w:w="1260" w:type="dxa"/>
            <w:tcBorders>
              <w:top w:val="nil"/>
              <w:left w:val="nil"/>
              <w:bottom w:val="single" w:sz="4" w:space="0" w:color="auto"/>
              <w:right w:val="single" w:sz="4" w:space="0" w:color="auto"/>
            </w:tcBorders>
            <w:vAlign w:val="bottom"/>
            <w:hideMark/>
          </w:tcPr>
          <w:p w14:paraId="1FE59BE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$190,369</w:t>
            </w:r>
          </w:p>
        </w:tc>
        <w:tc>
          <w:tcPr>
            <w:tcW w:w="1080" w:type="dxa"/>
            <w:tcBorders>
              <w:top w:val="nil"/>
              <w:left w:val="nil"/>
              <w:bottom w:val="single" w:sz="4" w:space="0" w:color="auto"/>
              <w:right w:val="single" w:sz="4" w:space="0" w:color="auto"/>
            </w:tcBorders>
            <w:vAlign w:val="bottom"/>
            <w:hideMark/>
          </w:tcPr>
          <w:p w14:paraId="469A86C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131009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$190,369</w:t>
            </w:r>
          </w:p>
        </w:tc>
        <w:tc>
          <w:tcPr>
            <w:tcW w:w="1170" w:type="dxa"/>
            <w:tcBorders>
              <w:top w:val="nil"/>
              <w:left w:val="nil"/>
              <w:bottom w:val="single" w:sz="4" w:space="0" w:color="auto"/>
              <w:right w:val="single" w:sz="4" w:space="0" w:color="auto"/>
            </w:tcBorders>
            <w:vAlign w:val="bottom"/>
            <w:hideMark/>
          </w:tcPr>
          <w:p w14:paraId="3FF0969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215.70%</w:t>
            </w:r>
          </w:p>
        </w:tc>
        <w:tc>
          <w:tcPr>
            <w:tcW w:w="1260" w:type="dxa"/>
            <w:tcBorders>
              <w:top w:val="nil"/>
              <w:left w:val="nil"/>
              <w:bottom w:val="single" w:sz="4" w:space="0" w:color="auto"/>
              <w:right w:val="single" w:sz="4" w:space="0" w:color="auto"/>
            </w:tcBorders>
            <w:vAlign w:val="bottom"/>
            <w:hideMark/>
          </w:tcPr>
          <w:p w14:paraId="0BCD203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$102,111</w:t>
            </w:r>
          </w:p>
        </w:tc>
      </w:tr>
      <w:tr w:rsidR="00433DC8" w:rsidRPr="00433DC8" w14:paraId="693B547E" w14:textId="77777777" w:rsidTr="009050D8">
        <w:trPr>
          <w:trHeight w:val="152"/>
        </w:trPr>
        <w:tc>
          <w:tcPr>
            <w:tcW w:w="630" w:type="dxa"/>
            <w:tcBorders>
              <w:top w:val="nil"/>
              <w:left w:val="single" w:sz="4" w:space="0" w:color="auto"/>
              <w:bottom w:val="single" w:sz="4" w:space="0" w:color="auto"/>
              <w:right w:val="single" w:sz="4" w:space="0" w:color="auto"/>
            </w:tcBorders>
            <w:vAlign w:val="bottom"/>
            <w:hideMark/>
          </w:tcPr>
          <w:p w14:paraId="39553C82"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lastRenderedPageBreak/>
              <w:t>EPS</w:t>
            </w:r>
          </w:p>
        </w:tc>
        <w:tc>
          <w:tcPr>
            <w:tcW w:w="630" w:type="dxa"/>
            <w:tcBorders>
              <w:top w:val="nil"/>
              <w:left w:val="nil"/>
              <w:bottom w:val="single" w:sz="4" w:space="0" w:color="auto"/>
              <w:right w:val="single" w:sz="4" w:space="0" w:color="auto"/>
            </w:tcBorders>
            <w:vAlign w:val="bottom"/>
            <w:hideMark/>
          </w:tcPr>
          <w:p w14:paraId="15FF0D4A"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DFS</w:t>
            </w:r>
          </w:p>
        </w:tc>
        <w:tc>
          <w:tcPr>
            <w:tcW w:w="4050" w:type="dxa"/>
            <w:tcBorders>
              <w:top w:val="nil"/>
              <w:left w:val="nil"/>
              <w:bottom w:val="single" w:sz="4" w:space="0" w:color="auto"/>
              <w:right w:val="single" w:sz="4" w:space="0" w:color="auto"/>
            </w:tcBorders>
            <w:vAlign w:val="bottom"/>
            <w:hideMark/>
          </w:tcPr>
          <w:p w14:paraId="74AD7CFD"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FIRE SERVICES</w:t>
            </w:r>
          </w:p>
        </w:tc>
        <w:tc>
          <w:tcPr>
            <w:tcW w:w="1260" w:type="dxa"/>
            <w:tcBorders>
              <w:top w:val="nil"/>
              <w:left w:val="nil"/>
              <w:bottom w:val="single" w:sz="4" w:space="0" w:color="auto"/>
              <w:right w:val="single" w:sz="4" w:space="0" w:color="auto"/>
            </w:tcBorders>
            <w:vAlign w:val="bottom"/>
            <w:hideMark/>
          </w:tcPr>
          <w:p w14:paraId="3EA0DD1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$3,679,322</w:t>
            </w:r>
          </w:p>
        </w:tc>
        <w:tc>
          <w:tcPr>
            <w:tcW w:w="1170" w:type="dxa"/>
            <w:tcBorders>
              <w:top w:val="nil"/>
              <w:left w:val="nil"/>
              <w:bottom w:val="single" w:sz="4" w:space="0" w:color="auto"/>
              <w:right w:val="single" w:sz="4" w:space="0" w:color="auto"/>
            </w:tcBorders>
            <w:vAlign w:val="bottom"/>
            <w:hideMark/>
          </w:tcPr>
          <w:p w14:paraId="3C4E737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$441,519</w:t>
            </w:r>
          </w:p>
        </w:tc>
        <w:tc>
          <w:tcPr>
            <w:tcW w:w="1260" w:type="dxa"/>
            <w:tcBorders>
              <w:top w:val="nil"/>
              <w:left w:val="nil"/>
              <w:bottom w:val="single" w:sz="4" w:space="0" w:color="auto"/>
              <w:right w:val="single" w:sz="4" w:space="0" w:color="auto"/>
            </w:tcBorders>
            <w:vAlign w:val="bottom"/>
            <w:hideMark/>
          </w:tcPr>
          <w:p w14:paraId="28B0EB0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$136,425</w:t>
            </w:r>
          </w:p>
        </w:tc>
        <w:tc>
          <w:tcPr>
            <w:tcW w:w="1080" w:type="dxa"/>
            <w:tcBorders>
              <w:top w:val="nil"/>
              <w:left w:val="nil"/>
              <w:bottom w:val="single" w:sz="4" w:space="0" w:color="auto"/>
              <w:right w:val="single" w:sz="4" w:space="0" w:color="auto"/>
            </w:tcBorders>
            <w:vAlign w:val="bottom"/>
            <w:hideMark/>
          </w:tcPr>
          <w:p w14:paraId="2635785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6C563A5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$136,425</w:t>
            </w:r>
          </w:p>
        </w:tc>
        <w:tc>
          <w:tcPr>
            <w:tcW w:w="1170" w:type="dxa"/>
            <w:tcBorders>
              <w:top w:val="nil"/>
              <w:left w:val="nil"/>
              <w:bottom w:val="single" w:sz="4" w:space="0" w:color="auto"/>
              <w:right w:val="single" w:sz="4" w:space="0" w:color="auto"/>
            </w:tcBorders>
            <w:vAlign w:val="bottom"/>
            <w:hideMark/>
          </w:tcPr>
          <w:p w14:paraId="4308A67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30.90%</w:t>
            </w:r>
          </w:p>
        </w:tc>
        <w:tc>
          <w:tcPr>
            <w:tcW w:w="1260" w:type="dxa"/>
            <w:tcBorders>
              <w:top w:val="nil"/>
              <w:left w:val="nil"/>
              <w:bottom w:val="single" w:sz="4" w:space="0" w:color="auto"/>
              <w:right w:val="single" w:sz="4" w:space="0" w:color="auto"/>
            </w:tcBorders>
            <w:vAlign w:val="bottom"/>
            <w:hideMark/>
          </w:tcPr>
          <w:p w14:paraId="3DE7307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-$305,093</w:t>
            </w:r>
          </w:p>
        </w:tc>
      </w:tr>
      <w:tr w:rsidR="00433DC8" w:rsidRPr="00433DC8" w14:paraId="5201422A"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24254B01"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45BB280D"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DOC</w:t>
            </w:r>
          </w:p>
        </w:tc>
        <w:tc>
          <w:tcPr>
            <w:tcW w:w="4050" w:type="dxa"/>
            <w:tcBorders>
              <w:top w:val="nil"/>
              <w:left w:val="nil"/>
              <w:bottom w:val="single" w:sz="4" w:space="0" w:color="auto"/>
              <w:right w:val="single" w:sz="4" w:space="0" w:color="auto"/>
            </w:tcBorders>
            <w:vAlign w:val="bottom"/>
            <w:hideMark/>
          </w:tcPr>
          <w:p w14:paraId="37FC4786"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CORRECTION</w:t>
            </w:r>
          </w:p>
        </w:tc>
        <w:tc>
          <w:tcPr>
            <w:tcW w:w="1260" w:type="dxa"/>
            <w:tcBorders>
              <w:top w:val="nil"/>
              <w:left w:val="nil"/>
              <w:bottom w:val="single" w:sz="4" w:space="0" w:color="auto"/>
              <w:right w:val="single" w:sz="4" w:space="0" w:color="auto"/>
            </w:tcBorders>
            <w:vAlign w:val="bottom"/>
            <w:hideMark/>
          </w:tcPr>
          <w:p w14:paraId="6450C07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$25,900,985</w:t>
            </w:r>
          </w:p>
        </w:tc>
        <w:tc>
          <w:tcPr>
            <w:tcW w:w="1170" w:type="dxa"/>
            <w:tcBorders>
              <w:top w:val="nil"/>
              <w:left w:val="nil"/>
              <w:bottom w:val="single" w:sz="4" w:space="0" w:color="auto"/>
              <w:right w:val="single" w:sz="4" w:space="0" w:color="auto"/>
            </w:tcBorders>
            <w:vAlign w:val="bottom"/>
            <w:hideMark/>
          </w:tcPr>
          <w:p w14:paraId="08F548F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$3,108,118</w:t>
            </w:r>
          </w:p>
        </w:tc>
        <w:tc>
          <w:tcPr>
            <w:tcW w:w="1260" w:type="dxa"/>
            <w:tcBorders>
              <w:top w:val="nil"/>
              <w:left w:val="nil"/>
              <w:bottom w:val="single" w:sz="4" w:space="0" w:color="auto"/>
              <w:right w:val="single" w:sz="4" w:space="0" w:color="auto"/>
            </w:tcBorders>
            <w:vAlign w:val="bottom"/>
            <w:hideMark/>
          </w:tcPr>
          <w:p w14:paraId="44FCDF2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$2,866,029</w:t>
            </w:r>
          </w:p>
        </w:tc>
        <w:tc>
          <w:tcPr>
            <w:tcW w:w="1080" w:type="dxa"/>
            <w:tcBorders>
              <w:top w:val="nil"/>
              <w:left w:val="nil"/>
              <w:bottom w:val="single" w:sz="4" w:space="0" w:color="auto"/>
              <w:right w:val="single" w:sz="4" w:space="0" w:color="auto"/>
            </w:tcBorders>
            <w:vAlign w:val="bottom"/>
            <w:hideMark/>
          </w:tcPr>
          <w:p w14:paraId="3408E60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$2,393,173</w:t>
            </w:r>
          </w:p>
        </w:tc>
        <w:tc>
          <w:tcPr>
            <w:tcW w:w="1170" w:type="dxa"/>
            <w:tcBorders>
              <w:top w:val="nil"/>
              <w:left w:val="nil"/>
              <w:bottom w:val="single" w:sz="4" w:space="0" w:color="auto"/>
              <w:right w:val="single" w:sz="4" w:space="0" w:color="auto"/>
            </w:tcBorders>
            <w:vAlign w:val="bottom"/>
            <w:hideMark/>
          </w:tcPr>
          <w:p w14:paraId="546E849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$5,259,202</w:t>
            </w:r>
          </w:p>
        </w:tc>
        <w:tc>
          <w:tcPr>
            <w:tcW w:w="1170" w:type="dxa"/>
            <w:tcBorders>
              <w:top w:val="nil"/>
              <w:left w:val="nil"/>
              <w:bottom w:val="single" w:sz="4" w:space="0" w:color="auto"/>
              <w:right w:val="single" w:sz="4" w:space="0" w:color="auto"/>
            </w:tcBorders>
            <w:vAlign w:val="bottom"/>
            <w:hideMark/>
          </w:tcPr>
          <w:p w14:paraId="2EE1AF6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169.21%</w:t>
            </w:r>
          </w:p>
        </w:tc>
        <w:tc>
          <w:tcPr>
            <w:tcW w:w="1260" w:type="dxa"/>
            <w:tcBorders>
              <w:top w:val="nil"/>
              <w:left w:val="nil"/>
              <w:bottom w:val="single" w:sz="4" w:space="0" w:color="auto"/>
              <w:right w:val="single" w:sz="4" w:space="0" w:color="auto"/>
            </w:tcBorders>
            <w:vAlign w:val="bottom"/>
            <w:hideMark/>
          </w:tcPr>
          <w:p w14:paraId="2314049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$2,151,084</w:t>
            </w:r>
          </w:p>
        </w:tc>
      </w:tr>
      <w:tr w:rsidR="00433DC8" w:rsidRPr="00433DC8" w14:paraId="62F89BE2" w14:textId="77777777" w:rsidTr="009050D8">
        <w:trPr>
          <w:trHeight w:val="89"/>
        </w:trPr>
        <w:tc>
          <w:tcPr>
            <w:tcW w:w="630" w:type="dxa"/>
            <w:tcBorders>
              <w:top w:val="nil"/>
              <w:left w:val="single" w:sz="4" w:space="0" w:color="auto"/>
              <w:bottom w:val="single" w:sz="4" w:space="0" w:color="auto"/>
              <w:right w:val="single" w:sz="4" w:space="0" w:color="auto"/>
            </w:tcBorders>
            <w:vAlign w:val="bottom"/>
            <w:hideMark/>
          </w:tcPr>
          <w:p w14:paraId="15542445"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58002AD4"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DPS</w:t>
            </w:r>
          </w:p>
        </w:tc>
        <w:tc>
          <w:tcPr>
            <w:tcW w:w="4050" w:type="dxa"/>
            <w:tcBorders>
              <w:top w:val="nil"/>
              <w:left w:val="nil"/>
              <w:bottom w:val="single" w:sz="4" w:space="0" w:color="auto"/>
              <w:right w:val="single" w:sz="4" w:space="0" w:color="auto"/>
            </w:tcBorders>
            <w:vAlign w:val="bottom"/>
            <w:hideMark/>
          </w:tcPr>
          <w:p w14:paraId="1977F6F6"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PUBLIC SAFETY</w:t>
            </w:r>
          </w:p>
        </w:tc>
        <w:tc>
          <w:tcPr>
            <w:tcW w:w="1260" w:type="dxa"/>
            <w:tcBorders>
              <w:top w:val="nil"/>
              <w:left w:val="nil"/>
              <w:bottom w:val="single" w:sz="4" w:space="0" w:color="auto"/>
              <w:right w:val="single" w:sz="4" w:space="0" w:color="auto"/>
            </w:tcBorders>
            <w:vAlign w:val="bottom"/>
            <w:hideMark/>
          </w:tcPr>
          <w:p w14:paraId="2A49FD1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$540,464</w:t>
            </w:r>
          </w:p>
        </w:tc>
        <w:tc>
          <w:tcPr>
            <w:tcW w:w="1170" w:type="dxa"/>
            <w:tcBorders>
              <w:top w:val="nil"/>
              <w:left w:val="nil"/>
              <w:bottom w:val="single" w:sz="4" w:space="0" w:color="auto"/>
              <w:right w:val="single" w:sz="4" w:space="0" w:color="auto"/>
            </w:tcBorders>
            <w:vAlign w:val="bottom"/>
            <w:hideMark/>
          </w:tcPr>
          <w:p w14:paraId="737ECD9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$64,856</w:t>
            </w:r>
          </w:p>
        </w:tc>
        <w:tc>
          <w:tcPr>
            <w:tcW w:w="1260" w:type="dxa"/>
            <w:tcBorders>
              <w:top w:val="nil"/>
              <w:left w:val="nil"/>
              <w:bottom w:val="single" w:sz="4" w:space="0" w:color="auto"/>
              <w:right w:val="single" w:sz="4" w:space="0" w:color="auto"/>
            </w:tcBorders>
            <w:vAlign w:val="bottom"/>
            <w:hideMark/>
          </w:tcPr>
          <w:p w14:paraId="62A123B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$217,816</w:t>
            </w:r>
          </w:p>
        </w:tc>
        <w:tc>
          <w:tcPr>
            <w:tcW w:w="1080" w:type="dxa"/>
            <w:tcBorders>
              <w:top w:val="nil"/>
              <w:left w:val="nil"/>
              <w:bottom w:val="single" w:sz="4" w:space="0" w:color="auto"/>
              <w:right w:val="single" w:sz="4" w:space="0" w:color="auto"/>
            </w:tcBorders>
            <w:vAlign w:val="bottom"/>
            <w:hideMark/>
          </w:tcPr>
          <w:p w14:paraId="5AE32C6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82BED0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$217,816</w:t>
            </w:r>
          </w:p>
        </w:tc>
        <w:tc>
          <w:tcPr>
            <w:tcW w:w="1170" w:type="dxa"/>
            <w:tcBorders>
              <w:top w:val="nil"/>
              <w:left w:val="nil"/>
              <w:bottom w:val="single" w:sz="4" w:space="0" w:color="auto"/>
              <w:right w:val="single" w:sz="4" w:space="0" w:color="auto"/>
            </w:tcBorders>
            <w:vAlign w:val="bottom"/>
            <w:hideMark/>
          </w:tcPr>
          <w:p w14:paraId="2830C51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335.85%</w:t>
            </w:r>
          </w:p>
        </w:tc>
        <w:tc>
          <w:tcPr>
            <w:tcW w:w="1260" w:type="dxa"/>
            <w:tcBorders>
              <w:top w:val="nil"/>
              <w:left w:val="nil"/>
              <w:bottom w:val="single" w:sz="4" w:space="0" w:color="auto"/>
              <w:right w:val="single" w:sz="4" w:space="0" w:color="auto"/>
            </w:tcBorders>
            <w:vAlign w:val="bottom"/>
            <w:hideMark/>
          </w:tcPr>
          <w:p w14:paraId="7205C8E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$152,961</w:t>
            </w:r>
          </w:p>
        </w:tc>
      </w:tr>
      <w:tr w:rsidR="00433DC8" w:rsidRPr="00433DC8" w14:paraId="051D45DA" w14:textId="77777777" w:rsidTr="009050D8">
        <w:trPr>
          <w:trHeight w:val="125"/>
        </w:trPr>
        <w:tc>
          <w:tcPr>
            <w:tcW w:w="630" w:type="dxa"/>
            <w:tcBorders>
              <w:top w:val="nil"/>
              <w:left w:val="single" w:sz="4" w:space="0" w:color="auto"/>
              <w:bottom w:val="single" w:sz="4" w:space="0" w:color="auto"/>
              <w:right w:val="single" w:sz="4" w:space="0" w:color="auto"/>
            </w:tcBorders>
            <w:vAlign w:val="bottom"/>
            <w:hideMark/>
          </w:tcPr>
          <w:p w14:paraId="76810AD5"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4F89967F"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4050" w:type="dxa"/>
            <w:tcBorders>
              <w:top w:val="nil"/>
              <w:left w:val="nil"/>
              <w:bottom w:val="single" w:sz="4" w:space="0" w:color="auto"/>
              <w:right w:val="single" w:sz="4" w:space="0" w:color="auto"/>
            </w:tcBorders>
            <w:vAlign w:val="bottom"/>
            <w:hideMark/>
          </w:tcPr>
          <w:p w14:paraId="6C5F6F8F"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EXECUTIVE OFFICE OF PUBLIC SAFETY &amp; SECURITY</w:t>
            </w:r>
          </w:p>
        </w:tc>
        <w:tc>
          <w:tcPr>
            <w:tcW w:w="1260" w:type="dxa"/>
            <w:tcBorders>
              <w:top w:val="nil"/>
              <w:left w:val="nil"/>
              <w:bottom w:val="single" w:sz="4" w:space="0" w:color="auto"/>
              <w:right w:val="single" w:sz="4" w:space="0" w:color="auto"/>
            </w:tcBorders>
            <w:vAlign w:val="bottom"/>
            <w:hideMark/>
          </w:tcPr>
          <w:p w14:paraId="2447B09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$34,736,707</w:t>
            </w:r>
          </w:p>
        </w:tc>
        <w:tc>
          <w:tcPr>
            <w:tcW w:w="1170" w:type="dxa"/>
            <w:tcBorders>
              <w:top w:val="nil"/>
              <w:left w:val="nil"/>
              <w:bottom w:val="single" w:sz="4" w:space="0" w:color="auto"/>
              <w:right w:val="single" w:sz="4" w:space="0" w:color="auto"/>
            </w:tcBorders>
            <w:vAlign w:val="bottom"/>
            <w:hideMark/>
          </w:tcPr>
          <w:p w14:paraId="6D4E839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$4,168,405</w:t>
            </w:r>
          </w:p>
        </w:tc>
        <w:tc>
          <w:tcPr>
            <w:tcW w:w="1260" w:type="dxa"/>
            <w:tcBorders>
              <w:top w:val="nil"/>
              <w:left w:val="nil"/>
              <w:bottom w:val="single" w:sz="4" w:space="0" w:color="auto"/>
              <w:right w:val="single" w:sz="4" w:space="0" w:color="auto"/>
            </w:tcBorders>
            <w:vAlign w:val="bottom"/>
            <w:hideMark/>
          </w:tcPr>
          <w:p w14:paraId="781A556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$1,491,440</w:t>
            </w:r>
          </w:p>
        </w:tc>
        <w:tc>
          <w:tcPr>
            <w:tcW w:w="1080" w:type="dxa"/>
            <w:tcBorders>
              <w:top w:val="nil"/>
              <w:left w:val="nil"/>
              <w:bottom w:val="single" w:sz="4" w:space="0" w:color="auto"/>
              <w:right w:val="single" w:sz="4" w:space="0" w:color="auto"/>
            </w:tcBorders>
            <w:vAlign w:val="bottom"/>
            <w:hideMark/>
          </w:tcPr>
          <w:p w14:paraId="254B107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BC4243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$1,491,440</w:t>
            </w:r>
          </w:p>
        </w:tc>
        <w:tc>
          <w:tcPr>
            <w:tcW w:w="1170" w:type="dxa"/>
            <w:tcBorders>
              <w:top w:val="nil"/>
              <w:left w:val="nil"/>
              <w:bottom w:val="single" w:sz="4" w:space="0" w:color="auto"/>
              <w:right w:val="single" w:sz="4" w:space="0" w:color="auto"/>
            </w:tcBorders>
            <w:vAlign w:val="bottom"/>
            <w:hideMark/>
          </w:tcPr>
          <w:p w14:paraId="3EAE0A2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35.78%</w:t>
            </w:r>
          </w:p>
        </w:tc>
        <w:tc>
          <w:tcPr>
            <w:tcW w:w="1260" w:type="dxa"/>
            <w:tcBorders>
              <w:top w:val="nil"/>
              <w:left w:val="nil"/>
              <w:bottom w:val="single" w:sz="4" w:space="0" w:color="auto"/>
              <w:right w:val="single" w:sz="4" w:space="0" w:color="auto"/>
            </w:tcBorders>
            <w:vAlign w:val="bottom"/>
            <w:hideMark/>
          </w:tcPr>
          <w:p w14:paraId="35C9430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-$2,676,965</w:t>
            </w:r>
          </w:p>
        </w:tc>
      </w:tr>
      <w:tr w:rsidR="00433DC8" w:rsidRPr="00433DC8" w14:paraId="4C5DFD5E"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4F0D7BA9"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534DD677"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MIL</w:t>
            </w:r>
          </w:p>
        </w:tc>
        <w:tc>
          <w:tcPr>
            <w:tcW w:w="4050" w:type="dxa"/>
            <w:tcBorders>
              <w:top w:val="nil"/>
              <w:left w:val="nil"/>
              <w:bottom w:val="single" w:sz="4" w:space="0" w:color="auto"/>
              <w:right w:val="single" w:sz="4" w:space="0" w:color="auto"/>
            </w:tcBorders>
            <w:vAlign w:val="bottom"/>
            <w:hideMark/>
          </w:tcPr>
          <w:p w14:paraId="6C29656D"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MILITARY DIVISION</w:t>
            </w:r>
          </w:p>
        </w:tc>
        <w:tc>
          <w:tcPr>
            <w:tcW w:w="1260" w:type="dxa"/>
            <w:tcBorders>
              <w:top w:val="nil"/>
              <w:left w:val="nil"/>
              <w:bottom w:val="single" w:sz="4" w:space="0" w:color="auto"/>
              <w:right w:val="single" w:sz="4" w:space="0" w:color="auto"/>
            </w:tcBorders>
            <w:vAlign w:val="bottom"/>
            <w:hideMark/>
          </w:tcPr>
          <w:p w14:paraId="0B24EA6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$842,631</w:t>
            </w:r>
          </w:p>
        </w:tc>
        <w:tc>
          <w:tcPr>
            <w:tcW w:w="1170" w:type="dxa"/>
            <w:tcBorders>
              <w:top w:val="nil"/>
              <w:left w:val="nil"/>
              <w:bottom w:val="single" w:sz="4" w:space="0" w:color="auto"/>
              <w:right w:val="single" w:sz="4" w:space="0" w:color="auto"/>
            </w:tcBorders>
            <w:vAlign w:val="bottom"/>
            <w:hideMark/>
          </w:tcPr>
          <w:p w14:paraId="2241492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$101,116</w:t>
            </w:r>
          </w:p>
        </w:tc>
        <w:tc>
          <w:tcPr>
            <w:tcW w:w="1260" w:type="dxa"/>
            <w:tcBorders>
              <w:top w:val="nil"/>
              <w:left w:val="nil"/>
              <w:bottom w:val="single" w:sz="4" w:space="0" w:color="auto"/>
              <w:right w:val="single" w:sz="4" w:space="0" w:color="auto"/>
            </w:tcBorders>
            <w:vAlign w:val="bottom"/>
            <w:hideMark/>
          </w:tcPr>
          <w:p w14:paraId="3DA07845"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$172,590</w:t>
            </w:r>
          </w:p>
        </w:tc>
        <w:tc>
          <w:tcPr>
            <w:tcW w:w="1080" w:type="dxa"/>
            <w:tcBorders>
              <w:top w:val="nil"/>
              <w:left w:val="nil"/>
              <w:bottom w:val="single" w:sz="4" w:space="0" w:color="auto"/>
              <w:right w:val="single" w:sz="4" w:space="0" w:color="auto"/>
            </w:tcBorders>
            <w:vAlign w:val="bottom"/>
            <w:hideMark/>
          </w:tcPr>
          <w:p w14:paraId="5032C8C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74C7E3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$172,590</w:t>
            </w:r>
          </w:p>
        </w:tc>
        <w:tc>
          <w:tcPr>
            <w:tcW w:w="1170" w:type="dxa"/>
            <w:tcBorders>
              <w:top w:val="nil"/>
              <w:left w:val="nil"/>
              <w:bottom w:val="single" w:sz="4" w:space="0" w:color="auto"/>
              <w:right w:val="single" w:sz="4" w:space="0" w:color="auto"/>
            </w:tcBorders>
            <w:vAlign w:val="bottom"/>
            <w:hideMark/>
          </w:tcPr>
          <w:p w14:paraId="5C92BF3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170.69%</w:t>
            </w:r>
          </w:p>
        </w:tc>
        <w:tc>
          <w:tcPr>
            <w:tcW w:w="1260" w:type="dxa"/>
            <w:tcBorders>
              <w:top w:val="nil"/>
              <w:left w:val="nil"/>
              <w:bottom w:val="single" w:sz="4" w:space="0" w:color="auto"/>
              <w:right w:val="single" w:sz="4" w:space="0" w:color="auto"/>
            </w:tcBorders>
            <w:vAlign w:val="bottom"/>
            <w:hideMark/>
          </w:tcPr>
          <w:p w14:paraId="04BFC7B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$71,475</w:t>
            </w:r>
          </w:p>
        </w:tc>
      </w:tr>
      <w:tr w:rsidR="00433DC8" w:rsidRPr="00433DC8" w14:paraId="70C555B4"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4CCDCDF9"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0E63A699"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PAR</w:t>
            </w:r>
          </w:p>
        </w:tc>
        <w:tc>
          <w:tcPr>
            <w:tcW w:w="4050" w:type="dxa"/>
            <w:tcBorders>
              <w:top w:val="nil"/>
              <w:left w:val="nil"/>
              <w:bottom w:val="single" w:sz="4" w:space="0" w:color="auto"/>
              <w:right w:val="single" w:sz="4" w:space="0" w:color="auto"/>
            </w:tcBorders>
            <w:vAlign w:val="bottom"/>
            <w:hideMark/>
          </w:tcPr>
          <w:p w14:paraId="1FFAE698"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PAROLE BOARD</w:t>
            </w:r>
          </w:p>
        </w:tc>
        <w:tc>
          <w:tcPr>
            <w:tcW w:w="1260" w:type="dxa"/>
            <w:tcBorders>
              <w:top w:val="nil"/>
              <w:left w:val="nil"/>
              <w:bottom w:val="single" w:sz="4" w:space="0" w:color="auto"/>
              <w:right w:val="single" w:sz="4" w:space="0" w:color="auto"/>
            </w:tcBorders>
            <w:vAlign w:val="bottom"/>
            <w:hideMark/>
          </w:tcPr>
          <w:p w14:paraId="776D12B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$1,859,554</w:t>
            </w:r>
          </w:p>
        </w:tc>
        <w:tc>
          <w:tcPr>
            <w:tcW w:w="1170" w:type="dxa"/>
            <w:tcBorders>
              <w:top w:val="nil"/>
              <w:left w:val="nil"/>
              <w:bottom w:val="single" w:sz="4" w:space="0" w:color="auto"/>
              <w:right w:val="single" w:sz="4" w:space="0" w:color="auto"/>
            </w:tcBorders>
            <w:vAlign w:val="bottom"/>
            <w:hideMark/>
          </w:tcPr>
          <w:p w14:paraId="2E74950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$223,146</w:t>
            </w:r>
          </w:p>
        </w:tc>
        <w:tc>
          <w:tcPr>
            <w:tcW w:w="1260" w:type="dxa"/>
            <w:tcBorders>
              <w:top w:val="nil"/>
              <w:left w:val="nil"/>
              <w:bottom w:val="single" w:sz="4" w:space="0" w:color="auto"/>
              <w:right w:val="single" w:sz="4" w:space="0" w:color="auto"/>
            </w:tcBorders>
            <w:vAlign w:val="bottom"/>
            <w:hideMark/>
          </w:tcPr>
          <w:p w14:paraId="498537F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$183,580</w:t>
            </w:r>
          </w:p>
        </w:tc>
        <w:tc>
          <w:tcPr>
            <w:tcW w:w="1080" w:type="dxa"/>
            <w:tcBorders>
              <w:top w:val="nil"/>
              <w:left w:val="nil"/>
              <w:bottom w:val="single" w:sz="4" w:space="0" w:color="auto"/>
              <w:right w:val="single" w:sz="4" w:space="0" w:color="auto"/>
            </w:tcBorders>
            <w:vAlign w:val="bottom"/>
            <w:hideMark/>
          </w:tcPr>
          <w:p w14:paraId="16C1724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648C177"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$183,580</w:t>
            </w:r>
          </w:p>
        </w:tc>
        <w:tc>
          <w:tcPr>
            <w:tcW w:w="1170" w:type="dxa"/>
            <w:tcBorders>
              <w:top w:val="nil"/>
              <w:left w:val="nil"/>
              <w:bottom w:val="single" w:sz="4" w:space="0" w:color="auto"/>
              <w:right w:val="single" w:sz="4" w:space="0" w:color="auto"/>
            </w:tcBorders>
            <w:vAlign w:val="bottom"/>
            <w:hideMark/>
          </w:tcPr>
          <w:p w14:paraId="0032BF4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82.27%</w:t>
            </w:r>
          </w:p>
        </w:tc>
        <w:tc>
          <w:tcPr>
            <w:tcW w:w="1260" w:type="dxa"/>
            <w:tcBorders>
              <w:top w:val="nil"/>
              <w:left w:val="nil"/>
              <w:bottom w:val="single" w:sz="4" w:space="0" w:color="auto"/>
              <w:right w:val="single" w:sz="4" w:space="0" w:color="auto"/>
            </w:tcBorders>
            <w:vAlign w:val="bottom"/>
            <w:hideMark/>
          </w:tcPr>
          <w:p w14:paraId="35E0165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-$39,567</w:t>
            </w:r>
          </w:p>
        </w:tc>
      </w:tr>
      <w:tr w:rsidR="00433DC8" w:rsidRPr="00433DC8" w14:paraId="464863EE"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5D75C3AA"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09E0328B"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POL</w:t>
            </w:r>
          </w:p>
        </w:tc>
        <w:tc>
          <w:tcPr>
            <w:tcW w:w="4050" w:type="dxa"/>
            <w:tcBorders>
              <w:top w:val="nil"/>
              <w:left w:val="nil"/>
              <w:bottom w:val="single" w:sz="4" w:space="0" w:color="auto"/>
              <w:right w:val="single" w:sz="4" w:space="0" w:color="auto"/>
            </w:tcBorders>
            <w:vAlign w:val="bottom"/>
            <w:hideMark/>
          </w:tcPr>
          <w:p w14:paraId="78FFB38B"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DEPARTMENT OF STATE POLICE</w:t>
            </w:r>
          </w:p>
        </w:tc>
        <w:tc>
          <w:tcPr>
            <w:tcW w:w="1260" w:type="dxa"/>
            <w:tcBorders>
              <w:top w:val="nil"/>
              <w:left w:val="nil"/>
              <w:bottom w:val="single" w:sz="4" w:space="0" w:color="auto"/>
              <w:right w:val="single" w:sz="4" w:space="0" w:color="auto"/>
            </w:tcBorders>
            <w:vAlign w:val="bottom"/>
            <w:hideMark/>
          </w:tcPr>
          <w:p w14:paraId="0497CC6B"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$21,540,061</w:t>
            </w:r>
          </w:p>
        </w:tc>
        <w:tc>
          <w:tcPr>
            <w:tcW w:w="1170" w:type="dxa"/>
            <w:tcBorders>
              <w:top w:val="nil"/>
              <w:left w:val="nil"/>
              <w:bottom w:val="single" w:sz="4" w:space="0" w:color="auto"/>
              <w:right w:val="single" w:sz="4" w:space="0" w:color="auto"/>
            </w:tcBorders>
            <w:vAlign w:val="bottom"/>
            <w:hideMark/>
          </w:tcPr>
          <w:p w14:paraId="4E89CE2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$2,584,807</w:t>
            </w:r>
          </w:p>
        </w:tc>
        <w:tc>
          <w:tcPr>
            <w:tcW w:w="1260" w:type="dxa"/>
            <w:tcBorders>
              <w:top w:val="nil"/>
              <w:left w:val="nil"/>
              <w:bottom w:val="single" w:sz="4" w:space="0" w:color="auto"/>
              <w:right w:val="single" w:sz="4" w:space="0" w:color="auto"/>
            </w:tcBorders>
            <w:vAlign w:val="bottom"/>
            <w:hideMark/>
          </w:tcPr>
          <w:p w14:paraId="17B6B19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$2,164,312</w:t>
            </w:r>
          </w:p>
        </w:tc>
        <w:tc>
          <w:tcPr>
            <w:tcW w:w="1080" w:type="dxa"/>
            <w:tcBorders>
              <w:top w:val="nil"/>
              <w:left w:val="nil"/>
              <w:bottom w:val="single" w:sz="4" w:space="0" w:color="auto"/>
              <w:right w:val="single" w:sz="4" w:space="0" w:color="auto"/>
            </w:tcBorders>
            <w:vAlign w:val="bottom"/>
            <w:hideMark/>
          </w:tcPr>
          <w:p w14:paraId="56C7DE9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CB461C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$2,164,312</w:t>
            </w:r>
          </w:p>
        </w:tc>
        <w:tc>
          <w:tcPr>
            <w:tcW w:w="1170" w:type="dxa"/>
            <w:tcBorders>
              <w:top w:val="nil"/>
              <w:left w:val="nil"/>
              <w:bottom w:val="single" w:sz="4" w:space="0" w:color="auto"/>
              <w:right w:val="single" w:sz="4" w:space="0" w:color="auto"/>
            </w:tcBorders>
            <w:vAlign w:val="bottom"/>
            <w:hideMark/>
          </w:tcPr>
          <w:p w14:paraId="3F17542D"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83.73%</w:t>
            </w:r>
          </w:p>
        </w:tc>
        <w:tc>
          <w:tcPr>
            <w:tcW w:w="1260" w:type="dxa"/>
            <w:tcBorders>
              <w:top w:val="nil"/>
              <w:left w:val="nil"/>
              <w:bottom w:val="single" w:sz="4" w:space="0" w:color="auto"/>
              <w:right w:val="single" w:sz="4" w:space="0" w:color="auto"/>
            </w:tcBorders>
            <w:vAlign w:val="bottom"/>
            <w:hideMark/>
          </w:tcPr>
          <w:p w14:paraId="7D05101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-$420,495</w:t>
            </w:r>
          </w:p>
        </w:tc>
      </w:tr>
      <w:tr w:rsidR="00433DC8" w:rsidRPr="00433DC8" w14:paraId="5CBEB750" w14:textId="77777777" w:rsidTr="009050D8">
        <w:trPr>
          <w:trHeight w:val="161"/>
        </w:trPr>
        <w:tc>
          <w:tcPr>
            <w:tcW w:w="630" w:type="dxa"/>
            <w:tcBorders>
              <w:top w:val="nil"/>
              <w:left w:val="single" w:sz="4" w:space="0" w:color="auto"/>
              <w:bottom w:val="nil"/>
              <w:right w:val="single" w:sz="4" w:space="0" w:color="auto"/>
            </w:tcBorders>
            <w:vAlign w:val="bottom"/>
            <w:hideMark/>
          </w:tcPr>
          <w:p w14:paraId="622E863D"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EPS</w:t>
            </w:r>
          </w:p>
        </w:tc>
        <w:tc>
          <w:tcPr>
            <w:tcW w:w="630" w:type="dxa"/>
            <w:tcBorders>
              <w:top w:val="nil"/>
              <w:left w:val="nil"/>
              <w:bottom w:val="nil"/>
              <w:right w:val="single" w:sz="4" w:space="0" w:color="auto"/>
            </w:tcBorders>
            <w:vAlign w:val="bottom"/>
            <w:hideMark/>
          </w:tcPr>
          <w:p w14:paraId="2DE0B7C4"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SOR</w:t>
            </w:r>
          </w:p>
        </w:tc>
        <w:tc>
          <w:tcPr>
            <w:tcW w:w="4050" w:type="dxa"/>
            <w:tcBorders>
              <w:top w:val="nil"/>
              <w:left w:val="nil"/>
              <w:bottom w:val="nil"/>
              <w:right w:val="single" w:sz="4" w:space="0" w:color="auto"/>
            </w:tcBorders>
            <w:vAlign w:val="bottom"/>
            <w:hideMark/>
          </w:tcPr>
          <w:p w14:paraId="20F6995F"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SEX OFFENDER REGISTRY</w:t>
            </w:r>
          </w:p>
        </w:tc>
        <w:tc>
          <w:tcPr>
            <w:tcW w:w="1260" w:type="dxa"/>
            <w:tcBorders>
              <w:top w:val="nil"/>
              <w:left w:val="nil"/>
              <w:bottom w:val="nil"/>
              <w:right w:val="single" w:sz="4" w:space="0" w:color="auto"/>
            </w:tcBorders>
            <w:vAlign w:val="bottom"/>
            <w:hideMark/>
          </w:tcPr>
          <w:p w14:paraId="2F6689B6"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$154,345</w:t>
            </w:r>
          </w:p>
        </w:tc>
        <w:tc>
          <w:tcPr>
            <w:tcW w:w="1170" w:type="dxa"/>
            <w:tcBorders>
              <w:top w:val="nil"/>
              <w:left w:val="nil"/>
              <w:bottom w:val="nil"/>
              <w:right w:val="single" w:sz="4" w:space="0" w:color="auto"/>
            </w:tcBorders>
            <w:vAlign w:val="bottom"/>
            <w:hideMark/>
          </w:tcPr>
          <w:p w14:paraId="0BBDC77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$18,521</w:t>
            </w:r>
          </w:p>
        </w:tc>
        <w:tc>
          <w:tcPr>
            <w:tcW w:w="1260" w:type="dxa"/>
            <w:tcBorders>
              <w:top w:val="nil"/>
              <w:left w:val="nil"/>
              <w:bottom w:val="nil"/>
              <w:right w:val="single" w:sz="4" w:space="0" w:color="auto"/>
            </w:tcBorders>
            <w:vAlign w:val="bottom"/>
            <w:hideMark/>
          </w:tcPr>
          <w:p w14:paraId="0A98CFA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$12,074</w:t>
            </w:r>
          </w:p>
        </w:tc>
        <w:tc>
          <w:tcPr>
            <w:tcW w:w="1080" w:type="dxa"/>
            <w:tcBorders>
              <w:top w:val="nil"/>
              <w:left w:val="nil"/>
              <w:bottom w:val="nil"/>
              <w:right w:val="single" w:sz="4" w:space="0" w:color="auto"/>
            </w:tcBorders>
            <w:vAlign w:val="bottom"/>
            <w:hideMark/>
          </w:tcPr>
          <w:p w14:paraId="2362395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0A3DAC8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$12,074</w:t>
            </w:r>
          </w:p>
        </w:tc>
        <w:tc>
          <w:tcPr>
            <w:tcW w:w="1170" w:type="dxa"/>
            <w:tcBorders>
              <w:top w:val="nil"/>
              <w:left w:val="nil"/>
              <w:bottom w:val="nil"/>
              <w:right w:val="single" w:sz="4" w:space="0" w:color="auto"/>
            </w:tcBorders>
            <w:vAlign w:val="bottom"/>
            <w:hideMark/>
          </w:tcPr>
          <w:p w14:paraId="7B0F565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65.19%</w:t>
            </w:r>
          </w:p>
        </w:tc>
        <w:tc>
          <w:tcPr>
            <w:tcW w:w="1260" w:type="dxa"/>
            <w:tcBorders>
              <w:top w:val="nil"/>
              <w:left w:val="nil"/>
              <w:bottom w:val="nil"/>
              <w:right w:val="single" w:sz="4" w:space="0" w:color="auto"/>
            </w:tcBorders>
            <w:vAlign w:val="bottom"/>
            <w:hideMark/>
          </w:tcPr>
          <w:p w14:paraId="166FDEB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-$6,448</w:t>
            </w:r>
          </w:p>
        </w:tc>
      </w:tr>
      <w:tr w:rsidR="00433DC8" w:rsidRPr="00433DC8" w14:paraId="6A59701F" w14:textId="77777777" w:rsidTr="009050D8">
        <w:trPr>
          <w:trHeight w:val="169"/>
        </w:trPr>
        <w:tc>
          <w:tcPr>
            <w:tcW w:w="5310" w:type="dxa"/>
            <w:gridSpan w:val="3"/>
            <w:tcBorders>
              <w:top w:val="single" w:sz="8" w:space="0" w:color="auto"/>
              <w:left w:val="single" w:sz="8" w:space="0" w:color="auto"/>
              <w:bottom w:val="single" w:sz="8" w:space="0" w:color="auto"/>
              <w:right w:val="single" w:sz="4" w:space="0" w:color="auto"/>
            </w:tcBorders>
            <w:shd w:val="clear" w:color="000000" w:fill="C5D9F1"/>
            <w:vAlign w:val="bottom"/>
            <w:hideMark/>
          </w:tcPr>
          <w:p w14:paraId="1B8B6CCE" w14:textId="77777777" w:rsidR="00433DC8" w:rsidRPr="00E67D16" w:rsidRDefault="00433DC8" w:rsidP="00433DC8">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4ED9CE29"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$92,367,605</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14C6E4FF"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$11,084,113</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2D4BC5E8"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$7,743,058</w:t>
            </w:r>
          </w:p>
        </w:tc>
        <w:tc>
          <w:tcPr>
            <w:tcW w:w="1080" w:type="dxa"/>
            <w:tcBorders>
              <w:top w:val="single" w:sz="8" w:space="0" w:color="auto"/>
              <w:left w:val="nil"/>
              <w:bottom w:val="single" w:sz="8" w:space="0" w:color="auto"/>
              <w:right w:val="single" w:sz="4" w:space="0" w:color="auto"/>
            </w:tcBorders>
            <w:shd w:val="clear" w:color="000000" w:fill="C5D9F1"/>
            <w:vAlign w:val="bottom"/>
            <w:hideMark/>
          </w:tcPr>
          <w:p w14:paraId="4EF422C2"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$2,393,173</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06E63F47"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$10,136,231</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4A162F41"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91.45%</w:t>
            </w:r>
          </w:p>
        </w:tc>
        <w:tc>
          <w:tcPr>
            <w:tcW w:w="1260" w:type="dxa"/>
            <w:tcBorders>
              <w:top w:val="single" w:sz="8" w:space="0" w:color="auto"/>
              <w:left w:val="nil"/>
              <w:bottom w:val="single" w:sz="8" w:space="0" w:color="auto"/>
              <w:right w:val="single" w:sz="8" w:space="0" w:color="auto"/>
            </w:tcBorders>
            <w:shd w:val="clear" w:color="000000" w:fill="C5D9F1"/>
            <w:vAlign w:val="bottom"/>
            <w:hideMark/>
          </w:tcPr>
          <w:p w14:paraId="501FADC0"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-$947,882</w:t>
            </w:r>
          </w:p>
        </w:tc>
      </w:tr>
      <w:tr w:rsidR="00433DC8" w:rsidRPr="00433DC8" w14:paraId="7003E152" w14:textId="77777777" w:rsidTr="009050D8">
        <w:trPr>
          <w:trHeight w:val="151"/>
        </w:trPr>
        <w:tc>
          <w:tcPr>
            <w:tcW w:w="630" w:type="dxa"/>
            <w:tcBorders>
              <w:top w:val="nil"/>
              <w:left w:val="single" w:sz="4" w:space="0" w:color="auto"/>
              <w:bottom w:val="nil"/>
              <w:right w:val="single" w:sz="4" w:space="0" w:color="auto"/>
            </w:tcBorders>
            <w:vAlign w:val="bottom"/>
            <w:hideMark/>
          </w:tcPr>
          <w:p w14:paraId="042F3925"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GOV</w:t>
            </w:r>
          </w:p>
        </w:tc>
        <w:tc>
          <w:tcPr>
            <w:tcW w:w="630" w:type="dxa"/>
            <w:tcBorders>
              <w:top w:val="nil"/>
              <w:left w:val="nil"/>
              <w:bottom w:val="nil"/>
              <w:right w:val="single" w:sz="4" w:space="0" w:color="auto"/>
            </w:tcBorders>
            <w:vAlign w:val="bottom"/>
            <w:hideMark/>
          </w:tcPr>
          <w:p w14:paraId="22AFF8CA"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GOV</w:t>
            </w:r>
          </w:p>
        </w:tc>
        <w:tc>
          <w:tcPr>
            <w:tcW w:w="4050" w:type="dxa"/>
            <w:tcBorders>
              <w:top w:val="nil"/>
              <w:left w:val="nil"/>
              <w:bottom w:val="nil"/>
              <w:right w:val="single" w:sz="4" w:space="0" w:color="auto"/>
            </w:tcBorders>
            <w:vAlign w:val="bottom"/>
            <w:hideMark/>
          </w:tcPr>
          <w:p w14:paraId="53E827A3"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GOVERNORS OFFICE</w:t>
            </w:r>
          </w:p>
        </w:tc>
        <w:tc>
          <w:tcPr>
            <w:tcW w:w="1260" w:type="dxa"/>
            <w:tcBorders>
              <w:top w:val="nil"/>
              <w:left w:val="nil"/>
              <w:bottom w:val="nil"/>
              <w:right w:val="single" w:sz="4" w:space="0" w:color="auto"/>
            </w:tcBorders>
            <w:vAlign w:val="bottom"/>
            <w:hideMark/>
          </w:tcPr>
          <w:p w14:paraId="0C457248"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$260,590</w:t>
            </w:r>
          </w:p>
        </w:tc>
        <w:tc>
          <w:tcPr>
            <w:tcW w:w="1170" w:type="dxa"/>
            <w:tcBorders>
              <w:top w:val="nil"/>
              <w:left w:val="nil"/>
              <w:bottom w:val="nil"/>
              <w:right w:val="single" w:sz="4" w:space="0" w:color="auto"/>
            </w:tcBorders>
            <w:vAlign w:val="bottom"/>
            <w:hideMark/>
          </w:tcPr>
          <w:p w14:paraId="5F3DF45E"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$31,271</w:t>
            </w:r>
          </w:p>
        </w:tc>
        <w:tc>
          <w:tcPr>
            <w:tcW w:w="1260" w:type="dxa"/>
            <w:tcBorders>
              <w:top w:val="nil"/>
              <w:left w:val="nil"/>
              <w:bottom w:val="nil"/>
              <w:right w:val="single" w:sz="4" w:space="0" w:color="auto"/>
            </w:tcBorders>
            <w:vAlign w:val="bottom"/>
            <w:hideMark/>
          </w:tcPr>
          <w:p w14:paraId="66D4AD89"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$14,469</w:t>
            </w:r>
          </w:p>
        </w:tc>
        <w:tc>
          <w:tcPr>
            <w:tcW w:w="1080" w:type="dxa"/>
            <w:tcBorders>
              <w:top w:val="nil"/>
              <w:left w:val="nil"/>
              <w:bottom w:val="nil"/>
              <w:right w:val="single" w:sz="4" w:space="0" w:color="auto"/>
            </w:tcBorders>
            <w:vAlign w:val="bottom"/>
            <w:hideMark/>
          </w:tcPr>
          <w:p w14:paraId="0812567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428C943C"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$14,469</w:t>
            </w:r>
          </w:p>
        </w:tc>
        <w:tc>
          <w:tcPr>
            <w:tcW w:w="1170" w:type="dxa"/>
            <w:tcBorders>
              <w:top w:val="nil"/>
              <w:left w:val="nil"/>
              <w:bottom w:val="nil"/>
              <w:right w:val="single" w:sz="4" w:space="0" w:color="auto"/>
            </w:tcBorders>
            <w:vAlign w:val="bottom"/>
            <w:hideMark/>
          </w:tcPr>
          <w:p w14:paraId="261F9CB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46.27%</w:t>
            </w:r>
          </w:p>
        </w:tc>
        <w:tc>
          <w:tcPr>
            <w:tcW w:w="1260" w:type="dxa"/>
            <w:tcBorders>
              <w:top w:val="nil"/>
              <w:left w:val="nil"/>
              <w:bottom w:val="nil"/>
              <w:right w:val="single" w:sz="4" w:space="0" w:color="auto"/>
            </w:tcBorders>
            <w:vAlign w:val="bottom"/>
            <w:hideMark/>
          </w:tcPr>
          <w:p w14:paraId="25CACC1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-$16,802</w:t>
            </w:r>
          </w:p>
        </w:tc>
      </w:tr>
      <w:tr w:rsidR="00433DC8" w:rsidRPr="00433DC8" w14:paraId="2DAEAE21" w14:textId="77777777" w:rsidTr="009050D8">
        <w:trPr>
          <w:trHeight w:val="169"/>
        </w:trPr>
        <w:tc>
          <w:tcPr>
            <w:tcW w:w="5310" w:type="dxa"/>
            <w:gridSpan w:val="3"/>
            <w:tcBorders>
              <w:top w:val="single" w:sz="8" w:space="0" w:color="auto"/>
              <w:left w:val="single" w:sz="8" w:space="0" w:color="auto"/>
              <w:bottom w:val="single" w:sz="8" w:space="0" w:color="auto"/>
              <w:right w:val="single" w:sz="4" w:space="0" w:color="auto"/>
            </w:tcBorders>
            <w:shd w:val="clear" w:color="000000" w:fill="C5D9F1"/>
            <w:vAlign w:val="bottom"/>
            <w:hideMark/>
          </w:tcPr>
          <w:p w14:paraId="5FE8009F" w14:textId="77777777" w:rsidR="00433DC8" w:rsidRPr="00E67D16" w:rsidRDefault="00433DC8" w:rsidP="00433DC8">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626CBB16"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$260,590</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00522758"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$31,271</w:t>
            </w:r>
          </w:p>
        </w:tc>
        <w:tc>
          <w:tcPr>
            <w:tcW w:w="1260" w:type="dxa"/>
            <w:tcBorders>
              <w:top w:val="single" w:sz="8" w:space="0" w:color="auto"/>
              <w:left w:val="nil"/>
              <w:bottom w:val="single" w:sz="8" w:space="0" w:color="auto"/>
              <w:right w:val="single" w:sz="4" w:space="0" w:color="auto"/>
            </w:tcBorders>
            <w:shd w:val="clear" w:color="000000" w:fill="C5D9F1"/>
            <w:vAlign w:val="bottom"/>
            <w:hideMark/>
          </w:tcPr>
          <w:p w14:paraId="6ABC011B"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$14,469</w:t>
            </w:r>
          </w:p>
        </w:tc>
        <w:tc>
          <w:tcPr>
            <w:tcW w:w="1080" w:type="dxa"/>
            <w:tcBorders>
              <w:top w:val="single" w:sz="8" w:space="0" w:color="auto"/>
              <w:left w:val="nil"/>
              <w:bottom w:val="single" w:sz="8" w:space="0" w:color="auto"/>
              <w:right w:val="single" w:sz="4" w:space="0" w:color="auto"/>
            </w:tcBorders>
            <w:shd w:val="clear" w:color="000000" w:fill="C5D9F1"/>
            <w:vAlign w:val="bottom"/>
            <w:hideMark/>
          </w:tcPr>
          <w:p w14:paraId="4983541B"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4E3E7C3B"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$14,469</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4E30B6E7"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46.27%</w:t>
            </w:r>
          </w:p>
        </w:tc>
        <w:tc>
          <w:tcPr>
            <w:tcW w:w="1260" w:type="dxa"/>
            <w:tcBorders>
              <w:top w:val="single" w:sz="8" w:space="0" w:color="auto"/>
              <w:left w:val="nil"/>
              <w:bottom w:val="single" w:sz="8" w:space="0" w:color="auto"/>
              <w:right w:val="single" w:sz="8" w:space="0" w:color="auto"/>
            </w:tcBorders>
            <w:shd w:val="clear" w:color="000000" w:fill="C5D9F1"/>
            <w:vAlign w:val="bottom"/>
            <w:hideMark/>
          </w:tcPr>
          <w:p w14:paraId="3DE5A318"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-$16,802</w:t>
            </w:r>
          </w:p>
        </w:tc>
      </w:tr>
      <w:tr w:rsidR="00433DC8" w:rsidRPr="00433DC8" w14:paraId="293BF294" w14:textId="77777777" w:rsidTr="009050D8">
        <w:trPr>
          <w:trHeight w:val="160"/>
        </w:trPr>
        <w:tc>
          <w:tcPr>
            <w:tcW w:w="630" w:type="dxa"/>
            <w:tcBorders>
              <w:top w:val="nil"/>
              <w:left w:val="single" w:sz="4" w:space="0" w:color="auto"/>
              <w:bottom w:val="nil"/>
              <w:right w:val="single" w:sz="4" w:space="0" w:color="auto"/>
            </w:tcBorders>
            <w:vAlign w:val="bottom"/>
            <w:hideMark/>
          </w:tcPr>
          <w:p w14:paraId="215AFCBC"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OSC</w:t>
            </w:r>
          </w:p>
        </w:tc>
        <w:tc>
          <w:tcPr>
            <w:tcW w:w="630" w:type="dxa"/>
            <w:tcBorders>
              <w:top w:val="nil"/>
              <w:left w:val="nil"/>
              <w:bottom w:val="nil"/>
              <w:right w:val="single" w:sz="4" w:space="0" w:color="auto"/>
            </w:tcBorders>
            <w:vAlign w:val="bottom"/>
            <w:hideMark/>
          </w:tcPr>
          <w:p w14:paraId="3A9E7C7B"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OSC</w:t>
            </w:r>
          </w:p>
        </w:tc>
        <w:tc>
          <w:tcPr>
            <w:tcW w:w="4050" w:type="dxa"/>
            <w:tcBorders>
              <w:top w:val="nil"/>
              <w:left w:val="nil"/>
              <w:bottom w:val="nil"/>
              <w:right w:val="single" w:sz="4" w:space="0" w:color="auto"/>
            </w:tcBorders>
            <w:vAlign w:val="bottom"/>
            <w:hideMark/>
          </w:tcPr>
          <w:p w14:paraId="6D1A5FC2" w14:textId="77777777" w:rsidR="00433DC8" w:rsidRPr="00E67D16" w:rsidRDefault="00433DC8" w:rsidP="00433DC8">
            <w:pPr>
              <w:spacing w:after="0" w:line="240" w:lineRule="auto"/>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OFFICE OF THE COMPTROLLER</w:t>
            </w:r>
          </w:p>
        </w:tc>
        <w:tc>
          <w:tcPr>
            <w:tcW w:w="1260" w:type="dxa"/>
            <w:tcBorders>
              <w:top w:val="nil"/>
              <w:left w:val="nil"/>
              <w:bottom w:val="nil"/>
              <w:right w:val="single" w:sz="4" w:space="0" w:color="auto"/>
            </w:tcBorders>
            <w:vAlign w:val="bottom"/>
            <w:hideMark/>
          </w:tcPr>
          <w:p w14:paraId="27D896F4"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$425,069</w:t>
            </w:r>
          </w:p>
        </w:tc>
        <w:tc>
          <w:tcPr>
            <w:tcW w:w="1170" w:type="dxa"/>
            <w:tcBorders>
              <w:top w:val="nil"/>
              <w:left w:val="nil"/>
              <w:bottom w:val="nil"/>
              <w:right w:val="single" w:sz="4" w:space="0" w:color="auto"/>
            </w:tcBorders>
            <w:vAlign w:val="bottom"/>
            <w:hideMark/>
          </w:tcPr>
          <w:p w14:paraId="3B23E3AF"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$51,008</w:t>
            </w:r>
          </w:p>
        </w:tc>
        <w:tc>
          <w:tcPr>
            <w:tcW w:w="1260" w:type="dxa"/>
            <w:tcBorders>
              <w:top w:val="nil"/>
              <w:left w:val="nil"/>
              <w:bottom w:val="nil"/>
              <w:right w:val="single" w:sz="4" w:space="0" w:color="auto"/>
            </w:tcBorders>
            <w:vAlign w:val="bottom"/>
            <w:hideMark/>
          </w:tcPr>
          <w:p w14:paraId="6AE290A1"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$354,071</w:t>
            </w:r>
          </w:p>
        </w:tc>
        <w:tc>
          <w:tcPr>
            <w:tcW w:w="1080" w:type="dxa"/>
            <w:tcBorders>
              <w:top w:val="nil"/>
              <w:left w:val="nil"/>
              <w:bottom w:val="nil"/>
              <w:right w:val="single" w:sz="4" w:space="0" w:color="auto"/>
            </w:tcBorders>
            <w:vAlign w:val="bottom"/>
            <w:hideMark/>
          </w:tcPr>
          <w:p w14:paraId="10D36B73"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19CDD11A"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$354,071</w:t>
            </w:r>
          </w:p>
        </w:tc>
        <w:tc>
          <w:tcPr>
            <w:tcW w:w="1170" w:type="dxa"/>
            <w:tcBorders>
              <w:top w:val="nil"/>
              <w:left w:val="nil"/>
              <w:bottom w:val="nil"/>
              <w:right w:val="single" w:sz="4" w:space="0" w:color="auto"/>
            </w:tcBorders>
            <w:vAlign w:val="bottom"/>
            <w:hideMark/>
          </w:tcPr>
          <w:p w14:paraId="07DBA060"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694.14%</w:t>
            </w:r>
          </w:p>
        </w:tc>
        <w:tc>
          <w:tcPr>
            <w:tcW w:w="1260" w:type="dxa"/>
            <w:tcBorders>
              <w:top w:val="nil"/>
              <w:left w:val="nil"/>
              <w:bottom w:val="nil"/>
              <w:right w:val="single" w:sz="4" w:space="0" w:color="auto"/>
            </w:tcBorders>
            <w:vAlign w:val="bottom"/>
            <w:hideMark/>
          </w:tcPr>
          <w:p w14:paraId="0FA432C2" w14:textId="77777777" w:rsidR="00433DC8" w:rsidRPr="00E67D16" w:rsidRDefault="00433DC8" w:rsidP="00433DC8">
            <w:pPr>
              <w:spacing w:after="0" w:line="240" w:lineRule="auto"/>
              <w:jc w:val="right"/>
              <w:rPr>
                <w:rFonts w:ascii="Calibri" w:eastAsia="Times New Roman" w:hAnsi="Calibri"/>
                <w:color w:val="000000"/>
                <w:sz w:val="12"/>
                <w:szCs w:val="12"/>
                <w:lang w:val="en-US"/>
              </w:rPr>
            </w:pPr>
            <w:r w:rsidRPr="00E67D16">
              <w:rPr>
                <w:rFonts w:ascii="Calibri" w:eastAsia="Times New Roman" w:hAnsi="Calibri"/>
                <w:color w:val="000000"/>
                <w:sz w:val="12"/>
                <w:szCs w:val="12"/>
                <w:lang w:val="en-US"/>
              </w:rPr>
              <w:t>$303,063</w:t>
            </w:r>
          </w:p>
        </w:tc>
      </w:tr>
      <w:tr w:rsidR="00433DC8" w:rsidRPr="00433DC8" w14:paraId="68645374" w14:textId="77777777" w:rsidTr="009050D8">
        <w:trPr>
          <w:trHeight w:val="151"/>
        </w:trPr>
        <w:tc>
          <w:tcPr>
            <w:tcW w:w="5310" w:type="dxa"/>
            <w:gridSpan w:val="3"/>
            <w:tcBorders>
              <w:top w:val="single" w:sz="8" w:space="0" w:color="auto"/>
              <w:left w:val="single" w:sz="8" w:space="0" w:color="auto"/>
              <w:bottom w:val="single" w:sz="8" w:space="0" w:color="auto"/>
              <w:right w:val="single" w:sz="4" w:space="0" w:color="auto"/>
            </w:tcBorders>
            <w:shd w:val="clear" w:color="000000" w:fill="C5D9F1"/>
            <w:noWrap/>
            <w:vAlign w:val="bottom"/>
            <w:hideMark/>
          </w:tcPr>
          <w:p w14:paraId="7BD5D0C8" w14:textId="77777777" w:rsidR="00433DC8" w:rsidRPr="00E67D16" w:rsidRDefault="00433DC8" w:rsidP="00433DC8">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C5D9F1"/>
            <w:noWrap/>
            <w:vAlign w:val="bottom"/>
            <w:hideMark/>
          </w:tcPr>
          <w:p w14:paraId="54B791A0"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$425,069</w:t>
            </w:r>
          </w:p>
        </w:tc>
        <w:tc>
          <w:tcPr>
            <w:tcW w:w="1170" w:type="dxa"/>
            <w:tcBorders>
              <w:top w:val="single" w:sz="8" w:space="0" w:color="auto"/>
              <w:left w:val="nil"/>
              <w:bottom w:val="single" w:sz="8" w:space="0" w:color="auto"/>
              <w:right w:val="single" w:sz="4" w:space="0" w:color="auto"/>
            </w:tcBorders>
            <w:shd w:val="clear" w:color="000000" w:fill="C5D9F1"/>
            <w:noWrap/>
            <w:vAlign w:val="bottom"/>
            <w:hideMark/>
          </w:tcPr>
          <w:p w14:paraId="215A8277"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$51,008</w:t>
            </w:r>
          </w:p>
        </w:tc>
        <w:tc>
          <w:tcPr>
            <w:tcW w:w="1260" w:type="dxa"/>
            <w:tcBorders>
              <w:top w:val="single" w:sz="8" w:space="0" w:color="auto"/>
              <w:left w:val="nil"/>
              <w:bottom w:val="single" w:sz="8" w:space="0" w:color="auto"/>
              <w:right w:val="single" w:sz="4" w:space="0" w:color="auto"/>
            </w:tcBorders>
            <w:shd w:val="clear" w:color="000000" w:fill="C5D9F1"/>
            <w:noWrap/>
            <w:vAlign w:val="bottom"/>
            <w:hideMark/>
          </w:tcPr>
          <w:p w14:paraId="284BD2D1"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$354,071</w:t>
            </w:r>
          </w:p>
        </w:tc>
        <w:tc>
          <w:tcPr>
            <w:tcW w:w="1080" w:type="dxa"/>
            <w:tcBorders>
              <w:top w:val="single" w:sz="8" w:space="0" w:color="auto"/>
              <w:left w:val="nil"/>
              <w:bottom w:val="single" w:sz="8" w:space="0" w:color="auto"/>
              <w:right w:val="single" w:sz="4" w:space="0" w:color="auto"/>
            </w:tcBorders>
            <w:shd w:val="clear" w:color="000000" w:fill="C5D9F1"/>
            <w:noWrap/>
            <w:vAlign w:val="bottom"/>
            <w:hideMark/>
          </w:tcPr>
          <w:p w14:paraId="7FE36F9E"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533DFC7B"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$354,071</w:t>
            </w:r>
          </w:p>
        </w:tc>
        <w:tc>
          <w:tcPr>
            <w:tcW w:w="1170" w:type="dxa"/>
            <w:tcBorders>
              <w:top w:val="single" w:sz="8" w:space="0" w:color="auto"/>
              <w:left w:val="nil"/>
              <w:bottom w:val="single" w:sz="8" w:space="0" w:color="auto"/>
              <w:right w:val="single" w:sz="4" w:space="0" w:color="auto"/>
            </w:tcBorders>
            <w:shd w:val="clear" w:color="000000" w:fill="C5D9F1"/>
            <w:vAlign w:val="bottom"/>
            <w:hideMark/>
          </w:tcPr>
          <w:p w14:paraId="0C0BCCBC"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694.14%</w:t>
            </w:r>
          </w:p>
        </w:tc>
        <w:tc>
          <w:tcPr>
            <w:tcW w:w="1260" w:type="dxa"/>
            <w:tcBorders>
              <w:top w:val="single" w:sz="8" w:space="0" w:color="auto"/>
              <w:left w:val="nil"/>
              <w:bottom w:val="single" w:sz="8" w:space="0" w:color="auto"/>
              <w:right w:val="single" w:sz="8" w:space="0" w:color="auto"/>
            </w:tcBorders>
            <w:shd w:val="clear" w:color="000000" w:fill="C5D9F1"/>
            <w:vAlign w:val="bottom"/>
            <w:hideMark/>
          </w:tcPr>
          <w:p w14:paraId="3BB9F7CD"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$303,063</w:t>
            </w:r>
          </w:p>
        </w:tc>
      </w:tr>
      <w:tr w:rsidR="00433DC8" w:rsidRPr="00433DC8" w14:paraId="135216DC" w14:textId="77777777" w:rsidTr="009050D8">
        <w:trPr>
          <w:trHeight w:val="169"/>
        </w:trPr>
        <w:tc>
          <w:tcPr>
            <w:tcW w:w="5310" w:type="dxa"/>
            <w:gridSpan w:val="3"/>
            <w:tcBorders>
              <w:top w:val="nil"/>
              <w:left w:val="single" w:sz="8" w:space="0" w:color="auto"/>
              <w:bottom w:val="single" w:sz="8" w:space="0" w:color="auto"/>
              <w:right w:val="single" w:sz="4" w:space="0" w:color="auto"/>
            </w:tcBorders>
            <w:shd w:val="clear" w:color="000000" w:fill="D9D9D9"/>
            <w:noWrap/>
            <w:vAlign w:val="bottom"/>
            <w:hideMark/>
          </w:tcPr>
          <w:p w14:paraId="6BE27D21" w14:textId="77777777" w:rsidR="00433DC8" w:rsidRPr="00E67D16" w:rsidRDefault="00433DC8" w:rsidP="00433DC8">
            <w:pPr>
              <w:spacing w:after="0" w:line="240" w:lineRule="auto"/>
              <w:jc w:val="center"/>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Year To Date Grand Total</w:t>
            </w:r>
          </w:p>
        </w:tc>
        <w:tc>
          <w:tcPr>
            <w:tcW w:w="1260" w:type="dxa"/>
            <w:tcBorders>
              <w:top w:val="nil"/>
              <w:left w:val="nil"/>
              <w:bottom w:val="single" w:sz="8" w:space="0" w:color="auto"/>
              <w:right w:val="single" w:sz="4" w:space="0" w:color="auto"/>
            </w:tcBorders>
            <w:shd w:val="clear" w:color="000000" w:fill="D9D9D9"/>
            <w:noWrap/>
            <w:vAlign w:val="bottom"/>
            <w:hideMark/>
          </w:tcPr>
          <w:p w14:paraId="6AE73BB8"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$3,976,078,574</w:t>
            </w:r>
          </w:p>
        </w:tc>
        <w:tc>
          <w:tcPr>
            <w:tcW w:w="1170" w:type="dxa"/>
            <w:tcBorders>
              <w:top w:val="nil"/>
              <w:left w:val="nil"/>
              <w:bottom w:val="single" w:sz="8" w:space="0" w:color="auto"/>
              <w:right w:val="single" w:sz="4" w:space="0" w:color="auto"/>
            </w:tcBorders>
            <w:shd w:val="clear" w:color="000000" w:fill="D9D9D9"/>
            <w:noWrap/>
            <w:vAlign w:val="bottom"/>
            <w:hideMark/>
          </w:tcPr>
          <w:p w14:paraId="43EAEEDD"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$477,129,429</w:t>
            </w:r>
          </w:p>
        </w:tc>
        <w:tc>
          <w:tcPr>
            <w:tcW w:w="1260" w:type="dxa"/>
            <w:tcBorders>
              <w:top w:val="nil"/>
              <w:left w:val="nil"/>
              <w:bottom w:val="single" w:sz="8" w:space="0" w:color="auto"/>
              <w:right w:val="single" w:sz="4" w:space="0" w:color="auto"/>
            </w:tcBorders>
            <w:shd w:val="clear" w:color="000000" w:fill="D9D9D9"/>
            <w:noWrap/>
            <w:vAlign w:val="bottom"/>
            <w:hideMark/>
          </w:tcPr>
          <w:p w14:paraId="26DA7937"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$545,446,225</w:t>
            </w:r>
          </w:p>
        </w:tc>
        <w:tc>
          <w:tcPr>
            <w:tcW w:w="1080" w:type="dxa"/>
            <w:tcBorders>
              <w:top w:val="nil"/>
              <w:left w:val="nil"/>
              <w:bottom w:val="single" w:sz="8" w:space="0" w:color="auto"/>
              <w:right w:val="nil"/>
            </w:tcBorders>
            <w:shd w:val="clear" w:color="000000" w:fill="D9D9D9"/>
            <w:noWrap/>
            <w:vAlign w:val="bottom"/>
            <w:hideMark/>
          </w:tcPr>
          <w:p w14:paraId="26690029"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$27,528,708</w:t>
            </w:r>
          </w:p>
        </w:tc>
        <w:tc>
          <w:tcPr>
            <w:tcW w:w="1170" w:type="dxa"/>
            <w:tcBorders>
              <w:top w:val="nil"/>
              <w:left w:val="single" w:sz="8" w:space="0" w:color="auto"/>
              <w:bottom w:val="single" w:sz="8" w:space="0" w:color="auto"/>
              <w:right w:val="single" w:sz="8" w:space="0" w:color="auto"/>
            </w:tcBorders>
            <w:shd w:val="clear" w:color="000000" w:fill="D9D9D9"/>
            <w:vAlign w:val="bottom"/>
            <w:hideMark/>
          </w:tcPr>
          <w:p w14:paraId="2537DBD2"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$572,974,933</w:t>
            </w:r>
          </w:p>
        </w:tc>
        <w:tc>
          <w:tcPr>
            <w:tcW w:w="1170" w:type="dxa"/>
            <w:tcBorders>
              <w:top w:val="nil"/>
              <w:left w:val="nil"/>
              <w:bottom w:val="single" w:sz="8" w:space="0" w:color="auto"/>
              <w:right w:val="single" w:sz="8" w:space="0" w:color="auto"/>
            </w:tcBorders>
            <w:shd w:val="clear" w:color="000000" w:fill="D9D9D9"/>
            <w:vAlign w:val="bottom"/>
            <w:hideMark/>
          </w:tcPr>
          <w:p w14:paraId="6AF8C03B"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120.09%</w:t>
            </w:r>
          </w:p>
        </w:tc>
        <w:tc>
          <w:tcPr>
            <w:tcW w:w="1260" w:type="dxa"/>
            <w:tcBorders>
              <w:top w:val="nil"/>
              <w:left w:val="nil"/>
              <w:bottom w:val="single" w:sz="8" w:space="0" w:color="auto"/>
              <w:right w:val="single" w:sz="4" w:space="0" w:color="auto"/>
            </w:tcBorders>
            <w:shd w:val="clear" w:color="000000" w:fill="D9D9D9"/>
            <w:noWrap/>
            <w:vAlign w:val="bottom"/>
            <w:hideMark/>
          </w:tcPr>
          <w:p w14:paraId="63F3996F" w14:textId="77777777" w:rsidR="00433DC8" w:rsidRPr="00E67D16" w:rsidRDefault="00433DC8" w:rsidP="00433DC8">
            <w:pPr>
              <w:spacing w:after="0" w:line="240" w:lineRule="auto"/>
              <w:jc w:val="right"/>
              <w:rPr>
                <w:rFonts w:ascii="Calibri" w:eastAsia="Times New Roman" w:hAnsi="Calibri"/>
                <w:b/>
                <w:bCs/>
                <w:color w:val="000000"/>
                <w:sz w:val="12"/>
                <w:szCs w:val="12"/>
                <w:lang w:val="en-US"/>
              </w:rPr>
            </w:pPr>
            <w:r w:rsidRPr="00E67D16">
              <w:rPr>
                <w:rFonts w:ascii="Calibri" w:eastAsia="Times New Roman" w:hAnsi="Calibri"/>
                <w:b/>
                <w:bCs/>
                <w:color w:val="000000"/>
                <w:sz w:val="12"/>
                <w:szCs w:val="12"/>
                <w:lang w:val="en-US"/>
              </w:rPr>
              <w:t>$95,845,505</w:t>
            </w:r>
          </w:p>
        </w:tc>
      </w:tr>
      <w:tr w:rsidR="00433DC8" w:rsidRPr="00433DC8" w14:paraId="789AB0D6" w14:textId="77777777" w:rsidTr="009050D8">
        <w:trPr>
          <w:trHeight w:val="160"/>
        </w:trPr>
        <w:tc>
          <w:tcPr>
            <w:tcW w:w="630" w:type="dxa"/>
            <w:tcBorders>
              <w:top w:val="nil"/>
              <w:left w:val="nil"/>
              <w:bottom w:val="nil"/>
              <w:right w:val="nil"/>
            </w:tcBorders>
            <w:noWrap/>
            <w:vAlign w:val="bottom"/>
            <w:hideMark/>
          </w:tcPr>
          <w:p w14:paraId="4F43C01A"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630" w:type="dxa"/>
            <w:tcBorders>
              <w:top w:val="nil"/>
              <w:left w:val="nil"/>
              <w:bottom w:val="nil"/>
              <w:right w:val="nil"/>
            </w:tcBorders>
            <w:noWrap/>
            <w:vAlign w:val="bottom"/>
            <w:hideMark/>
          </w:tcPr>
          <w:p w14:paraId="752D788A"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4050" w:type="dxa"/>
            <w:tcBorders>
              <w:top w:val="nil"/>
              <w:left w:val="nil"/>
              <w:bottom w:val="nil"/>
              <w:right w:val="nil"/>
            </w:tcBorders>
            <w:noWrap/>
            <w:vAlign w:val="bottom"/>
            <w:hideMark/>
          </w:tcPr>
          <w:p w14:paraId="6C7630D4"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1260" w:type="dxa"/>
            <w:tcBorders>
              <w:top w:val="nil"/>
              <w:left w:val="nil"/>
              <w:bottom w:val="nil"/>
              <w:right w:val="nil"/>
            </w:tcBorders>
            <w:noWrap/>
            <w:vAlign w:val="bottom"/>
            <w:hideMark/>
          </w:tcPr>
          <w:p w14:paraId="0D3C2809"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1170" w:type="dxa"/>
            <w:tcBorders>
              <w:top w:val="nil"/>
              <w:left w:val="nil"/>
              <w:bottom w:val="nil"/>
              <w:right w:val="nil"/>
            </w:tcBorders>
            <w:noWrap/>
            <w:vAlign w:val="bottom"/>
            <w:hideMark/>
          </w:tcPr>
          <w:p w14:paraId="57D88DDA"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1260" w:type="dxa"/>
            <w:tcBorders>
              <w:top w:val="nil"/>
              <w:left w:val="nil"/>
              <w:bottom w:val="nil"/>
              <w:right w:val="nil"/>
            </w:tcBorders>
            <w:noWrap/>
            <w:vAlign w:val="bottom"/>
            <w:hideMark/>
          </w:tcPr>
          <w:p w14:paraId="29C6C0F5"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1080" w:type="dxa"/>
            <w:tcBorders>
              <w:top w:val="nil"/>
              <w:left w:val="nil"/>
              <w:bottom w:val="nil"/>
              <w:right w:val="nil"/>
            </w:tcBorders>
            <w:noWrap/>
            <w:vAlign w:val="bottom"/>
            <w:hideMark/>
          </w:tcPr>
          <w:p w14:paraId="48E54BE6"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1170" w:type="dxa"/>
            <w:tcBorders>
              <w:top w:val="nil"/>
              <w:left w:val="nil"/>
              <w:bottom w:val="nil"/>
              <w:right w:val="nil"/>
            </w:tcBorders>
            <w:noWrap/>
            <w:vAlign w:val="bottom"/>
            <w:hideMark/>
          </w:tcPr>
          <w:p w14:paraId="1F9D88AE"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1170" w:type="dxa"/>
            <w:tcBorders>
              <w:top w:val="nil"/>
              <w:left w:val="nil"/>
              <w:bottom w:val="nil"/>
              <w:right w:val="nil"/>
            </w:tcBorders>
            <w:noWrap/>
            <w:vAlign w:val="bottom"/>
            <w:hideMark/>
          </w:tcPr>
          <w:p w14:paraId="799131AE"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1260" w:type="dxa"/>
            <w:tcBorders>
              <w:top w:val="nil"/>
              <w:left w:val="nil"/>
              <w:bottom w:val="nil"/>
              <w:right w:val="nil"/>
            </w:tcBorders>
            <w:noWrap/>
            <w:vAlign w:val="bottom"/>
            <w:hideMark/>
          </w:tcPr>
          <w:p w14:paraId="522BE26F" w14:textId="77777777" w:rsidR="00433DC8" w:rsidRPr="00E67D16" w:rsidRDefault="00433DC8" w:rsidP="00433DC8">
            <w:pPr>
              <w:spacing w:after="0" w:line="240" w:lineRule="auto"/>
              <w:rPr>
                <w:rFonts w:ascii="Calibri" w:eastAsia="Times New Roman" w:hAnsi="Calibri"/>
                <w:color w:val="000000"/>
                <w:sz w:val="12"/>
                <w:szCs w:val="12"/>
                <w:lang w:val="en-US"/>
              </w:rPr>
            </w:pPr>
          </w:p>
        </w:tc>
      </w:tr>
      <w:tr w:rsidR="00433DC8" w:rsidRPr="00433DC8" w14:paraId="2A1EB42B" w14:textId="77777777" w:rsidTr="009050D8">
        <w:trPr>
          <w:trHeight w:val="151"/>
        </w:trPr>
        <w:tc>
          <w:tcPr>
            <w:tcW w:w="5310" w:type="dxa"/>
            <w:gridSpan w:val="3"/>
            <w:tcBorders>
              <w:top w:val="single" w:sz="8" w:space="0" w:color="auto"/>
              <w:left w:val="single" w:sz="8" w:space="0" w:color="auto"/>
              <w:bottom w:val="single" w:sz="8" w:space="0" w:color="auto"/>
              <w:right w:val="single" w:sz="4" w:space="0" w:color="auto"/>
            </w:tcBorders>
            <w:shd w:val="clear" w:color="000000" w:fill="006600"/>
            <w:noWrap/>
            <w:vAlign w:val="bottom"/>
            <w:hideMark/>
          </w:tcPr>
          <w:p w14:paraId="617EECE3" w14:textId="77777777" w:rsidR="00433DC8" w:rsidRPr="00E67D16" w:rsidRDefault="00433DC8" w:rsidP="00433DC8">
            <w:pPr>
              <w:spacing w:after="0" w:line="240" w:lineRule="auto"/>
              <w:jc w:val="center"/>
              <w:rPr>
                <w:rFonts w:ascii="Calibri" w:eastAsia="Times New Roman" w:hAnsi="Calibri"/>
                <w:b/>
                <w:bCs/>
                <w:color w:val="F0EA00"/>
                <w:sz w:val="12"/>
                <w:szCs w:val="12"/>
                <w:lang w:val="en-US"/>
              </w:rPr>
            </w:pPr>
            <w:r w:rsidRPr="00E67D16">
              <w:rPr>
                <w:rFonts w:ascii="Calibri" w:eastAsia="Times New Roman" w:hAnsi="Calibri"/>
                <w:b/>
                <w:bCs/>
                <w:color w:val="F0EA00"/>
                <w:sz w:val="12"/>
                <w:szCs w:val="12"/>
                <w:lang w:val="en-US"/>
              </w:rPr>
              <w:t>MASS HOUSING</w:t>
            </w:r>
          </w:p>
        </w:tc>
        <w:tc>
          <w:tcPr>
            <w:tcW w:w="1260" w:type="dxa"/>
            <w:tcBorders>
              <w:top w:val="single" w:sz="8" w:space="0" w:color="auto"/>
              <w:left w:val="nil"/>
              <w:bottom w:val="single" w:sz="8" w:space="0" w:color="auto"/>
              <w:right w:val="single" w:sz="4" w:space="0" w:color="auto"/>
            </w:tcBorders>
            <w:shd w:val="clear" w:color="000000" w:fill="006600"/>
            <w:noWrap/>
            <w:vAlign w:val="bottom"/>
            <w:hideMark/>
          </w:tcPr>
          <w:p w14:paraId="5D52B713" w14:textId="77777777" w:rsidR="00433DC8" w:rsidRPr="00E67D16" w:rsidRDefault="00433DC8" w:rsidP="00433DC8">
            <w:pPr>
              <w:spacing w:after="0" w:line="240" w:lineRule="auto"/>
              <w:jc w:val="right"/>
              <w:rPr>
                <w:rFonts w:ascii="Calibri" w:eastAsia="Times New Roman" w:hAnsi="Calibri"/>
                <w:b/>
                <w:bCs/>
                <w:color w:val="F0EA00"/>
                <w:sz w:val="12"/>
                <w:szCs w:val="12"/>
                <w:lang w:val="en-US"/>
              </w:rPr>
            </w:pPr>
            <w:r w:rsidRPr="00E67D16">
              <w:rPr>
                <w:rFonts w:ascii="Calibri" w:eastAsia="Times New Roman" w:hAnsi="Calibri"/>
                <w:b/>
                <w:bCs/>
                <w:color w:val="F0EA00"/>
                <w:sz w:val="12"/>
                <w:szCs w:val="12"/>
                <w:lang w:val="en-US"/>
              </w:rPr>
              <w:t>$14,523,438</w:t>
            </w:r>
          </w:p>
        </w:tc>
        <w:tc>
          <w:tcPr>
            <w:tcW w:w="1170" w:type="dxa"/>
            <w:tcBorders>
              <w:top w:val="single" w:sz="8" w:space="0" w:color="auto"/>
              <w:left w:val="nil"/>
              <w:bottom w:val="single" w:sz="8" w:space="0" w:color="auto"/>
              <w:right w:val="single" w:sz="4" w:space="0" w:color="auto"/>
            </w:tcBorders>
            <w:shd w:val="clear" w:color="000000" w:fill="006600"/>
            <w:noWrap/>
            <w:vAlign w:val="bottom"/>
            <w:hideMark/>
          </w:tcPr>
          <w:p w14:paraId="49464259" w14:textId="77777777" w:rsidR="00433DC8" w:rsidRPr="00E67D16" w:rsidRDefault="00433DC8" w:rsidP="00433DC8">
            <w:pPr>
              <w:spacing w:after="0" w:line="240" w:lineRule="auto"/>
              <w:jc w:val="right"/>
              <w:rPr>
                <w:rFonts w:ascii="Calibri" w:eastAsia="Times New Roman" w:hAnsi="Calibri"/>
                <w:b/>
                <w:bCs/>
                <w:color w:val="F0EA00"/>
                <w:sz w:val="12"/>
                <w:szCs w:val="12"/>
                <w:lang w:val="en-US"/>
              </w:rPr>
            </w:pPr>
            <w:r w:rsidRPr="00E67D16">
              <w:rPr>
                <w:rFonts w:ascii="Calibri" w:eastAsia="Times New Roman" w:hAnsi="Calibri"/>
                <w:b/>
                <w:bCs/>
                <w:color w:val="F0EA00"/>
                <w:sz w:val="12"/>
                <w:szCs w:val="12"/>
                <w:lang w:val="en-US"/>
              </w:rPr>
              <w:t>$1,742,813</w:t>
            </w:r>
          </w:p>
        </w:tc>
        <w:tc>
          <w:tcPr>
            <w:tcW w:w="1260" w:type="dxa"/>
            <w:tcBorders>
              <w:top w:val="single" w:sz="8" w:space="0" w:color="auto"/>
              <w:left w:val="nil"/>
              <w:bottom w:val="single" w:sz="8" w:space="0" w:color="auto"/>
              <w:right w:val="single" w:sz="4" w:space="0" w:color="auto"/>
            </w:tcBorders>
            <w:shd w:val="clear" w:color="000000" w:fill="006600"/>
            <w:noWrap/>
            <w:vAlign w:val="bottom"/>
            <w:hideMark/>
          </w:tcPr>
          <w:p w14:paraId="276C2022" w14:textId="77777777" w:rsidR="00433DC8" w:rsidRPr="00E67D16" w:rsidRDefault="00433DC8" w:rsidP="00433DC8">
            <w:pPr>
              <w:spacing w:after="0" w:line="240" w:lineRule="auto"/>
              <w:jc w:val="right"/>
              <w:rPr>
                <w:rFonts w:ascii="Calibri" w:eastAsia="Times New Roman" w:hAnsi="Calibri"/>
                <w:b/>
                <w:bCs/>
                <w:color w:val="F0EA00"/>
                <w:sz w:val="12"/>
                <w:szCs w:val="12"/>
                <w:lang w:val="en-US"/>
              </w:rPr>
            </w:pPr>
            <w:r w:rsidRPr="00E67D16">
              <w:rPr>
                <w:rFonts w:ascii="Calibri" w:eastAsia="Times New Roman" w:hAnsi="Calibri"/>
                <w:b/>
                <w:bCs/>
                <w:color w:val="F0EA00"/>
                <w:sz w:val="12"/>
                <w:szCs w:val="12"/>
                <w:lang w:val="en-US"/>
              </w:rPr>
              <w:t>$1,349,562</w:t>
            </w:r>
          </w:p>
        </w:tc>
        <w:tc>
          <w:tcPr>
            <w:tcW w:w="1080" w:type="dxa"/>
            <w:tcBorders>
              <w:top w:val="single" w:sz="8" w:space="0" w:color="auto"/>
              <w:left w:val="nil"/>
              <w:bottom w:val="single" w:sz="8" w:space="0" w:color="auto"/>
              <w:right w:val="single" w:sz="4" w:space="0" w:color="auto"/>
            </w:tcBorders>
            <w:shd w:val="clear" w:color="000000" w:fill="006600"/>
            <w:noWrap/>
            <w:vAlign w:val="bottom"/>
            <w:hideMark/>
          </w:tcPr>
          <w:p w14:paraId="7A197CFC" w14:textId="77777777" w:rsidR="00433DC8" w:rsidRPr="00E67D16" w:rsidRDefault="00433DC8" w:rsidP="00433DC8">
            <w:pPr>
              <w:spacing w:after="0" w:line="240" w:lineRule="auto"/>
              <w:jc w:val="right"/>
              <w:rPr>
                <w:rFonts w:ascii="Calibri" w:eastAsia="Times New Roman" w:hAnsi="Calibri"/>
                <w:b/>
                <w:bCs/>
                <w:color w:val="F0EA00"/>
                <w:sz w:val="12"/>
                <w:szCs w:val="12"/>
                <w:lang w:val="en-US"/>
              </w:rPr>
            </w:pPr>
            <w:r w:rsidRPr="00E67D16">
              <w:rPr>
                <w:rFonts w:ascii="Calibri" w:eastAsia="Times New Roman" w:hAnsi="Calibri"/>
                <w:b/>
                <w:bCs/>
                <w:color w:val="F0EA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006600"/>
            <w:noWrap/>
            <w:vAlign w:val="bottom"/>
            <w:hideMark/>
          </w:tcPr>
          <w:p w14:paraId="3EDCB812" w14:textId="77777777" w:rsidR="00433DC8" w:rsidRPr="00E67D16" w:rsidRDefault="00433DC8" w:rsidP="00433DC8">
            <w:pPr>
              <w:spacing w:after="0" w:line="240" w:lineRule="auto"/>
              <w:jc w:val="right"/>
              <w:rPr>
                <w:rFonts w:ascii="Calibri" w:eastAsia="Times New Roman" w:hAnsi="Calibri"/>
                <w:b/>
                <w:bCs/>
                <w:color w:val="F0EA00"/>
                <w:sz w:val="12"/>
                <w:szCs w:val="12"/>
                <w:lang w:val="en-US"/>
              </w:rPr>
            </w:pPr>
            <w:r w:rsidRPr="00E67D16">
              <w:rPr>
                <w:rFonts w:ascii="Calibri" w:eastAsia="Times New Roman" w:hAnsi="Calibri"/>
                <w:b/>
                <w:bCs/>
                <w:color w:val="F0EA00"/>
                <w:sz w:val="12"/>
                <w:szCs w:val="12"/>
                <w:lang w:val="en-US"/>
              </w:rPr>
              <w:t>$1,349,562</w:t>
            </w:r>
          </w:p>
        </w:tc>
        <w:tc>
          <w:tcPr>
            <w:tcW w:w="1170" w:type="dxa"/>
            <w:tcBorders>
              <w:top w:val="single" w:sz="8" w:space="0" w:color="auto"/>
              <w:left w:val="nil"/>
              <w:bottom w:val="single" w:sz="8" w:space="0" w:color="auto"/>
              <w:right w:val="single" w:sz="4" w:space="0" w:color="auto"/>
            </w:tcBorders>
            <w:shd w:val="clear" w:color="000000" w:fill="006600"/>
            <w:vAlign w:val="bottom"/>
            <w:hideMark/>
          </w:tcPr>
          <w:p w14:paraId="348E735D" w14:textId="77777777" w:rsidR="00433DC8" w:rsidRPr="00E67D16" w:rsidRDefault="00433DC8" w:rsidP="00433DC8">
            <w:pPr>
              <w:spacing w:after="0" w:line="240" w:lineRule="auto"/>
              <w:jc w:val="right"/>
              <w:rPr>
                <w:rFonts w:ascii="Calibri" w:eastAsia="Times New Roman" w:hAnsi="Calibri"/>
                <w:b/>
                <w:bCs/>
                <w:color w:val="F0EA00"/>
                <w:sz w:val="12"/>
                <w:szCs w:val="12"/>
                <w:lang w:val="en-US"/>
              </w:rPr>
            </w:pPr>
            <w:r w:rsidRPr="00E67D16">
              <w:rPr>
                <w:rFonts w:ascii="Calibri" w:eastAsia="Times New Roman" w:hAnsi="Calibri"/>
                <w:b/>
                <w:bCs/>
                <w:color w:val="F0EA00"/>
                <w:sz w:val="12"/>
                <w:szCs w:val="12"/>
                <w:lang w:val="en-US"/>
              </w:rPr>
              <w:t>77.44%</w:t>
            </w:r>
          </w:p>
        </w:tc>
        <w:tc>
          <w:tcPr>
            <w:tcW w:w="1260" w:type="dxa"/>
            <w:tcBorders>
              <w:top w:val="single" w:sz="8" w:space="0" w:color="auto"/>
              <w:left w:val="nil"/>
              <w:bottom w:val="single" w:sz="8" w:space="0" w:color="auto"/>
              <w:right w:val="single" w:sz="8" w:space="0" w:color="auto"/>
            </w:tcBorders>
            <w:shd w:val="clear" w:color="000000" w:fill="006600"/>
            <w:vAlign w:val="bottom"/>
            <w:hideMark/>
          </w:tcPr>
          <w:p w14:paraId="57EC950B" w14:textId="77777777" w:rsidR="00433DC8" w:rsidRPr="00E67D16" w:rsidRDefault="00433DC8" w:rsidP="00433DC8">
            <w:pPr>
              <w:spacing w:after="0" w:line="240" w:lineRule="auto"/>
              <w:jc w:val="right"/>
              <w:rPr>
                <w:rFonts w:ascii="Calibri" w:eastAsia="Times New Roman" w:hAnsi="Calibri"/>
                <w:b/>
                <w:bCs/>
                <w:color w:val="F0EA00"/>
                <w:sz w:val="12"/>
                <w:szCs w:val="12"/>
                <w:lang w:val="en-US"/>
              </w:rPr>
            </w:pPr>
            <w:r w:rsidRPr="00E67D16">
              <w:rPr>
                <w:rFonts w:ascii="Calibri" w:eastAsia="Times New Roman" w:hAnsi="Calibri"/>
                <w:b/>
                <w:bCs/>
                <w:color w:val="F0EA00"/>
                <w:sz w:val="12"/>
                <w:szCs w:val="12"/>
                <w:lang w:val="en-US"/>
              </w:rPr>
              <w:t>-$393,251</w:t>
            </w:r>
          </w:p>
        </w:tc>
      </w:tr>
      <w:tr w:rsidR="00433DC8" w:rsidRPr="00433DC8" w14:paraId="0CE22A37" w14:textId="77777777" w:rsidTr="009050D8">
        <w:trPr>
          <w:trHeight w:val="79"/>
        </w:trPr>
        <w:tc>
          <w:tcPr>
            <w:tcW w:w="630" w:type="dxa"/>
            <w:tcBorders>
              <w:top w:val="nil"/>
              <w:left w:val="nil"/>
              <w:bottom w:val="nil"/>
              <w:right w:val="nil"/>
            </w:tcBorders>
            <w:noWrap/>
            <w:vAlign w:val="bottom"/>
            <w:hideMark/>
          </w:tcPr>
          <w:p w14:paraId="76F2A20C"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630" w:type="dxa"/>
            <w:tcBorders>
              <w:top w:val="nil"/>
              <w:left w:val="nil"/>
              <w:bottom w:val="nil"/>
              <w:right w:val="nil"/>
            </w:tcBorders>
            <w:noWrap/>
            <w:vAlign w:val="bottom"/>
            <w:hideMark/>
          </w:tcPr>
          <w:p w14:paraId="553F8AB0"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4050" w:type="dxa"/>
            <w:tcBorders>
              <w:top w:val="nil"/>
              <w:left w:val="nil"/>
              <w:bottom w:val="nil"/>
              <w:right w:val="nil"/>
            </w:tcBorders>
            <w:noWrap/>
            <w:vAlign w:val="bottom"/>
            <w:hideMark/>
          </w:tcPr>
          <w:p w14:paraId="01B8642C"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1260" w:type="dxa"/>
            <w:tcBorders>
              <w:top w:val="nil"/>
              <w:left w:val="nil"/>
              <w:bottom w:val="nil"/>
              <w:right w:val="nil"/>
            </w:tcBorders>
            <w:noWrap/>
            <w:vAlign w:val="bottom"/>
            <w:hideMark/>
          </w:tcPr>
          <w:p w14:paraId="19E7A47C"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1170" w:type="dxa"/>
            <w:tcBorders>
              <w:top w:val="nil"/>
              <w:left w:val="nil"/>
              <w:bottom w:val="nil"/>
              <w:right w:val="nil"/>
            </w:tcBorders>
            <w:noWrap/>
            <w:vAlign w:val="bottom"/>
            <w:hideMark/>
          </w:tcPr>
          <w:p w14:paraId="669DDAE0"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1260" w:type="dxa"/>
            <w:tcBorders>
              <w:top w:val="nil"/>
              <w:left w:val="nil"/>
              <w:bottom w:val="nil"/>
              <w:right w:val="nil"/>
            </w:tcBorders>
            <w:noWrap/>
            <w:vAlign w:val="bottom"/>
            <w:hideMark/>
          </w:tcPr>
          <w:p w14:paraId="50E2AC33"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1080" w:type="dxa"/>
            <w:tcBorders>
              <w:top w:val="nil"/>
              <w:left w:val="nil"/>
              <w:bottom w:val="nil"/>
              <w:right w:val="nil"/>
            </w:tcBorders>
            <w:noWrap/>
            <w:vAlign w:val="bottom"/>
            <w:hideMark/>
          </w:tcPr>
          <w:p w14:paraId="22F4FECA"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1170" w:type="dxa"/>
            <w:tcBorders>
              <w:top w:val="nil"/>
              <w:left w:val="nil"/>
              <w:bottom w:val="nil"/>
              <w:right w:val="nil"/>
            </w:tcBorders>
            <w:noWrap/>
            <w:vAlign w:val="bottom"/>
            <w:hideMark/>
          </w:tcPr>
          <w:p w14:paraId="2BDF5231"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1170" w:type="dxa"/>
            <w:tcBorders>
              <w:top w:val="nil"/>
              <w:left w:val="nil"/>
              <w:bottom w:val="nil"/>
              <w:right w:val="nil"/>
            </w:tcBorders>
            <w:noWrap/>
            <w:vAlign w:val="bottom"/>
            <w:hideMark/>
          </w:tcPr>
          <w:p w14:paraId="3160EE3B" w14:textId="77777777" w:rsidR="00433DC8" w:rsidRPr="00E67D16" w:rsidRDefault="00433DC8" w:rsidP="00433DC8">
            <w:pPr>
              <w:spacing w:after="0" w:line="240" w:lineRule="auto"/>
              <w:rPr>
                <w:rFonts w:ascii="Calibri" w:eastAsia="Times New Roman" w:hAnsi="Calibri"/>
                <w:color w:val="000000"/>
                <w:sz w:val="12"/>
                <w:szCs w:val="12"/>
                <w:lang w:val="en-US"/>
              </w:rPr>
            </w:pPr>
          </w:p>
        </w:tc>
        <w:tc>
          <w:tcPr>
            <w:tcW w:w="1260" w:type="dxa"/>
            <w:tcBorders>
              <w:top w:val="nil"/>
              <w:left w:val="nil"/>
              <w:bottom w:val="nil"/>
              <w:right w:val="nil"/>
            </w:tcBorders>
            <w:noWrap/>
            <w:vAlign w:val="bottom"/>
            <w:hideMark/>
          </w:tcPr>
          <w:p w14:paraId="6EA00B66" w14:textId="77777777" w:rsidR="00433DC8" w:rsidRPr="00E67D16" w:rsidRDefault="00433DC8" w:rsidP="00433DC8">
            <w:pPr>
              <w:spacing w:after="0" w:line="240" w:lineRule="auto"/>
              <w:rPr>
                <w:rFonts w:ascii="Calibri" w:eastAsia="Times New Roman" w:hAnsi="Calibri"/>
                <w:color w:val="000000"/>
                <w:sz w:val="12"/>
                <w:szCs w:val="12"/>
                <w:lang w:val="en-US"/>
              </w:rPr>
            </w:pPr>
          </w:p>
        </w:tc>
      </w:tr>
      <w:tr w:rsidR="00433DC8" w:rsidRPr="00433DC8" w14:paraId="0DF3FAA9" w14:textId="77777777" w:rsidTr="009050D8">
        <w:trPr>
          <w:trHeight w:val="106"/>
        </w:trPr>
        <w:tc>
          <w:tcPr>
            <w:tcW w:w="5310" w:type="dxa"/>
            <w:gridSpan w:val="3"/>
            <w:tcBorders>
              <w:top w:val="single" w:sz="8" w:space="0" w:color="auto"/>
              <w:left w:val="single" w:sz="8" w:space="0" w:color="auto"/>
              <w:bottom w:val="single" w:sz="8" w:space="0" w:color="auto"/>
              <w:right w:val="single" w:sz="4" w:space="0" w:color="auto"/>
            </w:tcBorders>
            <w:shd w:val="clear" w:color="000000" w:fill="0000FF"/>
            <w:noWrap/>
            <w:vAlign w:val="bottom"/>
            <w:hideMark/>
          </w:tcPr>
          <w:p w14:paraId="5B7A31A8" w14:textId="77777777" w:rsidR="00433DC8" w:rsidRPr="00E67D16" w:rsidRDefault="00433DC8" w:rsidP="00433DC8">
            <w:pPr>
              <w:spacing w:after="0" w:line="240" w:lineRule="auto"/>
              <w:jc w:val="center"/>
              <w:rPr>
                <w:rFonts w:ascii="Calibri" w:eastAsia="Times New Roman" w:hAnsi="Calibri"/>
                <w:b/>
                <w:bCs/>
                <w:color w:val="FDE9D9"/>
                <w:sz w:val="12"/>
                <w:szCs w:val="12"/>
                <w:lang w:val="en-US"/>
              </w:rPr>
            </w:pPr>
            <w:r w:rsidRPr="00E67D16">
              <w:rPr>
                <w:rFonts w:ascii="Calibri" w:eastAsia="Times New Roman" w:hAnsi="Calibri"/>
                <w:b/>
                <w:bCs/>
                <w:color w:val="FDE9D9"/>
                <w:sz w:val="12"/>
                <w:szCs w:val="12"/>
                <w:lang w:val="en-US"/>
              </w:rPr>
              <w:t>Year To Date Grand Total</w:t>
            </w:r>
          </w:p>
        </w:tc>
        <w:tc>
          <w:tcPr>
            <w:tcW w:w="1260" w:type="dxa"/>
            <w:tcBorders>
              <w:top w:val="single" w:sz="8" w:space="0" w:color="auto"/>
              <w:left w:val="nil"/>
              <w:bottom w:val="single" w:sz="8" w:space="0" w:color="auto"/>
              <w:right w:val="single" w:sz="4" w:space="0" w:color="auto"/>
            </w:tcBorders>
            <w:shd w:val="clear" w:color="000000" w:fill="0000FF"/>
            <w:noWrap/>
            <w:vAlign w:val="bottom"/>
            <w:hideMark/>
          </w:tcPr>
          <w:p w14:paraId="79CFE447" w14:textId="77777777" w:rsidR="00433DC8" w:rsidRPr="00E67D16" w:rsidRDefault="00433DC8" w:rsidP="00433DC8">
            <w:pPr>
              <w:spacing w:after="0" w:line="240" w:lineRule="auto"/>
              <w:jc w:val="right"/>
              <w:rPr>
                <w:rFonts w:ascii="Calibri" w:eastAsia="Times New Roman" w:hAnsi="Calibri"/>
                <w:b/>
                <w:bCs/>
                <w:color w:val="FDE9D9"/>
                <w:sz w:val="12"/>
                <w:szCs w:val="12"/>
                <w:lang w:val="en-US"/>
              </w:rPr>
            </w:pPr>
            <w:r w:rsidRPr="00E67D16">
              <w:rPr>
                <w:rFonts w:ascii="Calibri" w:eastAsia="Times New Roman" w:hAnsi="Calibri"/>
                <w:b/>
                <w:bCs/>
                <w:color w:val="FDE9D9"/>
                <w:sz w:val="12"/>
                <w:szCs w:val="12"/>
                <w:lang w:val="en-US"/>
              </w:rPr>
              <w:t>$3,990,602,012</w:t>
            </w:r>
          </w:p>
        </w:tc>
        <w:tc>
          <w:tcPr>
            <w:tcW w:w="1170" w:type="dxa"/>
            <w:tcBorders>
              <w:top w:val="single" w:sz="8" w:space="0" w:color="auto"/>
              <w:left w:val="nil"/>
              <w:bottom w:val="single" w:sz="8" w:space="0" w:color="auto"/>
              <w:right w:val="single" w:sz="4" w:space="0" w:color="auto"/>
            </w:tcBorders>
            <w:shd w:val="clear" w:color="000000" w:fill="0000FF"/>
            <w:noWrap/>
            <w:vAlign w:val="bottom"/>
            <w:hideMark/>
          </w:tcPr>
          <w:p w14:paraId="3775675D" w14:textId="77777777" w:rsidR="00433DC8" w:rsidRPr="00E67D16" w:rsidRDefault="00433DC8" w:rsidP="00433DC8">
            <w:pPr>
              <w:spacing w:after="0" w:line="240" w:lineRule="auto"/>
              <w:jc w:val="right"/>
              <w:rPr>
                <w:rFonts w:ascii="Calibri" w:eastAsia="Times New Roman" w:hAnsi="Calibri"/>
                <w:b/>
                <w:bCs/>
                <w:color w:val="FDE9D9"/>
                <w:sz w:val="12"/>
                <w:szCs w:val="12"/>
                <w:lang w:val="en-US"/>
              </w:rPr>
            </w:pPr>
            <w:r w:rsidRPr="00E67D16">
              <w:rPr>
                <w:rFonts w:ascii="Calibri" w:eastAsia="Times New Roman" w:hAnsi="Calibri"/>
                <w:b/>
                <w:bCs/>
                <w:color w:val="FDE9D9"/>
                <w:sz w:val="12"/>
                <w:szCs w:val="12"/>
                <w:lang w:val="en-US"/>
              </w:rPr>
              <w:t>$478,872,242</w:t>
            </w:r>
          </w:p>
        </w:tc>
        <w:tc>
          <w:tcPr>
            <w:tcW w:w="1260" w:type="dxa"/>
            <w:tcBorders>
              <w:top w:val="single" w:sz="8" w:space="0" w:color="auto"/>
              <w:left w:val="nil"/>
              <w:bottom w:val="single" w:sz="8" w:space="0" w:color="auto"/>
              <w:right w:val="single" w:sz="4" w:space="0" w:color="auto"/>
            </w:tcBorders>
            <w:shd w:val="clear" w:color="000000" w:fill="0000FF"/>
            <w:noWrap/>
            <w:vAlign w:val="bottom"/>
            <w:hideMark/>
          </w:tcPr>
          <w:p w14:paraId="2E0B2018" w14:textId="77777777" w:rsidR="00433DC8" w:rsidRPr="00E67D16" w:rsidRDefault="00433DC8" w:rsidP="00433DC8">
            <w:pPr>
              <w:spacing w:after="0" w:line="240" w:lineRule="auto"/>
              <w:jc w:val="right"/>
              <w:rPr>
                <w:rFonts w:ascii="Calibri" w:eastAsia="Times New Roman" w:hAnsi="Calibri"/>
                <w:b/>
                <w:bCs/>
                <w:color w:val="FDE9D9"/>
                <w:sz w:val="12"/>
                <w:szCs w:val="12"/>
                <w:lang w:val="en-US"/>
              </w:rPr>
            </w:pPr>
            <w:r w:rsidRPr="00E67D16">
              <w:rPr>
                <w:rFonts w:ascii="Calibri" w:eastAsia="Times New Roman" w:hAnsi="Calibri"/>
                <w:b/>
                <w:bCs/>
                <w:color w:val="FDE9D9"/>
                <w:sz w:val="12"/>
                <w:szCs w:val="12"/>
                <w:lang w:val="en-US"/>
              </w:rPr>
              <w:t>$546,795,787</w:t>
            </w:r>
          </w:p>
        </w:tc>
        <w:tc>
          <w:tcPr>
            <w:tcW w:w="1080" w:type="dxa"/>
            <w:tcBorders>
              <w:top w:val="single" w:sz="8" w:space="0" w:color="auto"/>
              <w:left w:val="nil"/>
              <w:bottom w:val="single" w:sz="8" w:space="0" w:color="auto"/>
              <w:right w:val="single" w:sz="4" w:space="0" w:color="auto"/>
            </w:tcBorders>
            <w:shd w:val="clear" w:color="000000" w:fill="0000FF"/>
            <w:noWrap/>
            <w:vAlign w:val="bottom"/>
            <w:hideMark/>
          </w:tcPr>
          <w:p w14:paraId="7BDB133B" w14:textId="77777777" w:rsidR="00433DC8" w:rsidRPr="00E67D16" w:rsidRDefault="00433DC8" w:rsidP="00433DC8">
            <w:pPr>
              <w:spacing w:after="0" w:line="240" w:lineRule="auto"/>
              <w:jc w:val="right"/>
              <w:rPr>
                <w:rFonts w:ascii="Calibri" w:eastAsia="Times New Roman" w:hAnsi="Calibri"/>
                <w:b/>
                <w:bCs/>
                <w:color w:val="FDE9D9"/>
                <w:sz w:val="12"/>
                <w:szCs w:val="12"/>
                <w:lang w:val="en-US"/>
              </w:rPr>
            </w:pPr>
            <w:r w:rsidRPr="00E67D16">
              <w:rPr>
                <w:rFonts w:ascii="Calibri" w:eastAsia="Times New Roman" w:hAnsi="Calibri"/>
                <w:b/>
                <w:bCs/>
                <w:color w:val="FDE9D9"/>
                <w:sz w:val="12"/>
                <w:szCs w:val="12"/>
                <w:lang w:val="en-US"/>
              </w:rPr>
              <w:t>$27,528,708</w:t>
            </w:r>
          </w:p>
        </w:tc>
        <w:tc>
          <w:tcPr>
            <w:tcW w:w="1170" w:type="dxa"/>
            <w:tcBorders>
              <w:top w:val="single" w:sz="8" w:space="0" w:color="auto"/>
              <w:left w:val="nil"/>
              <w:bottom w:val="single" w:sz="8" w:space="0" w:color="auto"/>
              <w:right w:val="single" w:sz="4" w:space="0" w:color="auto"/>
            </w:tcBorders>
            <w:shd w:val="clear" w:color="000000" w:fill="0000FF"/>
            <w:noWrap/>
            <w:vAlign w:val="bottom"/>
            <w:hideMark/>
          </w:tcPr>
          <w:p w14:paraId="1E7DA876" w14:textId="77777777" w:rsidR="00433DC8" w:rsidRPr="00E67D16" w:rsidRDefault="00433DC8" w:rsidP="00433DC8">
            <w:pPr>
              <w:spacing w:after="0" w:line="240" w:lineRule="auto"/>
              <w:jc w:val="right"/>
              <w:rPr>
                <w:rFonts w:ascii="Calibri" w:eastAsia="Times New Roman" w:hAnsi="Calibri"/>
                <w:b/>
                <w:bCs/>
                <w:color w:val="FDE9D9"/>
                <w:sz w:val="12"/>
                <w:szCs w:val="12"/>
                <w:lang w:val="en-US"/>
              </w:rPr>
            </w:pPr>
            <w:r w:rsidRPr="00E67D16">
              <w:rPr>
                <w:rFonts w:ascii="Calibri" w:eastAsia="Times New Roman" w:hAnsi="Calibri"/>
                <w:b/>
                <w:bCs/>
                <w:color w:val="FDE9D9"/>
                <w:sz w:val="12"/>
                <w:szCs w:val="12"/>
                <w:lang w:val="en-US"/>
              </w:rPr>
              <w:t>$574,324,495</w:t>
            </w:r>
          </w:p>
        </w:tc>
        <w:tc>
          <w:tcPr>
            <w:tcW w:w="1170" w:type="dxa"/>
            <w:tcBorders>
              <w:top w:val="single" w:sz="8" w:space="0" w:color="auto"/>
              <w:left w:val="nil"/>
              <w:bottom w:val="single" w:sz="8" w:space="0" w:color="auto"/>
              <w:right w:val="single" w:sz="4" w:space="0" w:color="auto"/>
            </w:tcBorders>
            <w:shd w:val="clear" w:color="000000" w:fill="0000FF"/>
            <w:vAlign w:val="bottom"/>
            <w:hideMark/>
          </w:tcPr>
          <w:p w14:paraId="55B46B3E" w14:textId="77777777" w:rsidR="00433DC8" w:rsidRPr="00E67D16" w:rsidRDefault="00433DC8" w:rsidP="00433DC8">
            <w:pPr>
              <w:spacing w:after="0" w:line="240" w:lineRule="auto"/>
              <w:jc w:val="right"/>
              <w:rPr>
                <w:rFonts w:ascii="Calibri" w:eastAsia="Times New Roman" w:hAnsi="Calibri"/>
                <w:b/>
                <w:bCs/>
                <w:color w:val="FDE9D9"/>
                <w:sz w:val="12"/>
                <w:szCs w:val="12"/>
                <w:lang w:val="en-US"/>
              </w:rPr>
            </w:pPr>
            <w:r w:rsidRPr="00E67D16">
              <w:rPr>
                <w:rFonts w:ascii="Calibri" w:eastAsia="Times New Roman" w:hAnsi="Calibri"/>
                <w:b/>
                <w:bCs/>
                <w:color w:val="FDE9D9"/>
                <w:sz w:val="12"/>
                <w:szCs w:val="12"/>
                <w:lang w:val="en-US"/>
              </w:rPr>
              <w:t>119.93%</w:t>
            </w:r>
          </w:p>
        </w:tc>
        <w:tc>
          <w:tcPr>
            <w:tcW w:w="1260" w:type="dxa"/>
            <w:tcBorders>
              <w:top w:val="single" w:sz="8" w:space="0" w:color="auto"/>
              <w:left w:val="nil"/>
              <w:bottom w:val="single" w:sz="8" w:space="0" w:color="auto"/>
              <w:right w:val="single" w:sz="8" w:space="0" w:color="auto"/>
            </w:tcBorders>
            <w:shd w:val="clear" w:color="000000" w:fill="0000FF"/>
            <w:vAlign w:val="bottom"/>
            <w:hideMark/>
          </w:tcPr>
          <w:p w14:paraId="05830218" w14:textId="77777777" w:rsidR="00433DC8" w:rsidRPr="00E67D16" w:rsidRDefault="00433DC8" w:rsidP="00433DC8">
            <w:pPr>
              <w:spacing w:after="0" w:line="240" w:lineRule="auto"/>
              <w:jc w:val="right"/>
              <w:rPr>
                <w:rFonts w:ascii="Calibri" w:eastAsia="Times New Roman" w:hAnsi="Calibri"/>
                <w:b/>
                <w:bCs/>
                <w:color w:val="FDE9D9"/>
                <w:sz w:val="12"/>
                <w:szCs w:val="12"/>
                <w:lang w:val="en-US"/>
              </w:rPr>
            </w:pPr>
            <w:r w:rsidRPr="00E67D16">
              <w:rPr>
                <w:rFonts w:ascii="Calibri" w:eastAsia="Times New Roman" w:hAnsi="Calibri"/>
                <w:b/>
                <w:bCs/>
                <w:color w:val="FDE9D9"/>
                <w:sz w:val="12"/>
                <w:szCs w:val="12"/>
                <w:lang w:val="en-US"/>
              </w:rPr>
              <w:t>$95,452,254</w:t>
            </w:r>
          </w:p>
        </w:tc>
      </w:tr>
    </w:tbl>
    <w:p w14:paraId="63E3D1C0" w14:textId="77777777" w:rsidR="00433DC8" w:rsidRPr="005217C3" w:rsidRDefault="00433DC8" w:rsidP="00C55994">
      <w:pPr>
        <w:jc w:val="center"/>
        <w:rPr>
          <w:sz w:val="12"/>
          <w:szCs w:val="12"/>
        </w:rPr>
      </w:pPr>
    </w:p>
    <w:tbl>
      <w:tblPr>
        <w:tblW w:w="13680" w:type="dxa"/>
        <w:tblInd w:w="-972" w:type="dxa"/>
        <w:tblLayout w:type="fixed"/>
        <w:tblLook w:val="04A0" w:firstRow="1" w:lastRow="0" w:firstColumn="1" w:lastColumn="0" w:noHBand="0" w:noVBand="1"/>
      </w:tblPr>
      <w:tblGrid>
        <w:gridCol w:w="630"/>
        <w:gridCol w:w="630"/>
        <w:gridCol w:w="4050"/>
        <w:gridCol w:w="1260"/>
        <w:gridCol w:w="1170"/>
        <w:gridCol w:w="1260"/>
        <w:gridCol w:w="1080"/>
        <w:gridCol w:w="1170"/>
        <w:gridCol w:w="1170"/>
        <w:gridCol w:w="1260"/>
      </w:tblGrid>
      <w:tr w:rsidR="00433DC8" w:rsidRPr="005217C3" w14:paraId="49C8DB71" w14:textId="77777777" w:rsidTr="009050D8">
        <w:trPr>
          <w:trHeight w:val="602"/>
        </w:trPr>
        <w:tc>
          <w:tcPr>
            <w:tcW w:w="630" w:type="dxa"/>
            <w:tcBorders>
              <w:top w:val="single" w:sz="4" w:space="0" w:color="000000"/>
              <w:left w:val="single" w:sz="4" w:space="0" w:color="000000"/>
              <w:bottom w:val="nil"/>
              <w:right w:val="single" w:sz="4" w:space="0" w:color="000000"/>
            </w:tcBorders>
            <w:shd w:val="clear" w:color="000000" w:fill="D8E4BC"/>
            <w:vAlign w:val="bottom"/>
            <w:hideMark/>
          </w:tcPr>
          <w:p w14:paraId="35F2A0F8"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Secretariat</w:t>
            </w:r>
          </w:p>
        </w:tc>
        <w:tc>
          <w:tcPr>
            <w:tcW w:w="630" w:type="dxa"/>
            <w:tcBorders>
              <w:top w:val="single" w:sz="4" w:space="0" w:color="000000"/>
              <w:left w:val="nil"/>
              <w:bottom w:val="nil"/>
              <w:right w:val="single" w:sz="4" w:space="0" w:color="000000"/>
            </w:tcBorders>
            <w:shd w:val="clear" w:color="000000" w:fill="D8E4BC"/>
            <w:vAlign w:val="bottom"/>
            <w:hideMark/>
          </w:tcPr>
          <w:p w14:paraId="38162B5A"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Agency Code</w:t>
            </w:r>
          </w:p>
        </w:tc>
        <w:tc>
          <w:tcPr>
            <w:tcW w:w="4050" w:type="dxa"/>
            <w:tcBorders>
              <w:top w:val="single" w:sz="4" w:space="0" w:color="000000"/>
              <w:left w:val="nil"/>
              <w:bottom w:val="nil"/>
              <w:right w:val="single" w:sz="4" w:space="0" w:color="000000"/>
            </w:tcBorders>
            <w:shd w:val="clear" w:color="000000" w:fill="D8E4BC"/>
            <w:vAlign w:val="bottom"/>
            <w:hideMark/>
          </w:tcPr>
          <w:p w14:paraId="4589ECB1"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Department Name</w:t>
            </w:r>
          </w:p>
        </w:tc>
        <w:tc>
          <w:tcPr>
            <w:tcW w:w="1260" w:type="dxa"/>
            <w:tcBorders>
              <w:top w:val="single" w:sz="4" w:space="0" w:color="000000"/>
              <w:left w:val="nil"/>
              <w:bottom w:val="nil"/>
              <w:right w:val="single" w:sz="4" w:space="0" w:color="000000"/>
            </w:tcBorders>
            <w:shd w:val="clear" w:color="000000" w:fill="D8E4BC"/>
            <w:vAlign w:val="bottom"/>
            <w:hideMark/>
          </w:tcPr>
          <w:p w14:paraId="574A29B3"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FY2014 Discretionary Budget</w:t>
            </w:r>
          </w:p>
        </w:tc>
        <w:tc>
          <w:tcPr>
            <w:tcW w:w="1170" w:type="dxa"/>
            <w:tcBorders>
              <w:top w:val="single" w:sz="4" w:space="0" w:color="000000"/>
              <w:left w:val="nil"/>
              <w:bottom w:val="nil"/>
              <w:right w:val="single" w:sz="4" w:space="0" w:color="000000"/>
            </w:tcBorders>
            <w:shd w:val="clear" w:color="000000" w:fill="D8E4BC"/>
            <w:vAlign w:val="bottom"/>
            <w:hideMark/>
          </w:tcPr>
          <w:p w14:paraId="532EAB57"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FY2014 SBPP Benchmark 2.5% of Discretionary</w:t>
            </w:r>
          </w:p>
        </w:tc>
        <w:tc>
          <w:tcPr>
            <w:tcW w:w="1260" w:type="dxa"/>
            <w:tcBorders>
              <w:top w:val="single" w:sz="4" w:space="0" w:color="000000"/>
              <w:left w:val="nil"/>
              <w:bottom w:val="nil"/>
              <w:right w:val="single" w:sz="4" w:space="0" w:color="000000"/>
            </w:tcBorders>
            <w:shd w:val="clear" w:color="000000" w:fill="D8E4BC"/>
            <w:vAlign w:val="bottom"/>
            <w:hideMark/>
          </w:tcPr>
          <w:p w14:paraId="4070175A"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SBPP Expenditure</w:t>
            </w:r>
          </w:p>
        </w:tc>
        <w:tc>
          <w:tcPr>
            <w:tcW w:w="1080" w:type="dxa"/>
            <w:tcBorders>
              <w:top w:val="single" w:sz="4" w:space="0" w:color="000000"/>
              <w:left w:val="nil"/>
              <w:bottom w:val="nil"/>
              <w:right w:val="single" w:sz="4" w:space="0" w:color="000000"/>
            </w:tcBorders>
            <w:shd w:val="clear" w:color="000000" w:fill="D8E4BC"/>
            <w:vAlign w:val="bottom"/>
            <w:hideMark/>
          </w:tcPr>
          <w:p w14:paraId="273C9D01"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Subcontracting</w:t>
            </w:r>
          </w:p>
        </w:tc>
        <w:tc>
          <w:tcPr>
            <w:tcW w:w="1170" w:type="dxa"/>
            <w:tcBorders>
              <w:top w:val="single" w:sz="4" w:space="0" w:color="000000"/>
              <w:left w:val="nil"/>
              <w:bottom w:val="nil"/>
              <w:right w:val="single" w:sz="4" w:space="0" w:color="000000"/>
            </w:tcBorders>
            <w:shd w:val="clear" w:color="000000" w:fill="D8E4BC"/>
            <w:vAlign w:val="bottom"/>
            <w:hideMark/>
          </w:tcPr>
          <w:p w14:paraId="5B6009E0"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SBPP FY2014 Total Final Spending</w:t>
            </w:r>
          </w:p>
        </w:tc>
        <w:tc>
          <w:tcPr>
            <w:tcW w:w="1170" w:type="dxa"/>
            <w:tcBorders>
              <w:top w:val="single" w:sz="4" w:space="0" w:color="000000"/>
              <w:left w:val="nil"/>
              <w:bottom w:val="nil"/>
              <w:right w:val="single" w:sz="4" w:space="0" w:color="000000"/>
            </w:tcBorders>
            <w:shd w:val="clear" w:color="000000" w:fill="D8E4BC"/>
            <w:vAlign w:val="bottom"/>
            <w:hideMark/>
          </w:tcPr>
          <w:p w14:paraId="0E67C067"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SBPP Year To Date Variance from 2.5% Benchmark as a percentage</w:t>
            </w:r>
          </w:p>
        </w:tc>
        <w:tc>
          <w:tcPr>
            <w:tcW w:w="1260" w:type="dxa"/>
            <w:tcBorders>
              <w:top w:val="single" w:sz="4" w:space="0" w:color="000000"/>
              <w:left w:val="nil"/>
              <w:bottom w:val="nil"/>
              <w:right w:val="single" w:sz="4" w:space="0" w:color="000000"/>
            </w:tcBorders>
            <w:shd w:val="clear" w:color="000000" w:fill="D8E4BC"/>
            <w:vAlign w:val="bottom"/>
            <w:hideMark/>
          </w:tcPr>
          <w:p w14:paraId="3D4CE3B8"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SBPP Year to Date Variance from 2.5% Benchmark in dollars</w:t>
            </w:r>
          </w:p>
        </w:tc>
      </w:tr>
      <w:tr w:rsidR="00433DC8" w:rsidRPr="005217C3" w14:paraId="3CC7B197" w14:textId="77777777" w:rsidTr="009050D8">
        <w:trPr>
          <w:trHeight w:val="170"/>
        </w:trPr>
        <w:tc>
          <w:tcPr>
            <w:tcW w:w="630" w:type="dxa"/>
            <w:tcBorders>
              <w:top w:val="single" w:sz="4" w:space="0" w:color="auto"/>
              <w:left w:val="single" w:sz="4" w:space="0" w:color="auto"/>
              <w:bottom w:val="single" w:sz="4" w:space="0" w:color="auto"/>
              <w:right w:val="single" w:sz="4" w:space="0" w:color="auto"/>
            </w:tcBorders>
            <w:vAlign w:val="bottom"/>
            <w:hideMark/>
          </w:tcPr>
          <w:p w14:paraId="39975079"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ANF</w:t>
            </w:r>
          </w:p>
        </w:tc>
        <w:tc>
          <w:tcPr>
            <w:tcW w:w="630" w:type="dxa"/>
            <w:tcBorders>
              <w:top w:val="single" w:sz="4" w:space="0" w:color="auto"/>
              <w:left w:val="nil"/>
              <w:bottom w:val="single" w:sz="4" w:space="0" w:color="auto"/>
              <w:right w:val="single" w:sz="4" w:space="0" w:color="auto"/>
            </w:tcBorders>
            <w:vAlign w:val="bottom"/>
            <w:hideMark/>
          </w:tcPr>
          <w:p w14:paraId="7CF7044D"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ALA</w:t>
            </w:r>
          </w:p>
        </w:tc>
        <w:tc>
          <w:tcPr>
            <w:tcW w:w="4050" w:type="dxa"/>
            <w:tcBorders>
              <w:top w:val="single" w:sz="4" w:space="0" w:color="auto"/>
              <w:left w:val="nil"/>
              <w:bottom w:val="single" w:sz="4" w:space="0" w:color="auto"/>
              <w:right w:val="single" w:sz="4" w:space="0" w:color="auto"/>
            </w:tcBorders>
            <w:vAlign w:val="bottom"/>
            <w:hideMark/>
          </w:tcPr>
          <w:p w14:paraId="2B6CEFB7"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ADMINISTRATIVE LAW APPEALS DIVISION</w:t>
            </w:r>
          </w:p>
        </w:tc>
        <w:tc>
          <w:tcPr>
            <w:tcW w:w="1260" w:type="dxa"/>
            <w:tcBorders>
              <w:top w:val="single" w:sz="4" w:space="0" w:color="auto"/>
              <w:left w:val="nil"/>
              <w:bottom w:val="single" w:sz="4" w:space="0" w:color="auto"/>
              <w:right w:val="single" w:sz="4" w:space="0" w:color="auto"/>
            </w:tcBorders>
            <w:vAlign w:val="bottom"/>
            <w:hideMark/>
          </w:tcPr>
          <w:p w14:paraId="0D350F2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$11,300</w:t>
            </w:r>
          </w:p>
        </w:tc>
        <w:tc>
          <w:tcPr>
            <w:tcW w:w="1170" w:type="dxa"/>
            <w:tcBorders>
              <w:top w:val="single" w:sz="4" w:space="0" w:color="auto"/>
              <w:left w:val="nil"/>
              <w:bottom w:val="single" w:sz="4" w:space="0" w:color="auto"/>
              <w:right w:val="single" w:sz="4" w:space="0" w:color="auto"/>
            </w:tcBorders>
            <w:vAlign w:val="bottom"/>
            <w:hideMark/>
          </w:tcPr>
          <w:p w14:paraId="4792420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$283</w:t>
            </w:r>
          </w:p>
        </w:tc>
        <w:tc>
          <w:tcPr>
            <w:tcW w:w="1260" w:type="dxa"/>
            <w:tcBorders>
              <w:top w:val="single" w:sz="4" w:space="0" w:color="auto"/>
              <w:left w:val="nil"/>
              <w:bottom w:val="single" w:sz="4" w:space="0" w:color="auto"/>
              <w:right w:val="single" w:sz="4" w:space="0" w:color="auto"/>
            </w:tcBorders>
            <w:vAlign w:val="bottom"/>
            <w:hideMark/>
          </w:tcPr>
          <w:p w14:paraId="50FCB72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$1,856</w:t>
            </w:r>
          </w:p>
        </w:tc>
        <w:tc>
          <w:tcPr>
            <w:tcW w:w="1080" w:type="dxa"/>
            <w:tcBorders>
              <w:top w:val="single" w:sz="4" w:space="0" w:color="auto"/>
              <w:left w:val="nil"/>
              <w:bottom w:val="single" w:sz="4" w:space="0" w:color="auto"/>
              <w:right w:val="single" w:sz="4" w:space="0" w:color="auto"/>
            </w:tcBorders>
            <w:vAlign w:val="bottom"/>
            <w:hideMark/>
          </w:tcPr>
          <w:p w14:paraId="0A0A2EA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single" w:sz="4" w:space="0" w:color="auto"/>
              <w:left w:val="nil"/>
              <w:bottom w:val="single" w:sz="4" w:space="0" w:color="auto"/>
              <w:right w:val="single" w:sz="4" w:space="0" w:color="auto"/>
            </w:tcBorders>
            <w:vAlign w:val="bottom"/>
            <w:hideMark/>
          </w:tcPr>
          <w:p w14:paraId="43AB8E7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$1,856</w:t>
            </w:r>
          </w:p>
        </w:tc>
        <w:tc>
          <w:tcPr>
            <w:tcW w:w="1170" w:type="dxa"/>
            <w:tcBorders>
              <w:top w:val="single" w:sz="4" w:space="0" w:color="auto"/>
              <w:left w:val="nil"/>
              <w:bottom w:val="single" w:sz="4" w:space="0" w:color="auto"/>
              <w:right w:val="single" w:sz="4" w:space="0" w:color="auto"/>
            </w:tcBorders>
            <w:vAlign w:val="bottom"/>
            <w:hideMark/>
          </w:tcPr>
          <w:p w14:paraId="278512A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657.12%</w:t>
            </w:r>
          </w:p>
        </w:tc>
        <w:tc>
          <w:tcPr>
            <w:tcW w:w="1260" w:type="dxa"/>
            <w:tcBorders>
              <w:top w:val="single" w:sz="4" w:space="0" w:color="auto"/>
              <w:left w:val="nil"/>
              <w:bottom w:val="single" w:sz="4" w:space="0" w:color="auto"/>
              <w:right w:val="single" w:sz="4" w:space="0" w:color="auto"/>
            </w:tcBorders>
            <w:vAlign w:val="bottom"/>
            <w:hideMark/>
          </w:tcPr>
          <w:p w14:paraId="37290C4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$1,574</w:t>
            </w:r>
          </w:p>
        </w:tc>
      </w:tr>
      <w:tr w:rsidR="00433DC8" w:rsidRPr="005217C3" w14:paraId="28359559"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53F4CC7D"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7155C10E"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ATB</w:t>
            </w:r>
          </w:p>
        </w:tc>
        <w:tc>
          <w:tcPr>
            <w:tcW w:w="4050" w:type="dxa"/>
            <w:tcBorders>
              <w:top w:val="nil"/>
              <w:left w:val="nil"/>
              <w:bottom w:val="single" w:sz="4" w:space="0" w:color="auto"/>
              <w:right w:val="single" w:sz="4" w:space="0" w:color="auto"/>
            </w:tcBorders>
            <w:vAlign w:val="bottom"/>
            <w:hideMark/>
          </w:tcPr>
          <w:p w14:paraId="01DC3AA3"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APPELLATE TAX BOARD</w:t>
            </w:r>
          </w:p>
        </w:tc>
        <w:tc>
          <w:tcPr>
            <w:tcW w:w="1260" w:type="dxa"/>
            <w:tcBorders>
              <w:top w:val="nil"/>
              <w:left w:val="nil"/>
              <w:bottom w:val="single" w:sz="4" w:space="0" w:color="auto"/>
              <w:right w:val="single" w:sz="4" w:space="0" w:color="auto"/>
            </w:tcBorders>
            <w:vAlign w:val="bottom"/>
            <w:hideMark/>
          </w:tcPr>
          <w:p w14:paraId="78C23F2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$20,191</w:t>
            </w:r>
          </w:p>
        </w:tc>
        <w:tc>
          <w:tcPr>
            <w:tcW w:w="1170" w:type="dxa"/>
            <w:tcBorders>
              <w:top w:val="nil"/>
              <w:left w:val="nil"/>
              <w:bottom w:val="single" w:sz="4" w:space="0" w:color="auto"/>
              <w:right w:val="single" w:sz="4" w:space="0" w:color="auto"/>
            </w:tcBorders>
            <w:vAlign w:val="bottom"/>
            <w:hideMark/>
          </w:tcPr>
          <w:p w14:paraId="4EFCAC8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$505</w:t>
            </w:r>
          </w:p>
        </w:tc>
        <w:tc>
          <w:tcPr>
            <w:tcW w:w="1260" w:type="dxa"/>
            <w:tcBorders>
              <w:top w:val="nil"/>
              <w:left w:val="nil"/>
              <w:bottom w:val="single" w:sz="4" w:space="0" w:color="auto"/>
              <w:right w:val="single" w:sz="4" w:space="0" w:color="auto"/>
            </w:tcBorders>
            <w:vAlign w:val="bottom"/>
            <w:hideMark/>
          </w:tcPr>
          <w:p w14:paraId="4E72C7C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$1,941</w:t>
            </w:r>
          </w:p>
        </w:tc>
        <w:tc>
          <w:tcPr>
            <w:tcW w:w="1080" w:type="dxa"/>
            <w:tcBorders>
              <w:top w:val="nil"/>
              <w:left w:val="nil"/>
              <w:bottom w:val="single" w:sz="4" w:space="0" w:color="auto"/>
              <w:right w:val="single" w:sz="4" w:space="0" w:color="auto"/>
            </w:tcBorders>
            <w:vAlign w:val="bottom"/>
            <w:hideMark/>
          </w:tcPr>
          <w:p w14:paraId="2466DAE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8E7F5C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$1,941</w:t>
            </w:r>
          </w:p>
        </w:tc>
        <w:tc>
          <w:tcPr>
            <w:tcW w:w="1170" w:type="dxa"/>
            <w:tcBorders>
              <w:top w:val="nil"/>
              <w:left w:val="nil"/>
              <w:bottom w:val="single" w:sz="4" w:space="0" w:color="auto"/>
              <w:right w:val="single" w:sz="4" w:space="0" w:color="auto"/>
            </w:tcBorders>
            <w:vAlign w:val="bottom"/>
            <w:hideMark/>
          </w:tcPr>
          <w:p w14:paraId="15CCBFC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384.61%</w:t>
            </w:r>
          </w:p>
        </w:tc>
        <w:tc>
          <w:tcPr>
            <w:tcW w:w="1260" w:type="dxa"/>
            <w:tcBorders>
              <w:top w:val="nil"/>
              <w:left w:val="nil"/>
              <w:bottom w:val="single" w:sz="4" w:space="0" w:color="auto"/>
              <w:right w:val="single" w:sz="4" w:space="0" w:color="auto"/>
            </w:tcBorders>
            <w:vAlign w:val="bottom"/>
            <w:hideMark/>
          </w:tcPr>
          <w:p w14:paraId="6AE682D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$1,437</w:t>
            </w:r>
          </w:p>
        </w:tc>
      </w:tr>
      <w:tr w:rsidR="00433DC8" w:rsidRPr="005217C3" w14:paraId="71A9FB4E"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2AAF2FE8"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1DCD9014"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BSB</w:t>
            </w:r>
          </w:p>
        </w:tc>
        <w:tc>
          <w:tcPr>
            <w:tcW w:w="4050" w:type="dxa"/>
            <w:tcBorders>
              <w:top w:val="nil"/>
              <w:left w:val="nil"/>
              <w:bottom w:val="single" w:sz="4" w:space="0" w:color="auto"/>
              <w:right w:val="single" w:sz="4" w:space="0" w:color="auto"/>
            </w:tcBorders>
            <w:vAlign w:val="bottom"/>
            <w:hideMark/>
          </w:tcPr>
          <w:p w14:paraId="721D1CF7"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BUREAU OF THE STATE HOUSE</w:t>
            </w:r>
          </w:p>
        </w:tc>
        <w:tc>
          <w:tcPr>
            <w:tcW w:w="1260" w:type="dxa"/>
            <w:tcBorders>
              <w:top w:val="nil"/>
              <w:left w:val="nil"/>
              <w:bottom w:val="single" w:sz="4" w:space="0" w:color="auto"/>
              <w:right w:val="single" w:sz="4" w:space="0" w:color="auto"/>
            </w:tcBorders>
            <w:vAlign w:val="bottom"/>
            <w:hideMark/>
          </w:tcPr>
          <w:p w14:paraId="61ED176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$1,229,156</w:t>
            </w:r>
          </w:p>
        </w:tc>
        <w:tc>
          <w:tcPr>
            <w:tcW w:w="1170" w:type="dxa"/>
            <w:tcBorders>
              <w:top w:val="nil"/>
              <w:left w:val="nil"/>
              <w:bottom w:val="single" w:sz="4" w:space="0" w:color="auto"/>
              <w:right w:val="single" w:sz="4" w:space="0" w:color="auto"/>
            </w:tcBorders>
            <w:vAlign w:val="bottom"/>
            <w:hideMark/>
          </w:tcPr>
          <w:p w14:paraId="5FA8BFC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$30,729</w:t>
            </w:r>
          </w:p>
        </w:tc>
        <w:tc>
          <w:tcPr>
            <w:tcW w:w="1260" w:type="dxa"/>
            <w:tcBorders>
              <w:top w:val="nil"/>
              <w:left w:val="nil"/>
              <w:bottom w:val="single" w:sz="4" w:space="0" w:color="auto"/>
              <w:right w:val="single" w:sz="4" w:space="0" w:color="auto"/>
            </w:tcBorders>
            <w:vAlign w:val="bottom"/>
            <w:hideMark/>
          </w:tcPr>
          <w:p w14:paraId="67D2604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$103,501</w:t>
            </w:r>
          </w:p>
        </w:tc>
        <w:tc>
          <w:tcPr>
            <w:tcW w:w="1080" w:type="dxa"/>
            <w:tcBorders>
              <w:top w:val="nil"/>
              <w:left w:val="nil"/>
              <w:bottom w:val="single" w:sz="4" w:space="0" w:color="auto"/>
              <w:right w:val="single" w:sz="4" w:space="0" w:color="auto"/>
            </w:tcBorders>
            <w:vAlign w:val="bottom"/>
            <w:hideMark/>
          </w:tcPr>
          <w:p w14:paraId="0CC470F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672E802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$103,501</w:t>
            </w:r>
          </w:p>
        </w:tc>
        <w:tc>
          <w:tcPr>
            <w:tcW w:w="1170" w:type="dxa"/>
            <w:tcBorders>
              <w:top w:val="nil"/>
              <w:left w:val="nil"/>
              <w:bottom w:val="single" w:sz="4" w:space="0" w:color="auto"/>
              <w:right w:val="single" w:sz="4" w:space="0" w:color="auto"/>
            </w:tcBorders>
            <w:vAlign w:val="bottom"/>
            <w:hideMark/>
          </w:tcPr>
          <w:p w14:paraId="7DF762D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336.82%</w:t>
            </w:r>
          </w:p>
        </w:tc>
        <w:tc>
          <w:tcPr>
            <w:tcW w:w="1260" w:type="dxa"/>
            <w:tcBorders>
              <w:top w:val="nil"/>
              <w:left w:val="nil"/>
              <w:bottom w:val="single" w:sz="4" w:space="0" w:color="auto"/>
              <w:right w:val="single" w:sz="4" w:space="0" w:color="auto"/>
            </w:tcBorders>
            <w:vAlign w:val="bottom"/>
            <w:hideMark/>
          </w:tcPr>
          <w:p w14:paraId="1698741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$72,773</w:t>
            </w:r>
          </w:p>
        </w:tc>
      </w:tr>
      <w:tr w:rsidR="00433DC8" w:rsidRPr="005217C3" w14:paraId="145D4687" w14:textId="77777777" w:rsidTr="009050D8">
        <w:trPr>
          <w:trHeight w:val="80"/>
        </w:trPr>
        <w:tc>
          <w:tcPr>
            <w:tcW w:w="630" w:type="dxa"/>
            <w:tcBorders>
              <w:top w:val="nil"/>
              <w:left w:val="single" w:sz="4" w:space="0" w:color="auto"/>
              <w:bottom w:val="single" w:sz="4" w:space="0" w:color="auto"/>
              <w:right w:val="single" w:sz="4" w:space="0" w:color="auto"/>
            </w:tcBorders>
            <w:vAlign w:val="bottom"/>
            <w:hideMark/>
          </w:tcPr>
          <w:p w14:paraId="211AC996"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1BB448D9"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DCP</w:t>
            </w:r>
          </w:p>
        </w:tc>
        <w:tc>
          <w:tcPr>
            <w:tcW w:w="4050" w:type="dxa"/>
            <w:tcBorders>
              <w:top w:val="nil"/>
              <w:left w:val="nil"/>
              <w:bottom w:val="single" w:sz="4" w:space="0" w:color="auto"/>
              <w:right w:val="single" w:sz="4" w:space="0" w:color="auto"/>
            </w:tcBorders>
            <w:vAlign w:val="bottom"/>
            <w:hideMark/>
          </w:tcPr>
          <w:p w14:paraId="6E5B8000"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CAPITAL ASSET MANAGEMENT AND MAINTENANCE DIVISION</w:t>
            </w:r>
          </w:p>
        </w:tc>
        <w:tc>
          <w:tcPr>
            <w:tcW w:w="1260" w:type="dxa"/>
            <w:tcBorders>
              <w:top w:val="nil"/>
              <w:left w:val="nil"/>
              <w:bottom w:val="single" w:sz="4" w:space="0" w:color="auto"/>
              <w:right w:val="single" w:sz="4" w:space="0" w:color="auto"/>
            </w:tcBorders>
            <w:vAlign w:val="bottom"/>
            <w:hideMark/>
          </w:tcPr>
          <w:p w14:paraId="474A71A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$6,430,949</w:t>
            </w:r>
          </w:p>
        </w:tc>
        <w:tc>
          <w:tcPr>
            <w:tcW w:w="1170" w:type="dxa"/>
            <w:tcBorders>
              <w:top w:val="nil"/>
              <w:left w:val="nil"/>
              <w:bottom w:val="single" w:sz="4" w:space="0" w:color="auto"/>
              <w:right w:val="single" w:sz="4" w:space="0" w:color="auto"/>
            </w:tcBorders>
            <w:vAlign w:val="bottom"/>
            <w:hideMark/>
          </w:tcPr>
          <w:p w14:paraId="0DF775B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$160,774</w:t>
            </w:r>
          </w:p>
        </w:tc>
        <w:tc>
          <w:tcPr>
            <w:tcW w:w="1260" w:type="dxa"/>
            <w:tcBorders>
              <w:top w:val="nil"/>
              <w:left w:val="nil"/>
              <w:bottom w:val="single" w:sz="4" w:space="0" w:color="auto"/>
              <w:right w:val="single" w:sz="4" w:space="0" w:color="auto"/>
            </w:tcBorders>
            <w:vAlign w:val="bottom"/>
            <w:hideMark/>
          </w:tcPr>
          <w:p w14:paraId="696C3AC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$4,500,454</w:t>
            </w:r>
          </w:p>
        </w:tc>
        <w:tc>
          <w:tcPr>
            <w:tcW w:w="1080" w:type="dxa"/>
            <w:tcBorders>
              <w:top w:val="nil"/>
              <w:left w:val="nil"/>
              <w:bottom w:val="single" w:sz="4" w:space="0" w:color="auto"/>
              <w:right w:val="single" w:sz="4" w:space="0" w:color="auto"/>
            </w:tcBorders>
            <w:vAlign w:val="bottom"/>
            <w:hideMark/>
          </w:tcPr>
          <w:p w14:paraId="7817FF2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BA4FFC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$4,500,454</w:t>
            </w:r>
          </w:p>
        </w:tc>
        <w:tc>
          <w:tcPr>
            <w:tcW w:w="1170" w:type="dxa"/>
            <w:tcBorders>
              <w:top w:val="nil"/>
              <w:left w:val="nil"/>
              <w:bottom w:val="single" w:sz="4" w:space="0" w:color="auto"/>
              <w:right w:val="single" w:sz="4" w:space="0" w:color="auto"/>
            </w:tcBorders>
            <w:vAlign w:val="bottom"/>
            <w:hideMark/>
          </w:tcPr>
          <w:p w14:paraId="13F4F8D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2799.25%</w:t>
            </w:r>
          </w:p>
        </w:tc>
        <w:tc>
          <w:tcPr>
            <w:tcW w:w="1260" w:type="dxa"/>
            <w:tcBorders>
              <w:top w:val="nil"/>
              <w:left w:val="nil"/>
              <w:bottom w:val="single" w:sz="4" w:space="0" w:color="auto"/>
              <w:right w:val="single" w:sz="4" w:space="0" w:color="auto"/>
            </w:tcBorders>
            <w:vAlign w:val="bottom"/>
            <w:hideMark/>
          </w:tcPr>
          <w:p w14:paraId="37FA320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$4,339,680</w:t>
            </w:r>
          </w:p>
        </w:tc>
      </w:tr>
      <w:tr w:rsidR="00433DC8" w:rsidRPr="005217C3" w14:paraId="54814C28" w14:textId="77777777" w:rsidTr="009050D8">
        <w:trPr>
          <w:trHeight w:val="98"/>
        </w:trPr>
        <w:tc>
          <w:tcPr>
            <w:tcW w:w="630" w:type="dxa"/>
            <w:tcBorders>
              <w:top w:val="nil"/>
              <w:left w:val="single" w:sz="4" w:space="0" w:color="auto"/>
              <w:bottom w:val="single" w:sz="4" w:space="0" w:color="auto"/>
              <w:right w:val="single" w:sz="4" w:space="0" w:color="auto"/>
            </w:tcBorders>
            <w:vAlign w:val="bottom"/>
            <w:hideMark/>
          </w:tcPr>
          <w:p w14:paraId="59676DAD"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6FE76E5F"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CSC</w:t>
            </w:r>
          </w:p>
        </w:tc>
        <w:tc>
          <w:tcPr>
            <w:tcW w:w="4050" w:type="dxa"/>
            <w:tcBorders>
              <w:top w:val="nil"/>
              <w:left w:val="nil"/>
              <w:bottom w:val="single" w:sz="4" w:space="0" w:color="auto"/>
              <w:right w:val="single" w:sz="4" w:space="0" w:color="auto"/>
            </w:tcBorders>
            <w:vAlign w:val="bottom"/>
            <w:hideMark/>
          </w:tcPr>
          <w:p w14:paraId="1C821B44"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CIVIL SERVICE COMMISSION</w:t>
            </w:r>
          </w:p>
        </w:tc>
        <w:tc>
          <w:tcPr>
            <w:tcW w:w="1260" w:type="dxa"/>
            <w:tcBorders>
              <w:top w:val="nil"/>
              <w:left w:val="nil"/>
              <w:bottom w:val="single" w:sz="4" w:space="0" w:color="auto"/>
              <w:right w:val="single" w:sz="4" w:space="0" w:color="auto"/>
            </w:tcBorders>
            <w:vAlign w:val="bottom"/>
            <w:hideMark/>
          </w:tcPr>
          <w:p w14:paraId="465CB0C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$12,710</w:t>
            </w:r>
          </w:p>
        </w:tc>
        <w:tc>
          <w:tcPr>
            <w:tcW w:w="1170" w:type="dxa"/>
            <w:tcBorders>
              <w:top w:val="nil"/>
              <w:left w:val="nil"/>
              <w:bottom w:val="single" w:sz="4" w:space="0" w:color="auto"/>
              <w:right w:val="single" w:sz="4" w:space="0" w:color="auto"/>
            </w:tcBorders>
            <w:vAlign w:val="bottom"/>
            <w:hideMark/>
          </w:tcPr>
          <w:p w14:paraId="6CF6C18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$318</w:t>
            </w:r>
          </w:p>
        </w:tc>
        <w:tc>
          <w:tcPr>
            <w:tcW w:w="1260" w:type="dxa"/>
            <w:tcBorders>
              <w:top w:val="nil"/>
              <w:left w:val="nil"/>
              <w:bottom w:val="single" w:sz="4" w:space="0" w:color="auto"/>
              <w:right w:val="single" w:sz="4" w:space="0" w:color="auto"/>
            </w:tcBorders>
            <w:vAlign w:val="bottom"/>
            <w:hideMark/>
          </w:tcPr>
          <w:p w14:paraId="516AF57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080" w:type="dxa"/>
            <w:tcBorders>
              <w:top w:val="nil"/>
              <w:left w:val="nil"/>
              <w:bottom w:val="single" w:sz="4" w:space="0" w:color="auto"/>
              <w:right w:val="single" w:sz="4" w:space="0" w:color="auto"/>
            </w:tcBorders>
            <w:vAlign w:val="bottom"/>
            <w:hideMark/>
          </w:tcPr>
          <w:p w14:paraId="0F58A51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6C20D5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6D85AB7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0.00%</w:t>
            </w:r>
          </w:p>
        </w:tc>
        <w:tc>
          <w:tcPr>
            <w:tcW w:w="1260" w:type="dxa"/>
            <w:tcBorders>
              <w:top w:val="nil"/>
              <w:left w:val="nil"/>
              <w:bottom w:val="single" w:sz="4" w:space="0" w:color="auto"/>
              <w:right w:val="single" w:sz="4" w:space="0" w:color="auto"/>
            </w:tcBorders>
            <w:vAlign w:val="bottom"/>
            <w:hideMark/>
          </w:tcPr>
          <w:p w14:paraId="3C10330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-$318</w:t>
            </w:r>
          </w:p>
        </w:tc>
      </w:tr>
      <w:tr w:rsidR="00433DC8" w:rsidRPr="005217C3" w14:paraId="3696E1DC" w14:textId="77777777" w:rsidTr="009050D8">
        <w:trPr>
          <w:trHeight w:val="125"/>
        </w:trPr>
        <w:tc>
          <w:tcPr>
            <w:tcW w:w="630" w:type="dxa"/>
            <w:tcBorders>
              <w:top w:val="nil"/>
              <w:left w:val="single" w:sz="4" w:space="0" w:color="auto"/>
              <w:bottom w:val="single" w:sz="4" w:space="0" w:color="auto"/>
              <w:right w:val="single" w:sz="4" w:space="0" w:color="auto"/>
            </w:tcBorders>
            <w:vAlign w:val="bottom"/>
            <w:hideMark/>
          </w:tcPr>
          <w:p w14:paraId="7F538D78"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436726DC"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DOR</w:t>
            </w:r>
          </w:p>
        </w:tc>
        <w:tc>
          <w:tcPr>
            <w:tcW w:w="4050" w:type="dxa"/>
            <w:tcBorders>
              <w:top w:val="nil"/>
              <w:left w:val="nil"/>
              <w:bottom w:val="single" w:sz="4" w:space="0" w:color="auto"/>
              <w:right w:val="single" w:sz="4" w:space="0" w:color="auto"/>
            </w:tcBorders>
            <w:vAlign w:val="bottom"/>
            <w:hideMark/>
          </w:tcPr>
          <w:p w14:paraId="674A9FE9"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REVENUE</w:t>
            </w:r>
          </w:p>
        </w:tc>
        <w:tc>
          <w:tcPr>
            <w:tcW w:w="1260" w:type="dxa"/>
            <w:tcBorders>
              <w:top w:val="nil"/>
              <w:left w:val="nil"/>
              <w:bottom w:val="single" w:sz="4" w:space="0" w:color="auto"/>
              <w:right w:val="single" w:sz="4" w:space="0" w:color="auto"/>
            </w:tcBorders>
            <w:vAlign w:val="bottom"/>
            <w:hideMark/>
          </w:tcPr>
          <w:p w14:paraId="34E58D4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$52,810,218</w:t>
            </w:r>
          </w:p>
        </w:tc>
        <w:tc>
          <w:tcPr>
            <w:tcW w:w="1170" w:type="dxa"/>
            <w:tcBorders>
              <w:top w:val="nil"/>
              <w:left w:val="nil"/>
              <w:bottom w:val="single" w:sz="4" w:space="0" w:color="auto"/>
              <w:right w:val="single" w:sz="4" w:space="0" w:color="auto"/>
            </w:tcBorders>
            <w:vAlign w:val="bottom"/>
            <w:hideMark/>
          </w:tcPr>
          <w:p w14:paraId="6568C7C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$1,320,255</w:t>
            </w:r>
          </w:p>
        </w:tc>
        <w:tc>
          <w:tcPr>
            <w:tcW w:w="1260" w:type="dxa"/>
            <w:tcBorders>
              <w:top w:val="nil"/>
              <w:left w:val="nil"/>
              <w:bottom w:val="single" w:sz="4" w:space="0" w:color="auto"/>
              <w:right w:val="single" w:sz="4" w:space="0" w:color="auto"/>
            </w:tcBorders>
            <w:vAlign w:val="bottom"/>
            <w:hideMark/>
          </w:tcPr>
          <w:p w14:paraId="7FC452D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$608,286</w:t>
            </w:r>
          </w:p>
        </w:tc>
        <w:tc>
          <w:tcPr>
            <w:tcW w:w="1080" w:type="dxa"/>
            <w:tcBorders>
              <w:top w:val="nil"/>
              <w:left w:val="nil"/>
              <w:bottom w:val="single" w:sz="4" w:space="0" w:color="auto"/>
              <w:right w:val="single" w:sz="4" w:space="0" w:color="auto"/>
            </w:tcBorders>
            <w:vAlign w:val="bottom"/>
            <w:hideMark/>
          </w:tcPr>
          <w:p w14:paraId="29A9E0A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751B966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$608,286</w:t>
            </w:r>
          </w:p>
        </w:tc>
        <w:tc>
          <w:tcPr>
            <w:tcW w:w="1170" w:type="dxa"/>
            <w:tcBorders>
              <w:top w:val="nil"/>
              <w:left w:val="nil"/>
              <w:bottom w:val="single" w:sz="4" w:space="0" w:color="auto"/>
              <w:right w:val="single" w:sz="4" w:space="0" w:color="auto"/>
            </w:tcBorders>
            <w:vAlign w:val="bottom"/>
            <w:hideMark/>
          </w:tcPr>
          <w:p w14:paraId="3E66727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46.07%</w:t>
            </w:r>
          </w:p>
        </w:tc>
        <w:tc>
          <w:tcPr>
            <w:tcW w:w="1260" w:type="dxa"/>
            <w:tcBorders>
              <w:top w:val="nil"/>
              <w:left w:val="nil"/>
              <w:bottom w:val="single" w:sz="4" w:space="0" w:color="auto"/>
              <w:right w:val="single" w:sz="4" w:space="0" w:color="auto"/>
            </w:tcBorders>
            <w:vAlign w:val="bottom"/>
            <w:hideMark/>
          </w:tcPr>
          <w:p w14:paraId="7B42392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-$711,969</w:t>
            </w:r>
          </w:p>
        </w:tc>
      </w:tr>
      <w:tr w:rsidR="00433DC8" w:rsidRPr="005217C3" w14:paraId="455EB9DE" w14:textId="77777777" w:rsidTr="009050D8">
        <w:trPr>
          <w:trHeight w:val="143"/>
        </w:trPr>
        <w:tc>
          <w:tcPr>
            <w:tcW w:w="630" w:type="dxa"/>
            <w:tcBorders>
              <w:top w:val="nil"/>
              <w:left w:val="single" w:sz="4" w:space="0" w:color="auto"/>
              <w:bottom w:val="single" w:sz="4" w:space="0" w:color="auto"/>
              <w:right w:val="single" w:sz="4" w:space="0" w:color="auto"/>
            </w:tcBorders>
            <w:vAlign w:val="bottom"/>
            <w:hideMark/>
          </w:tcPr>
          <w:p w14:paraId="55638F5C"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677F9F7A"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ADD</w:t>
            </w:r>
          </w:p>
        </w:tc>
        <w:tc>
          <w:tcPr>
            <w:tcW w:w="4050" w:type="dxa"/>
            <w:tcBorders>
              <w:top w:val="nil"/>
              <w:left w:val="nil"/>
              <w:bottom w:val="single" w:sz="4" w:space="0" w:color="auto"/>
              <w:right w:val="single" w:sz="4" w:space="0" w:color="auto"/>
            </w:tcBorders>
            <w:vAlign w:val="bottom"/>
            <w:hideMark/>
          </w:tcPr>
          <w:p w14:paraId="2615EA1B"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DEVELOPMENTAL DISABILITIES COUNCIL</w:t>
            </w:r>
          </w:p>
        </w:tc>
        <w:tc>
          <w:tcPr>
            <w:tcW w:w="1260" w:type="dxa"/>
            <w:tcBorders>
              <w:top w:val="nil"/>
              <w:left w:val="nil"/>
              <w:bottom w:val="single" w:sz="4" w:space="0" w:color="auto"/>
              <w:right w:val="single" w:sz="4" w:space="0" w:color="auto"/>
            </w:tcBorders>
            <w:vAlign w:val="bottom"/>
            <w:hideMark/>
          </w:tcPr>
          <w:p w14:paraId="31C2DF0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$151,435</w:t>
            </w:r>
          </w:p>
        </w:tc>
        <w:tc>
          <w:tcPr>
            <w:tcW w:w="1170" w:type="dxa"/>
            <w:tcBorders>
              <w:top w:val="nil"/>
              <w:left w:val="nil"/>
              <w:bottom w:val="single" w:sz="4" w:space="0" w:color="auto"/>
              <w:right w:val="single" w:sz="4" w:space="0" w:color="auto"/>
            </w:tcBorders>
            <w:vAlign w:val="bottom"/>
            <w:hideMark/>
          </w:tcPr>
          <w:p w14:paraId="1BF30BD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$3,786</w:t>
            </w:r>
          </w:p>
        </w:tc>
        <w:tc>
          <w:tcPr>
            <w:tcW w:w="1260" w:type="dxa"/>
            <w:tcBorders>
              <w:top w:val="nil"/>
              <w:left w:val="nil"/>
              <w:bottom w:val="single" w:sz="4" w:space="0" w:color="auto"/>
              <w:right w:val="single" w:sz="4" w:space="0" w:color="auto"/>
            </w:tcBorders>
            <w:vAlign w:val="bottom"/>
            <w:hideMark/>
          </w:tcPr>
          <w:p w14:paraId="561A6AC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$49,663</w:t>
            </w:r>
          </w:p>
        </w:tc>
        <w:tc>
          <w:tcPr>
            <w:tcW w:w="1080" w:type="dxa"/>
            <w:tcBorders>
              <w:top w:val="nil"/>
              <w:left w:val="nil"/>
              <w:bottom w:val="single" w:sz="4" w:space="0" w:color="auto"/>
              <w:right w:val="single" w:sz="4" w:space="0" w:color="auto"/>
            </w:tcBorders>
            <w:vAlign w:val="bottom"/>
            <w:hideMark/>
          </w:tcPr>
          <w:p w14:paraId="4E7F6A8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92677C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$49,663</w:t>
            </w:r>
          </w:p>
        </w:tc>
        <w:tc>
          <w:tcPr>
            <w:tcW w:w="1170" w:type="dxa"/>
            <w:tcBorders>
              <w:top w:val="nil"/>
              <w:left w:val="nil"/>
              <w:bottom w:val="single" w:sz="4" w:space="0" w:color="auto"/>
              <w:right w:val="single" w:sz="4" w:space="0" w:color="auto"/>
            </w:tcBorders>
            <w:vAlign w:val="bottom"/>
            <w:hideMark/>
          </w:tcPr>
          <w:p w14:paraId="23CE437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1311.81%</w:t>
            </w:r>
          </w:p>
        </w:tc>
        <w:tc>
          <w:tcPr>
            <w:tcW w:w="1260" w:type="dxa"/>
            <w:tcBorders>
              <w:top w:val="nil"/>
              <w:left w:val="nil"/>
              <w:bottom w:val="single" w:sz="4" w:space="0" w:color="auto"/>
              <w:right w:val="single" w:sz="4" w:space="0" w:color="auto"/>
            </w:tcBorders>
            <w:vAlign w:val="bottom"/>
            <w:hideMark/>
          </w:tcPr>
          <w:p w14:paraId="3AFE35B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$45,877</w:t>
            </w:r>
          </w:p>
        </w:tc>
      </w:tr>
      <w:tr w:rsidR="00433DC8" w:rsidRPr="005217C3" w14:paraId="3AB0DC41"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5E0D4912"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3EB9260F"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OSD</w:t>
            </w:r>
          </w:p>
        </w:tc>
        <w:tc>
          <w:tcPr>
            <w:tcW w:w="4050" w:type="dxa"/>
            <w:tcBorders>
              <w:top w:val="nil"/>
              <w:left w:val="nil"/>
              <w:bottom w:val="single" w:sz="4" w:space="0" w:color="auto"/>
              <w:right w:val="single" w:sz="4" w:space="0" w:color="auto"/>
            </w:tcBorders>
            <w:vAlign w:val="bottom"/>
            <w:hideMark/>
          </w:tcPr>
          <w:p w14:paraId="5FF5E437"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DIVISION OF OPERATIONAL SERVICES</w:t>
            </w:r>
          </w:p>
        </w:tc>
        <w:tc>
          <w:tcPr>
            <w:tcW w:w="1260" w:type="dxa"/>
            <w:tcBorders>
              <w:top w:val="nil"/>
              <w:left w:val="nil"/>
              <w:bottom w:val="single" w:sz="4" w:space="0" w:color="auto"/>
              <w:right w:val="single" w:sz="4" w:space="0" w:color="auto"/>
            </w:tcBorders>
            <w:vAlign w:val="bottom"/>
            <w:hideMark/>
          </w:tcPr>
          <w:p w14:paraId="7740F8D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$404,058</w:t>
            </w:r>
          </w:p>
        </w:tc>
        <w:tc>
          <w:tcPr>
            <w:tcW w:w="1170" w:type="dxa"/>
            <w:tcBorders>
              <w:top w:val="nil"/>
              <w:left w:val="nil"/>
              <w:bottom w:val="single" w:sz="4" w:space="0" w:color="auto"/>
              <w:right w:val="single" w:sz="4" w:space="0" w:color="auto"/>
            </w:tcBorders>
            <w:vAlign w:val="bottom"/>
            <w:hideMark/>
          </w:tcPr>
          <w:p w14:paraId="1297D27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$10,101</w:t>
            </w:r>
          </w:p>
        </w:tc>
        <w:tc>
          <w:tcPr>
            <w:tcW w:w="1260" w:type="dxa"/>
            <w:tcBorders>
              <w:top w:val="nil"/>
              <w:left w:val="nil"/>
              <w:bottom w:val="single" w:sz="4" w:space="0" w:color="auto"/>
              <w:right w:val="single" w:sz="4" w:space="0" w:color="auto"/>
            </w:tcBorders>
            <w:vAlign w:val="bottom"/>
            <w:hideMark/>
          </w:tcPr>
          <w:p w14:paraId="6571B7B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$158,584</w:t>
            </w:r>
          </w:p>
        </w:tc>
        <w:tc>
          <w:tcPr>
            <w:tcW w:w="1080" w:type="dxa"/>
            <w:tcBorders>
              <w:top w:val="nil"/>
              <w:left w:val="nil"/>
              <w:bottom w:val="single" w:sz="4" w:space="0" w:color="auto"/>
              <w:right w:val="single" w:sz="4" w:space="0" w:color="auto"/>
            </w:tcBorders>
            <w:vAlign w:val="bottom"/>
            <w:hideMark/>
          </w:tcPr>
          <w:p w14:paraId="56A269F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2FC8B55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$158,584</w:t>
            </w:r>
          </w:p>
        </w:tc>
        <w:tc>
          <w:tcPr>
            <w:tcW w:w="1170" w:type="dxa"/>
            <w:tcBorders>
              <w:top w:val="nil"/>
              <w:left w:val="nil"/>
              <w:bottom w:val="single" w:sz="4" w:space="0" w:color="auto"/>
              <w:right w:val="single" w:sz="4" w:space="0" w:color="auto"/>
            </w:tcBorders>
            <w:vAlign w:val="bottom"/>
            <w:hideMark/>
          </w:tcPr>
          <w:p w14:paraId="41E1F82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1569.91%</w:t>
            </w:r>
          </w:p>
        </w:tc>
        <w:tc>
          <w:tcPr>
            <w:tcW w:w="1260" w:type="dxa"/>
            <w:tcBorders>
              <w:top w:val="nil"/>
              <w:left w:val="nil"/>
              <w:bottom w:val="single" w:sz="4" w:space="0" w:color="auto"/>
              <w:right w:val="single" w:sz="4" w:space="0" w:color="auto"/>
            </w:tcBorders>
            <w:vAlign w:val="bottom"/>
            <w:hideMark/>
          </w:tcPr>
          <w:p w14:paraId="14F94AA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$148,482</w:t>
            </w:r>
          </w:p>
        </w:tc>
      </w:tr>
      <w:tr w:rsidR="00433DC8" w:rsidRPr="005217C3" w14:paraId="5B2A162C"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2DFE7451"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15C124F0"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ANF</w:t>
            </w:r>
          </w:p>
        </w:tc>
        <w:tc>
          <w:tcPr>
            <w:tcW w:w="4050" w:type="dxa"/>
            <w:tcBorders>
              <w:top w:val="nil"/>
              <w:left w:val="nil"/>
              <w:bottom w:val="single" w:sz="4" w:space="0" w:color="auto"/>
              <w:right w:val="single" w:sz="4" w:space="0" w:color="auto"/>
            </w:tcBorders>
            <w:vAlign w:val="bottom"/>
            <w:hideMark/>
          </w:tcPr>
          <w:p w14:paraId="2DB2D90A"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EXECUTIVE OFFICE FOR ADMINISTRATION AND FINANCE</w:t>
            </w:r>
          </w:p>
        </w:tc>
        <w:tc>
          <w:tcPr>
            <w:tcW w:w="1260" w:type="dxa"/>
            <w:tcBorders>
              <w:top w:val="nil"/>
              <w:left w:val="nil"/>
              <w:bottom w:val="single" w:sz="4" w:space="0" w:color="auto"/>
              <w:right w:val="single" w:sz="4" w:space="0" w:color="auto"/>
            </w:tcBorders>
            <w:vAlign w:val="bottom"/>
            <w:hideMark/>
          </w:tcPr>
          <w:p w14:paraId="413D23E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$27,941,762</w:t>
            </w:r>
          </w:p>
        </w:tc>
        <w:tc>
          <w:tcPr>
            <w:tcW w:w="1170" w:type="dxa"/>
            <w:tcBorders>
              <w:top w:val="nil"/>
              <w:left w:val="nil"/>
              <w:bottom w:val="single" w:sz="4" w:space="0" w:color="auto"/>
              <w:right w:val="single" w:sz="4" w:space="0" w:color="auto"/>
            </w:tcBorders>
            <w:vAlign w:val="bottom"/>
            <w:hideMark/>
          </w:tcPr>
          <w:p w14:paraId="61975BD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$698,544</w:t>
            </w:r>
          </w:p>
        </w:tc>
        <w:tc>
          <w:tcPr>
            <w:tcW w:w="1260" w:type="dxa"/>
            <w:tcBorders>
              <w:top w:val="nil"/>
              <w:left w:val="nil"/>
              <w:bottom w:val="single" w:sz="4" w:space="0" w:color="auto"/>
              <w:right w:val="single" w:sz="4" w:space="0" w:color="auto"/>
            </w:tcBorders>
            <w:vAlign w:val="bottom"/>
            <w:hideMark/>
          </w:tcPr>
          <w:p w14:paraId="06AC0C4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$2,939,265</w:t>
            </w:r>
          </w:p>
        </w:tc>
        <w:tc>
          <w:tcPr>
            <w:tcW w:w="1080" w:type="dxa"/>
            <w:tcBorders>
              <w:top w:val="nil"/>
              <w:left w:val="nil"/>
              <w:bottom w:val="single" w:sz="4" w:space="0" w:color="auto"/>
              <w:right w:val="single" w:sz="4" w:space="0" w:color="auto"/>
            </w:tcBorders>
            <w:vAlign w:val="bottom"/>
            <w:hideMark/>
          </w:tcPr>
          <w:p w14:paraId="11607F6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E034F7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$2,939,265</w:t>
            </w:r>
          </w:p>
        </w:tc>
        <w:tc>
          <w:tcPr>
            <w:tcW w:w="1170" w:type="dxa"/>
            <w:tcBorders>
              <w:top w:val="nil"/>
              <w:left w:val="nil"/>
              <w:bottom w:val="single" w:sz="4" w:space="0" w:color="auto"/>
              <w:right w:val="single" w:sz="4" w:space="0" w:color="auto"/>
            </w:tcBorders>
            <w:vAlign w:val="bottom"/>
            <w:hideMark/>
          </w:tcPr>
          <w:p w14:paraId="200BFD3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420.77%</w:t>
            </w:r>
          </w:p>
        </w:tc>
        <w:tc>
          <w:tcPr>
            <w:tcW w:w="1260" w:type="dxa"/>
            <w:tcBorders>
              <w:top w:val="nil"/>
              <w:left w:val="nil"/>
              <w:bottom w:val="single" w:sz="4" w:space="0" w:color="auto"/>
              <w:right w:val="single" w:sz="4" w:space="0" w:color="auto"/>
            </w:tcBorders>
            <w:vAlign w:val="bottom"/>
            <w:hideMark/>
          </w:tcPr>
          <w:p w14:paraId="06FE0C4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$2,240,721</w:t>
            </w:r>
          </w:p>
        </w:tc>
      </w:tr>
      <w:tr w:rsidR="00433DC8" w:rsidRPr="005217C3" w14:paraId="26363E70"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78A18506"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67793EB9"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LIB</w:t>
            </w:r>
          </w:p>
        </w:tc>
        <w:tc>
          <w:tcPr>
            <w:tcW w:w="4050" w:type="dxa"/>
            <w:tcBorders>
              <w:top w:val="nil"/>
              <w:left w:val="nil"/>
              <w:bottom w:val="single" w:sz="4" w:space="0" w:color="auto"/>
              <w:right w:val="single" w:sz="4" w:space="0" w:color="auto"/>
            </w:tcBorders>
            <w:vAlign w:val="bottom"/>
            <w:hideMark/>
          </w:tcPr>
          <w:p w14:paraId="31682FAD"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GEORGE FINGOLD LIBRARY</w:t>
            </w:r>
          </w:p>
        </w:tc>
        <w:tc>
          <w:tcPr>
            <w:tcW w:w="1260" w:type="dxa"/>
            <w:tcBorders>
              <w:top w:val="nil"/>
              <w:left w:val="nil"/>
              <w:bottom w:val="single" w:sz="4" w:space="0" w:color="auto"/>
              <w:right w:val="single" w:sz="4" w:space="0" w:color="auto"/>
            </w:tcBorders>
            <w:vAlign w:val="bottom"/>
            <w:hideMark/>
          </w:tcPr>
          <w:p w14:paraId="04F9CBF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$779,058</w:t>
            </w:r>
          </w:p>
        </w:tc>
        <w:tc>
          <w:tcPr>
            <w:tcW w:w="1170" w:type="dxa"/>
            <w:tcBorders>
              <w:top w:val="nil"/>
              <w:left w:val="nil"/>
              <w:bottom w:val="single" w:sz="4" w:space="0" w:color="auto"/>
              <w:right w:val="single" w:sz="4" w:space="0" w:color="auto"/>
            </w:tcBorders>
            <w:vAlign w:val="bottom"/>
            <w:hideMark/>
          </w:tcPr>
          <w:p w14:paraId="7E12FE4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$19,476</w:t>
            </w:r>
          </w:p>
        </w:tc>
        <w:tc>
          <w:tcPr>
            <w:tcW w:w="1260" w:type="dxa"/>
            <w:tcBorders>
              <w:top w:val="nil"/>
              <w:left w:val="nil"/>
              <w:bottom w:val="single" w:sz="4" w:space="0" w:color="auto"/>
              <w:right w:val="single" w:sz="4" w:space="0" w:color="auto"/>
            </w:tcBorders>
            <w:vAlign w:val="bottom"/>
            <w:hideMark/>
          </w:tcPr>
          <w:p w14:paraId="39B1B61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$765</w:t>
            </w:r>
          </w:p>
        </w:tc>
        <w:tc>
          <w:tcPr>
            <w:tcW w:w="1080" w:type="dxa"/>
            <w:tcBorders>
              <w:top w:val="nil"/>
              <w:left w:val="nil"/>
              <w:bottom w:val="single" w:sz="4" w:space="0" w:color="auto"/>
              <w:right w:val="single" w:sz="4" w:space="0" w:color="auto"/>
            </w:tcBorders>
            <w:vAlign w:val="bottom"/>
            <w:hideMark/>
          </w:tcPr>
          <w:p w14:paraId="71A2A71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7F0A29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$765</w:t>
            </w:r>
          </w:p>
        </w:tc>
        <w:tc>
          <w:tcPr>
            <w:tcW w:w="1170" w:type="dxa"/>
            <w:tcBorders>
              <w:top w:val="nil"/>
              <w:left w:val="nil"/>
              <w:bottom w:val="single" w:sz="4" w:space="0" w:color="auto"/>
              <w:right w:val="single" w:sz="4" w:space="0" w:color="auto"/>
            </w:tcBorders>
            <w:vAlign w:val="bottom"/>
            <w:hideMark/>
          </w:tcPr>
          <w:p w14:paraId="359ABCF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3.93%</w:t>
            </w:r>
          </w:p>
        </w:tc>
        <w:tc>
          <w:tcPr>
            <w:tcW w:w="1260" w:type="dxa"/>
            <w:tcBorders>
              <w:top w:val="nil"/>
              <w:left w:val="nil"/>
              <w:bottom w:val="single" w:sz="4" w:space="0" w:color="auto"/>
              <w:right w:val="single" w:sz="4" w:space="0" w:color="auto"/>
            </w:tcBorders>
            <w:vAlign w:val="bottom"/>
            <w:hideMark/>
          </w:tcPr>
          <w:p w14:paraId="0C514E5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-$18,711</w:t>
            </w:r>
          </w:p>
        </w:tc>
      </w:tr>
      <w:tr w:rsidR="00433DC8" w:rsidRPr="005217C3" w14:paraId="4CFAD9FA"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0A060D55"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253A23A9"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GIC</w:t>
            </w:r>
          </w:p>
        </w:tc>
        <w:tc>
          <w:tcPr>
            <w:tcW w:w="4050" w:type="dxa"/>
            <w:tcBorders>
              <w:top w:val="nil"/>
              <w:left w:val="nil"/>
              <w:bottom w:val="single" w:sz="4" w:space="0" w:color="auto"/>
              <w:right w:val="single" w:sz="4" w:space="0" w:color="auto"/>
            </w:tcBorders>
            <w:vAlign w:val="bottom"/>
            <w:hideMark/>
          </w:tcPr>
          <w:p w14:paraId="4276E38F"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GROUP INSURANCE COMMISSION</w:t>
            </w:r>
          </w:p>
        </w:tc>
        <w:tc>
          <w:tcPr>
            <w:tcW w:w="1260" w:type="dxa"/>
            <w:tcBorders>
              <w:top w:val="nil"/>
              <w:left w:val="nil"/>
              <w:bottom w:val="single" w:sz="4" w:space="0" w:color="auto"/>
              <w:right w:val="single" w:sz="4" w:space="0" w:color="auto"/>
            </w:tcBorders>
            <w:vAlign w:val="bottom"/>
            <w:hideMark/>
          </w:tcPr>
          <w:p w14:paraId="6604C4A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$3,530,011</w:t>
            </w:r>
          </w:p>
        </w:tc>
        <w:tc>
          <w:tcPr>
            <w:tcW w:w="1170" w:type="dxa"/>
            <w:tcBorders>
              <w:top w:val="nil"/>
              <w:left w:val="nil"/>
              <w:bottom w:val="single" w:sz="4" w:space="0" w:color="auto"/>
              <w:right w:val="single" w:sz="4" w:space="0" w:color="auto"/>
            </w:tcBorders>
            <w:vAlign w:val="bottom"/>
            <w:hideMark/>
          </w:tcPr>
          <w:p w14:paraId="5FF852F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$88,250</w:t>
            </w:r>
          </w:p>
        </w:tc>
        <w:tc>
          <w:tcPr>
            <w:tcW w:w="1260" w:type="dxa"/>
            <w:tcBorders>
              <w:top w:val="nil"/>
              <w:left w:val="nil"/>
              <w:bottom w:val="single" w:sz="4" w:space="0" w:color="auto"/>
              <w:right w:val="single" w:sz="4" w:space="0" w:color="auto"/>
            </w:tcBorders>
            <w:vAlign w:val="bottom"/>
            <w:hideMark/>
          </w:tcPr>
          <w:p w14:paraId="5493BEF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$454,965</w:t>
            </w:r>
          </w:p>
        </w:tc>
        <w:tc>
          <w:tcPr>
            <w:tcW w:w="1080" w:type="dxa"/>
            <w:tcBorders>
              <w:top w:val="nil"/>
              <w:left w:val="nil"/>
              <w:bottom w:val="single" w:sz="4" w:space="0" w:color="auto"/>
              <w:right w:val="single" w:sz="4" w:space="0" w:color="auto"/>
            </w:tcBorders>
            <w:vAlign w:val="bottom"/>
            <w:hideMark/>
          </w:tcPr>
          <w:p w14:paraId="4311355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638F66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$454,965</w:t>
            </w:r>
          </w:p>
        </w:tc>
        <w:tc>
          <w:tcPr>
            <w:tcW w:w="1170" w:type="dxa"/>
            <w:tcBorders>
              <w:top w:val="nil"/>
              <w:left w:val="nil"/>
              <w:bottom w:val="single" w:sz="4" w:space="0" w:color="auto"/>
              <w:right w:val="single" w:sz="4" w:space="0" w:color="auto"/>
            </w:tcBorders>
            <w:vAlign w:val="bottom"/>
            <w:hideMark/>
          </w:tcPr>
          <w:p w14:paraId="525150B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515.54%</w:t>
            </w:r>
          </w:p>
        </w:tc>
        <w:tc>
          <w:tcPr>
            <w:tcW w:w="1260" w:type="dxa"/>
            <w:tcBorders>
              <w:top w:val="nil"/>
              <w:left w:val="nil"/>
              <w:bottom w:val="single" w:sz="4" w:space="0" w:color="auto"/>
              <w:right w:val="single" w:sz="4" w:space="0" w:color="auto"/>
            </w:tcBorders>
            <w:vAlign w:val="bottom"/>
            <w:hideMark/>
          </w:tcPr>
          <w:p w14:paraId="1492560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$366,714</w:t>
            </w:r>
          </w:p>
        </w:tc>
      </w:tr>
      <w:tr w:rsidR="00433DC8" w:rsidRPr="005217C3" w14:paraId="414E672D" w14:textId="77777777" w:rsidTr="009050D8">
        <w:trPr>
          <w:trHeight w:val="89"/>
        </w:trPr>
        <w:tc>
          <w:tcPr>
            <w:tcW w:w="630" w:type="dxa"/>
            <w:tcBorders>
              <w:top w:val="nil"/>
              <w:left w:val="single" w:sz="4" w:space="0" w:color="auto"/>
              <w:bottom w:val="single" w:sz="4" w:space="0" w:color="auto"/>
              <w:right w:val="single" w:sz="4" w:space="0" w:color="auto"/>
            </w:tcBorders>
            <w:vAlign w:val="bottom"/>
            <w:hideMark/>
          </w:tcPr>
          <w:p w14:paraId="4E8935B2"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00DDBA65"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HRD</w:t>
            </w:r>
          </w:p>
        </w:tc>
        <w:tc>
          <w:tcPr>
            <w:tcW w:w="4050" w:type="dxa"/>
            <w:tcBorders>
              <w:top w:val="nil"/>
              <w:left w:val="nil"/>
              <w:bottom w:val="single" w:sz="4" w:space="0" w:color="auto"/>
              <w:right w:val="single" w:sz="4" w:space="0" w:color="auto"/>
            </w:tcBorders>
            <w:vAlign w:val="bottom"/>
            <w:hideMark/>
          </w:tcPr>
          <w:p w14:paraId="5544682B"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HUMAN RESOURCES DIVISION</w:t>
            </w:r>
          </w:p>
        </w:tc>
        <w:tc>
          <w:tcPr>
            <w:tcW w:w="1260" w:type="dxa"/>
            <w:tcBorders>
              <w:top w:val="nil"/>
              <w:left w:val="nil"/>
              <w:bottom w:val="single" w:sz="4" w:space="0" w:color="auto"/>
              <w:right w:val="single" w:sz="4" w:space="0" w:color="auto"/>
            </w:tcBorders>
            <w:vAlign w:val="bottom"/>
            <w:hideMark/>
          </w:tcPr>
          <w:p w14:paraId="3C5D0B4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$918,431</w:t>
            </w:r>
          </w:p>
        </w:tc>
        <w:tc>
          <w:tcPr>
            <w:tcW w:w="1170" w:type="dxa"/>
            <w:tcBorders>
              <w:top w:val="nil"/>
              <w:left w:val="nil"/>
              <w:bottom w:val="single" w:sz="4" w:space="0" w:color="auto"/>
              <w:right w:val="single" w:sz="4" w:space="0" w:color="auto"/>
            </w:tcBorders>
            <w:vAlign w:val="bottom"/>
            <w:hideMark/>
          </w:tcPr>
          <w:p w14:paraId="5887211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$22,961</w:t>
            </w:r>
          </w:p>
        </w:tc>
        <w:tc>
          <w:tcPr>
            <w:tcW w:w="1260" w:type="dxa"/>
            <w:tcBorders>
              <w:top w:val="nil"/>
              <w:left w:val="nil"/>
              <w:bottom w:val="single" w:sz="4" w:space="0" w:color="auto"/>
              <w:right w:val="single" w:sz="4" w:space="0" w:color="auto"/>
            </w:tcBorders>
            <w:vAlign w:val="bottom"/>
            <w:hideMark/>
          </w:tcPr>
          <w:p w14:paraId="530DA8A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$125,568</w:t>
            </w:r>
          </w:p>
        </w:tc>
        <w:tc>
          <w:tcPr>
            <w:tcW w:w="1080" w:type="dxa"/>
            <w:tcBorders>
              <w:top w:val="nil"/>
              <w:left w:val="nil"/>
              <w:bottom w:val="single" w:sz="4" w:space="0" w:color="auto"/>
              <w:right w:val="single" w:sz="4" w:space="0" w:color="auto"/>
            </w:tcBorders>
            <w:vAlign w:val="bottom"/>
            <w:hideMark/>
          </w:tcPr>
          <w:p w14:paraId="4E0BF01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B05E7D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$125,568</w:t>
            </w:r>
          </w:p>
        </w:tc>
        <w:tc>
          <w:tcPr>
            <w:tcW w:w="1170" w:type="dxa"/>
            <w:tcBorders>
              <w:top w:val="nil"/>
              <w:left w:val="nil"/>
              <w:bottom w:val="single" w:sz="4" w:space="0" w:color="auto"/>
              <w:right w:val="single" w:sz="4" w:space="0" w:color="auto"/>
            </w:tcBorders>
            <w:vAlign w:val="bottom"/>
            <w:hideMark/>
          </w:tcPr>
          <w:p w14:paraId="6C9BDBE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546.88%</w:t>
            </w:r>
          </w:p>
        </w:tc>
        <w:tc>
          <w:tcPr>
            <w:tcW w:w="1260" w:type="dxa"/>
            <w:tcBorders>
              <w:top w:val="nil"/>
              <w:left w:val="nil"/>
              <w:bottom w:val="single" w:sz="4" w:space="0" w:color="auto"/>
              <w:right w:val="single" w:sz="4" w:space="0" w:color="auto"/>
            </w:tcBorders>
            <w:vAlign w:val="bottom"/>
            <w:hideMark/>
          </w:tcPr>
          <w:p w14:paraId="324FFA9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$102,607</w:t>
            </w:r>
          </w:p>
        </w:tc>
      </w:tr>
      <w:tr w:rsidR="00433DC8" w:rsidRPr="005217C3" w14:paraId="469BF684" w14:textId="77777777" w:rsidTr="009050D8">
        <w:trPr>
          <w:trHeight w:val="107"/>
        </w:trPr>
        <w:tc>
          <w:tcPr>
            <w:tcW w:w="630" w:type="dxa"/>
            <w:tcBorders>
              <w:top w:val="nil"/>
              <w:left w:val="single" w:sz="4" w:space="0" w:color="auto"/>
              <w:bottom w:val="single" w:sz="4" w:space="0" w:color="auto"/>
              <w:right w:val="single" w:sz="4" w:space="0" w:color="auto"/>
            </w:tcBorders>
            <w:vAlign w:val="bottom"/>
            <w:hideMark/>
          </w:tcPr>
          <w:p w14:paraId="77D8F2C6"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58E6966E"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ITD</w:t>
            </w:r>
          </w:p>
        </w:tc>
        <w:tc>
          <w:tcPr>
            <w:tcW w:w="4050" w:type="dxa"/>
            <w:tcBorders>
              <w:top w:val="nil"/>
              <w:left w:val="nil"/>
              <w:bottom w:val="single" w:sz="4" w:space="0" w:color="auto"/>
              <w:right w:val="single" w:sz="4" w:space="0" w:color="auto"/>
            </w:tcBorders>
            <w:vAlign w:val="bottom"/>
            <w:hideMark/>
          </w:tcPr>
          <w:p w14:paraId="2125E795"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INFORMATION TECHNOLOGY DIVISION</w:t>
            </w:r>
          </w:p>
        </w:tc>
        <w:tc>
          <w:tcPr>
            <w:tcW w:w="1260" w:type="dxa"/>
            <w:tcBorders>
              <w:top w:val="nil"/>
              <w:left w:val="nil"/>
              <w:bottom w:val="single" w:sz="4" w:space="0" w:color="auto"/>
              <w:right w:val="single" w:sz="4" w:space="0" w:color="auto"/>
            </w:tcBorders>
            <w:vAlign w:val="bottom"/>
            <w:hideMark/>
          </w:tcPr>
          <w:p w14:paraId="46320F0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$6,070,217</w:t>
            </w:r>
          </w:p>
        </w:tc>
        <w:tc>
          <w:tcPr>
            <w:tcW w:w="1170" w:type="dxa"/>
            <w:tcBorders>
              <w:top w:val="nil"/>
              <w:left w:val="nil"/>
              <w:bottom w:val="single" w:sz="4" w:space="0" w:color="auto"/>
              <w:right w:val="single" w:sz="4" w:space="0" w:color="auto"/>
            </w:tcBorders>
            <w:vAlign w:val="bottom"/>
            <w:hideMark/>
          </w:tcPr>
          <w:p w14:paraId="097664F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$151,755</w:t>
            </w:r>
          </w:p>
        </w:tc>
        <w:tc>
          <w:tcPr>
            <w:tcW w:w="1260" w:type="dxa"/>
            <w:tcBorders>
              <w:top w:val="nil"/>
              <w:left w:val="nil"/>
              <w:bottom w:val="single" w:sz="4" w:space="0" w:color="auto"/>
              <w:right w:val="single" w:sz="4" w:space="0" w:color="auto"/>
            </w:tcBorders>
            <w:vAlign w:val="bottom"/>
            <w:hideMark/>
          </w:tcPr>
          <w:p w14:paraId="1E0C3C2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$1,780,793</w:t>
            </w:r>
          </w:p>
        </w:tc>
        <w:tc>
          <w:tcPr>
            <w:tcW w:w="1080" w:type="dxa"/>
            <w:tcBorders>
              <w:top w:val="nil"/>
              <w:left w:val="nil"/>
              <w:bottom w:val="single" w:sz="4" w:space="0" w:color="auto"/>
              <w:right w:val="single" w:sz="4" w:space="0" w:color="auto"/>
            </w:tcBorders>
            <w:vAlign w:val="bottom"/>
            <w:hideMark/>
          </w:tcPr>
          <w:p w14:paraId="566BCD7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0B6951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$1,780,793</w:t>
            </w:r>
          </w:p>
        </w:tc>
        <w:tc>
          <w:tcPr>
            <w:tcW w:w="1170" w:type="dxa"/>
            <w:tcBorders>
              <w:top w:val="nil"/>
              <w:left w:val="nil"/>
              <w:bottom w:val="single" w:sz="4" w:space="0" w:color="auto"/>
              <w:right w:val="single" w:sz="4" w:space="0" w:color="auto"/>
            </w:tcBorders>
            <w:vAlign w:val="bottom"/>
            <w:hideMark/>
          </w:tcPr>
          <w:p w14:paraId="7782700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1173.46%</w:t>
            </w:r>
          </w:p>
        </w:tc>
        <w:tc>
          <w:tcPr>
            <w:tcW w:w="1260" w:type="dxa"/>
            <w:tcBorders>
              <w:top w:val="nil"/>
              <w:left w:val="nil"/>
              <w:bottom w:val="single" w:sz="4" w:space="0" w:color="auto"/>
              <w:right w:val="single" w:sz="4" w:space="0" w:color="auto"/>
            </w:tcBorders>
            <w:vAlign w:val="bottom"/>
            <w:hideMark/>
          </w:tcPr>
          <w:p w14:paraId="621123E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$1,629,037</w:t>
            </w:r>
          </w:p>
        </w:tc>
      </w:tr>
      <w:tr w:rsidR="00433DC8" w:rsidRPr="005217C3" w14:paraId="00F84D3B" w14:textId="77777777" w:rsidTr="009050D8">
        <w:trPr>
          <w:trHeight w:val="134"/>
        </w:trPr>
        <w:tc>
          <w:tcPr>
            <w:tcW w:w="630" w:type="dxa"/>
            <w:tcBorders>
              <w:top w:val="nil"/>
              <w:left w:val="single" w:sz="4" w:space="0" w:color="auto"/>
              <w:bottom w:val="single" w:sz="4" w:space="0" w:color="auto"/>
              <w:right w:val="single" w:sz="4" w:space="0" w:color="auto"/>
            </w:tcBorders>
            <w:vAlign w:val="bottom"/>
            <w:hideMark/>
          </w:tcPr>
          <w:p w14:paraId="684D015D"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6D3A3DB3"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OHA</w:t>
            </w:r>
          </w:p>
        </w:tc>
        <w:tc>
          <w:tcPr>
            <w:tcW w:w="4050" w:type="dxa"/>
            <w:tcBorders>
              <w:top w:val="nil"/>
              <w:left w:val="nil"/>
              <w:bottom w:val="single" w:sz="4" w:space="0" w:color="auto"/>
              <w:right w:val="single" w:sz="4" w:space="0" w:color="auto"/>
            </w:tcBorders>
            <w:vAlign w:val="bottom"/>
            <w:hideMark/>
          </w:tcPr>
          <w:p w14:paraId="6E5DF1F6"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MASSACHUSETTS OFFICE ON DISABILITY</w:t>
            </w:r>
          </w:p>
        </w:tc>
        <w:tc>
          <w:tcPr>
            <w:tcW w:w="1260" w:type="dxa"/>
            <w:tcBorders>
              <w:top w:val="nil"/>
              <w:left w:val="nil"/>
              <w:bottom w:val="single" w:sz="4" w:space="0" w:color="auto"/>
              <w:right w:val="single" w:sz="4" w:space="0" w:color="auto"/>
            </w:tcBorders>
            <w:vAlign w:val="bottom"/>
            <w:hideMark/>
          </w:tcPr>
          <w:p w14:paraId="251866F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$64,967</w:t>
            </w:r>
          </w:p>
        </w:tc>
        <w:tc>
          <w:tcPr>
            <w:tcW w:w="1170" w:type="dxa"/>
            <w:tcBorders>
              <w:top w:val="nil"/>
              <w:left w:val="nil"/>
              <w:bottom w:val="single" w:sz="4" w:space="0" w:color="auto"/>
              <w:right w:val="single" w:sz="4" w:space="0" w:color="auto"/>
            </w:tcBorders>
            <w:vAlign w:val="bottom"/>
            <w:hideMark/>
          </w:tcPr>
          <w:p w14:paraId="34333AF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$1,624</w:t>
            </w:r>
          </w:p>
        </w:tc>
        <w:tc>
          <w:tcPr>
            <w:tcW w:w="1260" w:type="dxa"/>
            <w:tcBorders>
              <w:top w:val="nil"/>
              <w:left w:val="nil"/>
              <w:bottom w:val="single" w:sz="4" w:space="0" w:color="auto"/>
              <w:right w:val="single" w:sz="4" w:space="0" w:color="auto"/>
            </w:tcBorders>
            <w:vAlign w:val="bottom"/>
            <w:hideMark/>
          </w:tcPr>
          <w:p w14:paraId="2C6B08A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$1,670</w:t>
            </w:r>
          </w:p>
        </w:tc>
        <w:tc>
          <w:tcPr>
            <w:tcW w:w="1080" w:type="dxa"/>
            <w:tcBorders>
              <w:top w:val="nil"/>
              <w:left w:val="nil"/>
              <w:bottom w:val="single" w:sz="4" w:space="0" w:color="auto"/>
              <w:right w:val="single" w:sz="4" w:space="0" w:color="auto"/>
            </w:tcBorders>
            <w:vAlign w:val="bottom"/>
            <w:hideMark/>
          </w:tcPr>
          <w:p w14:paraId="2136C09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C87FC6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$1,670</w:t>
            </w:r>
          </w:p>
        </w:tc>
        <w:tc>
          <w:tcPr>
            <w:tcW w:w="1170" w:type="dxa"/>
            <w:tcBorders>
              <w:top w:val="nil"/>
              <w:left w:val="nil"/>
              <w:bottom w:val="single" w:sz="4" w:space="0" w:color="auto"/>
              <w:right w:val="single" w:sz="4" w:space="0" w:color="auto"/>
            </w:tcBorders>
            <w:vAlign w:val="bottom"/>
            <w:hideMark/>
          </w:tcPr>
          <w:p w14:paraId="17EA220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102.81%</w:t>
            </w:r>
          </w:p>
        </w:tc>
        <w:tc>
          <w:tcPr>
            <w:tcW w:w="1260" w:type="dxa"/>
            <w:tcBorders>
              <w:top w:val="nil"/>
              <w:left w:val="nil"/>
              <w:bottom w:val="single" w:sz="4" w:space="0" w:color="auto"/>
              <w:right w:val="single" w:sz="4" w:space="0" w:color="auto"/>
            </w:tcBorders>
            <w:vAlign w:val="bottom"/>
            <w:hideMark/>
          </w:tcPr>
          <w:p w14:paraId="0C284C0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$46</w:t>
            </w:r>
          </w:p>
        </w:tc>
      </w:tr>
      <w:tr w:rsidR="00433DC8" w:rsidRPr="005217C3" w14:paraId="1AD6F4B5" w14:textId="77777777" w:rsidTr="009050D8">
        <w:trPr>
          <w:trHeight w:val="152"/>
        </w:trPr>
        <w:tc>
          <w:tcPr>
            <w:tcW w:w="630" w:type="dxa"/>
            <w:tcBorders>
              <w:top w:val="nil"/>
              <w:left w:val="single" w:sz="4" w:space="0" w:color="auto"/>
              <w:bottom w:val="single" w:sz="4" w:space="0" w:color="auto"/>
              <w:right w:val="single" w:sz="4" w:space="0" w:color="auto"/>
            </w:tcBorders>
            <w:vAlign w:val="bottom"/>
            <w:hideMark/>
          </w:tcPr>
          <w:p w14:paraId="50B790DF"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ANF</w:t>
            </w:r>
          </w:p>
        </w:tc>
        <w:tc>
          <w:tcPr>
            <w:tcW w:w="630" w:type="dxa"/>
            <w:tcBorders>
              <w:top w:val="nil"/>
              <w:left w:val="nil"/>
              <w:bottom w:val="single" w:sz="4" w:space="0" w:color="auto"/>
              <w:right w:val="single" w:sz="4" w:space="0" w:color="auto"/>
            </w:tcBorders>
            <w:vAlign w:val="bottom"/>
            <w:hideMark/>
          </w:tcPr>
          <w:p w14:paraId="2D3D9CF2"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PER</w:t>
            </w:r>
          </w:p>
        </w:tc>
        <w:tc>
          <w:tcPr>
            <w:tcW w:w="4050" w:type="dxa"/>
            <w:tcBorders>
              <w:top w:val="nil"/>
              <w:left w:val="nil"/>
              <w:bottom w:val="single" w:sz="4" w:space="0" w:color="auto"/>
              <w:right w:val="single" w:sz="4" w:space="0" w:color="auto"/>
            </w:tcBorders>
            <w:vAlign w:val="bottom"/>
            <w:hideMark/>
          </w:tcPr>
          <w:p w14:paraId="2FBABE5E"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PUBLIC EMPLOYEE RETIREMENT ADMINISTRATION</w:t>
            </w:r>
          </w:p>
        </w:tc>
        <w:tc>
          <w:tcPr>
            <w:tcW w:w="1260" w:type="dxa"/>
            <w:tcBorders>
              <w:top w:val="nil"/>
              <w:left w:val="nil"/>
              <w:bottom w:val="single" w:sz="4" w:space="0" w:color="auto"/>
              <w:right w:val="single" w:sz="4" w:space="0" w:color="auto"/>
            </w:tcBorders>
            <w:vAlign w:val="bottom"/>
            <w:hideMark/>
          </w:tcPr>
          <w:p w14:paraId="2A25D67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$500,835</w:t>
            </w:r>
          </w:p>
        </w:tc>
        <w:tc>
          <w:tcPr>
            <w:tcW w:w="1170" w:type="dxa"/>
            <w:tcBorders>
              <w:top w:val="nil"/>
              <w:left w:val="nil"/>
              <w:bottom w:val="single" w:sz="4" w:space="0" w:color="auto"/>
              <w:right w:val="single" w:sz="4" w:space="0" w:color="auto"/>
            </w:tcBorders>
            <w:vAlign w:val="bottom"/>
            <w:hideMark/>
          </w:tcPr>
          <w:p w14:paraId="08A0930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$12,521</w:t>
            </w:r>
          </w:p>
        </w:tc>
        <w:tc>
          <w:tcPr>
            <w:tcW w:w="1260" w:type="dxa"/>
            <w:tcBorders>
              <w:top w:val="nil"/>
              <w:left w:val="nil"/>
              <w:bottom w:val="single" w:sz="4" w:space="0" w:color="auto"/>
              <w:right w:val="single" w:sz="4" w:space="0" w:color="auto"/>
            </w:tcBorders>
            <w:vAlign w:val="bottom"/>
            <w:hideMark/>
          </w:tcPr>
          <w:p w14:paraId="1335558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$22,190</w:t>
            </w:r>
          </w:p>
        </w:tc>
        <w:tc>
          <w:tcPr>
            <w:tcW w:w="1080" w:type="dxa"/>
            <w:tcBorders>
              <w:top w:val="nil"/>
              <w:left w:val="nil"/>
              <w:bottom w:val="single" w:sz="4" w:space="0" w:color="auto"/>
              <w:right w:val="single" w:sz="4" w:space="0" w:color="auto"/>
            </w:tcBorders>
            <w:vAlign w:val="bottom"/>
            <w:hideMark/>
          </w:tcPr>
          <w:p w14:paraId="001FCC2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EE8BEE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$22,190</w:t>
            </w:r>
          </w:p>
        </w:tc>
        <w:tc>
          <w:tcPr>
            <w:tcW w:w="1170" w:type="dxa"/>
            <w:tcBorders>
              <w:top w:val="nil"/>
              <w:left w:val="nil"/>
              <w:bottom w:val="single" w:sz="4" w:space="0" w:color="auto"/>
              <w:right w:val="single" w:sz="4" w:space="0" w:color="auto"/>
            </w:tcBorders>
            <w:vAlign w:val="bottom"/>
            <w:hideMark/>
          </w:tcPr>
          <w:p w14:paraId="21F0749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177.22%</w:t>
            </w:r>
          </w:p>
        </w:tc>
        <w:tc>
          <w:tcPr>
            <w:tcW w:w="1260" w:type="dxa"/>
            <w:tcBorders>
              <w:top w:val="nil"/>
              <w:left w:val="nil"/>
              <w:bottom w:val="single" w:sz="4" w:space="0" w:color="auto"/>
              <w:right w:val="single" w:sz="4" w:space="0" w:color="auto"/>
            </w:tcBorders>
            <w:vAlign w:val="bottom"/>
            <w:hideMark/>
          </w:tcPr>
          <w:p w14:paraId="20B6AB5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$9,669</w:t>
            </w:r>
          </w:p>
        </w:tc>
      </w:tr>
      <w:tr w:rsidR="00433DC8" w:rsidRPr="005217C3" w14:paraId="2CFF837A" w14:textId="77777777" w:rsidTr="009050D8">
        <w:trPr>
          <w:trHeight w:val="170"/>
        </w:trPr>
        <w:tc>
          <w:tcPr>
            <w:tcW w:w="630" w:type="dxa"/>
            <w:tcBorders>
              <w:top w:val="nil"/>
              <w:left w:val="single" w:sz="4" w:space="0" w:color="auto"/>
              <w:bottom w:val="nil"/>
              <w:right w:val="single" w:sz="4" w:space="0" w:color="auto"/>
            </w:tcBorders>
            <w:vAlign w:val="bottom"/>
            <w:hideMark/>
          </w:tcPr>
          <w:p w14:paraId="437672A9"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ANF</w:t>
            </w:r>
          </w:p>
        </w:tc>
        <w:tc>
          <w:tcPr>
            <w:tcW w:w="630" w:type="dxa"/>
            <w:tcBorders>
              <w:top w:val="nil"/>
              <w:left w:val="nil"/>
              <w:bottom w:val="nil"/>
              <w:right w:val="single" w:sz="4" w:space="0" w:color="auto"/>
            </w:tcBorders>
            <w:vAlign w:val="bottom"/>
            <w:hideMark/>
          </w:tcPr>
          <w:p w14:paraId="32198BFF"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TRB</w:t>
            </w:r>
          </w:p>
        </w:tc>
        <w:tc>
          <w:tcPr>
            <w:tcW w:w="4050" w:type="dxa"/>
            <w:tcBorders>
              <w:top w:val="nil"/>
              <w:left w:val="nil"/>
              <w:bottom w:val="nil"/>
              <w:right w:val="single" w:sz="4" w:space="0" w:color="auto"/>
            </w:tcBorders>
            <w:vAlign w:val="bottom"/>
            <w:hideMark/>
          </w:tcPr>
          <w:p w14:paraId="191C7DDF"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TEACHERS RETIREMENT BOARD</w:t>
            </w:r>
          </w:p>
        </w:tc>
        <w:tc>
          <w:tcPr>
            <w:tcW w:w="1260" w:type="dxa"/>
            <w:tcBorders>
              <w:top w:val="nil"/>
              <w:left w:val="nil"/>
              <w:bottom w:val="nil"/>
              <w:right w:val="single" w:sz="4" w:space="0" w:color="auto"/>
            </w:tcBorders>
            <w:vAlign w:val="bottom"/>
            <w:hideMark/>
          </w:tcPr>
          <w:p w14:paraId="75158B6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$2,781,597</w:t>
            </w:r>
          </w:p>
        </w:tc>
        <w:tc>
          <w:tcPr>
            <w:tcW w:w="1170" w:type="dxa"/>
            <w:tcBorders>
              <w:top w:val="nil"/>
              <w:left w:val="nil"/>
              <w:bottom w:val="nil"/>
              <w:right w:val="single" w:sz="4" w:space="0" w:color="auto"/>
            </w:tcBorders>
            <w:vAlign w:val="bottom"/>
            <w:hideMark/>
          </w:tcPr>
          <w:p w14:paraId="5691115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$69,540</w:t>
            </w:r>
          </w:p>
        </w:tc>
        <w:tc>
          <w:tcPr>
            <w:tcW w:w="1260" w:type="dxa"/>
            <w:tcBorders>
              <w:top w:val="nil"/>
              <w:left w:val="nil"/>
              <w:bottom w:val="nil"/>
              <w:right w:val="single" w:sz="4" w:space="0" w:color="auto"/>
            </w:tcBorders>
            <w:vAlign w:val="bottom"/>
            <w:hideMark/>
          </w:tcPr>
          <w:p w14:paraId="1653B97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$332,642</w:t>
            </w:r>
          </w:p>
        </w:tc>
        <w:tc>
          <w:tcPr>
            <w:tcW w:w="1080" w:type="dxa"/>
            <w:tcBorders>
              <w:top w:val="nil"/>
              <w:left w:val="nil"/>
              <w:bottom w:val="nil"/>
              <w:right w:val="single" w:sz="4" w:space="0" w:color="auto"/>
            </w:tcBorders>
            <w:vAlign w:val="bottom"/>
            <w:hideMark/>
          </w:tcPr>
          <w:p w14:paraId="24FF935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7BC3C9B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$332,642</w:t>
            </w:r>
          </w:p>
        </w:tc>
        <w:tc>
          <w:tcPr>
            <w:tcW w:w="1170" w:type="dxa"/>
            <w:tcBorders>
              <w:top w:val="nil"/>
              <w:left w:val="nil"/>
              <w:bottom w:val="nil"/>
              <w:right w:val="single" w:sz="4" w:space="0" w:color="auto"/>
            </w:tcBorders>
            <w:vAlign w:val="bottom"/>
            <w:hideMark/>
          </w:tcPr>
          <w:p w14:paraId="211E674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478.35%</w:t>
            </w:r>
          </w:p>
        </w:tc>
        <w:tc>
          <w:tcPr>
            <w:tcW w:w="1260" w:type="dxa"/>
            <w:tcBorders>
              <w:top w:val="nil"/>
              <w:left w:val="nil"/>
              <w:bottom w:val="nil"/>
              <w:right w:val="single" w:sz="4" w:space="0" w:color="auto"/>
            </w:tcBorders>
            <w:vAlign w:val="bottom"/>
            <w:hideMark/>
          </w:tcPr>
          <w:p w14:paraId="266C8A3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$263,102</w:t>
            </w:r>
          </w:p>
        </w:tc>
      </w:tr>
      <w:tr w:rsidR="00433DC8" w:rsidRPr="005217C3" w14:paraId="7D994769" w14:textId="77777777" w:rsidTr="009050D8">
        <w:trPr>
          <w:trHeight w:val="79"/>
        </w:trPr>
        <w:tc>
          <w:tcPr>
            <w:tcW w:w="5310" w:type="dxa"/>
            <w:gridSpan w:val="3"/>
            <w:tcBorders>
              <w:top w:val="single" w:sz="8" w:space="0" w:color="auto"/>
              <w:left w:val="single" w:sz="8" w:space="0" w:color="auto"/>
              <w:bottom w:val="single" w:sz="8" w:space="0" w:color="auto"/>
              <w:right w:val="single" w:sz="4" w:space="0" w:color="000000"/>
            </w:tcBorders>
            <w:shd w:val="clear" w:color="000000" w:fill="D8E4BC"/>
            <w:vAlign w:val="bottom"/>
            <w:hideMark/>
          </w:tcPr>
          <w:p w14:paraId="61639FD5"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45F79747"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$103,656,895</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46736405"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$2,591,422</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53D0FCDD"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$11,082,144</w:t>
            </w:r>
          </w:p>
        </w:tc>
        <w:tc>
          <w:tcPr>
            <w:tcW w:w="1080" w:type="dxa"/>
            <w:tcBorders>
              <w:top w:val="single" w:sz="8" w:space="0" w:color="auto"/>
              <w:left w:val="nil"/>
              <w:bottom w:val="single" w:sz="8" w:space="0" w:color="auto"/>
              <w:right w:val="single" w:sz="4" w:space="0" w:color="auto"/>
            </w:tcBorders>
            <w:shd w:val="clear" w:color="000000" w:fill="D8E4BC"/>
            <w:vAlign w:val="bottom"/>
            <w:hideMark/>
          </w:tcPr>
          <w:p w14:paraId="13819D74"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6E822595"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$11,082,144</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11E8B90C"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427.65%</w:t>
            </w:r>
          </w:p>
        </w:tc>
        <w:tc>
          <w:tcPr>
            <w:tcW w:w="1260" w:type="dxa"/>
            <w:tcBorders>
              <w:top w:val="single" w:sz="8" w:space="0" w:color="auto"/>
              <w:left w:val="nil"/>
              <w:bottom w:val="single" w:sz="8" w:space="0" w:color="auto"/>
              <w:right w:val="single" w:sz="8" w:space="0" w:color="auto"/>
            </w:tcBorders>
            <w:shd w:val="clear" w:color="000000" w:fill="D8E4BC"/>
            <w:vAlign w:val="bottom"/>
            <w:hideMark/>
          </w:tcPr>
          <w:p w14:paraId="280FB4D6"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$8,490,721</w:t>
            </w:r>
          </w:p>
        </w:tc>
      </w:tr>
      <w:tr w:rsidR="00433DC8" w:rsidRPr="005217C3" w14:paraId="1163FC65" w14:textId="77777777" w:rsidTr="009050D8">
        <w:trPr>
          <w:trHeight w:val="70"/>
        </w:trPr>
        <w:tc>
          <w:tcPr>
            <w:tcW w:w="630" w:type="dxa"/>
            <w:tcBorders>
              <w:top w:val="nil"/>
              <w:left w:val="single" w:sz="4" w:space="0" w:color="auto"/>
              <w:bottom w:val="nil"/>
              <w:right w:val="single" w:sz="4" w:space="0" w:color="auto"/>
            </w:tcBorders>
            <w:vAlign w:val="bottom"/>
            <w:hideMark/>
          </w:tcPr>
          <w:p w14:paraId="7C5586E5"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CAD</w:t>
            </w:r>
          </w:p>
        </w:tc>
        <w:tc>
          <w:tcPr>
            <w:tcW w:w="630" w:type="dxa"/>
            <w:tcBorders>
              <w:top w:val="nil"/>
              <w:left w:val="nil"/>
              <w:bottom w:val="nil"/>
              <w:right w:val="single" w:sz="4" w:space="0" w:color="auto"/>
            </w:tcBorders>
            <w:vAlign w:val="bottom"/>
            <w:hideMark/>
          </w:tcPr>
          <w:p w14:paraId="7824F3DA"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CAD</w:t>
            </w:r>
          </w:p>
        </w:tc>
        <w:tc>
          <w:tcPr>
            <w:tcW w:w="4050" w:type="dxa"/>
            <w:tcBorders>
              <w:top w:val="nil"/>
              <w:left w:val="nil"/>
              <w:bottom w:val="nil"/>
              <w:right w:val="single" w:sz="4" w:space="0" w:color="auto"/>
            </w:tcBorders>
            <w:vAlign w:val="bottom"/>
            <w:hideMark/>
          </w:tcPr>
          <w:p w14:paraId="3CABEB5B"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COMMISSION AGAINST DISCRIMINATION</w:t>
            </w:r>
          </w:p>
        </w:tc>
        <w:tc>
          <w:tcPr>
            <w:tcW w:w="1260" w:type="dxa"/>
            <w:tcBorders>
              <w:top w:val="nil"/>
              <w:left w:val="nil"/>
              <w:bottom w:val="nil"/>
              <w:right w:val="single" w:sz="4" w:space="0" w:color="auto"/>
            </w:tcBorders>
            <w:vAlign w:val="bottom"/>
            <w:hideMark/>
          </w:tcPr>
          <w:p w14:paraId="2A70D0F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$227,692</w:t>
            </w:r>
          </w:p>
        </w:tc>
        <w:tc>
          <w:tcPr>
            <w:tcW w:w="1170" w:type="dxa"/>
            <w:tcBorders>
              <w:top w:val="nil"/>
              <w:left w:val="nil"/>
              <w:bottom w:val="nil"/>
              <w:right w:val="single" w:sz="4" w:space="0" w:color="auto"/>
            </w:tcBorders>
            <w:vAlign w:val="bottom"/>
            <w:hideMark/>
          </w:tcPr>
          <w:p w14:paraId="450D2B1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$5,692</w:t>
            </w:r>
          </w:p>
        </w:tc>
        <w:tc>
          <w:tcPr>
            <w:tcW w:w="1260" w:type="dxa"/>
            <w:tcBorders>
              <w:top w:val="nil"/>
              <w:left w:val="nil"/>
              <w:bottom w:val="nil"/>
              <w:right w:val="single" w:sz="4" w:space="0" w:color="auto"/>
            </w:tcBorders>
            <w:vAlign w:val="bottom"/>
            <w:hideMark/>
          </w:tcPr>
          <w:p w14:paraId="253B9E6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$80,534</w:t>
            </w:r>
          </w:p>
        </w:tc>
        <w:tc>
          <w:tcPr>
            <w:tcW w:w="1080" w:type="dxa"/>
            <w:tcBorders>
              <w:top w:val="nil"/>
              <w:left w:val="nil"/>
              <w:bottom w:val="nil"/>
              <w:right w:val="single" w:sz="4" w:space="0" w:color="auto"/>
            </w:tcBorders>
            <w:vAlign w:val="bottom"/>
            <w:hideMark/>
          </w:tcPr>
          <w:p w14:paraId="7B39797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66F68B9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$80,534</w:t>
            </w:r>
          </w:p>
        </w:tc>
        <w:tc>
          <w:tcPr>
            <w:tcW w:w="1170" w:type="dxa"/>
            <w:tcBorders>
              <w:top w:val="nil"/>
              <w:left w:val="nil"/>
              <w:bottom w:val="nil"/>
              <w:right w:val="single" w:sz="4" w:space="0" w:color="auto"/>
            </w:tcBorders>
            <w:vAlign w:val="bottom"/>
            <w:hideMark/>
          </w:tcPr>
          <w:p w14:paraId="1B5648A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1414.78%</w:t>
            </w:r>
          </w:p>
        </w:tc>
        <w:tc>
          <w:tcPr>
            <w:tcW w:w="1260" w:type="dxa"/>
            <w:tcBorders>
              <w:top w:val="nil"/>
              <w:left w:val="nil"/>
              <w:bottom w:val="nil"/>
              <w:right w:val="single" w:sz="4" w:space="0" w:color="auto"/>
            </w:tcBorders>
            <w:vAlign w:val="bottom"/>
            <w:hideMark/>
          </w:tcPr>
          <w:p w14:paraId="582EAB0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$74,841</w:t>
            </w:r>
          </w:p>
        </w:tc>
      </w:tr>
      <w:tr w:rsidR="00433DC8" w:rsidRPr="005217C3" w14:paraId="077C67BA" w14:textId="77777777" w:rsidTr="009050D8">
        <w:trPr>
          <w:trHeight w:val="88"/>
        </w:trPr>
        <w:tc>
          <w:tcPr>
            <w:tcW w:w="5310" w:type="dxa"/>
            <w:gridSpan w:val="3"/>
            <w:tcBorders>
              <w:top w:val="single" w:sz="8" w:space="0" w:color="auto"/>
              <w:left w:val="single" w:sz="8" w:space="0" w:color="auto"/>
              <w:bottom w:val="single" w:sz="8" w:space="0" w:color="auto"/>
              <w:right w:val="single" w:sz="4" w:space="0" w:color="000000"/>
            </w:tcBorders>
            <w:shd w:val="clear" w:color="000000" w:fill="D8E4BC"/>
            <w:vAlign w:val="bottom"/>
            <w:hideMark/>
          </w:tcPr>
          <w:p w14:paraId="43D661CB"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12727DF1"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$227,692</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4D564E2F"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$5,692</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03022D6E"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$80,534</w:t>
            </w:r>
          </w:p>
        </w:tc>
        <w:tc>
          <w:tcPr>
            <w:tcW w:w="1080" w:type="dxa"/>
            <w:tcBorders>
              <w:top w:val="single" w:sz="8" w:space="0" w:color="auto"/>
              <w:left w:val="nil"/>
              <w:bottom w:val="single" w:sz="8" w:space="0" w:color="auto"/>
              <w:right w:val="single" w:sz="4" w:space="0" w:color="auto"/>
            </w:tcBorders>
            <w:shd w:val="clear" w:color="000000" w:fill="D8E4BC"/>
            <w:vAlign w:val="bottom"/>
            <w:hideMark/>
          </w:tcPr>
          <w:p w14:paraId="05958BF6"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55271C48"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$80,534</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5874E4AA"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1414.78%</w:t>
            </w:r>
          </w:p>
        </w:tc>
        <w:tc>
          <w:tcPr>
            <w:tcW w:w="1260" w:type="dxa"/>
            <w:tcBorders>
              <w:top w:val="single" w:sz="8" w:space="0" w:color="auto"/>
              <w:left w:val="nil"/>
              <w:bottom w:val="single" w:sz="8" w:space="0" w:color="auto"/>
              <w:right w:val="single" w:sz="8" w:space="0" w:color="auto"/>
            </w:tcBorders>
            <w:shd w:val="clear" w:color="000000" w:fill="D8E4BC"/>
            <w:vAlign w:val="bottom"/>
            <w:hideMark/>
          </w:tcPr>
          <w:p w14:paraId="17753B9B"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$74,841</w:t>
            </w:r>
          </w:p>
        </w:tc>
      </w:tr>
      <w:tr w:rsidR="00433DC8" w:rsidRPr="005217C3" w14:paraId="14BE37E1" w14:textId="77777777" w:rsidTr="009050D8">
        <w:trPr>
          <w:trHeight w:val="50"/>
        </w:trPr>
        <w:tc>
          <w:tcPr>
            <w:tcW w:w="630" w:type="dxa"/>
            <w:tcBorders>
              <w:top w:val="nil"/>
              <w:left w:val="single" w:sz="4" w:space="0" w:color="auto"/>
              <w:bottom w:val="nil"/>
              <w:right w:val="single" w:sz="4" w:space="0" w:color="auto"/>
            </w:tcBorders>
            <w:vAlign w:val="bottom"/>
            <w:hideMark/>
          </w:tcPr>
          <w:p w14:paraId="4AA409CF"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CHIA</w:t>
            </w:r>
          </w:p>
        </w:tc>
        <w:tc>
          <w:tcPr>
            <w:tcW w:w="630" w:type="dxa"/>
            <w:tcBorders>
              <w:top w:val="nil"/>
              <w:left w:val="nil"/>
              <w:bottom w:val="nil"/>
              <w:right w:val="single" w:sz="4" w:space="0" w:color="auto"/>
            </w:tcBorders>
            <w:vAlign w:val="bottom"/>
            <w:hideMark/>
          </w:tcPr>
          <w:p w14:paraId="12192FBB"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HCF</w:t>
            </w:r>
          </w:p>
        </w:tc>
        <w:tc>
          <w:tcPr>
            <w:tcW w:w="4050" w:type="dxa"/>
            <w:tcBorders>
              <w:top w:val="nil"/>
              <w:left w:val="nil"/>
              <w:bottom w:val="nil"/>
              <w:right w:val="single" w:sz="4" w:space="0" w:color="auto"/>
            </w:tcBorders>
            <w:vAlign w:val="bottom"/>
            <w:hideMark/>
          </w:tcPr>
          <w:p w14:paraId="6B48D121"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CENTER FOR HEALTH INFORMATION &amp; ANALYSIS</w:t>
            </w:r>
          </w:p>
        </w:tc>
        <w:tc>
          <w:tcPr>
            <w:tcW w:w="1260" w:type="dxa"/>
            <w:tcBorders>
              <w:top w:val="nil"/>
              <w:left w:val="nil"/>
              <w:bottom w:val="nil"/>
              <w:right w:val="single" w:sz="4" w:space="0" w:color="auto"/>
            </w:tcBorders>
            <w:vAlign w:val="bottom"/>
            <w:hideMark/>
          </w:tcPr>
          <w:p w14:paraId="638BC1A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$14,256,492</w:t>
            </w:r>
          </w:p>
        </w:tc>
        <w:tc>
          <w:tcPr>
            <w:tcW w:w="1170" w:type="dxa"/>
            <w:tcBorders>
              <w:top w:val="nil"/>
              <w:left w:val="nil"/>
              <w:bottom w:val="nil"/>
              <w:right w:val="single" w:sz="4" w:space="0" w:color="auto"/>
            </w:tcBorders>
            <w:vAlign w:val="bottom"/>
            <w:hideMark/>
          </w:tcPr>
          <w:p w14:paraId="03919F8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$356,412</w:t>
            </w:r>
          </w:p>
        </w:tc>
        <w:tc>
          <w:tcPr>
            <w:tcW w:w="1260" w:type="dxa"/>
            <w:tcBorders>
              <w:top w:val="nil"/>
              <w:left w:val="nil"/>
              <w:bottom w:val="nil"/>
              <w:right w:val="single" w:sz="4" w:space="0" w:color="auto"/>
            </w:tcBorders>
            <w:vAlign w:val="bottom"/>
            <w:hideMark/>
          </w:tcPr>
          <w:p w14:paraId="04A0DE4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$2,897,105</w:t>
            </w:r>
          </w:p>
        </w:tc>
        <w:tc>
          <w:tcPr>
            <w:tcW w:w="1080" w:type="dxa"/>
            <w:tcBorders>
              <w:top w:val="nil"/>
              <w:left w:val="nil"/>
              <w:bottom w:val="nil"/>
              <w:right w:val="single" w:sz="4" w:space="0" w:color="auto"/>
            </w:tcBorders>
            <w:vAlign w:val="bottom"/>
            <w:hideMark/>
          </w:tcPr>
          <w:p w14:paraId="2A7CD98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12B3158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$2,897,105</w:t>
            </w:r>
          </w:p>
        </w:tc>
        <w:tc>
          <w:tcPr>
            <w:tcW w:w="1170" w:type="dxa"/>
            <w:tcBorders>
              <w:top w:val="nil"/>
              <w:left w:val="nil"/>
              <w:bottom w:val="nil"/>
              <w:right w:val="single" w:sz="4" w:space="0" w:color="auto"/>
            </w:tcBorders>
            <w:vAlign w:val="bottom"/>
            <w:hideMark/>
          </w:tcPr>
          <w:p w14:paraId="7B4D6F9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812.85%</w:t>
            </w:r>
          </w:p>
        </w:tc>
        <w:tc>
          <w:tcPr>
            <w:tcW w:w="1260" w:type="dxa"/>
            <w:tcBorders>
              <w:top w:val="nil"/>
              <w:left w:val="nil"/>
              <w:bottom w:val="nil"/>
              <w:right w:val="single" w:sz="4" w:space="0" w:color="auto"/>
            </w:tcBorders>
            <w:vAlign w:val="bottom"/>
            <w:hideMark/>
          </w:tcPr>
          <w:p w14:paraId="64BF2A1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$2,540,693</w:t>
            </w:r>
          </w:p>
        </w:tc>
      </w:tr>
      <w:tr w:rsidR="00433DC8" w:rsidRPr="005217C3" w14:paraId="00BDEFD4" w14:textId="77777777" w:rsidTr="009050D8">
        <w:trPr>
          <w:trHeight w:val="50"/>
        </w:trPr>
        <w:tc>
          <w:tcPr>
            <w:tcW w:w="5310" w:type="dxa"/>
            <w:gridSpan w:val="3"/>
            <w:tcBorders>
              <w:top w:val="single" w:sz="8" w:space="0" w:color="auto"/>
              <w:left w:val="single" w:sz="8" w:space="0" w:color="auto"/>
              <w:bottom w:val="single" w:sz="8" w:space="0" w:color="auto"/>
              <w:right w:val="single" w:sz="4" w:space="0" w:color="000000"/>
            </w:tcBorders>
            <w:shd w:val="clear" w:color="000000" w:fill="D8E4BC"/>
            <w:vAlign w:val="bottom"/>
            <w:hideMark/>
          </w:tcPr>
          <w:p w14:paraId="60727AD1"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22DE9A17"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$14,256,492</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50CA28FD"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$356,412</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76935A6F"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$2,897,105</w:t>
            </w:r>
          </w:p>
        </w:tc>
        <w:tc>
          <w:tcPr>
            <w:tcW w:w="1080" w:type="dxa"/>
            <w:tcBorders>
              <w:top w:val="single" w:sz="8" w:space="0" w:color="auto"/>
              <w:left w:val="nil"/>
              <w:bottom w:val="single" w:sz="8" w:space="0" w:color="auto"/>
              <w:right w:val="single" w:sz="4" w:space="0" w:color="auto"/>
            </w:tcBorders>
            <w:shd w:val="clear" w:color="000000" w:fill="D8E4BC"/>
            <w:vAlign w:val="bottom"/>
            <w:hideMark/>
          </w:tcPr>
          <w:p w14:paraId="0E013D14"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6090D958"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$2,897,105</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2FEEDDD6"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812.85%</w:t>
            </w:r>
          </w:p>
        </w:tc>
        <w:tc>
          <w:tcPr>
            <w:tcW w:w="1260" w:type="dxa"/>
            <w:tcBorders>
              <w:top w:val="single" w:sz="8" w:space="0" w:color="auto"/>
              <w:left w:val="nil"/>
              <w:bottom w:val="single" w:sz="8" w:space="0" w:color="auto"/>
              <w:right w:val="single" w:sz="8" w:space="0" w:color="auto"/>
            </w:tcBorders>
            <w:shd w:val="clear" w:color="000000" w:fill="D8E4BC"/>
            <w:vAlign w:val="bottom"/>
            <w:hideMark/>
          </w:tcPr>
          <w:p w14:paraId="79C11E8D"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$2,540,693</w:t>
            </w:r>
          </w:p>
        </w:tc>
      </w:tr>
      <w:tr w:rsidR="00433DC8" w:rsidRPr="005217C3" w14:paraId="016E8837" w14:textId="77777777" w:rsidTr="009050D8">
        <w:trPr>
          <w:trHeight w:val="61"/>
        </w:trPr>
        <w:tc>
          <w:tcPr>
            <w:tcW w:w="630" w:type="dxa"/>
            <w:tcBorders>
              <w:top w:val="nil"/>
              <w:left w:val="single" w:sz="4" w:space="0" w:color="auto"/>
              <w:bottom w:val="nil"/>
              <w:right w:val="single" w:sz="4" w:space="0" w:color="auto"/>
            </w:tcBorders>
            <w:vAlign w:val="bottom"/>
            <w:hideMark/>
          </w:tcPr>
          <w:p w14:paraId="11A63B03"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DAC</w:t>
            </w:r>
          </w:p>
        </w:tc>
        <w:tc>
          <w:tcPr>
            <w:tcW w:w="630" w:type="dxa"/>
            <w:tcBorders>
              <w:top w:val="nil"/>
              <w:left w:val="nil"/>
              <w:bottom w:val="nil"/>
              <w:right w:val="single" w:sz="4" w:space="0" w:color="auto"/>
            </w:tcBorders>
            <w:vAlign w:val="bottom"/>
            <w:hideMark/>
          </w:tcPr>
          <w:p w14:paraId="31328EE6"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DAC</w:t>
            </w:r>
          </w:p>
        </w:tc>
        <w:tc>
          <w:tcPr>
            <w:tcW w:w="4050" w:type="dxa"/>
            <w:tcBorders>
              <w:top w:val="nil"/>
              <w:left w:val="nil"/>
              <w:bottom w:val="nil"/>
              <w:right w:val="single" w:sz="4" w:space="0" w:color="auto"/>
            </w:tcBorders>
            <w:vAlign w:val="bottom"/>
            <w:hideMark/>
          </w:tcPr>
          <w:p w14:paraId="7BA0E45B"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DISABLED PERSONS PROTECTION COMMISSION</w:t>
            </w:r>
          </w:p>
        </w:tc>
        <w:tc>
          <w:tcPr>
            <w:tcW w:w="1260" w:type="dxa"/>
            <w:tcBorders>
              <w:top w:val="nil"/>
              <w:left w:val="nil"/>
              <w:bottom w:val="nil"/>
              <w:right w:val="single" w:sz="4" w:space="0" w:color="auto"/>
            </w:tcBorders>
            <w:vAlign w:val="bottom"/>
            <w:hideMark/>
          </w:tcPr>
          <w:p w14:paraId="6665749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$111,224</w:t>
            </w:r>
          </w:p>
        </w:tc>
        <w:tc>
          <w:tcPr>
            <w:tcW w:w="1170" w:type="dxa"/>
            <w:tcBorders>
              <w:top w:val="nil"/>
              <w:left w:val="nil"/>
              <w:bottom w:val="nil"/>
              <w:right w:val="single" w:sz="4" w:space="0" w:color="auto"/>
            </w:tcBorders>
            <w:vAlign w:val="bottom"/>
            <w:hideMark/>
          </w:tcPr>
          <w:p w14:paraId="5D370BA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$2,781</w:t>
            </w:r>
          </w:p>
        </w:tc>
        <w:tc>
          <w:tcPr>
            <w:tcW w:w="1260" w:type="dxa"/>
            <w:tcBorders>
              <w:top w:val="nil"/>
              <w:left w:val="nil"/>
              <w:bottom w:val="nil"/>
              <w:right w:val="single" w:sz="4" w:space="0" w:color="auto"/>
            </w:tcBorders>
            <w:vAlign w:val="bottom"/>
            <w:hideMark/>
          </w:tcPr>
          <w:p w14:paraId="23C6684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$1,375</w:t>
            </w:r>
          </w:p>
        </w:tc>
        <w:tc>
          <w:tcPr>
            <w:tcW w:w="1080" w:type="dxa"/>
            <w:tcBorders>
              <w:top w:val="nil"/>
              <w:left w:val="nil"/>
              <w:bottom w:val="nil"/>
              <w:right w:val="single" w:sz="4" w:space="0" w:color="auto"/>
            </w:tcBorders>
            <w:vAlign w:val="bottom"/>
            <w:hideMark/>
          </w:tcPr>
          <w:p w14:paraId="0D9BFDA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345EEBE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$1,375</w:t>
            </w:r>
          </w:p>
        </w:tc>
        <w:tc>
          <w:tcPr>
            <w:tcW w:w="1170" w:type="dxa"/>
            <w:tcBorders>
              <w:top w:val="nil"/>
              <w:left w:val="nil"/>
              <w:bottom w:val="nil"/>
              <w:right w:val="single" w:sz="4" w:space="0" w:color="auto"/>
            </w:tcBorders>
            <w:vAlign w:val="bottom"/>
            <w:hideMark/>
          </w:tcPr>
          <w:p w14:paraId="388CB68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49.45%</w:t>
            </w:r>
          </w:p>
        </w:tc>
        <w:tc>
          <w:tcPr>
            <w:tcW w:w="1260" w:type="dxa"/>
            <w:tcBorders>
              <w:top w:val="nil"/>
              <w:left w:val="nil"/>
              <w:bottom w:val="nil"/>
              <w:right w:val="single" w:sz="4" w:space="0" w:color="auto"/>
            </w:tcBorders>
            <w:vAlign w:val="bottom"/>
            <w:hideMark/>
          </w:tcPr>
          <w:p w14:paraId="094399C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-$1,406</w:t>
            </w:r>
          </w:p>
        </w:tc>
      </w:tr>
      <w:tr w:rsidR="00433DC8" w:rsidRPr="005217C3" w14:paraId="1DD22339" w14:textId="77777777" w:rsidTr="009050D8">
        <w:trPr>
          <w:trHeight w:val="151"/>
        </w:trPr>
        <w:tc>
          <w:tcPr>
            <w:tcW w:w="5310" w:type="dxa"/>
            <w:gridSpan w:val="3"/>
            <w:tcBorders>
              <w:top w:val="single" w:sz="8" w:space="0" w:color="auto"/>
              <w:left w:val="single" w:sz="8" w:space="0" w:color="auto"/>
              <w:bottom w:val="single" w:sz="8" w:space="0" w:color="auto"/>
              <w:right w:val="single" w:sz="4" w:space="0" w:color="000000"/>
            </w:tcBorders>
            <w:shd w:val="clear" w:color="000000" w:fill="D8E4BC"/>
            <w:vAlign w:val="bottom"/>
            <w:hideMark/>
          </w:tcPr>
          <w:p w14:paraId="086C4634"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3CCDF06A"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$111,224</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438CE857"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$2,781</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0FBA1AE3"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$1,375</w:t>
            </w:r>
          </w:p>
        </w:tc>
        <w:tc>
          <w:tcPr>
            <w:tcW w:w="1080" w:type="dxa"/>
            <w:tcBorders>
              <w:top w:val="single" w:sz="8" w:space="0" w:color="auto"/>
              <w:left w:val="nil"/>
              <w:bottom w:val="single" w:sz="8" w:space="0" w:color="auto"/>
              <w:right w:val="single" w:sz="4" w:space="0" w:color="auto"/>
            </w:tcBorders>
            <w:shd w:val="clear" w:color="000000" w:fill="D8E4BC"/>
            <w:vAlign w:val="bottom"/>
            <w:hideMark/>
          </w:tcPr>
          <w:p w14:paraId="71A642AA"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1258698C"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$1,375</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64D5E803"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49.45%</w:t>
            </w:r>
          </w:p>
        </w:tc>
        <w:tc>
          <w:tcPr>
            <w:tcW w:w="1260" w:type="dxa"/>
            <w:tcBorders>
              <w:top w:val="single" w:sz="8" w:space="0" w:color="auto"/>
              <w:left w:val="nil"/>
              <w:bottom w:val="single" w:sz="8" w:space="0" w:color="auto"/>
              <w:right w:val="single" w:sz="8" w:space="0" w:color="auto"/>
            </w:tcBorders>
            <w:shd w:val="clear" w:color="000000" w:fill="D8E4BC"/>
            <w:vAlign w:val="bottom"/>
            <w:hideMark/>
          </w:tcPr>
          <w:p w14:paraId="7D32B837"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-$1,406</w:t>
            </w:r>
          </w:p>
        </w:tc>
      </w:tr>
      <w:tr w:rsidR="00433DC8" w:rsidRPr="005217C3" w14:paraId="2AD0DA4A" w14:textId="77777777" w:rsidTr="009050D8">
        <w:trPr>
          <w:trHeight w:val="151"/>
        </w:trPr>
        <w:tc>
          <w:tcPr>
            <w:tcW w:w="630" w:type="dxa"/>
            <w:tcBorders>
              <w:top w:val="nil"/>
              <w:left w:val="single" w:sz="4" w:space="0" w:color="auto"/>
              <w:bottom w:val="nil"/>
              <w:right w:val="single" w:sz="4" w:space="0" w:color="auto"/>
            </w:tcBorders>
            <w:vAlign w:val="bottom"/>
            <w:hideMark/>
          </w:tcPr>
          <w:p w14:paraId="219E0452"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DOT</w:t>
            </w:r>
          </w:p>
        </w:tc>
        <w:tc>
          <w:tcPr>
            <w:tcW w:w="630" w:type="dxa"/>
            <w:tcBorders>
              <w:top w:val="nil"/>
              <w:left w:val="nil"/>
              <w:bottom w:val="nil"/>
              <w:right w:val="single" w:sz="4" w:space="0" w:color="auto"/>
            </w:tcBorders>
            <w:vAlign w:val="bottom"/>
            <w:hideMark/>
          </w:tcPr>
          <w:p w14:paraId="4618839F"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DOT</w:t>
            </w:r>
          </w:p>
        </w:tc>
        <w:tc>
          <w:tcPr>
            <w:tcW w:w="4050" w:type="dxa"/>
            <w:tcBorders>
              <w:top w:val="nil"/>
              <w:left w:val="nil"/>
              <w:bottom w:val="nil"/>
              <w:right w:val="single" w:sz="4" w:space="0" w:color="auto"/>
            </w:tcBorders>
            <w:vAlign w:val="bottom"/>
            <w:hideMark/>
          </w:tcPr>
          <w:p w14:paraId="357E4FB1"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MASSACHUSETTS DEPARTMENT OF TRANSPORTATION</w:t>
            </w:r>
          </w:p>
        </w:tc>
        <w:tc>
          <w:tcPr>
            <w:tcW w:w="1260" w:type="dxa"/>
            <w:tcBorders>
              <w:top w:val="nil"/>
              <w:left w:val="nil"/>
              <w:bottom w:val="nil"/>
              <w:right w:val="single" w:sz="4" w:space="0" w:color="auto"/>
            </w:tcBorders>
            <w:vAlign w:val="bottom"/>
            <w:hideMark/>
          </w:tcPr>
          <w:p w14:paraId="49C4067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$184,059,403</w:t>
            </w:r>
          </w:p>
        </w:tc>
        <w:tc>
          <w:tcPr>
            <w:tcW w:w="1170" w:type="dxa"/>
            <w:tcBorders>
              <w:top w:val="nil"/>
              <w:left w:val="nil"/>
              <w:bottom w:val="nil"/>
              <w:right w:val="single" w:sz="4" w:space="0" w:color="auto"/>
            </w:tcBorders>
            <w:vAlign w:val="bottom"/>
            <w:hideMark/>
          </w:tcPr>
          <w:p w14:paraId="0039539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$4,601,485</w:t>
            </w:r>
          </w:p>
        </w:tc>
        <w:tc>
          <w:tcPr>
            <w:tcW w:w="1260" w:type="dxa"/>
            <w:tcBorders>
              <w:top w:val="nil"/>
              <w:left w:val="nil"/>
              <w:bottom w:val="nil"/>
              <w:right w:val="single" w:sz="4" w:space="0" w:color="auto"/>
            </w:tcBorders>
            <w:vAlign w:val="bottom"/>
            <w:hideMark/>
          </w:tcPr>
          <w:p w14:paraId="3249409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$19,138,065</w:t>
            </w:r>
          </w:p>
        </w:tc>
        <w:tc>
          <w:tcPr>
            <w:tcW w:w="1080" w:type="dxa"/>
            <w:tcBorders>
              <w:top w:val="nil"/>
              <w:left w:val="nil"/>
              <w:bottom w:val="nil"/>
              <w:right w:val="single" w:sz="4" w:space="0" w:color="auto"/>
            </w:tcBorders>
            <w:vAlign w:val="bottom"/>
            <w:hideMark/>
          </w:tcPr>
          <w:p w14:paraId="3F40C90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336D4C1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$19,138,065</w:t>
            </w:r>
          </w:p>
        </w:tc>
        <w:tc>
          <w:tcPr>
            <w:tcW w:w="1170" w:type="dxa"/>
            <w:tcBorders>
              <w:top w:val="nil"/>
              <w:left w:val="nil"/>
              <w:bottom w:val="nil"/>
              <w:right w:val="single" w:sz="4" w:space="0" w:color="auto"/>
            </w:tcBorders>
            <w:vAlign w:val="bottom"/>
            <w:hideMark/>
          </w:tcPr>
          <w:p w14:paraId="030DD95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415.91%</w:t>
            </w:r>
          </w:p>
        </w:tc>
        <w:tc>
          <w:tcPr>
            <w:tcW w:w="1260" w:type="dxa"/>
            <w:tcBorders>
              <w:top w:val="nil"/>
              <w:left w:val="nil"/>
              <w:bottom w:val="nil"/>
              <w:right w:val="single" w:sz="4" w:space="0" w:color="auto"/>
            </w:tcBorders>
            <w:vAlign w:val="bottom"/>
            <w:hideMark/>
          </w:tcPr>
          <w:p w14:paraId="4556B7A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$14,536,580</w:t>
            </w:r>
          </w:p>
        </w:tc>
      </w:tr>
      <w:tr w:rsidR="00433DC8" w:rsidRPr="005217C3" w14:paraId="4353ACC9" w14:textId="77777777" w:rsidTr="009050D8">
        <w:trPr>
          <w:trHeight w:val="151"/>
        </w:trPr>
        <w:tc>
          <w:tcPr>
            <w:tcW w:w="5310" w:type="dxa"/>
            <w:gridSpan w:val="3"/>
            <w:tcBorders>
              <w:top w:val="single" w:sz="8" w:space="0" w:color="auto"/>
              <w:left w:val="single" w:sz="8" w:space="0" w:color="auto"/>
              <w:bottom w:val="single" w:sz="8" w:space="0" w:color="auto"/>
              <w:right w:val="single" w:sz="4" w:space="0" w:color="000000"/>
            </w:tcBorders>
            <w:shd w:val="clear" w:color="000000" w:fill="D8E4BC"/>
            <w:vAlign w:val="bottom"/>
            <w:hideMark/>
          </w:tcPr>
          <w:p w14:paraId="29531815"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73CFB73E"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$184,059,403</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02B5A8A8"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$4,601,485</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0E13F480"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$19,138,065</w:t>
            </w:r>
          </w:p>
        </w:tc>
        <w:tc>
          <w:tcPr>
            <w:tcW w:w="1080" w:type="dxa"/>
            <w:tcBorders>
              <w:top w:val="single" w:sz="8" w:space="0" w:color="auto"/>
              <w:left w:val="nil"/>
              <w:bottom w:val="single" w:sz="8" w:space="0" w:color="auto"/>
              <w:right w:val="single" w:sz="4" w:space="0" w:color="auto"/>
            </w:tcBorders>
            <w:shd w:val="clear" w:color="000000" w:fill="D8E4BC"/>
            <w:vAlign w:val="bottom"/>
            <w:hideMark/>
          </w:tcPr>
          <w:p w14:paraId="2E978036"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051E5A75"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$19,138,065</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7880EEE0"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415.91%</w:t>
            </w:r>
          </w:p>
        </w:tc>
        <w:tc>
          <w:tcPr>
            <w:tcW w:w="1260" w:type="dxa"/>
            <w:tcBorders>
              <w:top w:val="single" w:sz="8" w:space="0" w:color="auto"/>
              <w:left w:val="nil"/>
              <w:bottom w:val="single" w:sz="8" w:space="0" w:color="auto"/>
              <w:right w:val="single" w:sz="8" w:space="0" w:color="auto"/>
            </w:tcBorders>
            <w:shd w:val="clear" w:color="000000" w:fill="D8E4BC"/>
            <w:vAlign w:val="bottom"/>
            <w:hideMark/>
          </w:tcPr>
          <w:p w14:paraId="0559064F"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$14,536,580</w:t>
            </w:r>
          </w:p>
        </w:tc>
      </w:tr>
      <w:tr w:rsidR="00433DC8" w:rsidRPr="005217C3" w14:paraId="68C11C8A" w14:textId="77777777" w:rsidTr="009050D8">
        <w:trPr>
          <w:trHeight w:val="151"/>
        </w:trPr>
        <w:tc>
          <w:tcPr>
            <w:tcW w:w="630" w:type="dxa"/>
            <w:tcBorders>
              <w:top w:val="nil"/>
              <w:left w:val="single" w:sz="4" w:space="0" w:color="auto"/>
              <w:bottom w:val="single" w:sz="4" w:space="0" w:color="auto"/>
              <w:right w:val="single" w:sz="4" w:space="0" w:color="auto"/>
            </w:tcBorders>
            <w:vAlign w:val="bottom"/>
            <w:hideMark/>
          </w:tcPr>
          <w:p w14:paraId="7C187BAC"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EDU</w:t>
            </w:r>
          </w:p>
        </w:tc>
        <w:tc>
          <w:tcPr>
            <w:tcW w:w="630" w:type="dxa"/>
            <w:tcBorders>
              <w:top w:val="nil"/>
              <w:left w:val="nil"/>
              <w:bottom w:val="single" w:sz="4" w:space="0" w:color="auto"/>
              <w:right w:val="single" w:sz="4" w:space="0" w:color="auto"/>
            </w:tcBorders>
            <w:vAlign w:val="bottom"/>
            <w:hideMark/>
          </w:tcPr>
          <w:p w14:paraId="524D81D3"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EEC</w:t>
            </w:r>
          </w:p>
        </w:tc>
        <w:tc>
          <w:tcPr>
            <w:tcW w:w="4050" w:type="dxa"/>
            <w:tcBorders>
              <w:top w:val="nil"/>
              <w:left w:val="nil"/>
              <w:bottom w:val="single" w:sz="4" w:space="0" w:color="auto"/>
              <w:right w:val="single" w:sz="4" w:space="0" w:color="auto"/>
            </w:tcBorders>
            <w:vAlign w:val="bottom"/>
            <w:hideMark/>
          </w:tcPr>
          <w:p w14:paraId="027A5DBD"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EARLY EDUCATION &amp; CARE</w:t>
            </w:r>
          </w:p>
        </w:tc>
        <w:tc>
          <w:tcPr>
            <w:tcW w:w="1260" w:type="dxa"/>
            <w:tcBorders>
              <w:top w:val="nil"/>
              <w:left w:val="nil"/>
              <w:bottom w:val="single" w:sz="4" w:space="0" w:color="auto"/>
              <w:right w:val="single" w:sz="4" w:space="0" w:color="auto"/>
            </w:tcBorders>
            <w:vAlign w:val="bottom"/>
            <w:hideMark/>
          </w:tcPr>
          <w:p w14:paraId="2B6AC63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$216,704,151</w:t>
            </w:r>
          </w:p>
        </w:tc>
        <w:tc>
          <w:tcPr>
            <w:tcW w:w="1170" w:type="dxa"/>
            <w:tcBorders>
              <w:top w:val="nil"/>
              <w:left w:val="nil"/>
              <w:bottom w:val="single" w:sz="4" w:space="0" w:color="auto"/>
              <w:right w:val="single" w:sz="4" w:space="0" w:color="auto"/>
            </w:tcBorders>
            <w:vAlign w:val="bottom"/>
            <w:hideMark/>
          </w:tcPr>
          <w:p w14:paraId="3A4332C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$5,417,604</w:t>
            </w:r>
          </w:p>
        </w:tc>
        <w:tc>
          <w:tcPr>
            <w:tcW w:w="1260" w:type="dxa"/>
            <w:tcBorders>
              <w:top w:val="nil"/>
              <w:left w:val="nil"/>
              <w:bottom w:val="single" w:sz="4" w:space="0" w:color="auto"/>
              <w:right w:val="single" w:sz="4" w:space="0" w:color="auto"/>
            </w:tcBorders>
            <w:vAlign w:val="bottom"/>
            <w:hideMark/>
          </w:tcPr>
          <w:p w14:paraId="3EFFE45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$612,631</w:t>
            </w:r>
          </w:p>
        </w:tc>
        <w:tc>
          <w:tcPr>
            <w:tcW w:w="1080" w:type="dxa"/>
            <w:tcBorders>
              <w:top w:val="nil"/>
              <w:left w:val="nil"/>
              <w:bottom w:val="single" w:sz="4" w:space="0" w:color="auto"/>
              <w:right w:val="single" w:sz="4" w:space="0" w:color="auto"/>
            </w:tcBorders>
            <w:vAlign w:val="bottom"/>
            <w:hideMark/>
          </w:tcPr>
          <w:p w14:paraId="79E8CF7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736B5EC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$612,631</w:t>
            </w:r>
          </w:p>
        </w:tc>
        <w:tc>
          <w:tcPr>
            <w:tcW w:w="1170" w:type="dxa"/>
            <w:tcBorders>
              <w:top w:val="nil"/>
              <w:left w:val="nil"/>
              <w:bottom w:val="single" w:sz="4" w:space="0" w:color="auto"/>
              <w:right w:val="single" w:sz="4" w:space="0" w:color="auto"/>
            </w:tcBorders>
            <w:vAlign w:val="bottom"/>
            <w:hideMark/>
          </w:tcPr>
          <w:p w14:paraId="792080D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11.31%</w:t>
            </w:r>
          </w:p>
        </w:tc>
        <w:tc>
          <w:tcPr>
            <w:tcW w:w="1260" w:type="dxa"/>
            <w:tcBorders>
              <w:top w:val="nil"/>
              <w:left w:val="nil"/>
              <w:bottom w:val="single" w:sz="4" w:space="0" w:color="auto"/>
              <w:right w:val="single" w:sz="4" w:space="0" w:color="auto"/>
            </w:tcBorders>
            <w:vAlign w:val="bottom"/>
            <w:hideMark/>
          </w:tcPr>
          <w:p w14:paraId="6EFC868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-$4,804,973</w:t>
            </w:r>
          </w:p>
        </w:tc>
      </w:tr>
      <w:tr w:rsidR="00433DC8" w:rsidRPr="005217C3" w14:paraId="4BB6B08E" w14:textId="77777777" w:rsidTr="009050D8">
        <w:trPr>
          <w:trHeight w:val="107"/>
        </w:trPr>
        <w:tc>
          <w:tcPr>
            <w:tcW w:w="630" w:type="dxa"/>
            <w:tcBorders>
              <w:top w:val="nil"/>
              <w:left w:val="single" w:sz="4" w:space="0" w:color="auto"/>
              <w:bottom w:val="single" w:sz="4" w:space="0" w:color="auto"/>
              <w:right w:val="single" w:sz="4" w:space="0" w:color="auto"/>
            </w:tcBorders>
            <w:vAlign w:val="bottom"/>
            <w:hideMark/>
          </w:tcPr>
          <w:p w14:paraId="5370C8F3"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EDU</w:t>
            </w:r>
          </w:p>
        </w:tc>
        <w:tc>
          <w:tcPr>
            <w:tcW w:w="630" w:type="dxa"/>
            <w:tcBorders>
              <w:top w:val="nil"/>
              <w:left w:val="nil"/>
              <w:bottom w:val="single" w:sz="4" w:space="0" w:color="auto"/>
              <w:right w:val="single" w:sz="4" w:space="0" w:color="auto"/>
            </w:tcBorders>
            <w:vAlign w:val="bottom"/>
            <w:hideMark/>
          </w:tcPr>
          <w:p w14:paraId="28DA04EB"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DOE</w:t>
            </w:r>
          </w:p>
        </w:tc>
        <w:tc>
          <w:tcPr>
            <w:tcW w:w="4050" w:type="dxa"/>
            <w:tcBorders>
              <w:top w:val="nil"/>
              <w:left w:val="nil"/>
              <w:bottom w:val="single" w:sz="4" w:space="0" w:color="auto"/>
              <w:right w:val="single" w:sz="4" w:space="0" w:color="auto"/>
            </w:tcBorders>
            <w:vAlign w:val="bottom"/>
            <w:hideMark/>
          </w:tcPr>
          <w:p w14:paraId="4EFB81C3"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ELEMENTARY &amp; SECONDARY EDUCATION</w:t>
            </w:r>
          </w:p>
        </w:tc>
        <w:tc>
          <w:tcPr>
            <w:tcW w:w="1260" w:type="dxa"/>
            <w:tcBorders>
              <w:top w:val="nil"/>
              <w:left w:val="nil"/>
              <w:bottom w:val="single" w:sz="4" w:space="0" w:color="auto"/>
              <w:right w:val="single" w:sz="4" w:space="0" w:color="auto"/>
            </w:tcBorders>
            <w:vAlign w:val="bottom"/>
            <w:hideMark/>
          </w:tcPr>
          <w:p w14:paraId="21AE003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$30,084,499</w:t>
            </w:r>
          </w:p>
        </w:tc>
        <w:tc>
          <w:tcPr>
            <w:tcW w:w="1170" w:type="dxa"/>
            <w:tcBorders>
              <w:top w:val="nil"/>
              <w:left w:val="nil"/>
              <w:bottom w:val="single" w:sz="4" w:space="0" w:color="auto"/>
              <w:right w:val="single" w:sz="4" w:space="0" w:color="auto"/>
            </w:tcBorders>
            <w:vAlign w:val="bottom"/>
            <w:hideMark/>
          </w:tcPr>
          <w:p w14:paraId="2B4BFB4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$752,112</w:t>
            </w:r>
          </w:p>
        </w:tc>
        <w:tc>
          <w:tcPr>
            <w:tcW w:w="1260" w:type="dxa"/>
            <w:tcBorders>
              <w:top w:val="nil"/>
              <w:left w:val="nil"/>
              <w:bottom w:val="single" w:sz="4" w:space="0" w:color="auto"/>
              <w:right w:val="single" w:sz="4" w:space="0" w:color="auto"/>
            </w:tcBorders>
            <w:vAlign w:val="bottom"/>
            <w:hideMark/>
          </w:tcPr>
          <w:p w14:paraId="1CF49C5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$817,485</w:t>
            </w:r>
          </w:p>
        </w:tc>
        <w:tc>
          <w:tcPr>
            <w:tcW w:w="1080" w:type="dxa"/>
            <w:tcBorders>
              <w:top w:val="nil"/>
              <w:left w:val="nil"/>
              <w:bottom w:val="single" w:sz="4" w:space="0" w:color="auto"/>
              <w:right w:val="single" w:sz="4" w:space="0" w:color="auto"/>
            </w:tcBorders>
            <w:vAlign w:val="bottom"/>
            <w:hideMark/>
          </w:tcPr>
          <w:p w14:paraId="6F1E16C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705DEA4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$817,485</w:t>
            </w:r>
          </w:p>
        </w:tc>
        <w:tc>
          <w:tcPr>
            <w:tcW w:w="1170" w:type="dxa"/>
            <w:tcBorders>
              <w:top w:val="nil"/>
              <w:left w:val="nil"/>
              <w:bottom w:val="single" w:sz="4" w:space="0" w:color="auto"/>
              <w:right w:val="single" w:sz="4" w:space="0" w:color="auto"/>
            </w:tcBorders>
            <w:vAlign w:val="bottom"/>
            <w:hideMark/>
          </w:tcPr>
          <w:p w14:paraId="5DF2636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108.69%</w:t>
            </w:r>
          </w:p>
        </w:tc>
        <w:tc>
          <w:tcPr>
            <w:tcW w:w="1260" w:type="dxa"/>
            <w:tcBorders>
              <w:top w:val="nil"/>
              <w:left w:val="nil"/>
              <w:bottom w:val="single" w:sz="4" w:space="0" w:color="auto"/>
              <w:right w:val="single" w:sz="4" w:space="0" w:color="auto"/>
            </w:tcBorders>
            <w:vAlign w:val="bottom"/>
            <w:hideMark/>
          </w:tcPr>
          <w:p w14:paraId="36DCB27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$65,373</w:t>
            </w:r>
          </w:p>
        </w:tc>
      </w:tr>
      <w:tr w:rsidR="00433DC8" w:rsidRPr="005217C3" w14:paraId="5B08466A" w14:textId="77777777" w:rsidTr="009050D8">
        <w:trPr>
          <w:trHeight w:val="134"/>
        </w:trPr>
        <w:tc>
          <w:tcPr>
            <w:tcW w:w="630" w:type="dxa"/>
            <w:tcBorders>
              <w:top w:val="nil"/>
              <w:left w:val="single" w:sz="4" w:space="0" w:color="auto"/>
              <w:bottom w:val="single" w:sz="4" w:space="0" w:color="auto"/>
              <w:right w:val="single" w:sz="4" w:space="0" w:color="auto"/>
            </w:tcBorders>
            <w:vAlign w:val="bottom"/>
            <w:hideMark/>
          </w:tcPr>
          <w:p w14:paraId="3AA01C11"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EDU</w:t>
            </w:r>
          </w:p>
        </w:tc>
        <w:tc>
          <w:tcPr>
            <w:tcW w:w="630" w:type="dxa"/>
            <w:tcBorders>
              <w:top w:val="nil"/>
              <w:left w:val="nil"/>
              <w:bottom w:val="single" w:sz="4" w:space="0" w:color="auto"/>
              <w:right w:val="single" w:sz="4" w:space="0" w:color="auto"/>
            </w:tcBorders>
            <w:vAlign w:val="bottom"/>
            <w:hideMark/>
          </w:tcPr>
          <w:p w14:paraId="2B6181E8"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RGT</w:t>
            </w:r>
          </w:p>
        </w:tc>
        <w:tc>
          <w:tcPr>
            <w:tcW w:w="4050" w:type="dxa"/>
            <w:tcBorders>
              <w:top w:val="nil"/>
              <w:left w:val="nil"/>
              <w:bottom w:val="single" w:sz="4" w:space="0" w:color="auto"/>
              <w:right w:val="single" w:sz="4" w:space="0" w:color="auto"/>
            </w:tcBorders>
            <w:vAlign w:val="bottom"/>
            <w:hideMark/>
          </w:tcPr>
          <w:p w14:paraId="56C170EE"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HIGHER EDUCATION</w:t>
            </w:r>
          </w:p>
        </w:tc>
        <w:tc>
          <w:tcPr>
            <w:tcW w:w="1260" w:type="dxa"/>
            <w:tcBorders>
              <w:top w:val="nil"/>
              <w:left w:val="nil"/>
              <w:bottom w:val="single" w:sz="4" w:space="0" w:color="auto"/>
              <w:right w:val="single" w:sz="4" w:space="0" w:color="auto"/>
            </w:tcBorders>
            <w:vAlign w:val="bottom"/>
            <w:hideMark/>
          </w:tcPr>
          <w:p w14:paraId="5616378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$901,011</w:t>
            </w:r>
          </w:p>
        </w:tc>
        <w:tc>
          <w:tcPr>
            <w:tcW w:w="1170" w:type="dxa"/>
            <w:tcBorders>
              <w:top w:val="nil"/>
              <w:left w:val="nil"/>
              <w:bottom w:val="single" w:sz="4" w:space="0" w:color="auto"/>
              <w:right w:val="single" w:sz="4" w:space="0" w:color="auto"/>
            </w:tcBorders>
            <w:vAlign w:val="bottom"/>
            <w:hideMark/>
          </w:tcPr>
          <w:p w14:paraId="2D5CDA1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$22,525</w:t>
            </w:r>
          </w:p>
        </w:tc>
        <w:tc>
          <w:tcPr>
            <w:tcW w:w="1260" w:type="dxa"/>
            <w:tcBorders>
              <w:top w:val="nil"/>
              <w:left w:val="nil"/>
              <w:bottom w:val="single" w:sz="4" w:space="0" w:color="auto"/>
              <w:right w:val="single" w:sz="4" w:space="0" w:color="auto"/>
            </w:tcBorders>
            <w:vAlign w:val="bottom"/>
            <w:hideMark/>
          </w:tcPr>
          <w:p w14:paraId="5E273FA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$86,995</w:t>
            </w:r>
          </w:p>
        </w:tc>
        <w:tc>
          <w:tcPr>
            <w:tcW w:w="1080" w:type="dxa"/>
            <w:tcBorders>
              <w:top w:val="nil"/>
              <w:left w:val="nil"/>
              <w:bottom w:val="single" w:sz="4" w:space="0" w:color="auto"/>
              <w:right w:val="single" w:sz="4" w:space="0" w:color="auto"/>
            </w:tcBorders>
            <w:vAlign w:val="bottom"/>
            <w:hideMark/>
          </w:tcPr>
          <w:p w14:paraId="22C0E1D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CA4296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$86,995</w:t>
            </w:r>
          </w:p>
        </w:tc>
        <w:tc>
          <w:tcPr>
            <w:tcW w:w="1170" w:type="dxa"/>
            <w:tcBorders>
              <w:top w:val="nil"/>
              <w:left w:val="nil"/>
              <w:bottom w:val="single" w:sz="4" w:space="0" w:color="auto"/>
              <w:right w:val="single" w:sz="4" w:space="0" w:color="auto"/>
            </w:tcBorders>
            <w:vAlign w:val="bottom"/>
            <w:hideMark/>
          </w:tcPr>
          <w:p w14:paraId="20D6294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386.21%</w:t>
            </w:r>
          </w:p>
        </w:tc>
        <w:tc>
          <w:tcPr>
            <w:tcW w:w="1260" w:type="dxa"/>
            <w:tcBorders>
              <w:top w:val="nil"/>
              <w:left w:val="nil"/>
              <w:bottom w:val="single" w:sz="4" w:space="0" w:color="auto"/>
              <w:right w:val="single" w:sz="4" w:space="0" w:color="auto"/>
            </w:tcBorders>
            <w:vAlign w:val="bottom"/>
            <w:hideMark/>
          </w:tcPr>
          <w:p w14:paraId="52F9FA6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$64,470</w:t>
            </w:r>
          </w:p>
        </w:tc>
      </w:tr>
      <w:tr w:rsidR="00433DC8" w:rsidRPr="005217C3" w14:paraId="6D7840F0" w14:textId="77777777" w:rsidTr="009050D8">
        <w:trPr>
          <w:trHeight w:val="152"/>
        </w:trPr>
        <w:tc>
          <w:tcPr>
            <w:tcW w:w="630" w:type="dxa"/>
            <w:tcBorders>
              <w:top w:val="nil"/>
              <w:left w:val="single" w:sz="4" w:space="0" w:color="auto"/>
              <w:bottom w:val="nil"/>
              <w:right w:val="single" w:sz="4" w:space="0" w:color="auto"/>
            </w:tcBorders>
            <w:vAlign w:val="bottom"/>
            <w:hideMark/>
          </w:tcPr>
          <w:p w14:paraId="67823A28"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EDU</w:t>
            </w:r>
          </w:p>
        </w:tc>
        <w:tc>
          <w:tcPr>
            <w:tcW w:w="630" w:type="dxa"/>
            <w:tcBorders>
              <w:top w:val="nil"/>
              <w:left w:val="nil"/>
              <w:bottom w:val="nil"/>
              <w:right w:val="single" w:sz="4" w:space="0" w:color="auto"/>
            </w:tcBorders>
            <w:vAlign w:val="bottom"/>
            <w:hideMark/>
          </w:tcPr>
          <w:p w14:paraId="09FDEEB8"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EDU</w:t>
            </w:r>
          </w:p>
        </w:tc>
        <w:tc>
          <w:tcPr>
            <w:tcW w:w="4050" w:type="dxa"/>
            <w:tcBorders>
              <w:top w:val="nil"/>
              <w:left w:val="nil"/>
              <w:bottom w:val="nil"/>
              <w:right w:val="single" w:sz="4" w:space="0" w:color="auto"/>
            </w:tcBorders>
            <w:vAlign w:val="bottom"/>
            <w:hideMark/>
          </w:tcPr>
          <w:p w14:paraId="6DBBC8AE"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EXECUTIVE OFFICE OF EDUCATION</w:t>
            </w:r>
          </w:p>
        </w:tc>
        <w:tc>
          <w:tcPr>
            <w:tcW w:w="1260" w:type="dxa"/>
            <w:tcBorders>
              <w:top w:val="nil"/>
              <w:left w:val="nil"/>
              <w:bottom w:val="nil"/>
              <w:right w:val="single" w:sz="4" w:space="0" w:color="auto"/>
            </w:tcBorders>
            <w:vAlign w:val="bottom"/>
            <w:hideMark/>
          </w:tcPr>
          <w:p w14:paraId="580EB21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$26,713,276</w:t>
            </w:r>
          </w:p>
        </w:tc>
        <w:tc>
          <w:tcPr>
            <w:tcW w:w="1170" w:type="dxa"/>
            <w:tcBorders>
              <w:top w:val="nil"/>
              <w:left w:val="nil"/>
              <w:bottom w:val="nil"/>
              <w:right w:val="single" w:sz="4" w:space="0" w:color="auto"/>
            </w:tcBorders>
            <w:vAlign w:val="bottom"/>
            <w:hideMark/>
          </w:tcPr>
          <w:p w14:paraId="46D4334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$667,832</w:t>
            </w:r>
          </w:p>
        </w:tc>
        <w:tc>
          <w:tcPr>
            <w:tcW w:w="1260" w:type="dxa"/>
            <w:tcBorders>
              <w:top w:val="nil"/>
              <w:left w:val="nil"/>
              <w:bottom w:val="nil"/>
              <w:right w:val="single" w:sz="4" w:space="0" w:color="auto"/>
            </w:tcBorders>
            <w:vAlign w:val="bottom"/>
            <w:hideMark/>
          </w:tcPr>
          <w:p w14:paraId="55C08A8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$3,599,375</w:t>
            </w:r>
          </w:p>
        </w:tc>
        <w:tc>
          <w:tcPr>
            <w:tcW w:w="1080" w:type="dxa"/>
            <w:tcBorders>
              <w:top w:val="nil"/>
              <w:left w:val="nil"/>
              <w:bottom w:val="nil"/>
              <w:right w:val="single" w:sz="4" w:space="0" w:color="auto"/>
            </w:tcBorders>
            <w:vAlign w:val="bottom"/>
            <w:hideMark/>
          </w:tcPr>
          <w:p w14:paraId="568F456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5166F4A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$3,599,375</w:t>
            </w:r>
          </w:p>
        </w:tc>
        <w:tc>
          <w:tcPr>
            <w:tcW w:w="1170" w:type="dxa"/>
            <w:tcBorders>
              <w:top w:val="nil"/>
              <w:left w:val="nil"/>
              <w:bottom w:val="nil"/>
              <w:right w:val="single" w:sz="4" w:space="0" w:color="auto"/>
            </w:tcBorders>
            <w:vAlign w:val="bottom"/>
            <w:hideMark/>
          </w:tcPr>
          <w:p w14:paraId="75C5BD1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538.96%</w:t>
            </w:r>
          </w:p>
        </w:tc>
        <w:tc>
          <w:tcPr>
            <w:tcW w:w="1260" w:type="dxa"/>
            <w:tcBorders>
              <w:top w:val="nil"/>
              <w:left w:val="nil"/>
              <w:bottom w:val="nil"/>
              <w:right w:val="single" w:sz="4" w:space="0" w:color="auto"/>
            </w:tcBorders>
            <w:vAlign w:val="bottom"/>
            <w:hideMark/>
          </w:tcPr>
          <w:p w14:paraId="3DF4A55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$2,931,543</w:t>
            </w:r>
          </w:p>
        </w:tc>
      </w:tr>
      <w:tr w:rsidR="00433DC8" w:rsidRPr="005217C3" w14:paraId="0986AAA9" w14:textId="77777777" w:rsidTr="009050D8">
        <w:trPr>
          <w:trHeight w:val="160"/>
        </w:trPr>
        <w:tc>
          <w:tcPr>
            <w:tcW w:w="5310" w:type="dxa"/>
            <w:gridSpan w:val="3"/>
            <w:tcBorders>
              <w:top w:val="single" w:sz="8" w:space="0" w:color="auto"/>
              <w:left w:val="single" w:sz="8" w:space="0" w:color="auto"/>
              <w:bottom w:val="single" w:sz="8" w:space="0" w:color="auto"/>
              <w:right w:val="single" w:sz="4" w:space="0" w:color="000000"/>
            </w:tcBorders>
            <w:shd w:val="clear" w:color="000000" w:fill="D8E4BC"/>
            <w:vAlign w:val="bottom"/>
            <w:hideMark/>
          </w:tcPr>
          <w:p w14:paraId="39602FD3"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3A177636"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$274,402,937</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311ED72D"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$6,860,073</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07319FDC"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$5,116,486</w:t>
            </w:r>
          </w:p>
        </w:tc>
        <w:tc>
          <w:tcPr>
            <w:tcW w:w="1080" w:type="dxa"/>
            <w:tcBorders>
              <w:top w:val="single" w:sz="8" w:space="0" w:color="auto"/>
              <w:left w:val="nil"/>
              <w:bottom w:val="single" w:sz="8" w:space="0" w:color="auto"/>
              <w:right w:val="single" w:sz="4" w:space="0" w:color="auto"/>
            </w:tcBorders>
            <w:shd w:val="clear" w:color="000000" w:fill="D8E4BC"/>
            <w:vAlign w:val="bottom"/>
            <w:hideMark/>
          </w:tcPr>
          <w:p w14:paraId="15CE6B7A"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2AFDF5C6"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$5,116,486</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6BCA6739"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74.58%</w:t>
            </w:r>
          </w:p>
        </w:tc>
        <w:tc>
          <w:tcPr>
            <w:tcW w:w="1260" w:type="dxa"/>
            <w:tcBorders>
              <w:top w:val="single" w:sz="8" w:space="0" w:color="auto"/>
              <w:left w:val="nil"/>
              <w:bottom w:val="single" w:sz="8" w:space="0" w:color="auto"/>
              <w:right w:val="single" w:sz="8" w:space="0" w:color="auto"/>
            </w:tcBorders>
            <w:shd w:val="clear" w:color="000000" w:fill="D8E4BC"/>
            <w:vAlign w:val="bottom"/>
            <w:hideMark/>
          </w:tcPr>
          <w:p w14:paraId="4EE6DBAF"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-$1,743,587</w:t>
            </w:r>
          </w:p>
        </w:tc>
      </w:tr>
      <w:tr w:rsidR="00433DC8" w:rsidRPr="005217C3" w14:paraId="7FD4BBB9" w14:textId="77777777" w:rsidTr="009050D8">
        <w:trPr>
          <w:trHeight w:val="70"/>
        </w:trPr>
        <w:tc>
          <w:tcPr>
            <w:tcW w:w="630" w:type="dxa"/>
            <w:tcBorders>
              <w:top w:val="nil"/>
              <w:left w:val="single" w:sz="4" w:space="0" w:color="auto"/>
              <w:bottom w:val="single" w:sz="4" w:space="0" w:color="auto"/>
              <w:right w:val="single" w:sz="4" w:space="0" w:color="auto"/>
            </w:tcBorders>
            <w:vAlign w:val="bottom"/>
            <w:hideMark/>
          </w:tcPr>
          <w:p w14:paraId="0E4DBFF5"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EED</w:t>
            </w:r>
          </w:p>
        </w:tc>
        <w:tc>
          <w:tcPr>
            <w:tcW w:w="630" w:type="dxa"/>
            <w:tcBorders>
              <w:top w:val="nil"/>
              <w:left w:val="nil"/>
              <w:bottom w:val="single" w:sz="4" w:space="0" w:color="auto"/>
              <w:right w:val="single" w:sz="4" w:space="0" w:color="auto"/>
            </w:tcBorders>
            <w:vAlign w:val="bottom"/>
            <w:hideMark/>
          </w:tcPr>
          <w:p w14:paraId="57C9D412"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SEA</w:t>
            </w:r>
          </w:p>
        </w:tc>
        <w:tc>
          <w:tcPr>
            <w:tcW w:w="4050" w:type="dxa"/>
            <w:tcBorders>
              <w:top w:val="nil"/>
              <w:left w:val="nil"/>
              <w:bottom w:val="single" w:sz="4" w:space="0" w:color="auto"/>
              <w:right w:val="single" w:sz="4" w:space="0" w:color="auto"/>
            </w:tcBorders>
            <w:vAlign w:val="bottom"/>
            <w:hideMark/>
          </w:tcPr>
          <w:p w14:paraId="74D9ADF9"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BUSINESS AND TECHNOLOGY</w:t>
            </w:r>
          </w:p>
        </w:tc>
        <w:tc>
          <w:tcPr>
            <w:tcW w:w="1260" w:type="dxa"/>
            <w:tcBorders>
              <w:top w:val="nil"/>
              <w:left w:val="nil"/>
              <w:bottom w:val="single" w:sz="4" w:space="0" w:color="auto"/>
              <w:right w:val="single" w:sz="4" w:space="0" w:color="auto"/>
            </w:tcBorders>
            <w:vAlign w:val="bottom"/>
            <w:hideMark/>
          </w:tcPr>
          <w:p w14:paraId="5DF417D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$35,602</w:t>
            </w:r>
          </w:p>
        </w:tc>
        <w:tc>
          <w:tcPr>
            <w:tcW w:w="1170" w:type="dxa"/>
            <w:tcBorders>
              <w:top w:val="nil"/>
              <w:left w:val="nil"/>
              <w:bottom w:val="single" w:sz="4" w:space="0" w:color="auto"/>
              <w:right w:val="single" w:sz="4" w:space="0" w:color="auto"/>
            </w:tcBorders>
            <w:vAlign w:val="bottom"/>
            <w:hideMark/>
          </w:tcPr>
          <w:p w14:paraId="7842E8E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$890</w:t>
            </w:r>
          </w:p>
        </w:tc>
        <w:tc>
          <w:tcPr>
            <w:tcW w:w="1260" w:type="dxa"/>
            <w:tcBorders>
              <w:top w:val="nil"/>
              <w:left w:val="nil"/>
              <w:bottom w:val="single" w:sz="4" w:space="0" w:color="auto"/>
              <w:right w:val="single" w:sz="4" w:space="0" w:color="auto"/>
            </w:tcBorders>
            <w:vAlign w:val="bottom"/>
            <w:hideMark/>
          </w:tcPr>
          <w:p w14:paraId="39EE757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$1,363</w:t>
            </w:r>
          </w:p>
        </w:tc>
        <w:tc>
          <w:tcPr>
            <w:tcW w:w="1080" w:type="dxa"/>
            <w:tcBorders>
              <w:top w:val="nil"/>
              <w:left w:val="nil"/>
              <w:bottom w:val="single" w:sz="4" w:space="0" w:color="auto"/>
              <w:right w:val="single" w:sz="4" w:space="0" w:color="auto"/>
            </w:tcBorders>
            <w:vAlign w:val="bottom"/>
            <w:hideMark/>
          </w:tcPr>
          <w:p w14:paraId="0C1CED8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CD1670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$1,363</w:t>
            </w:r>
          </w:p>
        </w:tc>
        <w:tc>
          <w:tcPr>
            <w:tcW w:w="1170" w:type="dxa"/>
            <w:tcBorders>
              <w:top w:val="nil"/>
              <w:left w:val="nil"/>
              <w:bottom w:val="single" w:sz="4" w:space="0" w:color="auto"/>
              <w:right w:val="single" w:sz="4" w:space="0" w:color="auto"/>
            </w:tcBorders>
            <w:vAlign w:val="bottom"/>
            <w:hideMark/>
          </w:tcPr>
          <w:p w14:paraId="186B461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153.13%</w:t>
            </w:r>
          </w:p>
        </w:tc>
        <w:tc>
          <w:tcPr>
            <w:tcW w:w="1260" w:type="dxa"/>
            <w:tcBorders>
              <w:top w:val="nil"/>
              <w:left w:val="nil"/>
              <w:bottom w:val="single" w:sz="4" w:space="0" w:color="auto"/>
              <w:right w:val="single" w:sz="4" w:space="0" w:color="auto"/>
            </w:tcBorders>
            <w:vAlign w:val="bottom"/>
            <w:hideMark/>
          </w:tcPr>
          <w:p w14:paraId="666D07E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$473</w:t>
            </w:r>
          </w:p>
        </w:tc>
      </w:tr>
      <w:tr w:rsidR="00433DC8" w:rsidRPr="005217C3" w14:paraId="3955D73B"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1F3298C0"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EED</w:t>
            </w:r>
          </w:p>
        </w:tc>
        <w:tc>
          <w:tcPr>
            <w:tcW w:w="630" w:type="dxa"/>
            <w:tcBorders>
              <w:top w:val="nil"/>
              <w:left w:val="nil"/>
              <w:bottom w:val="single" w:sz="4" w:space="0" w:color="auto"/>
              <w:right w:val="single" w:sz="4" w:space="0" w:color="auto"/>
            </w:tcBorders>
            <w:vAlign w:val="bottom"/>
            <w:hideMark/>
          </w:tcPr>
          <w:p w14:paraId="731AD0FE"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OCD</w:t>
            </w:r>
          </w:p>
        </w:tc>
        <w:tc>
          <w:tcPr>
            <w:tcW w:w="4050" w:type="dxa"/>
            <w:tcBorders>
              <w:top w:val="nil"/>
              <w:left w:val="nil"/>
              <w:bottom w:val="single" w:sz="4" w:space="0" w:color="auto"/>
              <w:right w:val="single" w:sz="4" w:space="0" w:color="auto"/>
            </w:tcBorders>
            <w:vAlign w:val="bottom"/>
            <w:hideMark/>
          </w:tcPr>
          <w:p w14:paraId="66D098E8"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HOUSING AND COMMUNITY DEVELOPMENT</w:t>
            </w:r>
          </w:p>
        </w:tc>
        <w:tc>
          <w:tcPr>
            <w:tcW w:w="1260" w:type="dxa"/>
            <w:tcBorders>
              <w:top w:val="nil"/>
              <w:left w:val="nil"/>
              <w:bottom w:val="single" w:sz="4" w:space="0" w:color="auto"/>
              <w:right w:val="single" w:sz="4" w:space="0" w:color="auto"/>
            </w:tcBorders>
            <w:vAlign w:val="bottom"/>
            <w:hideMark/>
          </w:tcPr>
          <w:p w14:paraId="6B86E73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$157,534,825</w:t>
            </w:r>
          </w:p>
        </w:tc>
        <w:tc>
          <w:tcPr>
            <w:tcW w:w="1170" w:type="dxa"/>
            <w:tcBorders>
              <w:top w:val="nil"/>
              <w:left w:val="nil"/>
              <w:bottom w:val="single" w:sz="4" w:space="0" w:color="auto"/>
              <w:right w:val="single" w:sz="4" w:space="0" w:color="auto"/>
            </w:tcBorders>
            <w:vAlign w:val="bottom"/>
            <w:hideMark/>
          </w:tcPr>
          <w:p w14:paraId="3160977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$3,938,371</w:t>
            </w:r>
          </w:p>
        </w:tc>
        <w:tc>
          <w:tcPr>
            <w:tcW w:w="1260" w:type="dxa"/>
            <w:tcBorders>
              <w:top w:val="nil"/>
              <w:left w:val="nil"/>
              <w:bottom w:val="single" w:sz="4" w:space="0" w:color="auto"/>
              <w:right w:val="single" w:sz="4" w:space="0" w:color="auto"/>
            </w:tcBorders>
            <w:vAlign w:val="bottom"/>
            <w:hideMark/>
          </w:tcPr>
          <w:p w14:paraId="619EDD6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$6,383,903</w:t>
            </w:r>
          </w:p>
        </w:tc>
        <w:tc>
          <w:tcPr>
            <w:tcW w:w="1080" w:type="dxa"/>
            <w:tcBorders>
              <w:top w:val="nil"/>
              <w:left w:val="nil"/>
              <w:bottom w:val="single" w:sz="4" w:space="0" w:color="auto"/>
              <w:right w:val="single" w:sz="4" w:space="0" w:color="auto"/>
            </w:tcBorders>
            <w:vAlign w:val="bottom"/>
            <w:hideMark/>
          </w:tcPr>
          <w:p w14:paraId="26A1D02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28BC3AE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$6,383,903</w:t>
            </w:r>
          </w:p>
        </w:tc>
        <w:tc>
          <w:tcPr>
            <w:tcW w:w="1170" w:type="dxa"/>
            <w:tcBorders>
              <w:top w:val="nil"/>
              <w:left w:val="nil"/>
              <w:bottom w:val="single" w:sz="4" w:space="0" w:color="auto"/>
              <w:right w:val="single" w:sz="4" w:space="0" w:color="auto"/>
            </w:tcBorders>
            <w:vAlign w:val="bottom"/>
            <w:hideMark/>
          </w:tcPr>
          <w:p w14:paraId="582D2AC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162.10%</w:t>
            </w:r>
          </w:p>
        </w:tc>
        <w:tc>
          <w:tcPr>
            <w:tcW w:w="1260" w:type="dxa"/>
            <w:tcBorders>
              <w:top w:val="nil"/>
              <w:left w:val="nil"/>
              <w:bottom w:val="single" w:sz="4" w:space="0" w:color="auto"/>
              <w:right w:val="single" w:sz="4" w:space="0" w:color="auto"/>
            </w:tcBorders>
            <w:vAlign w:val="bottom"/>
            <w:hideMark/>
          </w:tcPr>
          <w:p w14:paraId="57CEF33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$2,445,532</w:t>
            </w:r>
          </w:p>
        </w:tc>
      </w:tr>
      <w:tr w:rsidR="00433DC8" w:rsidRPr="005217C3" w14:paraId="20DCDF7A"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2D2EC023"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EED</w:t>
            </w:r>
          </w:p>
        </w:tc>
        <w:tc>
          <w:tcPr>
            <w:tcW w:w="630" w:type="dxa"/>
            <w:tcBorders>
              <w:top w:val="nil"/>
              <w:left w:val="nil"/>
              <w:bottom w:val="single" w:sz="4" w:space="0" w:color="auto"/>
              <w:right w:val="single" w:sz="4" w:space="0" w:color="auto"/>
            </w:tcBorders>
            <w:vAlign w:val="bottom"/>
            <w:hideMark/>
          </w:tcPr>
          <w:p w14:paraId="758DC00D"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TAC</w:t>
            </w:r>
          </w:p>
        </w:tc>
        <w:tc>
          <w:tcPr>
            <w:tcW w:w="4050" w:type="dxa"/>
            <w:tcBorders>
              <w:top w:val="nil"/>
              <w:left w:val="nil"/>
              <w:bottom w:val="single" w:sz="4" w:space="0" w:color="auto"/>
              <w:right w:val="single" w:sz="4" w:space="0" w:color="auto"/>
            </w:tcBorders>
            <w:vAlign w:val="bottom"/>
            <w:hideMark/>
          </w:tcPr>
          <w:p w14:paraId="5A0D9B8C"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TELECOMMUNICATION AND CABLE</w:t>
            </w:r>
          </w:p>
        </w:tc>
        <w:tc>
          <w:tcPr>
            <w:tcW w:w="1260" w:type="dxa"/>
            <w:tcBorders>
              <w:top w:val="nil"/>
              <w:left w:val="nil"/>
              <w:bottom w:val="single" w:sz="4" w:space="0" w:color="auto"/>
              <w:right w:val="single" w:sz="4" w:space="0" w:color="auto"/>
            </w:tcBorders>
            <w:vAlign w:val="bottom"/>
            <w:hideMark/>
          </w:tcPr>
          <w:p w14:paraId="5715283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$215,916</w:t>
            </w:r>
          </w:p>
        </w:tc>
        <w:tc>
          <w:tcPr>
            <w:tcW w:w="1170" w:type="dxa"/>
            <w:tcBorders>
              <w:top w:val="nil"/>
              <w:left w:val="nil"/>
              <w:bottom w:val="single" w:sz="4" w:space="0" w:color="auto"/>
              <w:right w:val="single" w:sz="4" w:space="0" w:color="auto"/>
            </w:tcBorders>
            <w:vAlign w:val="bottom"/>
            <w:hideMark/>
          </w:tcPr>
          <w:p w14:paraId="61B3D3F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$5,398</w:t>
            </w:r>
          </w:p>
        </w:tc>
        <w:tc>
          <w:tcPr>
            <w:tcW w:w="1260" w:type="dxa"/>
            <w:tcBorders>
              <w:top w:val="nil"/>
              <w:left w:val="nil"/>
              <w:bottom w:val="single" w:sz="4" w:space="0" w:color="auto"/>
              <w:right w:val="single" w:sz="4" w:space="0" w:color="auto"/>
            </w:tcBorders>
            <w:vAlign w:val="bottom"/>
            <w:hideMark/>
          </w:tcPr>
          <w:p w14:paraId="4AD68CD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$21,446</w:t>
            </w:r>
          </w:p>
        </w:tc>
        <w:tc>
          <w:tcPr>
            <w:tcW w:w="1080" w:type="dxa"/>
            <w:tcBorders>
              <w:top w:val="nil"/>
              <w:left w:val="nil"/>
              <w:bottom w:val="single" w:sz="4" w:space="0" w:color="auto"/>
              <w:right w:val="single" w:sz="4" w:space="0" w:color="auto"/>
            </w:tcBorders>
            <w:vAlign w:val="bottom"/>
            <w:hideMark/>
          </w:tcPr>
          <w:p w14:paraId="23E6924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F85F2F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$21,446</w:t>
            </w:r>
          </w:p>
        </w:tc>
        <w:tc>
          <w:tcPr>
            <w:tcW w:w="1170" w:type="dxa"/>
            <w:tcBorders>
              <w:top w:val="nil"/>
              <w:left w:val="nil"/>
              <w:bottom w:val="single" w:sz="4" w:space="0" w:color="auto"/>
              <w:right w:val="single" w:sz="4" w:space="0" w:color="auto"/>
            </w:tcBorders>
            <w:vAlign w:val="bottom"/>
            <w:hideMark/>
          </w:tcPr>
          <w:p w14:paraId="30C7241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397.31%</w:t>
            </w:r>
          </w:p>
        </w:tc>
        <w:tc>
          <w:tcPr>
            <w:tcW w:w="1260" w:type="dxa"/>
            <w:tcBorders>
              <w:top w:val="nil"/>
              <w:left w:val="nil"/>
              <w:bottom w:val="single" w:sz="4" w:space="0" w:color="auto"/>
              <w:right w:val="single" w:sz="4" w:space="0" w:color="auto"/>
            </w:tcBorders>
            <w:vAlign w:val="bottom"/>
            <w:hideMark/>
          </w:tcPr>
          <w:p w14:paraId="62C0FDF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$16,048</w:t>
            </w:r>
          </w:p>
        </w:tc>
      </w:tr>
      <w:tr w:rsidR="00433DC8" w:rsidRPr="005217C3" w14:paraId="196555D6" w14:textId="77777777" w:rsidTr="009050D8">
        <w:trPr>
          <w:trHeight w:val="89"/>
        </w:trPr>
        <w:tc>
          <w:tcPr>
            <w:tcW w:w="630" w:type="dxa"/>
            <w:tcBorders>
              <w:top w:val="nil"/>
              <w:left w:val="single" w:sz="4" w:space="0" w:color="auto"/>
              <w:bottom w:val="single" w:sz="4" w:space="0" w:color="auto"/>
              <w:right w:val="single" w:sz="4" w:space="0" w:color="auto"/>
            </w:tcBorders>
            <w:vAlign w:val="bottom"/>
            <w:hideMark/>
          </w:tcPr>
          <w:p w14:paraId="54761BDE"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EED</w:t>
            </w:r>
          </w:p>
        </w:tc>
        <w:tc>
          <w:tcPr>
            <w:tcW w:w="630" w:type="dxa"/>
            <w:tcBorders>
              <w:top w:val="nil"/>
              <w:left w:val="nil"/>
              <w:bottom w:val="single" w:sz="4" w:space="0" w:color="auto"/>
              <w:right w:val="single" w:sz="4" w:space="0" w:color="auto"/>
            </w:tcBorders>
            <w:vAlign w:val="bottom"/>
            <w:hideMark/>
          </w:tcPr>
          <w:p w14:paraId="5217F79A"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DOB</w:t>
            </w:r>
          </w:p>
        </w:tc>
        <w:tc>
          <w:tcPr>
            <w:tcW w:w="4050" w:type="dxa"/>
            <w:tcBorders>
              <w:top w:val="nil"/>
              <w:left w:val="nil"/>
              <w:bottom w:val="single" w:sz="4" w:space="0" w:color="auto"/>
              <w:right w:val="single" w:sz="4" w:space="0" w:color="auto"/>
            </w:tcBorders>
            <w:vAlign w:val="bottom"/>
            <w:hideMark/>
          </w:tcPr>
          <w:p w14:paraId="7C82B49F"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DIVISION OF BANKS</w:t>
            </w:r>
          </w:p>
        </w:tc>
        <w:tc>
          <w:tcPr>
            <w:tcW w:w="1260" w:type="dxa"/>
            <w:tcBorders>
              <w:top w:val="nil"/>
              <w:left w:val="nil"/>
              <w:bottom w:val="single" w:sz="4" w:space="0" w:color="auto"/>
              <w:right w:val="single" w:sz="4" w:space="0" w:color="auto"/>
            </w:tcBorders>
            <w:vAlign w:val="bottom"/>
            <w:hideMark/>
          </w:tcPr>
          <w:p w14:paraId="3D58244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$711,621</w:t>
            </w:r>
          </w:p>
        </w:tc>
        <w:tc>
          <w:tcPr>
            <w:tcW w:w="1170" w:type="dxa"/>
            <w:tcBorders>
              <w:top w:val="nil"/>
              <w:left w:val="nil"/>
              <w:bottom w:val="single" w:sz="4" w:space="0" w:color="auto"/>
              <w:right w:val="single" w:sz="4" w:space="0" w:color="auto"/>
            </w:tcBorders>
            <w:vAlign w:val="bottom"/>
            <w:hideMark/>
          </w:tcPr>
          <w:p w14:paraId="7973D26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$17,791</w:t>
            </w:r>
          </w:p>
        </w:tc>
        <w:tc>
          <w:tcPr>
            <w:tcW w:w="1260" w:type="dxa"/>
            <w:tcBorders>
              <w:top w:val="nil"/>
              <w:left w:val="nil"/>
              <w:bottom w:val="single" w:sz="4" w:space="0" w:color="auto"/>
              <w:right w:val="single" w:sz="4" w:space="0" w:color="auto"/>
            </w:tcBorders>
            <w:vAlign w:val="bottom"/>
            <w:hideMark/>
          </w:tcPr>
          <w:p w14:paraId="6B5C0F9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$98,971</w:t>
            </w:r>
          </w:p>
        </w:tc>
        <w:tc>
          <w:tcPr>
            <w:tcW w:w="1080" w:type="dxa"/>
            <w:tcBorders>
              <w:top w:val="nil"/>
              <w:left w:val="nil"/>
              <w:bottom w:val="single" w:sz="4" w:space="0" w:color="auto"/>
              <w:right w:val="single" w:sz="4" w:space="0" w:color="auto"/>
            </w:tcBorders>
            <w:vAlign w:val="bottom"/>
            <w:hideMark/>
          </w:tcPr>
          <w:p w14:paraId="45CDE63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706DE2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$98,971</w:t>
            </w:r>
          </w:p>
        </w:tc>
        <w:tc>
          <w:tcPr>
            <w:tcW w:w="1170" w:type="dxa"/>
            <w:tcBorders>
              <w:top w:val="nil"/>
              <w:left w:val="nil"/>
              <w:bottom w:val="single" w:sz="4" w:space="0" w:color="auto"/>
              <w:right w:val="single" w:sz="4" w:space="0" w:color="auto"/>
            </w:tcBorders>
            <w:vAlign w:val="bottom"/>
            <w:hideMark/>
          </w:tcPr>
          <w:p w14:paraId="2D841FE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556.31%</w:t>
            </w:r>
          </w:p>
        </w:tc>
        <w:tc>
          <w:tcPr>
            <w:tcW w:w="1260" w:type="dxa"/>
            <w:tcBorders>
              <w:top w:val="nil"/>
              <w:left w:val="nil"/>
              <w:bottom w:val="single" w:sz="4" w:space="0" w:color="auto"/>
              <w:right w:val="single" w:sz="4" w:space="0" w:color="auto"/>
            </w:tcBorders>
            <w:vAlign w:val="bottom"/>
            <w:hideMark/>
          </w:tcPr>
          <w:p w14:paraId="40C9D10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$81,180</w:t>
            </w:r>
          </w:p>
        </w:tc>
      </w:tr>
      <w:tr w:rsidR="00433DC8" w:rsidRPr="005217C3" w14:paraId="6E80CBE0" w14:textId="77777777" w:rsidTr="009050D8">
        <w:trPr>
          <w:trHeight w:val="107"/>
        </w:trPr>
        <w:tc>
          <w:tcPr>
            <w:tcW w:w="630" w:type="dxa"/>
            <w:tcBorders>
              <w:top w:val="nil"/>
              <w:left w:val="single" w:sz="4" w:space="0" w:color="auto"/>
              <w:bottom w:val="single" w:sz="4" w:space="0" w:color="auto"/>
              <w:right w:val="single" w:sz="4" w:space="0" w:color="auto"/>
            </w:tcBorders>
            <w:vAlign w:val="bottom"/>
            <w:hideMark/>
          </w:tcPr>
          <w:p w14:paraId="5F9AA71E"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lastRenderedPageBreak/>
              <w:t>EED</w:t>
            </w:r>
          </w:p>
        </w:tc>
        <w:tc>
          <w:tcPr>
            <w:tcW w:w="630" w:type="dxa"/>
            <w:tcBorders>
              <w:top w:val="nil"/>
              <w:left w:val="nil"/>
              <w:bottom w:val="single" w:sz="4" w:space="0" w:color="auto"/>
              <w:right w:val="single" w:sz="4" w:space="0" w:color="auto"/>
            </w:tcBorders>
            <w:vAlign w:val="bottom"/>
            <w:hideMark/>
          </w:tcPr>
          <w:p w14:paraId="4B0A0277"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DOI</w:t>
            </w:r>
          </w:p>
        </w:tc>
        <w:tc>
          <w:tcPr>
            <w:tcW w:w="4050" w:type="dxa"/>
            <w:tcBorders>
              <w:top w:val="nil"/>
              <w:left w:val="nil"/>
              <w:bottom w:val="single" w:sz="4" w:space="0" w:color="auto"/>
              <w:right w:val="single" w:sz="4" w:space="0" w:color="auto"/>
            </w:tcBorders>
            <w:vAlign w:val="bottom"/>
            <w:hideMark/>
          </w:tcPr>
          <w:p w14:paraId="5A0D5D87"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DIVISION OF INSURANCE</w:t>
            </w:r>
          </w:p>
        </w:tc>
        <w:tc>
          <w:tcPr>
            <w:tcW w:w="1260" w:type="dxa"/>
            <w:tcBorders>
              <w:top w:val="nil"/>
              <w:left w:val="nil"/>
              <w:bottom w:val="single" w:sz="4" w:space="0" w:color="auto"/>
              <w:right w:val="single" w:sz="4" w:space="0" w:color="auto"/>
            </w:tcBorders>
            <w:vAlign w:val="bottom"/>
            <w:hideMark/>
          </w:tcPr>
          <w:p w14:paraId="4DC9FD2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$1,032,010</w:t>
            </w:r>
          </w:p>
        </w:tc>
        <w:tc>
          <w:tcPr>
            <w:tcW w:w="1170" w:type="dxa"/>
            <w:tcBorders>
              <w:top w:val="nil"/>
              <w:left w:val="nil"/>
              <w:bottom w:val="single" w:sz="4" w:space="0" w:color="auto"/>
              <w:right w:val="single" w:sz="4" w:space="0" w:color="auto"/>
            </w:tcBorders>
            <w:vAlign w:val="bottom"/>
            <w:hideMark/>
          </w:tcPr>
          <w:p w14:paraId="5900A2D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$25,800</w:t>
            </w:r>
          </w:p>
        </w:tc>
        <w:tc>
          <w:tcPr>
            <w:tcW w:w="1260" w:type="dxa"/>
            <w:tcBorders>
              <w:top w:val="nil"/>
              <w:left w:val="nil"/>
              <w:bottom w:val="single" w:sz="4" w:space="0" w:color="auto"/>
              <w:right w:val="single" w:sz="4" w:space="0" w:color="auto"/>
            </w:tcBorders>
            <w:vAlign w:val="bottom"/>
            <w:hideMark/>
          </w:tcPr>
          <w:p w14:paraId="087419B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$338,207</w:t>
            </w:r>
          </w:p>
        </w:tc>
        <w:tc>
          <w:tcPr>
            <w:tcW w:w="1080" w:type="dxa"/>
            <w:tcBorders>
              <w:top w:val="nil"/>
              <w:left w:val="nil"/>
              <w:bottom w:val="single" w:sz="4" w:space="0" w:color="auto"/>
              <w:right w:val="single" w:sz="4" w:space="0" w:color="auto"/>
            </w:tcBorders>
            <w:vAlign w:val="bottom"/>
            <w:hideMark/>
          </w:tcPr>
          <w:p w14:paraId="690BC59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3A7331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$338,207</w:t>
            </w:r>
          </w:p>
        </w:tc>
        <w:tc>
          <w:tcPr>
            <w:tcW w:w="1170" w:type="dxa"/>
            <w:tcBorders>
              <w:top w:val="nil"/>
              <w:left w:val="nil"/>
              <w:bottom w:val="single" w:sz="4" w:space="0" w:color="auto"/>
              <w:right w:val="single" w:sz="4" w:space="0" w:color="auto"/>
            </w:tcBorders>
            <w:vAlign w:val="bottom"/>
            <w:hideMark/>
          </w:tcPr>
          <w:p w14:paraId="405F533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1310.87%</w:t>
            </w:r>
          </w:p>
        </w:tc>
        <w:tc>
          <w:tcPr>
            <w:tcW w:w="1260" w:type="dxa"/>
            <w:tcBorders>
              <w:top w:val="nil"/>
              <w:left w:val="nil"/>
              <w:bottom w:val="single" w:sz="4" w:space="0" w:color="auto"/>
              <w:right w:val="single" w:sz="4" w:space="0" w:color="auto"/>
            </w:tcBorders>
            <w:vAlign w:val="bottom"/>
            <w:hideMark/>
          </w:tcPr>
          <w:p w14:paraId="240853B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$312,407</w:t>
            </w:r>
          </w:p>
        </w:tc>
      </w:tr>
      <w:tr w:rsidR="00433DC8" w:rsidRPr="005217C3" w14:paraId="691D22D8" w14:textId="77777777" w:rsidTr="009050D8">
        <w:trPr>
          <w:trHeight w:val="134"/>
        </w:trPr>
        <w:tc>
          <w:tcPr>
            <w:tcW w:w="630" w:type="dxa"/>
            <w:tcBorders>
              <w:top w:val="nil"/>
              <w:left w:val="single" w:sz="4" w:space="0" w:color="auto"/>
              <w:bottom w:val="single" w:sz="4" w:space="0" w:color="auto"/>
              <w:right w:val="single" w:sz="4" w:space="0" w:color="auto"/>
            </w:tcBorders>
            <w:vAlign w:val="bottom"/>
            <w:hideMark/>
          </w:tcPr>
          <w:p w14:paraId="5E1A5140"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EED</w:t>
            </w:r>
          </w:p>
        </w:tc>
        <w:tc>
          <w:tcPr>
            <w:tcW w:w="630" w:type="dxa"/>
            <w:tcBorders>
              <w:top w:val="nil"/>
              <w:left w:val="nil"/>
              <w:bottom w:val="single" w:sz="4" w:space="0" w:color="auto"/>
              <w:right w:val="single" w:sz="4" w:space="0" w:color="auto"/>
            </w:tcBorders>
            <w:vAlign w:val="bottom"/>
            <w:hideMark/>
          </w:tcPr>
          <w:p w14:paraId="32ABEE46"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REG</w:t>
            </w:r>
          </w:p>
        </w:tc>
        <w:tc>
          <w:tcPr>
            <w:tcW w:w="4050" w:type="dxa"/>
            <w:tcBorders>
              <w:top w:val="nil"/>
              <w:left w:val="nil"/>
              <w:bottom w:val="single" w:sz="4" w:space="0" w:color="auto"/>
              <w:right w:val="single" w:sz="4" w:space="0" w:color="auto"/>
            </w:tcBorders>
            <w:vAlign w:val="bottom"/>
            <w:hideMark/>
          </w:tcPr>
          <w:p w14:paraId="08E0CE19"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DIVISION OF PROFESSIONAL LICENSURE</w:t>
            </w:r>
          </w:p>
        </w:tc>
        <w:tc>
          <w:tcPr>
            <w:tcW w:w="1260" w:type="dxa"/>
            <w:tcBorders>
              <w:top w:val="nil"/>
              <w:left w:val="nil"/>
              <w:bottom w:val="single" w:sz="4" w:space="0" w:color="auto"/>
              <w:right w:val="single" w:sz="4" w:space="0" w:color="auto"/>
            </w:tcBorders>
            <w:vAlign w:val="bottom"/>
            <w:hideMark/>
          </w:tcPr>
          <w:p w14:paraId="334F405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$629,969</w:t>
            </w:r>
          </w:p>
        </w:tc>
        <w:tc>
          <w:tcPr>
            <w:tcW w:w="1170" w:type="dxa"/>
            <w:tcBorders>
              <w:top w:val="nil"/>
              <w:left w:val="nil"/>
              <w:bottom w:val="single" w:sz="4" w:space="0" w:color="auto"/>
              <w:right w:val="single" w:sz="4" w:space="0" w:color="auto"/>
            </w:tcBorders>
            <w:vAlign w:val="bottom"/>
            <w:hideMark/>
          </w:tcPr>
          <w:p w14:paraId="026335D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$15,749</w:t>
            </w:r>
          </w:p>
        </w:tc>
        <w:tc>
          <w:tcPr>
            <w:tcW w:w="1260" w:type="dxa"/>
            <w:tcBorders>
              <w:top w:val="nil"/>
              <w:left w:val="nil"/>
              <w:bottom w:val="single" w:sz="4" w:space="0" w:color="auto"/>
              <w:right w:val="single" w:sz="4" w:space="0" w:color="auto"/>
            </w:tcBorders>
            <w:vAlign w:val="bottom"/>
            <w:hideMark/>
          </w:tcPr>
          <w:p w14:paraId="3315982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$357,973</w:t>
            </w:r>
          </w:p>
        </w:tc>
        <w:tc>
          <w:tcPr>
            <w:tcW w:w="1080" w:type="dxa"/>
            <w:tcBorders>
              <w:top w:val="nil"/>
              <w:left w:val="nil"/>
              <w:bottom w:val="single" w:sz="4" w:space="0" w:color="auto"/>
              <w:right w:val="single" w:sz="4" w:space="0" w:color="auto"/>
            </w:tcBorders>
            <w:vAlign w:val="bottom"/>
            <w:hideMark/>
          </w:tcPr>
          <w:p w14:paraId="5E7BE81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283A0D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$357,973</w:t>
            </w:r>
          </w:p>
        </w:tc>
        <w:tc>
          <w:tcPr>
            <w:tcW w:w="1170" w:type="dxa"/>
            <w:tcBorders>
              <w:top w:val="nil"/>
              <w:left w:val="nil"/>
              <w:bottom w:val="single" w:sz="4" w:space="0" w:color="auto"/>
              <w:right w:val="single" w:sz="4" w:space="0" w:color="auto"/>
            </w:tcBorders>
            <w:vAlign w:val="bottom"/>
            <w:hideMark/>
          </w:tcPr>
          <w:p w14:paraId="1EBEDDF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2272.95%</w:t>
            </w:r>
          </w:p>
        </w:tc>
        <w:tc>
          <w:tcPr>
            <w:tcW w:w="1260" w:type="dxa"/>
            <w:tcBorders>
              <w:top w:val="nil"/>
              <w:left w:val="nil"/>
              <w:bottom w:val="single" w:sz="4" w:space="0" w:color="auto"/>
              <w:right w:val="single" w:sz="4" w:space="0" w:color="auto"/>
            </w:tcBorders>
            <w:vAlign w:val="bottom"/>
            <w:hideMark/>
          </w:tcPr>
          <w:p w14:paraId="1B56B9A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$342,223</w:t>
            </w:r>
          </w:p>
        </w:tc>
      </w:tr>
      <w:tr w:rsidR="00433DC8" w:rsidRPr="005217C3" w14:paraId="52FE6EA3" w14:textId="77777777" w:rsidTr="009050D8">
        <w:trPr>
          <w:trHeight w:val="152"/>
        </w:trPr>
        <w:tc>
          <w:tcPr>
            <w:tcW w:w="630" w:type="dxa"/>
            <w:tcBorders>
              <w:top w:val="nil"/>
              <w:left w:val="single" w:sz="4" w:space="0" w:color="auto"/>
              <w:bottom w:val="single" w:sz="4" w:space="0" w:color="auto"/>
              <w:right w:val="single" w:sz="4" w:space="0" w:color="auto"/>
            </w:tcBorders>
            <w:vAlign w:val="bottom"/>
            <w:hideMark/>
          </w:tcPr>
          <w:p w14:paraId="1DCE96E1"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EED</w:t>
            </w:r>
          </w:p>
        </w:tc>
        <w:tc>
          <w:tcPr>
            <w:tcW w:w="630" w:type="dxa"/>
            <w:tcBorders>
              <w:top w:val="nil"/>
              <w:left w:val="nil"/>
              <w:bottom w:val="single" w:sz="4" w:space="0" w:color="auto"/>
              <w:right w:val="single" w:sz="4" w:space="0" w:color="auto"/>
            </w:tcBorders>
            <w:vAlign w:val="bottom"/>
            <w:hideMark/>
          </w:tcPr>
          <w:p w14:paraId="197F0A7C"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DOS</w:t>
            </w:r>
          </w:p>
        </w:tc>
        <w:tc>
          <w:tcPr>
            <w:tcW w:w="4050" w:type="dxa"/>
            <w:tcBorders>
              <w:top w:val="nil"/>
              <w:left w:val="nil"/>
              <w:bottom w:val="single" w:sz="4" w:space="0" w:color="auto"/>
              <w:right w:val="single" w:sz="4" w:space="0" w:color="auto"/>
            </w:tcBorders>
            <w:vAlign w:val="bottom"/>
            <w:hideMark/>
          </w:tcPr>
          <w:p w14:paraId="39C1FB3B"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DIVISION OF STANDARDS</w:t>
            </w:r>
          </w:p>
        </w:tc>
        <w:tc>
          <w:tcPr>
            <w:tcW w:w="1260" w:type="dxa"/>
            <w:tcBorders>
              <w:top w:val="nil"/>
              <w:left w:val="nil"/>
              <w:bottom w:val="single" w:sz="4" w:space="0" w:color="auto"/>
              <w:right w:val="single" w:sz="4" w:space="0" w:color="auto"/>
            </w:tcBorders>
            <w:vAlign w:val="bottom"/>
            <w:hideMark/>
          </w:tcPr>
          <w:p w14:paraId="61CFEB8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$52,436</w:t>
            </w:r>
          </w:p>
        </w:tc>
        <w:tc>
          <w:tcPr>
            <w:tcW w:w="1170" w:type="dxa"/>
            <w:tcBorders>
              <w:top w:val="nil"/>
              <w:left w:val="nil"/>
              <w:bottom w:val="single" w:sz="4" w:space="0" w:color="auto"/>
              <w:right w:val="single" w:sz="4" w:space="0" w:color="auto"/>
            </w:tcBorders>
            <w:vAlign w:val="bottom"/>
            <w:hideMark/>
          </w:tcPr>
          <w:p w14:paraId="008ADBB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$1,311</w:t>
            </w:r>
          </w:p>
        </w:tc>
        <w:tc>
          <w:tcPr>
            <w:tcW w:w="1260" w:type="dxa"/>
            <w:tcBorders>
              <w:top w:val="nil"/>
              <w:left w:val="nil"/>
              <w:bottom w:val="single" w:sz="4" w:space="0" w:color="auto"/>
              <w:right w:val="single" w:sz="4" w:space="0" w:color="auto"/>
            </w:tcBorders>
            <w:vAlign w:val="bottom"/>
            <w:hideMark/>
          </w:tcPr>
          <w:p w14:paraId="6A1B5D6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$32,673</w:t>
            </w:r>
          </w:p>
        </w:tc>
        <w:tc>
          <w:tcPr>
            <w:tcW w:w="1080" w:type="dxa"/>
            <w:tcBorders>
              <w:top w:val="nil"/>
              <w:left w:val="nil"/>
              <w:bottom w:val="single" w:sz="4" w:space="0" w:color="auto"/>
              <w:right w:val="single" w:sz="4" w:space="0" w:color="auto"/>
            </w:tcBorders>
            <w:vAlign w:val="bottom"/>
            <w:hideMark/>
          </w:tcPr>
          <w:p w14:paraId="36DC4B6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C44CEA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$32,673</w:t>
            </w:r>
          </w:p>
        </w:tc>
        <w:tc>
          <w:tcPr>
            <w:tcW w:w="1170" w:type="dxa"/>
            <w:tcBorders>
              <w:top w:val="nil"/>
              <w:left w:val="nil"/>
              <w:bottom w:val="single" w:sz="4" w:space="0" w:color="auto"/>
              <w:right w:val="single" w:sz="4" w:space="0" w:color="auto"/>
            </w:tcBorders>
            <w:vAlign w:val="bottom"/>
            <w:hideMark/>
          </w:tcPr>
          <w:p w14:paraId="36B8FDF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2492.40%</w:t>
            </w:r>
          </w:p>
        </w:tc>
        <w:tc>
          <w:tcPr>
            <w:tcW w:w="1260" w:type="dxa"/>
            <w:tcBorders>
              <w:top w:val="nil"/>
              <w:left w:val="nil"/>
              <w:bottom w:val="single" w:sz="4" w:space="0" w:color="auto"/>
              <w:right w:val="single" w:sz="4" w:space="0" w:color="auto"/>
            </w:tcBorders>
            <w:vAlign w:val="bottom"/>
            <w:hideMark/>
          </w:tcPr>
          <w:p w14:paraId="71F4AF8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$31,362</w:t>
            </w:r>
          </w:p>
        </w:tc>
      </w:tr>
      <w:tr w:rsidR="00433DC8" w:rsidRPr="005217C3" w14:paraId="46A6B7E8" w14:textId="77777777" w:rsidTr="009050D8">
        <w:trPr>
          <w:trHeight w:val="80"/>
        </w:trPr>
        <w:tc>
          <w:tcPr>
            <w:tcW w:w="630" w:type="dxa"/>
            <w:tcBorders>
              <w:top w:val="nil"/>
              <w:left w:val="single" w:sz="4" w:space="0" w:color="auto"/>
              <w:bottom w:val="single" w:sz="4" w:space="0" w:color="auto"/>
              <w:right w:val="single" w:sz="4" w:space="0" w:color="auto"/>
            </w:tcBorders>
            <w:vAlign w:val="bottom"/>
            <w:hideMark/>
          </w:tcPr>
          <w:p w14:paraId="05E73DA8"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EED</w:t>
            </w:r>
          </w:p>
        </w:tc>
        <w:tc>
          <w:tcPr>
            <w:tcW w:w="630" w:type="dxa"/>
            <w:tcBorders>
              <w:top w:val="nil"/>
              <w:left w:val="nil"/>
              <w:bottom w:val="single" w:sz="4" w:space="0" w:color="auto"/>
              <w:right w:val="single" w:sz="4" w:space="0" w:color="auto"/>
            </w:tcBorders>
            <w:vAlign w:val="bottom"/>
            <w:hideMark/>
          </w:tcPr>
          <w:p w14:paraId="133512BA"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EED</w:t>
            </w:r>
          </w:p>
        </w:tc>
        <w:tc>
          <w:tcPr>
            <w:tcW w:w="4050" w:type="dxa"/>
            <w:tcBorders>
              <w:top w:val="nil"/>
              <w:left w:val="nil"/>
              <w:bottom w:val="single" w:sz="4" w:space="0" w:color="auto"/>
              <w:right w:val="single" w:sz="4" w:space="0" w:color="auto"/>
            </w:tcBorders>
            <w:vAlign w:val="bottom"/>
            <w:hideMark/>
          </w:tcPr>
          <w:p w14:paraId="761C21FD"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EXECUTIVE OFFICE OF ECONOMIC DEVELOPMENT</w:t>
            </w:r>
          </w:p>
        </w:tc>
        <w:tc>
          <w:tcPr>
            <w:tcW w:w="1260" w:type="dxa"/>
            <w:tcBorders>
              <w:top w:val="nil"/>
              <w:left w:val="nil"/>
              <w:bottom w:val="single" w:sz="4" w:space="0" w:color="auto"/>
              <w:right w:val="single" w:sz="4" w:space="0" w:color="auto"/>
            </w:tcBorders>
            <w:vAlign w:val="bottom"/>
            <w:hideMark/>
          </w:tcPr>
          <w:p w14:paraId="3050DE7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$507,677</w:t>
            </w:r>
          </w:p>
        </w:tc>
        <w:tc>
          <w:tcPr>
            <w:tcW w:w="1170" w:type="dxa"/>
            <w:tcBorders>
              <w:top w:val="nil"/>
              <w:left w:val="nil"/>
              <w:bottom w:val="single" w:sz="4" w:space="0" w:color="auto"/>
              <w:right w:val="single" w:sz="4" w:space="0" w:color="auto"/>
            </w:tcBorders>
            <w:vAlign w:val="bottom"/>
            <w:hideMark/>
          </w:tcPr>
          <w:p w14:paraId="2974841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$12,692</w:t>
            </w:r>
          </w:p>
        </w:tc>
        <w:tc>
          <w:tcPr>
            <w:tcW w:w="1260" w:type="dxa"/>
            <w:tcBorders>
              <w:top w:val="nil"/>
              <w:left w:val="nil"/>
              <w:bottom w:val="single" w:sz="4" w:space="0" w:color="auto"/>
              <w:right w:val="single" w:sz="4" w:space="0" w:color="auto"/>
            </w:tcBorders>
            <w:vAlign w:val="bottom"/>
            <w:hideMark/>
          </w:tcPr>
          <w:p w14:paraId="75FBDA3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$204,006</w:t>
            </w:r>
          </w:p>
        </w:tc>
        <w:tc>
          <w:tcPr>
            <w:tcW w:w="1080" w:type="dxa"/>
            <w:tcBorders>
              <w:top w:val="nil"/>
              <w:left w:val="nil"/>
              <w:bottom w:val="single" w:sz="4" w:space="0" w:color="auto"/>
              <w:right w:val="single" w:sz="4" w:space="0" w:color="auto"/>
            </w:tcBorders>
            <w:vAlign w:val="bottom"/>
            <w:hideMark/>
          </w:tcPr>
          <w:p w14:paraId="59EF5FD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F3CE90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$204,006</w:t>
            </w:r>
          </w:p>
        </w:tc>
        <w:tc>
          <w:tcPr>
            <w:tcW w:w="1170" w:type="dxa"/>
            <w:tcBorders>
              <w:top w:val="nil"/>
              <w:left w:val="nil"/>
              <w:bottom w:val="single" w:sz="4" w:space="0" w:color="auto"/>
              <w:right w:val="single" w:sz="4" w:space="0" w:color="auto"/>
            </w:tcBorders>
            <w:vAlign w:val="bottom"/>
            <w:hideMark/>
          </w:tcPr>
          <w:p w14:paraId="6EC4087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1607.37%</w:t>
            </w:r>
          </w:p>
        </w:tc>
        <w:tc>
          <w:tcPr>
            <w:tcW w:w="1260" w:type="dxa"/>
            <w:tcBorders>
              <w:top w:val="nil"/>
              <w:left w:val="nil"/>
              <w:bottom w:val="single" w:sz="4" w:space="0" w:color="auto"/>
              <w:right w:val="single" w:sz="4" w:space="0" w:color="auto"/>
            </w:tcBorders>
            <w:vAlign w:val="bottom"/>
            <w:hideMark/>
          </w:tcPr>
          <w:p w14:paraId="7186423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$191,314</w:t>
            </w:r>
          </w:p>
        </w:tc>
      </w:tr>
      <w:tr w:rsidR="00433DC8" w:rsidRPr="005217C3" w14:paraId="137408FD" w14:textId="77777777" w:rsidTr="009050D8">
        <w:trPr>
          <w:trHeight w:val="107"/>
        </w:trPr>
        <w:tc>
          <w:tcPr>
            <w:tcW w:w="630" w:type="dxa"/>
            <w:tcBorders>
              <w:top w:val="nil"/>
              <w:left w:val="single" w:sz="4" w:space="0" w:color="auto"/>
              <w:bottom w:val="single" w:sz="4" w:space="0" w:color="auto"/>
              <w:right w:val="single" w:sz="4" w:space="0" w:color="auto"/>
            </w:tcBorders>
            <w:vAlign w:val="bottom"/>
            <w:hideMark/>
          </w:tcPr>
          <w:p w14:paraId="04EA123B"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EED</w:t>
            </w:r>
          </w:p>
        </w:tc>
        <w:tc>
          <w:tcPr>
            <w:tcW w:w="630" w:type="dxa"/>
            <w:tcBorders>
              <w:top w:val="nil"/>
              <w:left w:val="nil"/>
              <w:bottom w:val="single" w:sz="4" w:space="0" w:color="auto"/>
              <w:right w:val="single" w:sz="4" w:space="0" w:color="auto"/>
            </w:tcBorders>
            <w:vAlign w:val="bottom"/>
            <w:hideMark/>
          </w:tcPr>
          <w:p w14:paraId="22CA17D5"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MMP</w:t>
            </w:r>
          </w:p>
        </w:tc>
        <w:tc>
          <w:tcPr>
            <w:tcW w:w="4050" w:type="dxa"/>
            <w:tcBorders>
              <w:top w:val="nil"/>
              <w:left w:val="nil"/>
              <w:bottom w:val="single" w:sz="4" w:space="0" w:color="auto"/>
              <w:right w:val="single" w:sz="4" w:space="0" w:color="auto"/>
            </w:tcBorders>
            <w:vAlign w:val="bottom"/>
            <w:hideMark/>
          </w:tcPr>
          <w:p w14:paraId="3E011B46"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MASSACHUSETTS MARKETING PARTNERSHIP</w:t>
            </w:r>
          </w:p>
        </w:tc>
        <w:tc>
          <w:tcPr>
            <w:tcW w:w="1260" w:type="dxa"/>
            <w:tcBorders>
              <w:top w:val="nil"/>
              <w:left w:val="nil"/>
              <w:bottom w:val="single" w:sz="4" w:space="0" w:color="auto"/>
              <w:right w:val="single" w:sz="4" w:space="0" w:color="auto"/>
            </w:tcBorders>
            <w:vAlign w:val="bottom"/>
            <w:hideMark/>
          </w:tcPr>
          <w:p w14:paraId="4B801E8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$869,758</w:t>
            </w:r>
          </w:p>
        </w:tc>
        <w:tc>
          <w:tcPr>
            <w:tcW w:w="1170" w:type="dxa"/>
            <w:tcBorders>
              <w:top w:val="nil"/>
              <w:left w:val="nil"/>
              <w:bottom w:val="single" w:sz="4" w:space="0" w:color="auto"/>
              <w:right w:val="single" w:sz="4" w:space="0" w:color="auto"/>
            </w:tcBorders>
            <w:vAlign w:val="bottom"/>
            <w:hideMark/>
          </w:tcPr>
          <w:p w14:paraId="0D20E41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$21,744</w:t>
            </w:r>
          </w:p>
        </w:tc>
        <w:tc>
          <w:tcPr>
            <w:tcW w:w="1260" w:type="dxa"/>
            <w:tcBorders>
              <w:top w:val="nil"/>
              <w:left w:val="nil"/>
              <w:bottom w:val="single" w:sz="4" w:space="0" w:color="auto"/>
              <w:right w:val="single" w:sz="4" w:space="0" w:color="auto"/>
            </w:tcBorders>
            <w:vAlign w:val="bottom"/>
            <w:hideMark/>
          </w:tcPr>
          <w:p w14:paraId="41D9EF5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$6,483,177</w:t>
            </w:r>
          </w:p>
        </w:tc>
        <w:tc>
          <w:tcPr>
            <w:tcW w:w="1080" w:type="dxa"/>
            <w:tcBorders>
              <w:top w:val="nil"/>
              <w:left w:val="nil"/>
              <w:bottom w:val="single" w:sz="4" w:space="0" w:color="auto"/>
              <w:right w:val="single" w:sz="4" w:space="0" w:color="auto"/>
            </w:tcBorders>
            <w:vAlign w:val="bottom"/>
            <w:hideMark/>
          </w:tcPr>
          <w:p w14:paraId="60BE9E1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BC2A90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$6,483,177</w:t>
            </w:r>
          </w:p>
        </w:tc>
        <w:tc>
          <w:tcPr>
            <w:tcW w:w="1170" w:type="dxa"/>
            <w:tcBorders>
              <w:top w:val="nil"/>
              <w:left w:val="nil"/>
              <w:bottom w:val="single" w:sz="4" w:space="0" w:color="auto"/>
              <w:right w:val="single" w:sz="4" w:space="0" w:color="auto"/>
            </w:tcBorders>
            <w:vAlign w:val="bottom"/>
            <w:hideMark/>
          </w:tcPr>
          <w:p w14:paraId="45DB238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29816.01%</w:t>
            </w:r>
          </w:p>
        </w:tc>
        <w:tc>
          <w:tcPr>
            <w:tcW w:w="1260" w:type="dxa"/>
            <w:tcBorders>
              <w:top w:val="nil"/>
              <w:left w:val="nil"/>
              <w:bottom w:val="single" w:sz="4" w:space="0" w:color="auto"/>
              <w:right w:val="single" w:sz="4" w:space="0" w:color="auto"/>
            </w:tcBorders>
            <w:vAlign w:val="bottom"/>
            <w:hideMark/>
          </w:tcPr>
          <w:p w14:paraId="02EE851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$6,461,433</w:t>
            </w:r>
          </w:p>
        </w:tc>
      </w:tr>
      <w:tr w:rsidR="00433DC8" w:rsidRPr="005217C3" w14:paraId="5E9289F8" w14:textId="77777777" w:rsidTr="009050D8">
        <w:trPr>
          <w:trHeight w:val="125"/>
        </w:trPr>
        <w:tc>
          <w:tcPr>
            <w:tcW w:w="630" w:type="dxa"/>
            <w:tcBorders>
              <w:top w:val="nil"/>
              <w:left w:val="single" w:sz="4" w:space="0" w:color="auto"/>
              <w:bottom w:val="nil"/>
              <w:right w:val="single" w:sz="4" w:space="0" w:color="auto"/>
            </w:tcBorders>
            <w:vAlign w:val="bottom"/>
            <w:hideMark/>
          </w:tcPr>
          <w:p w14:paraId="658998A5"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EED</w:t>
            </w:r>
          </w:p>
        </w:tc>
        <w:tc>
          <w:tcPr>
            <w:tcW w:w="630" w:type="dxa"/>
            <w:tcBorders>
              <w:top w:val="nil"/>
              <w:left w:val="nil"/>
              <w:bottom w:val="nil"/>
              <w:right w:val="single" w:sz="4" w:space="0" w:color="auto"/>
            </w:tcBorders>
            <w:vAlign w:val="bottom"/>
            <w:hideMark/>
          </w:tcPr>
          <w:p w14:paraId="6AB1CE67"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SCA</w:t>
            </w:r>
          </w:p>
        </w:tc>
        <w:tc>
          <w:tcPr>
            <w:tcW w:w="4050" w:type="dxa"/>
            <w:tcBorders>
              <w:top w:val="nil"/>
              <w:left w:val="nil"/>
              <w:bottom w:val="nil"/>
              <w:right w:val="single" w:sz="4" w:space="0" w:color="auto"/>
            </w:tcBorders>
            <w:vAlign w:val="bottom"/>
            <w:hideMark/>
          </w:tcPr>
          <w:p w14:paraId="424824CD"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OFFICE OF CONSUMER AFFAIRS AND BUSINESS REGULATION</w:t>
            </w:r>
          </w:p>
        </w:tc>
        <w:tc>
          <w:tcPr>
            <w:tcW w:w="1260" w:type="dxa"/>
            <w:tcBorders>
              <w:top w:val="nil"/>
              <w:left w:val="nil"/>
              <w:bottom w:val="nil"/>
              <w:right w:val="single" w:sz="4" w:space="0" w:color="auto"/>
            </w:tcBorders>
            <w:vAlign w:val="bottom"/>
            <w:hideMark/>
          </w:tcPr>
          <w:p w14:paraId="64B8AF1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$60,998</w:t>
            </w:r>
          </w:p>
        </w:tc>
        <w:tc>
          <w:tcPr>
            <w:tcW w:w="1170" w:type="dxa"/>
            <w:tcBorders>
              <w:top w:val="nil"/>
              <w:left w:val="nil"/>
              <w:bottom w:val="nil"/>
              <w:right w:val="single" w:sz="4" w:space="0" w:color="auto"/>
            </w:tcBorders>
            <w:vAlign w:val="bottom"/>
            <w:hideMark/>
          </w:tcPr>
          <w:p w14:paraId="1C216D9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$1,525</w:t>
            </w:r>
          </w:p>
        </w:tc>
        <w:tc>
          <w:tcPr>
            <w:tcW w:w="1260" w:type="dxa"/>
            <w:tcBorders>
              <w:top w:val="nil"/>
              <w:left w:val="nil"/>
              <w:bottom w:val="nil"/>
              <w:right w:val="single" w:sz="4" w:space="0" w:color="auto"/>
            </w:tcBorders>
            <w:vAlign w:val="bottom"/>
            <w:hideMark/>
          </w:tcPr>
          <w:p w14:paraId="497696E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$63,974</w:t>
            </w:r>
          </w:p>
        </w:tc>
        <w:tc>
          <w:tcPr>
            <w:tcW w:w="1080" w:type="dxa"/>
            <w:tcBorders>
              <w:top w:val="nil"/>
              <w:left w:val="nil"/>
              <w:bottom w:val="nil"/>
              <w:right w:val="single" w:sz="4" w:space="0" w:color="auto"/>
            </w:tcBorders>
            <w:vAlign w:val="bottom"/>
            <w:hideMark/>
          </w:tcPr>
          <w:p w14:paraId="6587A2E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1F80B42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$63,974</w:t>
            </w:r>
          </w:p>
        </w:tc>
        <w:tc>
          <w:tcPr>
            <w:tcW w:w="1170" w:type="dxa"/>
            <w:tcBorders>
              <w:top w:val="nil"/>
              <w:left w:val="nil"/>
              <w:bottom w:val="nil"/>
              <w:right w:val="single" w:sz="4" w:space="0" w:color="auto"/>
            </w:tcBorders>
            <w:vAlign w:val="bottom"/>
            <w:hideMark/>
          </w:tcPr>
          <w:p w14:paraId="278D411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4195.18%</w:t>
            </w:r>
          </w:p>
        </w:tc>
        <w:tc>
          <w:tcPr>
            <w:tcW w:w="1260" w:type="dxa"/>
            <w:tcBorders>
              <w:top w:val="nil"/>
              <w:left w:val="nil"/>
              <w:bottom w:val="nil"/>
              <w:right w:val="single" w:sz="4" w:space="0" w:color="auto"/>
            </w:tcBorders>
            <w:vAlign w:val="bottom"/>
            <w:hideMark/>
          </w:tcPr>
          <w:p w14:paraId="7108182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$62,449</w:t>
            </w:r>
          </w:p>
        </w:tc>
      </w:tr>
      <w:tr w:rsidR="00433DC8" w:rsidRPr="005217C3" w14:paraId="2BCEF7F9" w14:textId="77777777" w:rsidTr="009050D8">
        <w:trPr>
          <w:trHeight w:val="142"/>
        </w:trPr>
        <w:tc>
          <w:tcPr>
            <w:tcW w:w="5310" w:type="dxa"/>
            <w:gridSpan w:val="3"/>
            <w:tcBorders>
              <w:top w:val="single" w:sz="8" w:space="0" w:color="auto"/>
              <w:left w:val="single" w:sz="8" w:space="0" w:color="auto"/>
              <w:bottom w:val="single" w:sz="8" w:space="0" w:color="auto"/>
              <w:right w:val="single" w:sz="4" w:space="0" w:color="000000"/>
            </w:tcBorders>
            <w:shd w:val="clear" w:color="000000" w:fill="D8E4BC"/>
            <w:vAlign w:val="bottom"/>
            <w:hideMark/>
          </w:tcPr>
          <w:p w14:paraId="36C3E329"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13EE5D3C"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$161,650,812</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3A7B8942"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$4,041,270</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304D873D"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$13,985,694</w:t>
            </w:r>
          </w:p>
        </w:tc>
        <w:tc>
          <w:tcPr>
            <w:tcW w:w="1080" w:type="dxa"/>
            <w:tcBorders>
              <w:top w:val="single" w:sz="8" w:space="0" w:color="auto"/>
              <w:left w:val="nil"/>
              <w:bottom w:val="single" w:sz="8" w:space="0" w:color="auto"/>
              <w:right w:val="single" w:sz="4" w:space="0" w:color="auto"/>
            </w:tcBorders>
            <w:shd w:val="clear" w:color="000000" w:fill="D8E4BC"/>
            <w:vAlign w:val="bottom"/>
            <w:hideMark/>
          </w:tcPr>
          <w:p w14:paraId="2949F5F8"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156DF786"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$13,985,694</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36BD8DA5"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346.07%</w:t>
            </w:r>
          </w:p>
        </w:tc>
        <w:tc>
          <w:tcPr>
            <w:tcW w:w="1260" w:type="dxa"/>
            <w:tcBorders>
              <w:top w:val="single" w:sz="8" w:space="0" w:color="auto"/>
              <w:left w:val="nil"/>
              <w:bottom w:val="single" w:sz="8" w:space="0" w:color="auto"/>
              <w:right w:val="single" w:sz="8" w:space="0" w:color="auto"/>
            </w:tcBorders>
            <w:shd w:val="clear" w:color="000000" w:fill="D8E4BC"/>
            <w:vAlign w:val="bottom"/>
            <w:hideMark/>
          </w:tcPr>
          <w:p w14:paraId="20EFD51A"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$9,944,423</w:t>
            </w:r>
          </w:p>
        </w:tc>
      </w:tr>
      <w:tr w:rsidR="00433DC8" w:rsidRPr="005217C3" w14:paraId="0F305E1B" w14:textId="77777777" w:rsidTr="009050D8">
        <w:trPr>
          <w:trHeight w:val="151"/>
        </w:trPr>
        <w:tc>
          <w:tcPr>
            <w:tcW w:w="630" w:type="dxa"/>
            <w:tcBorders>
              <w:top w:val="nil"/>
              <w:left w:val="single" w:sz="4" w:space="0" w:color="auto"/>
              <w:bottom w:val="single" w:sz="4" w:space="0" w:color="auto"/>
              <w:right w:val="single" w:sz="4" w:space="0" w:color="auto"/>
            </w:tcBorders>
            <w:vAlign w:val="bottom"/>
            <w:hideMark/>
          </w:tcPr>
          <w:p w14:paraId="3E0BE7C5"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69C74203"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MCD</w:t>
            </w:r>
          </w:p>
        </w:tc>
        <w:tc>
          <w:tcPr>
            <w:tcW w:w="4050" w:type="dxa"/>
            <w:tcBorders>
              <w:top w:val="nil"/>
              <w:left w:val="nil"/>
              <w:bottom w:val="single" w:sz="4" w:space="0" w:color="auto"/>
              <w:right w:val="single" w:sz="4" w:space="0" w:color="auto"/>
            </w:tcBorders>
            <w:vAlign w:val="bottom"/>
            <w:hideMark/>
          </w:tcPr>
          <w:p w14:paraId="1C3C57F1"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COMMISSION FOR THE DEAF AND HARD OF HEARING</w:t>
            </w:r>
          </w:p>
        </w:tc>
        <w:tc>
          <w:tcPr>
            <w:tcW w:w="1260" w:type="dxa"/>
            <w:tcBorders>
              <w:top w:val="nil"/>
              <w:left w:val="nil"/>
              <w:bottom w:val="single" w:sz="4" w:space="0" w:color="auto"/>
              <w:right w:val="single" w:sz="4" w:space="0" w:color="auto"/>
            </w:tcBorders>
            <w:vAlign w:val="bottom"/>
            <w:hideMark/>
          </w:tcPr>
          <w:p w14:paraId="52066CC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$214,149</w:t>
            </w:r>
          </w:p>
        </w:tc>
        <w:tc>
          <w:tcPr>
            <w:tcW w:w="1170" w:type="dxa"/>
            <w:tcBorders>
              <w:top w:val="nil"/>
              <w:left w:val="nil"/>
              <w:bottom w:val="single" w:sz="4" w:space="0" w:color="auto"/>
              <w:right w:val="single" w:sz="4" w:space="0" w:color="auto"/>
            </w:tcBorders>
            <w:vAlign w:val="bottom"/>
            <w:hideMark/>
          </w:tcPr>
          <w:p w14:paraId="5B87D8E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$5,354</w:t>
            </w:r>
          </w:p>
        </w:tc>
        <w:tc>
          <w:tcPr>
            <w:tcW w:w="1260" w:type="dxa"/>
            <w:tcBorders>
              <w:top w:val="nil"/>
              <w:left w:val="nil"/>
              <w:bottom w:val="single" w:sz="4" w:space="0" w:color="auto"/>
              <w:right w:val="single" w:sz="4" w:space="0" w:color="auto"/>
            </w:tcBorders>
            <w:vAlign w:val="bottom"/>
            <w:hideMark/>
          </w:tcPr>
          <w:p w14:paraId="0599AC4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$20,389</w:t>
            </w:r>
          </w:p>
        </w:tc>
        <w:tc>
          <w:tcPr>
            <w:tcW w:w="1080" w:type="dxa"/>
            <w:tcBorders>
              <w:top w:val="nil"/>
              <w:left w:val="nil"/>
              <w:bottom w:val="single" w:sz="4" w:space="0" w:color="auto"/>
              <w:right w:val="single" w:sz="4" w:space="0" w:color="auto"/>
            </w:tcBorders>
            <w:vAlign w:val="bottom"/>
            <w:hideMark/>
          </w:tcPr>
          <w:p w14:paraId="7372F1C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BB1BB1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$20,389</w:t>
            </w:r>
          </w:p>
        </w:tc>
        <w:tc>
          <w:tcPr>
            <w:tcW w:w="1170" w:type="dxa"/>
            <w:tcBorders>
              <w:top w:val="nil"/>
              <w:left w:val="nil"/>
              <w:bottom w:val="single" w:sz="4" w:space="0" w:color="auto"/>
              <w:right w:val="single" w:sz="4" w:space="0" w:color="auto"/>
            </w:tcBorders>
            <w:vAlign w:val="bottom"/>
            <w:hideMark/>
          </w:tcPr>
          <w:p w14:paraId="0C63B8A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380.83%</w:t>
            </w:r>
          </w:p>
        </w:tc>
        <w:tc>
          <w:tcPr>
            <w:tcW w:w="1260" w:type="dxa"/>
            <w:tcBorders>
              <w:top w:val="nil"/>
              <w:left w:val="nil"/>
              <w:bottom w:val="single" w:sz="4" w:space="0" w:color="auto"/>
              <w:right w:val="single" w:sz="4" w:space="0" w:color="auto"/>
            </w:tcBorders>
            <w:vAlign w:val="bottom"/>
            <w:hideMark/>
          </w:tcPr>
          <w:p w14:paraId="68AEA65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$15,035</w:t>
            </w:r>
          </w:p>
        </w:tc>
      </w:tr>
      <w:tr w:rsidR="00433DC8" w:rsidRPr="005217C3" w14:paraId="5A8DFD1A"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4D96E702"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31291038"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DSS</w:t>
            </w:r>
          </w:p>
        </w:tc>
        <w:tc>
          <w:tcPr>
            <w:tcW w:w="4050" w:type="dxa"/>
            <w:tcBorders>
              <w:top w:val="nil"/>
              <w:left w:val="nil"/>
              <w:bottom w:val="single" w:sz="4" w:space="0" w:color="auto"/>
              <w:right w:val="single" w:sz="4" w:space="0" w:color="auto"/>
            </w:tcBorders>
            <w:vAlign w:val="bottom"/>
            <w:hideMark/>
          </w:tcPr>
          <w:p w14:paraId="0F5FFBAE"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CHILDREN AND FAMILIES</w:t>
            </w:r>
          </w:p>
        </w:tc>
        <w:tc>
          <w:tcPr>
            <w:tcW w:w="1260" w:type="dxa"/>
            <w:tcBorders>
              <w:top w:val="nil"/>
              <w:left w:val="nil"/>
              <w:bottom w:val="single" w:sz="4" w:space="0" w:color="auto"/>
              <w:right w:val="single" w:sz="4" w:space="0" w:color="auto"/>
            </w:tcBorders>
            <w:vAlign w:val="bottom"/>
            <w:hideMark/>
          </w:tcPr>
          <w:p w14:paraId="7046F2B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$389,228,175</w:t>
            </w:r>
          </w:p>
        </w:tc>
        <w:tc>
          <w:tcPr>
            <w:tcW w:w="1170" w:type="dxa"/>
            <w:tcBorders>
              <w:top w:val="nil"/>
              <w:left w:val="nil"/>
              <w:bottom w:val="single" w:sz="4" w:space="0" w:color="auto"/>
              <w:right w:val="single" w:sz="4" w:space="0" w:color="auto"/>
            </w:tcBorders>
            <w:vAlign w:val="bottom"/>
            <w:hideMark/>
          </w:tcPr>
          <w:p w14:paraId="6CD937C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$9,730,704</w:t>
            </w:r>
          </w:p>
        </w:tc>
        <w:tc>
          <w:tcPr>
            <w:tcW w:w="1260" w:type="dxa"/>
            <w:tcBorders>
              <w:top w:val="nil"/>
              <w:left w:val="nil"/>
              <w:bottom w:val="single" w:sz="4" w:space="0" w:color="auto"/>
              <w:right w:val="single" w:sz="4" w:space="0" w:color="auto"/>
            </w:tcBorders>
            <w:vAlign w:val="bottom"/>
            <w:hideMark/>
          </w:tcPr>
          <w:p w14:paraId="643DD89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$5,535,284</w:t>
            </w:r>
          </w:p>
        </w:tc>
        <w:tc>
          <w:tcPr>
            <w:tcW w:w="1080" w:type="dxa"/>
            <w:tcBorders>
              <w:top w:val="nil"/>
              <w:left w:val="nil"/>
              <w:bottom w:val="single" w:sz="4" w:space="0" w:color="auto"/>
              <w:right w:val="single" w:sz="4" w:space="0" w:color="auto"/>
            </w:tcBorders>
            <w:vAlign w:val="bottom"/>
            <w:hideMark/>
          </w:tcPr>
          <w:p w14:paraId="33AABFB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88AC04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$5,535,284</w:t>
            </w:r>
          </w:p>
        </w:tc>
        <w:tc>
          <w:tcPr>
            <w:tcW w:w="1170" w:type="dxa"/>
            <w:tcBorders>
              <w:top w:val="nil"/>
              <w:left w:val="nil"/>
              <w:bottom w:val="single" w:sz="4" w:space="0" w:color="auto"/>
              <w:right w:val="single" w:sz="4" w:space="0" w:color="auto"/>
            </w:tcBorders>
            <w:vAlign w:val="bottom"/>
            <w:hideMark/>
          </w:tcPr>
          <w:p w14:paraId="3DFF3EF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56.88%</w:t>
            </w:r>
          </w:p>
        </w:tc>
        <w:tc>
          <w:tcPr>
            <w:tcW w:w="1260" w:type="dxa"/>
            <w:tcBorders>
              <w:top w:val="nil"/>
              <w:left w:val="nil"/>
              <w:bottom w:val="single" w:sz="4" w:space="0" w:color="auto"/>
              <w:right w:val="single" w:sz="4" w:space="0" w:color="auto"/>
            </w:tcBorders>
            <w:vAlign w:val="bottom"/>
            <w:hideMark/>
          </w:tcPr>
          <w:p w14:paraId="041FFF3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-$4,195,421</w:t>
            </w:r>
          </w:p>
        </w:tc>
      </w:tr>
      <w:tr w:rsidR="00433DC8" w:rsidRPr="005217C3" w14:paraId="43256C45" w14:textId="77777777" w:rsidTr="009050D8">
        <w:trPr>
          <w:trHeight w:val="80"/>
        </w:trPr>
        <w:tc>
          <w:tcPr>
            <w:tcW w:w="630" w:type="dxa"/>
            <w:tcBorders>
              <w:top w:val="nil"/>
              <w:left w:val="single" w:sz="4" w:space="0" w:color="auto"/>
              <w:bottom w:val="single" w:sz="4" w:space="0" w:color="auto"/>
              <w:right w:val="single" w:sz="4" w:space="0" w:color="auto"/>
            </w:tcBorders>
            <w:vAlign w:val="bottom"/>
            <w:hideMark/>
          </w:tcPr>
          <w:p w14:paraId="1433A36B"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1C10F29A"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DMR</w:t>
            </w:r>
          </w:p>
        </w:tc>
        <w:tc>
          <w:tcPr>
            <w:tcW w:w="4050" w:type="dxa"/>
            <w:tcBorders>
              <w:top w:val="nil"/>
              <w:left w:val="nil"/>
              <w:bottom w:val="single" w:sz="4" w:space="0" w:color="auto"/>
              <w:right w:val="single" w:sz="4" w:space="0" w:color="auto"/>
            </w:tcBorders>
            <w:vAlign w:val="bottom"/>
            <w:hideMark/>
          </w:tcPr>
          <w:p w14:paraId="5137B04C"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DEVELOPMENTAL SERVICES</w:t>
            </w:r>
          </w:p>
        </w:tc>
        <w:tc>
          <w:tcPr>
            <w:tcW w:w="1260" w:type="dxa"/>
            <w:tcBorders>
              <w:top w:val="nil"/>
              <w:left w:val="nil"/>
              <w:bottom w:val="single" w:sz="4" w:space="0" w:color="auto"/>
              <w:right w:val="single" w:sz="4" w:space="0" w:color="auto"/>
            </w:tcBorders>
            <w:vAlign w:val="bottom"/>
            <w:hideMark/>
          </w:tcPr>
          <w:p w14:paraId="60732FD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$1,103,186,654</w:t>
            </w:r>
          </w:p>
        </w:tc>
        <w:tc>
          <w:tcPr>
            <w:tcW w:w="1170" w:type="dxa"/>
            <w:tcBorders>
              <w:top w:val="nil"/>
              <w:left w:val="nil"/>
              <w:bottom w:val="single" w:sz="4" w:space="0" w:color="auto"/>
              <w:right w:val="single" w:sz="4" w:space="0" w:color="auto"/>
            </w:tcBorders>
            <w:vAlign w:val="bottom"/>
            <w:hideMark/>
          </w:tcPr>
          <w:p w14:paraId="3DFF625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$27,579,666</w:t>
            </w:r>
          </w:p>
        </w:tc>
        <w:tc>
          <w:tcPr>
            <w:tcW w:w="1260" w:type="dxa"/>
            <w:tcBorders>
              <w:top w:val="nil"/>
              <w:left w:val="nil"/>
              <w:bottom w:val="single" w:sz="4" w:space="0" w:color="auto"/>
              <w:right w:val="single" w:sz="4" w:space="0" w:color="auto"/>
            </w:tcBorders>
            <w:vAlign w:val="bottom"/>
            <w:hideMark/>
          </w:tcPr>
          <w:p w14:paraId="096B5FA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$8,816,156</w:t>
            </w:r>
          </w:p>
        </w:tc>
        <w:tc>
          <w:tcPr>
            <w:tcW w:w="1080" w:type="dxa"/>
            <w:tcBorders>
              <w:top w:val="nil"/>
              <w:left w:val="nil"/>
              <w:bottom w:val="single" w:sz="4" w:space="0" w:color="auto"/>
              <w:right w:val="single" w:sz="4" w:space="0" w:color="auto"/>
            </w:tcBorders>
            <w:vAlign w:val="bottom"/>
            <w:hideMark/>
          </w:tcPr>
          <w:p w14:paraId="7741FD5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9A09A6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$8,816,156</w:t>
            </w:r>
          </w:p>
        </w:tc>
        <w:tc>
          <w:tcPr>
            <w:tcW w:w="1170" w:type="dxa"/>
            <w:tcBorders>
              <w:top w:val="nil"/>
              <w:left w:val="nil"/>
              <w:bottom w:val="single" w:sz="4" w:space="0" w:color="auto"/>
              <w:right w:val="single" w:sz="4" w:space="0" w:color="auto"/>
            </w:tcBorders>
            <w:vAlign w:val="bottom"/>
            <w:hideMark/>
          </w:tcPr>
          <w:p w14:paraId="614FD98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31.97%</w:t>
            </w:r>
          </w:p>
        </w:tc>
        <w:tc>
          <w:tcPr>
            <w:tcW w:w="1260" w:type="dxa"/>
            <w:tcBorders>
              <w:top w:val="nil"/>
              <w:left w:val="nil"/>
              <w:bottom w:val="single" w:sz="4" w:space="0" w:color="auto"/>
              <w:right w:val="single" w:sz="4" w:space="0" w:color="auto"/>
            </w:tcBorders>
            <w:vAlign w:val="bottom"/>
            <w:hideMark/>
          </w:tcPr>
          <w:p w14:paraId="4F59CD4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-$18,763,511</w:t>
            </w:r>
          </w:p>
        </w:tc>
      </w:tr>
      <w:tr w:rsidR="00433DC8" w:rsidRPr="005217C3" w14:paraId="38D06A3F" w14:textId="77777777" w:rsidTr="009050D8">
        <w:trPr>
          <w:trHeight w:val="188"/>
        </w:trPr>
        <w:tc>
          <w:tcPr>
            <w:tcW w:w="630" w:type="dxa"/>
            <w:tcBorders>
              <w:top w:val="nil"/>
              <w:left w:val="single" w:sz="4" w:space="0" w:color="auto"/>
              <w:bottom w:val="single" w:sz="4" w:space="0" w:color="auto"/>
              <w:right w:val="single" w:sz="4" w:space="0" w:color="auto"/>
            </w:tcBorders>
            <w:vAlign w:val="bottom"/>
            <w:hideMark/>
          </w:tcPr>
          <w:p w14:paraId="0DB76B7C"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50A33469"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ELD</w:t>
            </w:r>
          </w:p>
        </w:tc>
        <w:tc>
          <w:tcPr>
            <w:tcW w:w="4050" w:type="dxa"/>
            <w:tcBorders>
              <w:top w:val="nil"/>
              <w:left w:val="nil"/>
              <w:bottom w:val="single" w:sz="4" w:space="0" w:color="auto"/>
              <w:right w:val="single" w:sz="4" w:space="0" w:color="auto"/>
            </w:tcBorders>
            <w:vAlign w:val="bottom"/>
            <w:hideMark/>
          </w:tcPr>
          <w:p w14:paraId="201E7B1C"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ELDER AFFAIRS</w:t>
            </w:r>
          </w:p>
        </w:tc>
        <w:tc>
          <w:tcPr>
            <w:tcW w:w="1260" w:type="dxa"/>
            <w:tcBorders>
              <w:top w:val="nil"/>
              <w:left w:val="nil"/>
              <w:bottom w:val="single" w:sz="4" w:space="0" w:color="auto"/>
              <w:right w:val="single" w:sz="4" w:space="0" w:color="auto"/>
            </w:tcBorders>
            <w:vAlign w:val="bottom"/>
            <w:hideMark/>
          </w:tcPr>
          <w:p w14:paraId="4C65A84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$398,225,362</w:t>
            </w:r>
          </w:p>
        </w:tc>
        <w:tc>
          <w:tcPr>
            <w:tcW w:w="1170" w:type="dxa"/>
            <w:tcBorders>
              <w:top w:val="nil"/>
              <w:left w:val="nil"/>
              <w:bottom w:val="single" w:sz="4" w:space="0" w:color="auto"/>
              <w:right w:val="single" w:sz="4" w:space="0" w:color="auto"/>
            </w:tcBorders>
            <w:vAlign w:val="bottom"/>
            <w:hideMark/>
          </w:tcPr>
          <w:p w14:paraId="72F5941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$9,955,634</w:t>
            </w:r>
          </w:p>
        </w:tc>
        <w:tc>
          <w:tcPr>
            <w:tcW w:w="1260" w:type="dxa"/>
            <w:tcBorders>
              <w:top w:val="nil"/>
              <w:left w:val="nil"/>
              <w:bottom w:val="single" w:sz="4" w:space="0" w:color="auto"/>
              <w:right w:val="single" w:sz="4" w:space="0" w:color="auto"/>
            </w:tcBorders>
            <w:vAlign w:val="bottom"/>
            <w:hideMark/>
          </w:tcPr>
          <w:p w14:paraId="523F309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$414,887</w:t>
            </w:r>
          </w:p>
        </w:tc>
        <w:tc>
          <w:tcPr>
            <w:tcW w:w="1080" w:type="dxa"/>
            <w:tcBorders>
              <w:top w:val="nil"/>
              <w:left w:val="nil"/>
              <w:bottom w:val="single" w:sz="4" w:space="0" w:color="auto"/>
              <w:right w:val="single" w:sz="4" w:space="0" w:color="auto"/>
            </w:tcBorders>
            <w:vAlign w:val="bottom"/>
            <w:hideMark/>
          </w:tcPr>
          <w:p w14:paraId="5D36E80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E70BEC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$414,887</w:t>
            </w:r>
          </w:p>
        </w:tc>
        <w:tc>
          <w:tcPr>
            <w:tcW w:w="1170" w:type="dxa"/>
            <w:tcBorders>
              <w:top w:val="nil"/>
              <w:left w:val="nil"/>
              <w:bottom w:val="single" w:sz="4" w:space="0" w:color="auto"/>
              <w:right w:val="single" w:sz="4" w:space="0" w:color="auto"/>
            </w:tcBorders>
            <w:vAlign w:val="bottom"/>
            <w:hideMark/>
          </w:tcPr>
          <w:p w14:paraId="66535E0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4.17%</w:t>
            </w:r>
          </w:p>
        </w:tc>
        <w:tc>
          <w:tcPr>
            <w:tcW w:w="1260" w:type="dxa"/>
            <w:tcBorders>
              <w:top w:val="nil"/>
              <w:left w:val="nil"/>
              <w:bottom w:val="single" w:sz="4" w:space="0" w:color="auto"/>
              <w:right w:val="single" w:sz="4" w:space="0" w:color="auto"/>
            </w:tcBorders>
            <w:vAlign w:val="bottom"/>
            <w:hideMark/>
          </w:tcPr>
          <w:p w14:paraId="274C652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-$9,540,747</w:t>
            </w:r>
          </w:p>
        </w:tc>
      </w:tr>
      <w:tr w:rsidR="00433DC8" w:rsidRPr="005217C3" w14:paraId="6EEB5376"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2E88C2C3"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4FA47E71"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DMH</w:t>
            </w:r>
          </w:p>
        </w:tc>
        <w:tc>
          <w:tcPr>
            <w:tcW w:w="4050" w:type="dxa"/>
            <w:tcBorders>
              <w:top w:val="nil"/>
              <w:left w:val="nil"/>
              <w:bottom w:val="single" w:sz="4" w:space="0" w:color="auto"/>
              <w:right w:val="single" w:sz="4" w:space="0" w:color="auto"/>
            </w:tcBorders>
            <w:vAlign w:val="bottom"/>
            <w:hideMark/>
          </w:tcPr>
          <w:p w14:paraId="74939974"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MENTAL HEALTH</w:t>
            </w:r>
          </w:p>
        </w:tc>
        <w:tc>
          <w:tcPr>
            <w:tcW w:w="1260" w:type="dxa"/>
            <w:tcBorders>
              <w:top w:val="nil"/>
              <w:left w:val="nil"/>
              <w:bottom w:val="single" w:sz="4" w:space="0" w:color="auto"/>
              <w:right w:val="single" w:sz="4" w:space="0" w:color="auto"/>
            </w:tcBorders>
            <w:vAlign w:val="bottom"/>
            <w:hideMark/>
          </w:tcPr>
          <w:p w14:paraId="5D72E04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$448,756,035</w:t>
            </w:r>
          </w:p>
        </w:tc>
        <w:tc>
          <w:tcPr>
            <w:tcW w:w="1170" w:type="dxa"/>
            <w:tcBorders>
              <w:top w:val="nil"/>
              <w:left w:val="nil"/>
              <w:bottom w:val="single" w:sz="4" w:space="0" w:color="auto"/>
              <w:right w:val="single" w:sz="4" w:space="0" w:color="auto"/>
            </w:tcBorders>
            <w:vAlign w:val="bottom"/>
            <w:hideMark/>
          </w:tcPr>
          <w:p w14:paraId="1B12648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$11,218,901</w:t>
            </w:r>
          </w:p>
        </w:tc>
        <w:tc>
          <w:tcPr>
            <w:tcW w:w="1260" w:type="dxa"/>
            <w:tcBorders>
              <w:top w:val="nil"/>
              <w:left w:val="nil"/>
              <w:bottom w:val="single" w:sz="4" w:space="0" w:color="auto"/>
              <w:right w:val="single" w:sz="4" w:space="0" w:color="auto"/>
            </w:tcBorders>
            <w:vAlign w:val="bottom"/>
            <w:hideMark/>
          </w:tcPr>
          <w:p w14:paraId="2BA8328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$3,237,970</w:t>
            </w:r>
          </w:p>
        </w:tc>
        <w:tc>
          <w:tcPr>
            <w:tcW w:w="1080" w:type="dxa"/>
            <w:tcBorders>
              <w:top w:val="nil"/>
              <w:left w:val="nil"/>
              <w:bottom w:val="single" w:sz="4" w:space="0" w:color="auto"/>
              <w:right w:val="single" w:sz="4" w:space="0" w:color="auto"/>
            </w:tcBorders>
            <w:vAlign w:val="bottom"/>
            <w:hideMark/>
          </w:tcPr>
          <w:p w14:paraId="6EA6BBC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D7DD81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$3,237,970</w:t>
            </w:r>
          </w:p>
        </w:tc>
        <w:tc>
          <w:tcPr>
            <w:tcW w:w="1170" w:type="dxa"/>
            <w:tcBorders>
              <w:top w:val="nil"/>
              <w:left w:val="nil"/>
              <w:bottom w:val="single" w:sz="4" w:space="0" w:color="auto"/>
              <w:right w:val="single" w:sz="4" w:space="0" w:color="auto"/>
            </w:tcBorders>
            <w:vAlign w:val="bottom"/>
            <w:hideMark/>
          </w:tcPr>
          <w:p w14:paraId="2FD7E9A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28.86%</w:t>
            </w:r>
          </w:p>
        </w:tc>
        <w:tc>
          <w:tcPr>
            <w:tcW w:w="1260" w:type="dxa"/>
            <w:tcBorders>
              <w:top w:val="nil"/>
              <w:left w:val="nil"/>
              <w:bottom w:val="single" w:sz="4" w:space="0" w:color="auto"/>
              <w:right w:val="single" w:sz="4" w:space="0" w:color="auto"/>
            </w:tcBorders>
            <w:vAlign w:val="bottom"/>
            <w:hideMark/>
          </w:tcPr>
          <w:p w14:paraId="092BC32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-$7,980,930</w:t>
            </w:r>
          </w:p>
        </w:tc>
      </w:tr>
      <w:tr w:rsidR="00433DC8" w:rsidRPr="005217C3" w14:paraId="078C0E4F"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54EDC5F5"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40D03E04"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DPH</w:t>
            </w:r>
          </w:p>
        </w:tc>
        <w:tc>
          <w:tcPr>
            <w:tcW w:w="4050" w:type="dxa"/>
            <w:tcBorders>
              <w:top w:val="nil"/>
              <w:left w:val="nil"/>
              <w:bottom w:val="single" w:sz="4" w:space="0" w:color="auto"/>
              <w:right w:val="single" w:sz="4" w:space="0" w:color="auto"/>
            </w:tcBorders>
            <w:vAlign w:val="bottom"/>
            <w:hideMark/>
          </w:tcPr>
          <w:p w14:paraId="0FE7FC84"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PUBLIC HEALTH</w:t>
            </w:r>
          </w:p>
        </w:tc>
        <w:tc>
          <w:tcPr>
            <w:tcW w:w="1260" w:type="dxa"/>
            <w:tcBorders>
              <w:top w:val="nil"/>
              <w:left w:val="nil"/>
              <w:bottom w:val="single" w:sz="4" w:space="0" w:color="auto"/>
              <w:right w:val="single" w:sz="4" w:space="0" w:color="auto"/>
            </w:tcBorders>
            <w:vAlign w:val="bottom"/>
            <w:hideMark/>
          </w:tcPr>
          <w:p w14:paraId="51CF1E5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$442,145,269</w:t>
            </w:r>
          </w:p>
        </w:tc>
        <w:tc>
          <w:tcPr>
            <w:tcW w:w="1170" w:type="dxa"/>
            <w:tcBorders>
              <w:top w:val="nil"/>
              <w:left w:val="nil"/>
              <w:bottom w:val="single" w:sz="4" w:space="0" w:color="auto"/>
              <w:right w:val="single" w:sz="4" w:space="0" w:color="auto"/>
            </w:tcBorders>
            <w:vAlign w:val="bottom"/>
            <w:hideMark/>
          </w:tcPr>
          <w:p w14:paraId="11CC711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$11,053,632</w:t>
            </w:r>
          </w:p>
        </w:tc>
        <w:tc>
          <w:tcPr>
            <w:tcW w:w="1260" w:type="dxa"/>
            <w:tcBorders>
              <w:top w:val="nil"/>
              <w:left w:val="nil"/>
              <w:bottom w:val="single" w:sz="4" w:space="0" w:color="auto"/>
              <w:right w:val="single" w:sz="4" w:space="0" w:color="auto"/>
            </w:tcBorders>
            <w:vAlign w:val="bottom"/>
            <w:hideMark/>
          </w:tcPr>
          <w:p w14:paraId="6B1A2AC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$16,902,567</w:t>
            </w:r>
          </w:p>
        </w:tc>
        <w:tc>
          <w:tcPr>
            <w:tcW w:w="1080" w:type="dxa"/>
            <w:tcBorders>
              <w:top w:val="nil"/>
              <w:left w:val="nil"/>
              <w:bottom w:val="single" w:sz="4" w:space="0" w:color="auto"/>
              <w:right w:val="single" w:sz="4" w:space="0" w:color="auto"/>
            </w:tcBorders>
            <w:vAlign w:val="bottom"/>
            <w:hideMark/>
          </w:tcPr>
          <w:p w14:paraId="65E82EC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758109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$16,902,567</w:t>
            </w:r>
          </w:p>
        </w:tc>
        <w:tc>
          <w:tcPr>
            <w:tcW w:w="1170" w:type="dxa"/>
            <w:tcBorders>
              <w:top w:val="nil"/>
              <w:left w:val="nil"/>
              <w:bottom w:val="single" w:sz="4" w:space="0" w:color="auto"/>
              <w:right w:val="single" w:sz="4" w:space="0" w:color="auto"/>
            </w:tcBorders>
            <w:vAlign w:val="bottom"/>
            <w:hideMark/>
          </w:tcPr>
          <w:p w14:paraId="288056F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152.91%</w:t>
            </w:r>
          </w:p>
        </w:tc>
        <w:tc>
          <w:tcPr>
            <w:tcW w:w="1260" w:type="dxa"/>
            <w:tcBorders>
              <w:top w:val="nil"/>
              <w:left w:val="nil"/>
              <w:bottom w:val="single" w:sz="4" w:space="0" w:color="auto"/>
              <w:right w:val="single" w:sz="4" w:space="0" w:color="auto"/>
            </w:tcBorders>
            <w:vAlign w:val="bottom"/>
            <w:hideMark/>
          </w:tcPr>
          <w:p w14:paraId="5E94A50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$5,848,935</w:t>
            </w:r>
          </w:p>
        </w:tc>
      </w:tr>
      <w:tr w:rsidR="00433DC8" w:rsidRPr="005217C3" w14:paraId="6056EA2A"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230D9D7B"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5C5F34AC"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WEL</w:t>
            </w:r>
          </w:p>
        </w:tc>
        <w:tc>
          <w:tcPr>
            <w:tcW w:w="4050" w:type="dxa"/>
            <w:tcBorders>
              <w:top w:val="nil"/>
              <w:left w:val="nil"/>
              <w:bottom w:val="single" w:sz="4" w:space="0" w:color="auto"/>
              <w:right w:val="single" w:sz="4" w:space="0" w:color="auto"/>
            </w:tcBorders>
            <w:vAlign w:val="bottom"/>
            <w:hideMark/>
          </w:tcPr>
          <w:p w14:paraId="4B74A524"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TRANSITIONAL ASSISTANCE</w:t>
            </w:r>
          </w:p>
        </w:tc>
        <w:tc>
          <w:tcPr>
            <w:tcW w:w="1260" w:type="dxa"/>
            <w:tcBorders>
              <w:top w:val="nil"/>
              <w:left w:val="nil"/>
              <w:bottom w:val="single" w:sz="4" w:space="0" w:color="auto"/>
              <w:right w:val="single" w:sz="4" w:space="0" w:color="auto"/>
            </w:tcBorders>
            <w:vAlign w:val="bottom"/>
            <w:hideMark/>
          </w:tcPr>
          <w:p w14:paraId="54F03D2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$27,476,323</w:t>
            </w:r>
          </w:p>
        </w:tc>
        <w:tc>
          <w:tcPr>
            <w:tcW w:w="1170" w:type="dxa"/>
            <w:tcBorders>
              <w:top w:val="nil"/>
              <w:left w:val="nil"/>
              <w:bottom w:val="single" w:sz="4" w:space="0" w:color="auto"/>
              <w:right w:val="single" w:sz="4" w:space="0" w:color="auto"/>
            </w:tcBorders>
            <w:vAlign w:val="bottom"/>
            <w:hideMark/>
          </w:tcPr>
          <w:p w14:paraId="1F67E52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$686,908</w:t>
            </w:r>
          </w:p>
        </w:tc>
        <w:tc>
          <w:tcPr>
            <w:tcW w:w="1260" w:type="dxa"/>
            <w:tcBorders>
              <w:top w:val="nil"/>
              <w:left w:val="nil"/>
              <w:bottom w:val="single" w:sz="4" w:space="0" w:color="auto"/>
              <w:right w:val="single" w:sz="4" w:space="0" w:color="auto"/>
            </w:tcBorders>
            <w:vAlign w:val="bottom"/>
            <w:hideMark/>
          </w:tcPr>
          <w:p w14:paraId="6FCEE20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$2,247,173</w:t>
            </w:r>
          </w:p>
        </w:tc>
        <w:tc>
          <w:tcPr>
            <w:tcW w:w="1080" w:type="dxa"/>
            <w:tcBorders>
              <w:top w:val="nil"/>
              <w:left w:val="nil"/>
              <w:bottom w:val="single" w:sz="4" w:space="0" w:color="auto"/>
              <w:right w:val="single" w:sz="4" w:space="0" w:color="auto"/>
            </w:tcBorders>
            <w:vAlign w:val="bottom"/>
            <w:hideMark/>
          </w:tcPr>
          <w:p w14:paraId="6EC2371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2BC7E2F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$2,247,173</w:t>
            </w:r>
          </w:p>
        </w:tc>
        <w:tc>
          <w:tcPr>
            <w:tcW w:w="1170" w:type="dxa"/>
            <w:tcBorders>
              <w:top w:val="nil"/>
              <w:left w:val="nil"/>
              <w:bottom w:val="single" w:sz="4" w:space="0" w:color="auto"/>
              <w:right w:val="single" w:sz="4" w:space="0" w:color="auto"/>
            </w:tcBorders>
            <w:vAlign w:val="bottom"/>
            <w:hideMark/>
          </w:tcPr>
          <w:p w14:paraId="2E5A07F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327.14%</w:t>
            </w:r>
          </w:p>
        </w:tc>
        <w:tc>
          <w:tcPr>
            <w:tcW w:w="1260" w:type="dxa"/>
            <w:tcBorders>
              <w:top w:val="nil"/>
              <w:left w:val="nil"/>
              <w:bottom w:val="single" w:sz="4" w:space="0" w:color="auto"/>
              <w:right w:val="single" w:sz="4" w:space="0" w:color="auto"/>
            </w:tcBorders>
            <w:vAlign w:val="bottom"/>
            <w:hideMark/>
          </w:tcPr>
          <w:p w14:paraId="4EEFCB4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$1,560,265</w:t>
            </w:r>
          </w:p>
        </w:tc>
      </w:tr>
      <w:tr w:rsidR="00433DC8" w:rsidRPr="005217C3" w14:paraId="424F77A3"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01623902"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3031BCD9"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VET</w:t>
            </w:r>
          </w:p>
        </w:tc>
        <w:tc>
          <w:tcPr>
            <w:tcW w:w="4050" w:type="dxa"/>
            <w:tcBorders>
              <w:top w:val="nil"/>
              <w:left w:val="nil"/>
              <w:bottom w:val="single" w:sz="4" w:space="0" w:color="auto"/>
              <w:right w:val="single" w:sz="4" w:space="0" w:color="auto"/>
            </w:tcBorders>
            <w:vAlign w:val="bottom"/>
            <w:hideMark/>
          </w:tcPr>
          <w:p w14:paraId="7F26905E"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VETERANS SERVICES</w:t>
            </w:r>
          </w:p>
        </w:tc>
        <w:tc>
          <w:tcPr>
            <w:tcW w:w="1260" w:type="dxa"/>
            <w:tcBorders>
              <w:top w:val="nil"/>
              <w:left w:val="nil"/>
              <w:bottom w:val="single" w:sz="4" w:space="0" w:color="auto"/>
              <w:right w:val="single" w:sz="4" w:space="0" w:color="auto"/>
            </w:tcBorders>
            <w:vAlign w:val="bottom"/>
            <w:hideMark/>
          </w:tcPr>
          <w:p w14:paraId="057D730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$665,527</w:t>
            </w:r>
          </w:p>
        </w:tc>
        <w:tc>
          <w:tcPr>
            <w:tcW w:w="1170" w:type="dxa"/>
            <w:tcBorders>
              <w:top w:val="nil"/>
              <w:left w:val="nil"/>
              <w:bottom w:val="single" w:sz="4" w:space="0" w:color="auto"/>
              <w:right w:val="single" w:sz="4" w:space="0" w:color="auto"/>
            </w:tcBorders>
            <w:vAlign w:val="bottom"/>
            <w:hideMark/>
          </w:tcPr>
          <w:p w14:paraId="38B3968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$16,638</w:t>
            </w:r>
          </w:p>
        </w:tc>
        <w:tc>
          <w:tcPr>
            <w:tcW w:w="1260" w:type="dxa"/>
            <w:tcBorders>
              <w:top w:val="nil"/>
              <w:left w:val="nil"/>
              <w:bottom w:val="single" w:sz="4" w:space="0" w:color="auto"/>
              <w:right w:val="single" w:sz="4" w:space="0" w:color="auto"/>
            </w:tcBorders>
            <w:vAlign w:val="bottom"/>
            <w:hideMark/>
          </w:tcPr>
          <w:p w14:paraId="5CA3C7C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$549,403</w:t>
            </w:r>
          </w:p>
        </w:tc>
        <w:tc>
          <w:tcPr>
            <w:tcW w:w="1080" w:type="dxa"/>
            <w:tcBorders>
              <w:top w:val="nil"/>
              <w:left w:val="nil"/>
              <w:bottom w:val="single" w:sz="4" w:space="0" w:color="auto"/>
              <w:right w:val="single" w:sz="4" w:space="0" w:color="auto"/>
            </w:tcBorders>
            <w:vAlign w:val="bottom"/>
            <w:hideMark/>
          </w:tcPr>
          <w:p w14:paraId="1235449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2094258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$549,403</w:t>
            </w:r>
          </w:p>
        </w:tc>
        <w:tc>
          <w:tcPr>
            <w:tcW w:w="1170" w:type="dxa"/>
            <w:tcBorders>
              <w:top w:val="nil"/>
              <w:left w:val="nil"/>
              <w:bottom w:val="single" w:sz="4" w:space="0" w:color="auto"/>
              <w:right w:val="single" w:sz="4" w:space="0" w:color="auto"/>
            </w:tcBorders>
            <w:vAlign w:val="bottom"/>
            <w:hideMark/>
          </w:tcPr>
          <w:p w14:paraId="6E705E0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3302.06%</w:t>
            </w:r>
          </w:p>
        </w:tc>
        <w:tc>
          <w:tcPr>
            <w:tcW w:w="1260" w:type="dxa"/>
            <w:tcBorders>
              <w:top w:val="nil"/>
              <w:left w:val="nil"/>
              <w:bottom w:val="single" w:sz="4" w:space="0" w:color="auto"/>
              <w:right w:val="single" w:sz="4" w:space="0" w:color="auto"/>
            </w:tcBorders>
            <w:vAlign w:val="bottom"/>
            <w:hideMark/>
          </w:tcPr>
          <w:p w14:paraId="67D3C59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$532,765</w:t>
            </w:r>
          </w:p>
        </w:tc>
      </w:tr>
      <w:tr w:rsidR="00433DC8" w:rsidRPr="005217C3" w14:paraId="5D16D4F4"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7DAD7CE1"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039CCDAF"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DYS</w:t>
            </w:r>
          </w:p>
        </w:tc>
        <w:tc>
          <w:tcPr>
            <w:tcW w:w="4050" w:type="dxa"/>
            <w:tcBorders>
              <w:top w:val="nil"/>
              <w:left w:val="nil"/>
              <w:bottom w:val="single" w:sz="4" w:space="0" w:color="auto"/>
              <w:right w:val="single" w:sz="4" w:space="0" w:color="auto"/>
            </w:tcBorders>
            <w:vAlign w:val="bottom"/>
            <w:hideMark/>
          </w:tcPr>
          <w:p w14:paraId="318B757D"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YOUTH SERVICES</w:t>
            </w:r>
          </w:p>
        </w:tc>
        <w:tc>
          <w:tcPr>
            <w:tcW w:w="1260" w:type="dxa"/>
            <w:tcBorders>
              <w:top w:val="nil"/>
              <w:left w:val="nil"/>
              <w:bottom w:val="single" w:sz="4" w:space="0" w:color="auto"/>
              <w:right w:val="single" w:sz="4" w:space="0" w:color="auto"/>
            </w:tcBorders>
            <w:vAlign w:val="bottom"/>
            <w:hideMark/>
          </w:tcPr>
          <w:p w14:paraId="4E26F7C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$96,187,311</w:t>
            </w:r>
          </w:p>
        </w:tc>
        <w:tc>
          <w:tcPr>
            <w:tcW w:w="1170" w:type="dxa"/>
            <w:tcBorders>
              <w:top w:val="nil"/>
              <w:left w:val="nil"/>
              <w:bottom w:val="single" w:sz="4" w:space="0" w:color="auto"/>
              <w:right w:val="single" w:sz="4" w:space="0" w:color="auto"/>
            </w:tcBorders>
            <w:vAlign w:val="bottom"/>
            <w:hideMark/>
          </w:tcPr>
          <w:p w14:paraId="47FB7B8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$2,404,683</w:t>
            </w:r>
          </w:p>
        </w:tc>
        <w:tc>
          <w:tcPr>
            <w:tcW w:w="1260" w:type="dxa"/>
            <w:tcBorders>
              <w:top w:val="nil"/>
              <w:left w:val="nil"/>
              <w:bottom w:val="single" w:sz="4" w:space="0" w:color="auto"/>
              <w:right w:val="single" w:sz="4" w:space="0" w:color="auto"/>
            </w:tcBorders>
            <w:vAlign w:val="bottom"/>
            <w:hideMark/>
          </w:tcPr>
          <w:p w14:paraId="15BFEBA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$1,772,444</w:t>
            </w:r>
          </w:p>
        </w:tc>
        <w:tc>
          <w:tcPr>
            <w:tcW w:w="1080" w:type="dxa"/>
            <w:tcBorders>
              <w:top w:val="nil"/>
              <w:left w:val="nil"/>
              <w:bottom w:val="single" w:sz="4" w:space="0" w:color="auto"/>
              <w:right w:val="single" w:sz="4" w:space="0" w:color="auto"/>
            </w:tcBorders>
            <w:vAlign w:val="bottom"/>
            <w:hideMark/>
          </w:tcPr>
          <w:p w14:paraId="7EBF285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67AD1C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$1,772,444</w:t>
            </w:r>
          </w:p>
        </w:tc>
        <w:tc>
          <w:tcPr>
            <w:tcW w:w="1170" w:type="dxa"/>
            <w:tcBorders>
              <w:top w:val="nil"/>
              <w:left w:val="nil"/>
              <w:bottom w:val="single" w:sz="4" w:space="0" w:color="auto"/>
              <w:right w:val="single" w:sz="4" w:space="0" w:color="auto"/>
            </w:tcBorders>
            <w:vAlign w:val="bottom"/>
            <w:hideMark/>
          </w:tcPr>
          <w:p w14:paraId="30CE2F5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73.71%</w:t>
            </w:r>
          </w:p>
        </w:tc>
        <w:tc>
          <w:tcPr>
            <w:tcW w:w="1260" w:type="dxa"/>
            <w:tcBorders>
              <w:top w:val="nil"/>
              <w:left w:val="nil"/>
              <w:bottom w:val="single" w:sz="4" w:space="0" w:color="auto"/>
              <w:right w:val="single" w:sz="4" w:space="0" w:color="auto"/>
            </w:tcBorders>
            <w:vAlign w:val="bottom"/>
            <w:hideMark/>
          </w:tcPr>
          <w:p w14:paraId="70FAB5A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-$632,239</w:t>
            </w:r>
          </w:p>
        </w:tc>
      </w:tr>
      <w:tr w:rsidR="00433DC8" w:rsidRPr="005217C3" w14:paraId="72A10AEC"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4FF46B08"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6EBAFC4D"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EHS</w:t>
            </w:r>
          </w:p>
        </w:tc>
        <w:tc>
          <w:tcPr>
            <w:tcW w:w="4050" w:type="dxa"/>
            <w:tcBorders>
              <w:top w:val="nil"/>
              <w:left w:val="nil"/>
              <w:bottom w:val="single" w:sz="4" w:space="0" w:color="auto"/>
              <w:right w:val="single" w:sz="4" w:space="0" w:color="auto"/>
            </w:tcBorders>
            <w:vAlign w:val="bottom"/>
            <w:hideMark/>
          </w:tcPr>
          <w:p w14:paraId="166E137B"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EXECUTIVE OFFICE OF HEALTH AND HUMAN SERVICES</w:t>
            </w:r>
          </w:p>
        </w:tc>
        <w:tc>
          <w:tcPr>
            <w:tcW w:w="1260" w:type="dxa"/>
            <w:tcBorders>
              <w:top w:val="nil"/>
              <w:left w:val="nil"/>
              <w:bottom w:val="single" w:sz="4" w:space="0" w:color="auto"/>
              <w:right w:val="single" w:sz="4" w:space="0" w:color="auto"/>
            </w:tcBorders>
            <w:vAlign w:val="bottom"/>
            <w:hideMark/>
          </w:tcPr>
          <w:p w14:paraId="17EE12C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$77,695,403</w:t>
            </w:r>
          </w:p>
        </w:tc>
        <w:tc>
          <w:tcPr>
            <w:tcW w:w="1170" w:type="dxa"/>
            <w:tcBorders>
              <w:top w:val="nil"/>
              <w:left w:val="nil"/>
              <w:bottom w:val="single" w:sz="4" w:space="0" w:color="auto"/>
              <w:right w:val="single" w:sz="4" w:space="0" w:color="auto"/>
            </w:tcBorders>
            <w:vAlign w:val="bottom"/>
            <w:hideMark/>
          </w:tcPr>
          <w:p w14:paraId="23522B0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$1,942,385</w:t>
            </w:r>
          </w:p>
        </w:tc>
        <w:tc>
          <w:tcPr>
            <w:tcW w:w="1260" w:type="dxa"/>
            <w:tcBorders>
              <w:top w:val="nil"/>
              <w:left w:val="nil"/>
              <w:bottom w:val="single" w:sz="4" w:space="0" w:color="auto"/>
              <w:right w:val="single" w:sz="4" w:space="0" w:color="auto"/>
            </w:tcBorders>
            <w:vAlign w:val="bottom"/>
            <w:hideMark/>
          </w:tcPr>
          <w:p w14:paraId="2248F51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$12,464,895</w:t>
            </w:r>
          </w:p>
        </w:tc>
        <w:tc>
          <w:tcPr>
            <w:tcW w:w="1080" w:type="dxa"/>
            <w:tcBorders>
              <w:top w:val="nil"/>
              <w:left w:val="nil"/>
              <w:bottom w:val="single" w:sz="4" w:space="0" w:color="auto"/>
              <w:right w:val="single" w:sz="4" w:space="0" w:color="auto"/>
            </w:tcBorders>
            <w:vAlign w:val="bottom"/>
            <w:hideMark/>
          </w:tcPr>
          <w:p w14:paraId="63EE8B5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164F76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$12,464,895</w:t>
            </w:r>
          </w:p>
        </w:tc>
        <w:tc>
          <w:tcPr>
            <w:tcW w:w="1170" w:type="dxa"/>
            <w:tcBorders>
              <w:top w:val="nil"/>
              <w:left w:val="nil"/>
              <w:bottom w:val="single" w:sz="4" w:space="0" w:color="auto"/>
              <w:right w:val="single" w:sz="4" w:space="0" w:color="auto"/>
            </w:tcBorders>
            <w:vAlign w:val="bottom"/>
            <w:hideMark/>
          </w:tcPr>
          <w:p w14:paraId="2973FFF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641.73%</w:t>
            </w:r>
          </w:p>
        </w:tc>
        <w:tc>
          <w:tcPr>
            <w:tcW w:w="1260" w:type="dxa"/>
            <w:tcBorders>
              <w:top w:val="nil"/>
              <w:left w:val="nil"/>
              <w:bottom w:val="single" w:sz="4" w:space="0" w:color="auto"/>
              <w:right w:val="single" w:sz="4" w:space="0" w:color="auto"/>
            </w:tcBorders>
            <w:vAlign w:val="bottom"/>
            <w:hideMark/>
          </w:tcPr>
          <w:p w14:paraId="6230510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$10,522,510</w:t>
            </w:r>
          </w:p>
        </w:tc>
      </w:tr>
      <w:tr w:rsidR="00433DC8" w:rsidRPr="005217C3" w14:paraId="543CB94A"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272D0555"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053262A0"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MCB</w:t>
            </w:r>
          </w:p>
        </w:tc>
        <w:tc>
          <w:tcPr>
            <w:tcW w:w="4050" w:type="dxa"/>
            <w:tcBorders>
              <w:top w:val="nil"/>
              <w:left w:val="nil"/>
              <w:bottom w:val="single" w:sz="4" w:space="0" w:color="auto"/>
              <w:right w:val="single" w:sz="4" w:space="0" w:color="auto"/>
            </w:tcBorders>
            <w:vAlign w:val="bottom"/>
            <w:hideMark/>
          </w:tcPr>
          <w:p w14:paraId="78FE584E"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MASSACHUSETTS COMMISSION FOR THE BLIND</w:t>
            </w:r>
          </w:p>
        </w:tc>
        <w:tc>
          <w:tcPr>
            <w:tcW w:w="1260" w:type="dxa"/>
            <w:tcBorders>
              <w:top w:val="nil"/>
              <w:left w:val="nil"/>
              <w:bottom w:val="single" w:sz="4" w:space="0" w:color="auto"/>
              <w:right w:val="single" w:sz="4" w:space="0" w:color="auto"/>
            </w:tcBorders>
            <w:vAlign w:val="bottom"/>
            <w:hideMark/>
          </w:tcPr>
          <w:p w14:paraId="508EB3C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$17,767,205</w:t>
            </w:r>
          </w:p>
        </w:tc>
        <w:tc>
          <w:tcPr>
            <w:tcW w:w="1170" w:type="dxa"/>
            <w:tcBorders>
              <w:top w:val="nil"/>
              <w:left w:val="nil"/>
              <w:bottom w:val="single" w:sz="4" w:space="0" w:color="auto"/>
              <w:right w:val="single" w:sz="4" w:space="0" w:color="auto"/>
            </w:tcBorders>
            <w:vAlign w:val="bottom"/>
            <w:hideMark/>
          </w:tcPr>
          <w:p w14:paraId="0D93B47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$444,180</w:t>
            </w:r>
          </w:p>
        </w:tc>
        <w:tc>
          <w:tcPr>
            <w:tcW w:w="1260" w:type="dxa"/>
            <w:tcBorders>
              <w:top w:val="nil"/>
              <w:left w:val="nil"/>
              <w:bottom w:val="single" w:sz="4" w:space="0" w:color="auto"/>
              <w:right w:val="single" w:sz="4" w:space="0" w:color="auto"/>
            </w:tcBorders>
            <w:vAlign w:val="bottom"/>
            <w:hideMark/>
          </w:tcPr>
          <w:p w14:paraId="767FAEB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$489,982</w:t>
            </w:r>
          </w:p>
        </w:tc>
        <w:tc>
          <w:tcPr>
            <w:tcW w:w="1080" w:type="dxa"/>
            <w:tcBorders>
              <w:top w:val="nil"/>
              <w:left w:val="nil"/>
              <w:bottom w:val="single" w:sz="4" w:space="0" w:color="auto"/>
              <w:right w:val="single" w:sz="4" w:space="0" w:color="auto"/>
            </w:tcBorders>
            <w:vAlign w:val="bottom"/>
            <w:hideMark/>
          </w:tcPr>
          <w:p w14:paraId="1B5DBE9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7665EEF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$489,982</w:t>
            </w:r>
          </w:p>
        </w:tc>
        <w:tc>
          <w:tcPr>
            <w:tcW w:w="1170" w:type="dxa"/>
            <w:tcBorders>
              <w:top w:val="nil"/>
              <w:left w:val="nil"/>
              <w:bottom w:val="single" w:sz="4" w:space="0" w:color="auto"/>
              <w:right w:val="single" w:sz="4" w:space="0" w:color="auto"/>
            </w:tcBorders>
            <w:vAlign w:val="bottom"/>
            <w:hideMark/>
          </w:tcPr>
          <w:p w14:paraId="3F8E3FF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110.31%</w:t>
            </w:r>
          </w:p>
        </w:tc>
        <w:tc>
          <w:tcPr>
            <w:tcW w:w="1260" w:type="dxa"/>
            <w:tcBorders>
              <w:top w:val="nil"/>
              <w:left w:val="nil"/>
              <w:bottom w:val="single" w:sz="4" w:space="0" w:color="auto"/>
              <w:right w:val="single" w:sz="4" w:space="0" w:color="auto"/>
            </w:tcBorders>
            <w:vAlign w:val="bottom"/>
            <w:hideMark/>
          </w:tcPr>
          <w:p w14:paraId="4F38E1D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$45,801</w:t>
            </w:r>
          </w:p>
        </w:tc>
      </w:tr>
      <w:tr w:rsidR="00433DC8" w:rsidRPr="005217C3" w14:paraId="4DF8DECC"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389D30F6"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016C287C"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MRC</w:t>
            </w:r>
          </w:p>
        </w:tc>
        <w:tc>
          <w:tcPr>
            <w:tcW w:w="4050" w:type="dxa"/>
            <w:tcBorders>
              <w:top w:val="nil"/>
              <w:left w:val="nil"/>
              <w:bottom w:val="single" w:sz="4" w:space="0" w:color="auto"/>
              <w:right w:val="single" w:sz="4" w:space="0" w:color="auto"/>
            </w:tcBorders>
            <w:vAlign w:val="bottom"/>
            <w:hideMark/>
          </w:tcPr>
          <w:p w14:paraId="2D59CBBB"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MASSACHUSETTS REHABILITATION COMMISSION</w:t>
            </w:r>
          </w:p>
        </w:tc>
        <w:tc>
          <w:tcPr>
            <w:tcW w:w="1260" w:type="dxa"/>
            <w:tcBorders>
              <w:top w:val="nil"/>
              <w:left w:val="nil"/>
              <w:bottom w:val="single" w:sz="4" w:space="0" w:color="auto"/>
              <w:right w:val="single" w:sz="4" w:space="0" w:color="auto"/>
            </w:tcBorders>
            <w:vAlign w:val="bottom"/>
            <w:hideMark/>
          </w:tcPr>
          <w:p w14:paraId="68E97EA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$51,050,600</w:t>
            </w:r>
          </w:p>
        </w:tc>
        <w:tc>
          <w:tcPr>
            <w:tcW w:w="1170" w:type="dxa"/>
            <w:tcBorders>
              <w:top w:val="nil"/>
              <w:left w:val="nil"/>
              <w:bottom w:val="single" w:sz="4" w:space="0" w:color="auto"/>
              <w:right w:val="single" w:sz="4" w:space="0" w:color="auto"/>
            </w:tcBorders>
            <w:vAlign w:val="bottom"/>
            <w:hideMark/>
          </w:tcPr>
          <w:p w14:paraId="60ABC69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$1,276,265</w:t>
            </w:r>
          </w:p>
        </w:tc>
        <w:tc>
          <w:tcPr>
            <w:tcW w:w="1260" w:type="dxa"/>
            <w:tcBorders>
              <w:top w:val="nil"/>
              <w:left w:val="nil"/>
              <w:bottom w:val="single" w:sz="4" w:space="0" w:color="auto"/>
              <w:right w:val="single" w:sz="4" w:space="0" w:color="auto"/>
            </w:tcBorders>
            <w:vAlign w:val="bottom"/>
            <w:hideMark/>
          </w:tcPr>
          <w:p w14:paraId="38EE2D6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$3,404,452</w:t>
            </w:r>
          </w:p>
        </w:tc>
        <w:tc>
          <w:tcPr>
            <w:tcW w:w="1080" w:type="dxa"/>
            <w:tcBorders>
              <w:top w:val="nil"/>
              <w:left w:val="nil"/>
              <w:bottom w:val="single" w:sz="4" w:space="0" w:color="auto"/>
              <w:right w:val="single" w:sz="4" w:space="0" w:color="auto"/>
            </w:tcBorders>
            <w:vAlign w:val="bottom"/>
            <w:hideMark/>
          </w:tcPr>
          <w:p w14:paraId="24518CA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678CFB1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$3,404,452</w:t>
            </w:r>
          </w:p>
        </w:tc>
        <w:tc>
          <w:tcPr>
            <w:tcW w:w="1170" w:type="dxa"/>
            <w:tcBorders>
              <w:top w:val="nil"/>
              <w:left w:val="nil"/>
              <w:bottom w:val="single" w:sz="4" w:space="0" w:color="auto"/>
              <w:right w:val="single" w:sz="4" w:space="0" w:color="auto"/>
            </w:tcBorders>
            <w:vAlign w:val="bottom"/>
            <w:hideMark/>
          </w:tcPr>
          <w:p w14:paraId="268A86B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266.75%</w:t>
            </w:r>
          </w:p>
        </w:tc>
        <w:tc>
          <w:tcPr>
            <w:tcW w:w="1260" w:type="dxa"/>
            <w:tcBorders>
              <w:top w:val="nil"/>
              <w:left w:val="nil"/>
              <w:bottom w:val="single" w:sz="4" w:space="0" w:color="auto"/>
              <w:right w:val="single" w:sz="4" w:space="0" w:color="auto"/>
            </w:tcBorders>
            <w:vAlign w:val="bottom"/>
            <w:hideMark/>
          </w:tcPr>
          <w:p w14:paraId="2B5DF12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$2,128,187</w:t>
            </w:r>
          </w:p>
        </w:tc>
      </w:tr>
      <w:tr w:rsidR="00433DC8" w:rsidRPr="005217C3" w14:paraId="07C79191"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5F882774"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055E63D6"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ORI</w:t>
            </w:r>
          </w:p>
        </w:tc>
        <w:tc>
          <w:tcPr>
            <w:tcW w:w="4050" w:type="dxa"/>
            <w:tcBorders>
              <w:top w:val="nil"/>
              <w:left w:val="nil"/>
              <w:bottom w:val="single" w:sz="4" w:space="0" w:color="auto"/>
              <w:right w:val="single" w:sz="4" w:space="0" w:color="auto"/>
            </w:tcBorders>
            <w:vAlign w:val="bottom"/>
            <w:hideMark/>
          </w:tcPr>
          <w:p w14:paraId="1128C24A"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OFFICE FOR REFUGEES AND IMMIGRANTS</w:t>
            </w:r>
          </w:p>
        </w:tc>
        <w:tc>
          <w:tcPr>
            <w:tcW w:w="1260" w:type="dxa"/>
            <w:tcBorders>
              <w:top w:val="nil"/>
              <w:left w:val="nil"/>
              <w:bottom w:val="single" w:sz="4" w:space="0" w:color="auto"/>
              <w:right w:val="single" w:sz="4" w:space="0" w:color="auto"/>
            </w:tcBorders>
            <w:vAlign w:val="bottom"/>
            <w:hideMark/>
          </w:tcPr>
          <w:p w14:paraId="63B2578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$4,896,413</w:t>
            </w:r>
          </w:p>
        </w:tc>
        <w:tc>
          <w:tcPr>
            <w:tcW w:w="1170" w:type="dxa"/>
            <w:tcBorders>
              <w:top w:val="nil"/>
              <w:left w:val="nil"/>
              <w:bottom w:val="single" w:sz="4" w:space="0" w:color="auto"/>
              <w:right w:val="single" w:sz="4" w:space="0" w:color="auto"/>
            </w:tcBorders>
            <w:vAlign w:val="bottom"/>
            <w:hideMark/>
          </w:tcPr>
          <w:p w14:paraId="4BD52DF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$122,410</w:t>
            </w:r>
          </w:p>
        </w:tc>
        <w:tc>
          <w:tcPr>
            <w:tcW w:w="1260" w:type="dxa"/>
            <w:tcBorders>
              <w:top w:val="nil"/>
              <w:left w:val="nil"/>
              <w:bottom w:val="single" w:sz="4" w:space="0" w:color="auto"/>
              <w:right w:val="single" w:sz="4" w:space="0" w:color="auto"/>
            </w:tcBorders>
            <w:vAlign w:val="bottom"/>
            <w:hideMark/>
          </w:tcPr>
          <w:p w14:paraId="4C52091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$287,236</w:t>
            </w:r>
          </w:p>
        </w:tc>
        <w:tc>
          <w:tcPr>
            <w:tcW w:w="1080" w:type="dxa"/>
            <w:tcBorders>
              <w:top w:val="nil"/>
              <w:left w:val="nil"/>
              <w:bottom w:val="single" w:sz="4" w:space="0" w:color="auto"/>
              <w:right w:val="single" w:sz="4" w:space="0" w:color="auto"/>
            </w:tcBorders>
            <w:vAlign w:val="bottom"/>
            <w:hideMark/>
          </w:tcPr>
          <w:p w14:paraId="0234A54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8B6804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$287,236</w:t>
            </w:r>
          </w:p>
        </w:tc>
        <w:tc>
          <w:tcPr>
            <w:tcW w:w="1170" w:type="dxa"/>
            <w:tcBorders>
              <w:top w:val="nil"/>
              <w:left w:val="nil"/>
              <w:bottom w:val="single" w:sz="4" w:space="0" w:color="auto"/>
              <w:right w:val="single" w:sz="4" w:space="0" w:color="auto"/>
            </w:tcBorders>
            <w:vAlign w:val="bottom"/>
            <w:hideMark/>
          </w:tcPr>
          <w:p w14:paraId="4C63B63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234.65%</w:t>
            </w:r>
          </w:p>
        </w:tc>
        <w:tc>
          <w:tcPr>
            <w:tcW w:w="1260" w:type="dxa"/>
            <w:tcBorders>
              <w:top w:val="nil"/>
              <w:left w:val="nil"/>
              <w:bottom w:val="single" w:sz="4" w:space="0" w:color="auto"/>
              <w:right w:val="single" w:sz="4" w:space="0" w:color="auto"/>
            </w:tcBorders>
            <w:vAlign w:val="bottom"/>
            <w:hideMark/>
          </w:tcPr>
          <w:p w14:paraId="2852B3C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$164,826</w:t>
            </w:r>
          </w:p>
        </w:tc>
      </w:tr>
      <w:tr w:rsidR="00433DC8" w:rsidRPr="005217C3" w14:paraId="0AB7DF90"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0E282AF7"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EHS</w:t>
            </w:r>
          </w:p>
        </w:tc>
        <w:tc>
          <w:tcPr>
            <w:tcW w:w="630" w:type="dxa"/>
            <w:tcBorders>
              <w:top w:val="nil"/>
              <w:left w:val="nil"/>
              <w:bottom w:val="single" w:sz="4" w:space="0" w:color="auto"/>
              <w:right w:val="single" w:sz="4" w:space="0" w:color="auto"/>
            </w:tcBorders>
            <w:vAlign w:val="bottom"/>
            <w:hideMark/>
          </w:tcPr>
          <w:p w14:paraId="3604FD8E"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HLY</w:t>
            </w:r>
          </w:p>
        </w:tc>
        <w:tc>
          <w:tcPr>
            <w:tcW w:w="4050" w:type="dxa"/>
            <w:tcBorders>
              <w:top w:val="nil"/>
              <w:left w:val="nil"/>
              <w:bottom w:val="single" w:sz="4" w:space="0" w:color="auto"/>
              <w:right w:val="single" w:sz="4" w:space="0" w:color="auto"/>
            </w:tcBorders>
            <w:vAlign w:val="bottom"/>
            <w:hideMark/>
          </w:tcPr>
          <w:p w14:paraId="787FF06C"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SOLDIERS' HOME IN HOLYOKE</w:t>
            </w:r>
          </w:p>
        </w:tc>
        <w:tc>
          <w:tcPr>
            <w:tcW w:w="1260" w:type="dxa"/>
            <w:tcBorders>
              <w:top w:val="nil"/>
              <w:left w:val="nil"/>
              <w:bottom w:val="single" w:sz="4" w:space="0" w:color="auto"/>
              <w:right w:val="single" w:sz="4" w:space="0" w:color="auto"/>
            </w:tcBorders>
            <w:vAlign w:val="bottom"/>
            <w:hideMark/>
          </w:tcPr>
          <w:p w14:paraId="5F37562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$1,481,326</w:t>
            </w:r>
          </w:p>
        </w:tc>
        <w:tc>
          <w:tcPr>
            <w:tcW w:w="1170" w:type="dxa"/>
            <w:tcBorders>
              <w:top w:val="nil"/>
              <w:left w:val="nil"/>
              <w:bottom w:val="single" w:sz="4" w:space="0" w:color="auto"/>
              <w:right w:val="single" w:sz="4" w:space="0" w:color="auto"/>
            </w:tcBorders>
            <w:vAlign w:val="bottom"/>
            <w:hideMark/>
          </w:tcPr>
          <w:p w14:paraId="68F0AD7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$37,033</w:t>
            </w:r>
          </w:p>
        </w:tc>
        <w:tc>
          <w:tcPr>
            <w:tcW w:w="1260" w:type="dxa"/>
            <w:tcBorders>
              <w:top w:val="nil"/>
              <w:left w:val="nil"/>
              <w:bottom w:val="single" w:sz="4" w:space="0" w:color="auto"/>
              <w:right w:val="single" w:sz="4" w:space="0" w:color="auto"/>
            </w:tcBorders>
            <w:vAlign w:val="bottom"/>
            <w:hideMark/>
          </w:tcPr>
          <w:p w14:paraId="743BC13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$150,908</w:t>
            </w:r>
          </w:p>
        </w:tc>
        <w:tc>
          <w:tcPr>
            <w:tcW w:w="1080" w:type="dxa"/>
            <w:tcBorders>
              <w:top w:val="nil"/>
              <w:left w:val="nil"/>
              <w:bottom w:val="single" w:sz="4" w:space="0" w:color="auto"/>
              <w:right w:val="single" w:sz="4" w:space="0" w:color="auto"/>
            </w:tcBorders>
            <w:vAlign w:val="bottom"/>
            <w:hideMark/>
          </w:tcPr>
          <w:p w14:paraId="3371298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75347A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$150,908</w:t>
            </w:r>
          </w:p>
        </w:tc>
        <w:tc>
          <w:tcPr>
            <w:tcW w:w="1170" w:type="dxa"/>
            <w:tcBorders>
              <w:top w:val="nil"/>
              <w:left w:val="nil"/>
              <w:bottom w:val="single" w:sz="4" w:space="0" w:color="auto"/>
              <w:right w:val="single" w:sz="4" w:space="0" w:color="auto"/>
            </w:tcBorders>
            <w:vAlign w:val="bottom"/>
            <w:hideMark/>
          </w:tcPr>
          <w:p w14:paraId="70F0DE8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407.50%</w:t>
            </w:r>
          </w:p>
        </w:tc>
        <w:tc>
          <w:tcPr>
            <w:tcW w:w="1260" w:type="dxa"/>
            <w:tcBorders>
              <w:top w:val="nil"/>
              <w:left w:val="nil"/>
              <w:bottom w:val="single" w:sz="4" w:space="0" w:color="auto"/>
              <w:right w:val="single" w:sz="4" w:space="0" w:color="auto"/>
            </w:tcBorders>
            <w:vAlign w:val="bottom"/>
            <w:hideMark/>
          </w:tcPr>
          <w:p w14:paraId="6395F3D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$113,875</w:t>
            </w:r>
          </w:p>
        </w:tc>
      </w:tr>
      <w:tr w:rsidR="00433DC8" w:rsidRPr="005217C3" w14:paraId="4F52EE5A" w14:textId="77777777" w:rsidTr="009050D8">
        <w:trPr>
          <w:trHeight w:val="170"/>
        </w:trPr>
        <w:tc>
          <w:tcPr>
            <w:tcW w:w="630" w:type="dxa"/>
            <w:tcBorders>
              <w:top w:val="nil"/>
              <w:left w:val="single" w:sz="4" w:space="0" w:color="auto"/>
              <w:bottom w:val="nil"/>
              <w:right w:val="single" w:sz="4" w:space="0" w:color="auto"/>
            </w:tcBorders>
            <w:vAlign w:val="bottom"/>
            <w:hideMark/>
          </w:tcPr>
          <w:p w14:paraId="4B085F18"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EHS</w:t>
            </w:r>
          </w:p>
        </w:tc>
        <w:tc>
          <w:tcPr>
            <w:tcW w:w="630" w:type="dxa"/>
            <w:tcBorders>
              <w:top w:val="nil"/>
              <w:left w:val="nil"/>
              <w:bottom w:val="nil"/>
              <w:right w:val="single" w:sz="4" w:space="0" w:color="auto"/>
            </w:tcBorders>
            <w:vAlign w:val="bottom"/>
            <w:hideMark/>
          </w:tcPr>
          <w:p w14:paraId="1B34F603"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CHE</w:t>
            </w:r>
          </w:p>
        </w:tc>
        <w:tc>
          <w:tcPr>
            <w:tcW w:w="4050" w:type="dxa"/>
            <w:tcBorders>
              <w:top w:val="nil"/>
              <w:left w:val="nil"/>
              <w:bottom w:val="nil"/>
              <w:right w:val="single" w:sz="4" w:space="0" w:color="auto"/>
            </w:tcBorders>
            <w:vAlign w:val="bottom"/>
            <w:hideMark/>
          </w:tcPr>
          <w:p w14:paraId="59CE7FD8"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SOLDIERS' HOME IN MASSACHUSETTS</w:t>
            </w:r>
          </w:p>
        </w:tc>
        <w:tc>
          <w:tcPr>
            <w:tcW w:w="1260" w:type="dxa"/>
            <w:tcBorders>
              <w:top w:val="nil"/>
              <w:left w:val="nil"/>
              <w:bottom w:val="nil"/>
              <w:right w:val="single" w:sz="4" w:space="0" w:color="auto"/>
            </w:tcBorders>
            <w:vAlign w:val="bottom"/>
            <w:hideMark/>
          </w:tcPr>
          <w:p w14:paraId="620B687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$2,932,360</w:t>
            </w:r>
          </w:p>
        </w:tc>
        <w:tc>
          <w:tcPr>
            <w:tcW w:w="1170" w:type="dxa"/>
            <w:tcBorders>
              <w:top w:val="nil"/>
              <w:left w:val="nil"/>
              <w:bottom w:val="nil"/>
              <w:right w:val="single" w:sz="4" w:space="0" w:color="auto"/>
            </w:tcBorders>
            <w:vAlign w:val="bottom"/>
            <w:hideMark/>
          </w:tcPr>
          <w:p w14:paraId="6AB4A09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$73,309</w:t>
            </w:r>
          </w:p>
        </w:tc>
        <w:tc>
          <w:tcPr>
            <w:tcW w:w="1260" w:type="dxa"/>
            <w:tcBorders>
              <w:top w:val="nil"/>
              <w:left w:val="nil"/>
              <w:bottom w:val="nil"/>
              <w:right w:val="single" w:sz="4" w:space="0" w:color="auto"/>
            </w:tcBorders>
            <w:vAlign w:val="bottom"/>
            <w:hideMark/>
          </w:tcPr>
          <w:p w14:paraId="2E825DA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$779,702</w:t>
            </w:r>
          </w:p>
        </w:tc>
        <w:tc>
          <w:tcPr>
            <w:tcW w:w="1080" w:type="dxa"/>
            <w:tcBorders>
              <w:top w:val="nil"/>
              <w:left w:val="nil"/>
              <w:bottom w:val="nil"/>
              <w:right w:val="single" w:sz="4" w:space="0" w:color="auto"/>
            </w:tcBorders>
            <w:vAlign w:val="bottom"/>
            <w:hideMark/>
          </w:tcPr>
          <w:p w14:paraId="5A4FDFD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454AB42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$779,702</w:t>
            </w:r>
          </w:p>
        </w:tc>
        <w:tc>
          <w:tcPr>
            <w:tcW w:w="1170" w:type="dxa"/>
            <w:tcBorders>
              <w:top w:val="nil"/>
              <w:left w:val="nil"/>
              <w:bottom w:val="nil"/>
              <w:right w:val="single" w:sz="4" w:space="0" w:color="auto"/>
            </w:tcBorders>
            <w:vAlign w:val="bottom"/>
            <w:hideMark/>
          </w:tcPr>
          <w:p w14:paraId="5DED80A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1063.58%</w:t>
            </w:r>
          </w:p>
        </w:tc>
        <w:tc>
          <w:tcPr>
            <w:tcW w:w="1260" w:type="dxa"/>
            <w:tcBorders>
              <w:top w:val="nil"/>
              <w:left w:val="nil"/>
              <w:bottom w:val="nil"/>
              <w:right w:val="single" w:sz="4" w:space="0" w:color="auto"/>
            </w:tcBorders>
            <w:vAlign w:val="bottom"/>
            <w:hideMark/>
          </w:tcPr>
          <w:p w14:paraId="7B6E3E2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$706,393</w:t>
            </w:r>
          </w:p>
        </w:tc>
      </w:tr>
      <w:tr w:rsidR="00433DC8" w:rsidRPr="005217C3" w14:paraId="4CA0D099" w14:textId="77777777" w:rsidTr="009050D8">
        <w:trPr>
          <w:trHeight w:val="160"/>
        </w:trPr>
        <w:tc>
          <w:tcPr>
            <w:tcW w:w="5310" w:type="dxa"/>
            <w:gridSpan w:val="3"/>
            <w:tcBorders>
              <w:top w:val="single" w:sz="8" w:space="0" w:color="auto"/>
              <w:left w:val="single" w:sz="8" w:space="0" w:color="auto"/>
              <w:bottom w:val="single" w:sz="8" w:space="0" w:color="auto"/>
              <w:right w:val="single" w:sz="4" w:space="0" w:color="000000"/>
            </w:tcBorders>
            <w:shd w:val="clear" w:color="000000" w:fill="D8E4BC"/>
            <w:vAlign w:val="bottom"/>
            <w:hideMark/>
          </w:tcPr>
          <w:p w14:paraId="3B8ED587"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71A265EB"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$3,061,908,112</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7E2CEC51"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$76,547,703</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1C72DAAF"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$57,073,446</w:t>
            </w:r>
          </w:p>
        </w:tc>
        <w:tc>
          <w:tcPr>
            <w:tcW w:w="1080" w:type="dxa"/>
            <w:tcBorders>
              <w:top w:val="single" w:sz="8" w:space="0" w:color="auto"/>
              <w:left w:val="nil"/>
              <w:bottom w:val="single" w:sz="8" w:space="0" w:color="auto"/>
              <w:right w:val="single" w:sz="4" w:space="0" w:color="auto"/>
            </w:tcBorders>
            <w:shd w:val="clear" w:color="000000" w:fill="D8E4BC"/>
            <w:vAlign w:val="bottom"/>
            <w:hideMark/>
          </w:tcPr>
          <w:p w14:paraId="7D3C3DC4"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0B1A9260"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$57,073,446</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156E1E41"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74.56%</w:t>
            </w:r>
          </w:p>
        </w:tc>
        <w:tc>
          <w:tcPr>
            <w:tcW w:w="1260" w:type="dxa"/>
            <w:tcBorders>
              <w:top w:val="single" w:sz="8" w:space="0" w:color="auto"/>
              <w:left w:val="nil"/>
              <w:bottom w:val="single" w:sz="8" w:space="0" w:color="auto"/>
              <w:right w:val="single" w:sz="8" w:space="0" w:color="auto"/>
            </w:tcBorders>
            <w:shd w:val="clear" w:color="000000" w:fill="D8E4BC"/>
            <w:vAlign w:val="bottom"/>
            <w:hideMark/>
          </w:tcPr>
          <w:p w14:paraId="3C8B71FD"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-$19,474,257</w:t>
            </w:r>
          </w:p>
        </w:tc>
      </w:tr>
      <w:tr w:rsidR="00433DC8" w:rsidRPr="005217C3" w14:paraId="604484CE" w14:textId="77777777" w:rsidTr="009050D8">
        <w:trPr>
          <w:trHeight w:val="160"/>
        </w:trPr>
        <w:tc>
          <w:tcPr>
            <w:tcW w:w="630" w:type="dxa"/>
            <w:tcBorders>
              <w:top w:val="nil"/>
              <w:left w:val="single" w:sz="4" w:space="0" w:color="auto"/>
              <w:bottom w:val="single" w:sz="4" w:space="0" w:color="auto"/>
              <w:right w:val="single" w:sz="4" w:space="0" w:color="auto"/>
            </w:tcBorders>
            <w:vAlign w:val="bottom"/>
            <w:hideMark/>
          </w:tcPr>
          <w:p w14:paraId="506F67AE"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ENV</w:t>
            </w:r>
          </w:p>
        </w:tc>
        <w:tc>
          <w:tcPr>
            <w:tcW w:w="630" w:type="dxa"/>
            <w:tcBorders>
              <w:top w:val="nil"/>
              <w:left w:val="nil"/>
              <w:bottom w:val="single" w:sz="4" w:space="0" w:color="auto"/>
              <w:right w:val="single" w:sz="4" w:space="0" w:color="auto"/>
            </w:tcBorders>
            <w:vAlign w:val="bottom"/>
            <w:hideMark/>
          </w:tcPr>
          <w:p w14:paraId="5CE95FD7"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AGR</w:t>
            </w:r>
          </w:p>
        </w:tc>
        <w:tc>
          <w:tcPr>
            <w:tcW w:w="4050" w:type="dxa"/>
            <w:tcBorders>
              <w:top w:val="nil"/>
              <w:left w:val="nil"/>
              <w:bottom w:val="single" w:sz="4" w:space="0" w:color="auto"/>
              <w:right w:val="single" w:sz="4" w:space="0" w:color="auto"/>
            </w:tcBorders>
            <w:vAlign w:val="bottom"/>
            <w:hideMark/>
          </w:tcPr>
          <w:p w14:paraId="000EAEF3"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AGRICULTURAL RESOURCES</w:t>
            </w:r>
          </w:p>
        </w:tc>
        <w:tc>
          <w:tcPr>
            <w:tcW w:w="1260" w:type="dxa"/>
            <w:tcBorders>
              <w:top w:val="nil"/>
              <w:left w:val="nil"/>
              <w:bottom w:val="single" w:sz="4" w:space="0" w:color="auto"/>
              <w:right w:val="single" w:sz="4" w:space="0" w:color="auto"/>
            </w:tcBorders>
            <w:vAlign w:val="bottom"/>
            <w:hideMark/>
          </w:tcPr>
          <w:p w14:paraId="4E5A4CB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$905,459</w:t>
            </w:r>
          </w:p>
        </w:tc>
        <w:tc>
          <w:tcPr>
            <w:tcW w:w="1170" w:type="dxa"/>
            <w:tcBorders>
              <w:top w:val="nil"/>
              <w:left w:val="nil"/>
              <w:bottom w:val="single" w:sz="4" w:space="0" w:color="auto"/>
              <w:right w:val="single" w:sz="4" w:space="0" w:color="auto"/>
            </w:tcBorders>
            <w:vAlign w:val="bottom"/>
            <w:hideMark/>
          </w:tcPr>
          <w:p w14:paraId="793DB0F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$22,636</w:t>
            </w:r>
          </w:p>
        </w:tc>
        <w:tc>
          <w:tcPr>
            <w:tcW w:w="1260" w:type="dxa"/>
            <w:tcBorders>
              <w:top w:val="nil"/>
              <w:left w:val="nil"/>
              <w:bottom w:val="single" w:sz="4" w:space="0" w:color="auto"/>
              <w:right w:val="single" w:sz="4" w:space="0" w:color="auto"/>
            </w:tcBorders>
            <w:vAlign w:val="bottom"/>
            <w:hideMark/>
          </w:tcPr>
          <w:p w14:paraId="4EB9F85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$71,311</w:t>
            </w:r>
          </w:p>
        </w:tc>
        <w:tc>
          <w:tcPr>
            <w:tcW w:w="1080" w:type="dxa"/>
            <w:tcBorders>
              <w:top w:val="nil"/>
              <w:left w:val="nil"/>
              <w:bottom w:val="single" w:sz="4" w:space="0" w:color="auto"/>
              <w:right w:val="single" w:sz="4" w:space="0" w:color="auto"/>
            </w:tcBorders>
            <w:vAlign w:val="bottom"/>
            <w:hideMark/>
          </w:tcPr>
          <w:p w14:paraId="4F785BD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768698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$71,311</w:t>
            </w:r>
          </w:p>
        </w:tc>
        <w:tc>
          <w:tcPr>
            <w:tcW w:w="1170" w:type="dxa"/>
            <w:tcBorders>
              <w:top w:val="nil"/>
              <w:left w:val="nil"/>
              <w:bottom w:val="single" w:sz="4" w:space="0" w:color="auto"/>
              <w:right w:val="single" w:sz="4" w:space="0" w:color="auto"/>
            </w:tcBorders>
            <w:vAlign w:val="bottom"/>
            <w:hideMark/>
          </w:tcPr>
          <w:p w14:paraId="5BA6184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315.03%</w:t>
            </w:r>
          </w:p>
        </w:tc>
        <w:tc>
          <w:tcPr>
            <w:tcW w:w="1260" w:type="dxa"/>
            <w:tcBorders>
              <w:top w:val="nil"/>
              <w:left w:val="nil"/>
              <w:bottom w:val="single" w:sz="4" w:space="0" w:color="auto"/>
              <w:right w:val="single" w:sz="4" w:space="0" w:color="auto"/>
            </w:tcBorders>
            <w:vAlign w:val="bottom"/>
            <w:hideMark/>
          </w:tcPr>
          <w:p w14:paraId="0DFDE4F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$48,675</w:t>
            </w:r>
          </w:p>
        </w:tc>
      </w:tr>
      <w:tr w:rsidR="00433DC8" w:rsidRPr="005217C3" w14:paraId="2BBD1D7D"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3FA7C6D3"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ENV</w:t>
            </w:r>
          </w:p>
        </w:tc>
        <w:tc>
          <w:tcPr>
            <w:tcW w:w="630" w:type="dxa"/>
            <w:tcBorders>
              <w:top w:val="nil"/>
              <w:left w:val="nil"/>
              <w:bottom w:val="single" w:sz="4" w:space="0" w:color="auto"/>
              <w:right w:val="single" w:sz="4" w:space="0" w:color="auto"/>
            </w:tcBorders>
            <w:vAlign w:val="bottom"/>
            <w:hideMark/>
          </w:tcPr>
          <w:p w14:paraId="22836D63"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DCR</w:t>
            </w:r>
          </w:p>
        </w:tc>
        <w:tc>
          <w:tcPr>
            <w:tcW w:w="4050" w:type="dxa"/>
            <w:tcBorders>
              <w:top w:val="nil"/>
              <w:left w:val="nil"/>
              <w:bottom w:val="single" w:sz="4" w:space="0" w:color="auto"/>
              <w:right w:val="single" w:sz="4" w:space="0" w:color="auto"/>
            </w:tcBorders>
            <w:vAlign w:val="bottom"/>
            <w:hideMark/>
          </w:tcPr>
          <w:p w14:paraId="2708358D"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CONSERVATION AND RECREATION</w:t>
            </w:r>
          </w:p>
        </w:tc>
        <w:tc>
          <w:tcPr>
            <w:tcW w:w="1260" w:type="dxa"/>
            <w:tcBorders>
              <w:top w:val="nil"/>
              <w:left w:val="nil"/>
              <w:bottom w:val="single" w:sz="4" w:space="0" w:color="auto"/>
              <w:right w:val="single" w:sz="4" w:space="0" w:color="auto"/>
            </w:tcBorders>
            <w:vAlign w:val="bottom"/>
            <w:hideMark/>
          </w:tcPr>
          <w:p w14:paraId="00FB19C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$28,312,350</w:t>
            </w:r>
          </w:p>
        </w:tc>
        <w:tc>
          <w:tcPr>
            <w:tcW w:w="1170" w:type="dxa"/>
            <w:tcBorders>
              <w:top w:val="nil"/>
              <w:left w:val="nil"/>
              <w:bottom w:val="single" w:sz="4" w:space="0" w:color="auto"/>
              <w:right w:val="single" w:sz="4" w:space="0" w:color="auto"/>
            </w:tcBorders>
            <w:vAlign w:val="bottom"/>
            <w:hideMark/>
          </w:tcPr>
          <w:p w14:paraId="3C177EB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$707,809</w:t>
            </w:r>
          </w:p>
        </w:tc>
        <w:tc>
          <w:tcPr>
            <w:tcW w:w="1260" w:type="dxa"/>
            <w:tcBorders>
              <w:top w:val="nil"/>
              <w:left w:val="nil"/>
              <w:bottom w:val="single" w:sz="4" w:space="0" w:color="auto"/>
              <w:right w:val="single" w:sz="4" w:space="0" w:color="auto"/>
            </w:tcBorders>
            <w:vAlign w:val="bottom"/>
            <w:hideMark/>
          </w:tcPr>
          <w:p w14:paraId="6C65138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$8,993,952</w:t>
            </w:r>
          </w:p>
        </w:tc>
        <w:tc>
          <w:tcPr>
            <w:tcW w:w="1080" w:type="dxa"/>
            <w:tcBorders>
              <w:top w:val="nil"/>
              <w:left w:val="nil"/>
              <w:bottom w:val="single" w:sz="4" w:space="0" w:color="auto"/>
              <w:right w:val="single" w:sz="4" w:space="0" w:color="auto"/>
            </w:tcBorders>
            <w:vAlign w:val="bottom"/>
            <w:hideMark/>
          </w:tcPr>
          <w:p w14:paraId="7CAA768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291450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$8,993,952</w:t>
            </w:r>
          </w:p>
        </w:tc>
        <w:tc>
          <w:tcPr>
            <w:tcW w:w="1170" w:type="dxa"/>
            <w:tcBorders>
              <w:top w:val="nil"/>
              <w:left w:val="nil"/>
              <w:bottom w:val="single" w:sz="4" w:space="0" w:color="auto"/>
              <w:right w:val="single" w:sz="4" w:space="0" w:color="auto"/>
            </w:tcBorders>
            <w:vAlign w:val="bottom"/>
            <w:hideMark/>
          </w:tcPr>
          <w:p w14:paraId="0A12C5E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1270.68%</w:t>
            </w:r>
          </w:p>
        </w:tc>
        <w:tc>
          <w:tcPr>
            <w:tcW w:w="1260" w:type="dxa"/>
            <w:tcBorders>
              <w:top w:val="nil"/>
              <w:left w:val="nil"/>
              <w:bottom w:val="single" w:sz="4" w:space="0" w:color="auto"/>
              <w:right w:val="single" w:sz="4" w:space="0" w:color="auto"/>
            </w:tcBorders>
            <w:vAlign w:val="bottom"/>
            <w:hideMark/>
          </w:tcPr>
          <w:p w14:paraId="0D3E57D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$8,286,143</w:t>
            </w:r>
          </w:p>
        </w:tc>
      </w:tr>
      <w:tr w:rsidR="00433DC8" w:rsidRPr="005217C3" w14:paraId="10054E7B"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11210F57"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ENV</w:t>
            </w:r>
          </w:p>
        </w:tc>
        <w:tc>
          <w:tcPr>
            <w:tcW w:w="630" w:type="dxa"/>
            <w:tcBorders>
              <w:top w:val="nil"/>
              <w:left w:val="nil"/>
              <w:bottom w:val="single" w:sz="4" w:space="0" w:color="auto"/>
              <w:right w:val="single" w:sz="4" w:space="0" w:color="auto"/>
            </w:tcBorders>
            <w:vAlign w:val="bottom"/>
            <w:hideMark/>
          </w:tcPr>
          <w:p w14:paraId="3C5648A9"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ENE</w:t>
            </w:r>
          </w:p>
        </w:tc>
        <w:tc>
          <w:tcPr>
            <w:tcW w:w="4050" w:type="dxa"/>
            <w:tcBorders>
              <w:top w:val="nil"/>
              <w:left w:val="nil"/>
              <w:bottom w:val="single" w:sz="4" w:space="0" w:color="auto"/>
              <w:right w:val="single" w:sz="4" w:space="0" w:color="auto"/>
            </w:tcBorders>
            <w:vAlign w:val="bottom"/>
            <w:hideMark/>
          </w:tcPr>
          <w:p w14:paraId="552E3CE2"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ENERGY RESOURCES</w:t>
            </w:r>
          </w:p>
        </w:tc>
        <w:tc>
          <w:tcPr>
            <w:tcW w:w="1260" w:type="dxa"/>
            <w:tcBorders>
              <w:top w:val="nil"/>
              <w:left w:val="nil"/>
              <w:bottom w:val="single" w:sz="4" w:space="0" w:color="auto"/>
              <w:right w:val="single" w:sz="4" w:space="0" w:color="auto"/>
            </w:tcBorders>
            <w:vAlign w:val="bottom"/>
            <w:hideMark/>
          </w:tcPr>
          <w:p w14:paraId="69E27A7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$210,000</w:t>
            </w:r>
          </w:p>
        </w:tc>
        <w:tc>
          <w:tcPr>
            <w:tcW w:w="1170" w:type="dxa"/>
            <w:tcBorders>
              <w:top w:val="nil"/>
              <w:left w:val="nil"/>
              <w:bottom w:val="single" w:sz="4" w:space="0" w:color="auto"/>
              <w:right w:val="single" w:sz="4" w:space="0" w:color="auto"/>
            </w:tcBorders>
            <w:vAlign w:val="bottom"/>
            <w:hideMark/>
          </w:tcPr>
          <w:p w14:paraId="3082568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$5,250</w:t>
            </w:r>
          </w:p>
        </w:tc>
        <w:tc>
          <w:tcPr>
            <w:tcW w:w="1260" w:type="dxa"/>
            <w:tcBorders>
              <w:top w:val="nil"/>
              <w:left w:val="nil"/>
              <w:bottom w:val="single" w:sz="4" w:space="0" w:color="auto"/>
              <w:right w:val="single" w:sz="4" w:space="0" w:color="auto"/>
            </w:tcBorders>
            <w:vAlign w:val="bottom"/>
            <w:hideMark/>
          </w:tcPr>
          <w:p w14:paraId="133DF3E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$947,859</w:t>
            </w:r>
          </w:p>
        </w:tc>
        <w:tc>
          <w:tcPr>
            <w:tcW w:w="1080" w:type="dxa"/>
            <w:tcBorders>
              <w:top w:val="nil"/>
              <w:left w:val="nil"/>
              <w:bottom w:val="single" w:sz="4" w:space="0" w:color="auto"/>
              <w:right w:val="single" w:sz="4" w:space="0" w:color="auto"/>
            </w:tcBorders>
            <w:vAlign w:val="bottom"/>
            <w:hideMark/>
          </w:tcPr>
          <w:p w14:paraId="4AC19DC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0CDFCF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$947,859</w:t>
            </w:r>
          </w:p>
        </w:tc>
        <w:tc>
          <w:tcPr>
            <w:tcW w:w="1170" w:type="dxa"/>
            <w:tcBorders>
              <w:top w:val="nil"/>
              <w:left w:val="nil"/>
              <w:bottom w:val="single" w:sz="4" w:space="0" w:color="auto"/>
              <w:right w:val="single" w:sz="4" w:space="0" w:color="auto"/>
            </w:tcBorders>
            <w:vAlign w:val="bottom"/>
            <w:hideMark/>
          </w:tcPr>
          <w:p w14:paraId="796E28E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18054.46%</w:t>
            </w:r>
          </w:p>
        </w:tc>
        <w:tc>
          <w:tcPr>
            <w:tcW w:w="1260" w:type="dxa"/>
            <w:tcBorders>
              <w:top w:val="nil"/>
              <w:left w:val="nil"/>
              <w:bottom w:val="single" w:sz="4" w:space="0" w:color="auto"/>
              <w:right w:val="single" w:sz="4" w:space="0" w:color="auto"/>
            </w:tcBorders>
            <w:vAlign w:val="bottom"/>
            <w:hideMark/>
          </w:tcPr>
          <w:p w14:paraId="1224275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$942,609</w:t>
            </w:r>
          </w:p>
        </w:tc>
      </w:tr>
      <w:tr w:rsidR="00433DC8" w:rsidRPr="005217C3" w14:paraId="7861F0FC"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36A0886B"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ENV</w:t>
            </w:r>
          </w:p>
        </w:tc>
        <w:tc>
          <w:tcPr>
            <w:tcW w:w="630" w:type="dxa"/>
            <w:tcBorders>
              <w:top w:val="nil"/>
              <w:left w:val="nil"/>
              <w:bottom w:val="single" w:sz="4" w:space="0" w:color="auto"/>
              <w:right w:val="single" w:sz="4" w:space="0" w:color="auto"/>
            </w:tcBorders>
            <w:vAlign w:val="bottom"/>
            <w:hideMark/>
          </w:tcPr>
          <w:p w14:paraId="479E5281"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EQE</w:t>
            </w:r>
          </w:p>
        </w:tc>
        <w:tc>
          <w:tcPr>
            <w:tcW w:w="4050" w:type="dxa"/>
            <w:tcBorders>
              <w:top w:val="nil"/>
              <w:left w:val="nil"/>
              <w:bottom w:val="single" w:sz="4" w:space="0" w:color="auto"/>
              <w:right w:val="single" w:sz="4" w:space="0" w:color="auto"/>
            </w:tcBorders>
            <w:vAlign w:val="bottom"/>
            <w:hideMark/>
          </w:tcPr>
          <w:p w14:paraId="1FCFEC57"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ENVIRONMENTAL PROTECTION</w:t>
            </w:r>
          </w:p>
        </w:tc>
        <w:tc>
          <w:tcPr>
            <w:tcW w:w="1260" w:type="dxa"/>
            <w:tcBorders>
              <w:top w:val="nil"/>
              <w:left w:val="nil"/>
              <w:bottom w:val="single" w:sz="4" w:space="0" w:color="auto"/>
              <w:right w:val="single" w:sz="4" w:space="0" w:color="auto"/>
            </w:tcBorders>
            <w:vAlign w:val="bottom"/>
            <w:hideMark/>
          </w:tcPr>
          <w:p w14:paraId="06AA986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$10,029,945</w:t>
            </w:r>
          </w:p>
        </w:tc>
        <w:tc>
          <w:tcPr>
            <w:tcW w:w="1170" w:type="dxa"/>
            <w:tcBorders>
              <w:top w:val="nil"/>
              <w:left w:val="nil"/>
              <w:bottom w:val="single" w:sz="4" w:space="0" w:color="auto"/>
              <w:right w:val="single" w:sz="4" w:space="0" w:color="auto"/>
            </w:tcBorders>
            <w:vAlign w:val="bottom"/>
            <w:hideMark/>
          </w:tcPr>
          <w:p w14:paraId="59A5763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$250,749</w:t>
            </w:r>
          </w:p>
        </w:tc>
        <w:tc>
          <w:tcPr>
            <w:tcW w:w="1260" w:type="dxa"/>
            <w:tcBorders>
              <w:top w:val="nil"/>
              <w:left w:val="nil"/>
              <w:bottom w:val="single" w:sz="4" w:space="0" w:color="auto"/>
              <w:right w:val="single" w:sz="4" w:space="0" w:color="auto"/>
            </w:tcBorders>
            <w:vAlign w:val="bottom"/>
            <w:hideMark/>
          </w:tcPr>
          <w:p w14:paraId="3BB605A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$330,491</w:t>
            </w:r>
          </w:p>
        </w:tc>
        <w:tc>
          <w:tcPr>
            <w:tcW w:w="1080" w:type="dxa"/>
            <w:tcBorders>
              <w:top w:val="nil"/>
              <w:left w:val="nil"/>
              <w:bottom w:val="single" w:sz="4" w:space="0" w:color="auto"/>
              <w:right w:val="single" w:sz="4" w:space="0" w:color="auto"/>
            </w:tcBorders>
            <w:vAlign w:val="bottom"/>
            <w:hideMark/>
          </w:tcPr>
          <w:p w14:paraId="5103F5C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FF8441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$330,491</w:t>
            </w:r>
          </w:p>
        </w:tc>
        <w:tc>
          <w:tcPr>
            <w:tcW w:w="1170" w:type="dxa"/>
            <w:tcBorders>
              <w:top w:val="nil"/>
              <w:left w:val="nil"/>
              <w:bottom w:val="single" w:sz="4" w:space="0" w:color="auto"/>
              <w:right w:val="single" w:sz="4" w:space="0" w:color="auto"/>
            </w:tcBorders>
            <w:vAlign w:val="bottom"/>
            <w:hideMark/>
          </w:tcPr>
          <w:p w14:paraId="1258B85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131.80%</w:t>
            </w:r>
          </w:p>
        </w:tc>
        <w:tc>
          <w:tcPr>
            <w:tcW w:w="1260" w:type="dxa"/>
            <w:tcBorders>
              <w:top w:val="nil"/>
              <w:left w:val="nil"/>
              <w:bottom w:val="single" w:sz="4" w:space="0" w:color="auto"/>
              <w:right w:val="single" w:sz="4" w:space="0" w:color="auto"/>
            </w:tcBorders>
            <w:vAlign w:val="bottom"/>
            <w:hideMark/>
          </w:tcPr>
          <w:p w14:paraId="70A4ABD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$79,742</w:t>
            </w:r>
          </w:p>
        </w:tc>
      </w:tr>
      <w:tr w:rsidR="00433DC8" w:rsidRPr="005217C3" w14:paraId="6C59F747"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6066DA46"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ENV</w:t>
            </w:r>
          </w:p>
        </w:tc>
        <w:tc>
          <w:tcPr>
            <w:tcW w:w="630" w:type="dxa"/>
            <w:tcBorders>
              <w:top w:val="nil"/>
              <w:left w:val="nil"/>
              <w:bottom w:val="single" w:sz="4" w:space="0" w:color="auto"/>
              <w:right w:val="single" w:sz="4" w:space="0" w:color="auto"/>
            </w:tcBorders>
            <w:vAlign w:val="bottom"/>
            <w:hideMark/>
          </w:tcPr>
          <w:p w14:paraId="64D08A77"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FWE</w:t>
            </w:r>
          </w:p>
        </w:tc>
        <w:tc>
          <w:tcPr>
            <w:tcW w:w="4050" w:type="dxa"/>
            <w:tcBorders>
              <w:top w:val="nil"/>
              <w:left w:val="nil"/>
              <w:bottom w:val="single" w:sz="4" w:space="0" w:color="auto"/>
              <w:right w:val="single" w:sz="4" w:space="0" w:color="auto"/>
            </w:tcBorders>
            <w:vAlign w:val="bottom"/>
            <w:hideMark/>
          </w:tcPr>
          <w:p w14:paraId="2F5CEBAC"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FISH AND GAME</w:t>
            </w:r>
          </w:p>
        </w:tc>
        <w:tc>
          <w:tcPr>
            <w:tcW w:w="1260" w:type="dxa"/>
            <w:tcBorders>
              <w:top w:val="nil"/>
              <w:left w:val="nil"/>
              <w:bottom w:val="single" w:sz="4" w:space="0" w:color="auto"/>
              <w:right w:val="single" w:sz="4" w:space="0" w:color="auto"/>
            </w:tcBorders>
            <w:vAlign w:val="bottom"/>
            <w:hideMark/>
          </w:tcPr>
          <w:p w14:paraId="1AC9E34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$4,883,214</w:t>
            </w:r>
          </w:p>
        </w:tc>
        <w:tc>
          <w:tcPr>
            <w:tcW w:w="1170" w:type="dxa"/>
            <w:tcBorders>
              <w:top w:val="nil"/>
              <w:left w:val="nil"/>
              <w:bottom w:val="single" w:sz="4" w:space="0" w:color="auto"/>
              <w:right w:val="single" w:sz="4" w:space="0" w:color="auto"/>
            </w:tcBorders>
            <w:vAlign w:val="bottom"/>
            <w:hideMark/>
          </w:tcPr>
          <w:p w14:paraId="4E21D53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$122,080</w:t>
            </w:r>
          </w:p>
        </w:tc>
        <w:tc>
          <w:tcPr>
            <w:tcW w:w="1260" w:type="dxa"/>
            <w:tcBorders>
              <w:top w:val="nil"/>
              <w:left w:val="nil"/>
              <w:bottom w:val="single" w:sz="4" w:space="0" w:color="auto"/>
              <w:right w:val="single" w:sz="4" w:space="0" w:color="auto"/>
            </w:tcBorders>
            <w:vAlign w:val="bottom"/>
            <w:hideMark/>
          </w:tcPr>
          <w:p w14:paraId="02FC98F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$570,622</w:t>
            </w:r>
          </w:p>
        </w:tc>
        <w:tc>
          <w:tcPr>
            <w:tcW w:w="1080" w:type="dxa"/>
            <w:tcBorders>
              <w:top w:val="nil"/>
              <w:left w:val="nil"/>
              <w:bottom w:val="single" w:sz="4" w:space="0" w:color="auto"/>
              <w:right w:val="single" w:sz="4" w:space="0" w:color="auto"/>
            </w:tcBorders>
            <w:vAlign w:val="bottom"/>
            <w:hideMark/>
          </w:tcPr>
          <w:p w14:paraId="2F83E46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71DD827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$570,622</w:t>
            </w:r>
          </w:p>
        </w:tc>
        <w:tc>
          <w:tcPr>
            <w:tcW w:w="1170" w:type="dxa"/>
            <w:tcBorders>
              <w:top w:val="nil"/>
              <w:left w:val="nil"/>
              <w:bottom w:val="single" w:sz="4" w:space="0" w:color="auto"/>
              <w:right w:val="single" w:sz="4" w:space="0" w:color="auto"/>
            </w:tcBorders>
            <w:vAlign w:val="bottom"/>
            <w:hideMark/>
          </w:tcPr>
          <w:p w14:paraId="59E2A0D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467.41%</w:t>
            </w:r>
          </w:p>
        </w:tc>
        <w:tc>
          <w:tcPr>
            <w:tcW w:w="1260" w:type="dxa"/>
            <w:tcBorders>
              <w:top w:val="nil"/>
              <w:left w:val="nil"/>
              <w:bottom w:val="single" w:sz="4" w:space="0" w:color="auto"/>
              <w:right w:val="single" w:sz="4" w:space="0" w:color="auto"/>
            </w:tcBorders>
            <w:vAlign w:val="bottom"/>
            <w:hideMark/>
          </w:tcPr>
          <w:p w14:paraId="664125F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$448,541</w:t>
            </w:r>
          </w:p>
        </w:tc>
      </w:tr>
      <w:tr w:rsidR="00433DC8" w:rsidRPr="005217C3" w14:paraId="11D61660"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52703F60"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ENV</w:t>
            </w:r>
          </w:p>
        </w:tc>
        <w:tc>
          <w:tcPr>
            <w:tcW w:w="630" w:type="dxa"/>
            <w:tcBorders>
              <w:top w:val="nil"/>
              <w:left w:val="nil"/>
              <w:bottom w:val="single" w:sz="4" w:space="0" w:color="auto"/>
              <w:right w:val="single" w:sz="4" w:space="0" w:color="auto"/>
            </w:tcBorders>
            <w:vAlign w:val="bottom"/>
            <w:hideMark/>
          </w:tcPr>
          <w:p w14:paraId="373C24F6"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DPU</w:t>
            </w:r>
          </w:p>
        </w:tc>
        <w:tc>
          <w:tcPr>
            <w:tcW w:w="4050" w:type="dxa"/>
            <w:tcBorders>
              <w:top w:val="nil"/>
              <w:left w:val="nil"/>
              <w:bottom w:val="single" w:sz="4" w:space="0" w:color="auto"/>
              <w:right w:val="single" w:sz="4" w:space="0" w:color="auto"/>
            </w:tcBorders>
            <w:vAlign w:val="bottom"/>
            <w:hideMark/>
          </w:tcPr>
          <w:p w14:paraId="1962B81A"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PUBLIC UTILITIES</w:t>
            </w:r>
          </w:p>
        </w:tc>
        <w:tc>
          <w:tcPr>
            <w:tcW w:w="1260" w:type="dxa"/>
            <w:tcBorders>
              <w:top w:val="nil"/>
              <w:left w:val="nil"/>
              <w:bottom w:val="single" w:sz="4" w:space="0" w:color="auto"/>
              <w:right w:val="single" w:sz="4" w:space="0" w:color="auto"/>
            </w:tcBorders>
            <w:vAlign w:val="bottom"/>
            <w:hideMark/>
          </w:tcPr>
          <w:p w14:paraId="7B3D82E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$764,796</w:t>
            </w:r>
          </w:p>
        </w:tc>
        <w:tc>
          <w:tcPr>
            <w:tcW w:w="1170" w:type="dxa"/>
            <w:tcBorders>
              <w:top w:val="nil"/>
              <w:left w:val="nil"/>
              <w:bottom w:val="single" w:sz="4" w:space="0" w:color="auto"/>
              <w:right w:val="single" w:sz="4" w:space="0" w:color="auto"/>
            </w:tcBorders>
            <w:vAlign w:val="bottom"/>
            <w:hideMark/>
          </w:tcPr>
          <w:p w14:paraId="01D3C05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$19,120</w:t>
            </w:r>
          </w:p>
        </w:tc>
        <w:tc>
          <w:tcPr>
            <w:tcW w:w="1260" w:type="dxa"/>
            <w:tcBorders>
              <w:top w:val="nil"/>
              <w:left w:val="nil"/>
              <w:bottom w:val="single" w:sz="4" w:space="0" w:color="auto"/>
              <w:right w:val="single" w:sz="4" w:space="0" w:color="auto"/>
            </w:tcBorders>
            <w:vAlign w:val="bottom"/>
            <w:hideMark/>
          </w:tcPr>
          <w:p w14:paraId="3387B81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$233,780</w:t>
            </w:r>
          </w:p>
        </w:tc>
        <w:tc>
          <w:tcPr>
            <w:tcW w:w="1080" w:type="dxa"/>
            <w:tcBorders>
              <w:top w:val="nil"/>
              <w:left w:val="nil"/>
              <w:bottom w:val="single" w:sz="4" w:space="0" w:color="auto"/>
              <w:right w:val="single" w:sz="4" w:space="0" w:color="auto"/>
            </w:tcBorders>
            <w:vAlign w:val="bottom"/>
            <w:hideMark/>
          </w:tcPr>
          <w:p w14:paraId="78ADC09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3CC346B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$233,780</w:t>
            </w:r>
          </w:p>
        </w:tc>
        <w:tc>
          <w:tcPr>
            <w:tcW w:w="1170" w:type="dxa"/>
            <w:tcBorders>
              <w:top w:val="nil"/>
              <w:left w:val="nil"/>
              <w:bottom w:val="single" w:sz="4" w:space="0" w:color="auto"/>
              <w:right w:val="single" w:sz="4" w:space="0" w:color="auto"/>
            </w:tcBorders>
            <w:vAlign w:val="bottom"/>
            <w:hideMark/>
          </w:tcPr>
          <w:p w14:paraId="2A7CA1B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1222.70%</w:t>
            </w:r>
          </w:p>
        </w:tc>
        <w:tc>
          <w:tcPr>
            <w:tcW w:w="1260" w:type="dxa"/>
            <w:tcBorders>
              <w:top w:val="nil"/>
              <w:left w:val="nil"/>
              <w:bottom w:val="single" w:sz="4" w:space="0" w:color="auto"/>
              <w:right w:val="single" w:sz="4" w:space="0" w:color="auto"/>
            </w:tcBorders>
            <w:vAlign w:val="bottom"/>
            <w:hideMark/>
          </w:tcPr>
          <w:p w14:paraId="0A559F8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$214,660</w:t>
            </w:r>
          </w:p>
        </w:tc>
      </w:tr>
      <w:tr w:rsidR="00433DC8" w:rsidRPr="005217C3" w14:paraId="6E85C37C"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5D251EEA"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ENV</w:t>
            </w:r>
          </w:p>
        </w:tc>
        <w:tc>
          <w:tcPr>
            <w:tcW w:w="630" w:type="dxa"/>
            <w:tcBorders>
              <w:top w:val="nil"/>
              <w:left w:val="nil"/>
              <w:bottom w:val="single" w:sz="4" w:space="0" w:color="auto"/>
              <w:right w:val="single" w:sz="4" w:space="0" w:color="auto"/>
            </w:tcBorders>
            <w:vAlign w:val="bottom"/>
            <w:hideMark/>
          </w:tcPr>
          <w:p w14:paraId="741FE021"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ENV</w:t>
            </w:r>
          </w:p>
        </w:tc>
        <w:tc>
          <w:tcPr>
            <w:tcW w:w="4050" w:type="dxa"/>
            <w:tcBorders>
              <w:top w:val="nil"/>
              <w:left w:val="nil"/>
              <w:bottom w:val="single" w:sz="4" w:space="0" w:color="auto"/>
              <w:right w:val="single" w:sz="4" w:space="0" w:color="auto"/>
            </w:tcBorders>
            <w:vAlign w:val="bottom"/>
            <w:hideMark/>
          </w:tcPr>
          <w:p w14:paraId="05E64C20"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EXECUTIVE OFFICE OF ENVIRONMENTAL AFFAIRS</w:t>
            </w:r>
          </w:p>
        </w:tc>
        <w:tc>
          <w:tcPr>
            <w:tcW w:w="1260" w:type="dxa"/>
            <w:tcBorders>
              <w:top w:val="nil"/>
              <w:left w:val="nil"/>
              <w:bottom w:val="single" w:sz="4" w:space="0" w:color="auto"/>
              <w:right w:val="single" w:sz="4" w:space="0" w:color="auto"/>
            </w:tcBorders>
            <w:vAlign w:val="bottom"/>
            <w:hideMark/>
          </w:tcPr>
          <w:p w14:paraId="6F031E1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$5,989,337</w:t>
            </w:r>
          </w:p>
        </w:tc>
        <w:tc>
          <w:tcPr>
            <w:tcW w:w="1170" w:type="dxa"/>
            <w:tcBorders>
              <w:top w:val="nil"/>
              <w:left w:val="nil"/>
              <w:bottom w:val="single" w:sz="4" w:space="0" w:color="auto"/>
              <w:right w:val="single" w:sz="4" w:space="0" w:color="auto"/>
            </w:tcBorders>
            <w:vAlign w:val="bottom"/>
            <w:hideMark/>
          </w:tcPr>
          <w:p w14:paraId="65A680F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$149,733</w:t>
            </w:r>
          </w:p>
        </w:tc>
        <w:tc>
          <w:tcPr>
            <w:tcW w:w="1260" w:type="dxa"/>
            <w:tcBorders>
              <w:top w:val="nil"/>
              <w:left w:val="nil"/>
              <w:bottom w:val="single" w:sz="4" w:space="0" w:color="auto"/>
              <w:right w:val="single" w:sz="4" w:space="0" w:color="auto"/>
            </w:tcBorders>
            <w:vAlign w:val="bottom"/>
            <w:hideMark/>
          </w:tcPr>
          <w:p w14:paraId="3FAD921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$1,251,925</w:t>
            </w:r>
          </w:p>
        </w:tc>
        <w:tc>
          <w:tcPr>
            <w:tcW w:w="1080" w:type="dxa"/>
            <w:tcBorders>
              <w:top w:val="nil"/>
              <w:left w:val="nil"/>
              <w:bottom w:val="single" w:sz="4" w:space="0" w:color="auto"/>
              <w:right w:val="single" w:sz="4" w:space="0" w:color="auto"/>
            </w:tcBorders>
            <w:vAlign w:val="bottom"/>
            <w:hideMark/>
          </w:tcPr>
          <w:p w14:paraId="00C95AF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7B35F7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$1,251,925</w:t>
            </w:r>
          </w:p>
        </w:tc>
        <w:tc>
          <w:tcPr>
            <w:tcW w:w="1170" w:type="dxa"/>
            <w:tcBorders>
              <w:top w:val="nil"/>
              <w:left w:val="nil"/>
              <w:bottom w:val="single" w:sz="4" w:space="0" w:color="auto"/>
              <w:right w:val="single" w:sz="4" w:space="0" w:color="auto"/>
            </w:tcBorders>
            <w:vAlign w:val="bottom"/>
            <w:hideMark/>
          </w:tcPr>
          <w:p w14:paraId="476238B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836.10%</w:t>
            </w:r>
          </w:p>
        </w:tc>
        <w:tc>
          <w:tcPr>
            <w:tcW w:w="1260" w:type="dxa"/>
            <w:tcBorders>
              <w:top w:val="nil"/>
              <w:left w:val="nil"/>
              <w:bottom w:val="single" w:sz="4" w:space="0" w:color="auto"/>
              <w:right w:val="single" w:sz="4" w:space="0" w:color="auto"/>
            </w:tcBorders>
            <w:vAlign w:val="bottom"/>
            <w:hideMark/>
          </w:tcPr>
          <w:p w14:paraId="1E278E2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$1,102,191</w:t>
            </w:r>
          </w:p>
        </w:tc>
      </w:tr>
      <w:tr w:rsidR="00433DC8" w:rsidRPr="005217C3" w14:paraId="00095574" w14:textId="77777777" w:rsidTr="009050D8">
        <w:trPr>
          <w:trHeight w:val="170"/>
        </w:trPr>
        <w:tc>
          <w:tcPr>
            <w:tcW w:w="630" w:type="dxa"/>
            <w:tcBorders>
              <w:top w:val="nil"/>
              <w:left w:val="single" w:sz="4" w:space="0" w:color="auto"/>
              <w:bottom w:val="nil"/>
              <w:right w:val="single" w:sz="4" w:space="0" w:color="auto"/>
            </w:tcBorders>
            <w:vAlign w:val="bottom"/>
            <w:hideMark/>
          </w:tcPr>
          <w:p w14:paraId="1CA97146"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ENV</w:t>
            </w:r>
          </w:p>
        </w:tc>
        <w:tc>
          <w:tcPr>
            <w:tcW w:w="630" w:type="dxa"/>
            <w:tcBorders>
              <w:top w:val="nil"/>
              <w:left w:val="nil"/>
              <w:bottom w:val="nil"/>
              <w:right w:val="single" w:sz="4" w:space="0" w:color="auto"/>
            </w:tcBorders>
            <w:vAlign w:val="bottom"/>
            <w:hideMark/>
          </w:tcPr>
          <w:p w14:paraId="2B6B3C69"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SRB</w:t>
            </w:r>
          </w:p>
        </w:tc>
        <w:tc>
          <w:tcPr>
            <w:tcW w:w="4050" w:type="dxa"/>
            <w:tcBorders>
              <w:top w:val="nil"/>
              <w:left w:val="nil"/>
              <w:bottom w:val="nil"/>
              <w:right w:val="single" w:sz="4" w:space="0" w:color="auto"/>
            </w:tcBorders>
            <w:vAlign w:val="bottom"/>
            <w:hideMark/>
          </w:tcPr>
          <w:p w14:paraId="4BF9418A"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STATE RECLAMATION BOARD</w:t>
            </w:r>
          </w:p>
        </w:tc>
        <w:tc>
          <w:tcPr>
            <w:tcW w:w="1260" w:type="dxa"/>
            <w:tcBorders>
              <w:top w:val="nil"/>
              <w:left w:val="nil"/>
              <w:bottom w:val="nil"/>
              <w:right w:val="single" w:sz="4" w:space="0" w:color="auto"/>
            </w:tcBorders>
            <w:vAlign w:val="bottom"/>
            <w:hideMark/>
          </w:tcPr>
          <w:p w14:paraId="34542A3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$3,430,457</w:t>
            </w:r>
          </w:p>
        </w:tc>
        <w:tc>
          <w:tcPr>
            <w:tcW w:w="1170" w:type="dxa"/>
            <w:tcBorders>
              <w:top w:val="nil"/>
              <w:left w:val="nil"/>
              <w:bottom w:val="nil"/>
              <w:right w:val="single" w:sz="4" w:space="0" w:color="auto"/>
            </w:tcBorders>
            <w:vAlign w:val="bottom"/>
            <w:hideMark/>
          </w:tcPr>
          <w:p w14:paraId="1BE46D1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$85,761</w:t>
            </w:r>
          </w:p>
        </w:tc>
        <w:tc>
          <w:tcPr>
            <w:tcW w:w="1260" w:type="dxa"/>
            <w:tcBorders>
              <w:top w:val="nil"/>
              <w:left w:val="nil"/>
              <w:bottom w:val="nil"/>
              <w:right w:val="single" w:sz="4" w:space="0" w:color="auto"/>
            </w:tcBorders>
            <w:vAlign w:val="bottom"/>
            <w:hideMark/>
          </w:tcPr>
          <w:p w14:paraId="25395DB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$51,721</w:t>
            </w:r>
          </w:p>
        </w:tc>
        <w:tc>
          <w:tcPr>
            <w:tcW w:w="1080" w:type="dxa"/>
            <w:tcBorders>
              <w:top w:val="nil"/>
              <w:left w:val="nil"/>
              <w:bottom w:val="nil"/>
              <w:right w:val="single" w:sz="4" w:space="0" w:color="auto"/>
            </w:tcBorders>
            <w:vAlign w:val="bottom"/>
            <w:hideMark/>
          </w:tcPr>
          <w:p w14:paraId="24CD6AA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778190C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$51,721</w:t>
            </w:r>
          </w:p>
        </w:tc>
        <w:tc>
          <w:tcPr>
            <w:tcW w:w="1170" w:type="dxa"/>
            <w:tcBorders>
              <w:top w:val="nil"/>
              <w:left w:val="nil"/>
              <w:bottom w:val="nil"/>
              <w:right w:val="single" w:sz="4" w:space="0" w:color="auto"/>
            </w:tcBorders>
            <w:vAlign w:val="bottom"/>
            <w:hideMark/>
          </w:tcPr>
          <w:p w14:paraId="409D56F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60.31%</w:t>
            </w:r>
          </w:p>
        </w:tc>
        <w:tc>
          <w:tcPr>
            <w:tcW w:w="1260" w:type="dxa"/>
            <w:tcBorders>
              <w:top w:val="nil"/>
              <w:left w:val="nil"/>
              <w:bottom w:val="nil"/>
              <w:right w:val="single" w:sz="4" w:space="0" w:color="auto"/>
            </w:tcBorders>
            <w:vAlign w:val="bottom"/>
            <w:hideMark/>
          </w:tcPr>
          <w:p w14:paraId="6F1E7F5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-$34,041</w:t>
            </w:r>
          </w:p>
        </w:tc>
      </w:tr>
      <w:tr w:rsidR="00433DC8" w:rsidRPr="005217C3" w14:paraId="710B61BB" w14:textId="77777777" w:rsidTr="009050D8">
        <w:trPr>
          <w:trHeight w:val="160"/>
        </w:trPr>
        <w:tc>
          <w:tcPr>
            <w:tcW w:w="5310" w:type="dxa"/>
            <w:gridSpan w:val="3"/>
            <w:tcBorders>
              <w:top w:val="single" w:sz="8" w:space="0" w:color="auto"/>
              <w:left w:val="single" w:sz="8" w:space="0" w:color="auto"/>
              <w:bottom w:val="single" w:sz="8" w:space="0" w:color="auto"/>
              <w:right w:val="single" w:sz="4" w:space="0" w:color="000000"/>
            </w:tcBorders>
            <w:shd w:val="clear" w:color="000000" w:fill="D8E4BC"/>
            <w:vAlign w:val="bottom"/>
            <w:hideMark/>
          </w:tcPr>
          <w:p w14:paraId="011FF306"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41BAE348"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$54,525,558</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39AE07D5"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$1,363,139</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646F47E6"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$12,451,660</w:t>
            </w:r>
          </w:p>
        </w:tc>
        <w:tc>
          <w:tcPr>
            <w:tcW w:w="1080" w:type="dxa"/>
            <w:tcBorders>
              <w:top w:val="single" w:sz="8" w:space="0" w:color="auto"/>
              <w:left w:val="nil"/>
              <w:bottom w:val="single" w:sz="8" w:space="0" w:color="auto"/>
              <w:right w:val="single" w:sz="4" w:space="0" w:color="auto"/>
            </w:tcBorders>
            <w:shd w:val="clear" w:color="000000" w:fill="D8E4BC"/>
            <w:vAlign w:val="bottom"/>
            <w:hideMark/>
          </w:tcPr>
          <w:p w14:paraId="1C263460"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00B3F6FC"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$12,451,660</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1316C631"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913.45%</w:t>
            </w:r>
          </w:p>
        </w:tc>
        <w:tc>
          <w:tcPr>
            <w:tcW w:w="1260" w:type="dxa"/>
            <w:tcBorders>
              <w:top w:val="single" w:sz="8" w:space="0" w:color="auto"/>
              <w:left w:val="nil"/>
              <w:bottom w:val="single" w:sz="8" w:space="0" w:color="auto"/>
              <w:right w:val="single" w:sz="8" w:space="0" w:color="auto"/>
            </w:tcBorders>
            <w:shd w:val="clear" w:color="000000" w:fill="D8E4BC"/>
            <w:vAlign w:val="bottom"/>
            <w:hideMark/>
          </w:tcPr>
          <w:p w14:paraId="6BBDF275"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$11,088,520</w:t>
            </w:r>
          </w:p>
        </w:tc>
      </w:tr>
      <w:tr w:rsidR="00433DC8" w:rsidRPr="005217C3" w14:paraId="4809064A" w14:textId="77777777" w:rsidTr="009050D8">
        <w:trPr>
          <w:trHeight w:val="151"/>
        </w:trPr>
        <w:tc>
          <w:tcPr>
            <w:tcW w:w="630" w:type="dxa"/>
            <w:tcBorders>
              <w:top w:val="nil"/>
              <w:left w:val="single" w:sz="4" w:space="0" w:color="auto"/>
              <w:bottom w:val="nil"/>
              <w:right w:val="single" w:sz="4" w:space="0" w:color="auto"/>
            </w:tcBorders>
            <w:vAlign w:val="bottom"/>
            <w:hideMark/>
          </w:tcPr>
          <w:p w14:paraId="5CB148D4"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EOL</w:t>
            </w:r>
          </w:p>
        </w:tc>
        <w:tc>
          <w:tcPr>
            <w:tcW w:w="630" w:type="dxa"/>
            <w:tcBorders>
              <w:top w:val="nil"/>
              <w:left w:val="nil"/>
              <w:bottom w:val="nil"/>
              <w:right w:val="single" w:sz="4" w:space="0" w:color="auto"/>
            </w:tcBorders>
            <w:vAlign w:val="bottom"/>
            <w:hideMark/>
          </w:tcPr>
          <w:p w14:paraId="1843DDA3"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EOL</w:t>
            </w:r>
          </w:p>
        </w:tc>
        <w:tc>
          <w:tcPr>
            <w:tcW w:w="4050" w:type="dxa"/>
            <w:tcBorders>
              <w:top w:val="nil"/>
              <w:left w:val="nil"/>
              <w:bottom w:val="nil"/>
              <w:right w:val="single" w:sz="4" w:space="0" w:color="auto"/>
            </w:tcBorders>
            <w:vAlign w:val="bottom"/>
            <w:hideMark/>
          </w:tcPr>
          <w:p w14:paraId="7E9A69E9"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WORKFORCE DEVELOPMENT</w:t>
            </w:r>
          </w:p>
        </w:tc>
        <w:tc>
          <w:tcPr>
            <w:tcW w:w="1260" w:type="dxa"/>
            <w:tcBorders>
              <w:top w:val="nil"/>
              <w:left w:val="nil"/>
              <w:bottom w:val="nil"/>
              <w:right w:val="single" w:sz="4" w:space="0" w:color="auto"/>
            </w:tcBorders>
            <w:vAlign w:val="bottom"/>
            <w:hideMark/>
          </w:tcPr>
          <w:p w14:paraId="04DE1C9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$28,226,186</w:t>
            </w:r>
          </w:p>
        </w:tc>
        <w:tc>
          <w:tcPr>
            <w:tcW w:w="1170" w:type="dxa"/>
            <w:tcBorders>
              <w:top w:val="nil"/>
              <w:left w:val="nil"/>
              <w:bottom w:val="nil"/>
              <w:right w:val="single" w:sz="4" w:space="0" w:color="auto"/>
            </w:tcBorders>
            <w:vAlign w:val="bottom"/>
            <w:hideMark/>
          </w:tcPr>
          <w:p w14:paraId="57FB739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$705,655</w:t>
            </w:r>
          </w:p>
        </w:tc>
        <w:tc>
          <w:tcPr>
            <w:tcW w:w="1260" w:type="dxa"/>
            <w:tcBorders>
              <w:top w:val="nil"/>
              <w:left w:val="nil"/>
              <w:bottom w:val="nil"/>
              <w:right w:val="single" w:sz="4" w:space="0" w:color="auto"/>
            </w:tcBorders>
            <w:vAlign w:val="bottom"/>
            <w:hideMark/>
          </w:tcPr>
          <w:p w14:paraId="648E648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$2,139,506</w:t>
            </w:r>
          </w:p>
        </w:tc>
        <w:tc>
          <w:tcPr>
            <w:tcW w:w="1080" w:type="dxa"/>
            <w:tcBorders>
              <w:top w:val="nil"/>
              <w:left w:val="nil"/>
              <w:bottom w:val="nil"/>
              <w:right w:val="single" w:sz="4" w:space="0" w:color="auto"/>
            </w:tcBorders>
            <w:vAlign w:val="bottom"/>
            <w:hideMark/>
          </w:tcPr>
          <w:p w14:paraId="45B3BF3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1BBAE2C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$2,139,506</w:t>
            </w:r>
          </w:p>
        </w:tc>
        <w:tc>
          <w:tcPr>
            <w:tcW w:w="1170" w:type="dxa"/>
            <w:tcBorders>
              <w:top w:val="nil"/>
              <w:left w:val="nil"/>
              <w:bottom w:val="nil"/>
              <w:right w:val="single" w:sz="4" w:space="0" w:color="auto"/>
            </w:tcBorders>
            <w:vAlign w:val="bottom"/>
            <w:hideMark/>
          </w:tcPr>
          <w:p w14:paraId="6B9B425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303.19%</w:t>
            </w:r>
          </w:p>
        </w:tc>
        <w:tc>
          <w:tcPr>
            <w:tcW w:w="1260" w:type="dxa"/>
            <w:tcBorders>
              <w:top w:val="nil"/>
              <w:left w:val="nil"/>
              <w:bottom w:val="nil"/>
              <w:right w:val="single" w:sz="4" w:space="0" w:color="auto"/>
            </w:tcBorders>
            <w:vAlign w:val="bottom"/>
            <w:hideMark/>
          </w:tcPr>
          <w:p w14:paraId="3E4DC19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$1,433,851</w:t>
            </w:r>
          </w:p>
        </w:tc>
      </w:tr>
      <w:tr w:rsidR="00433DC8" w:rsidRPr="005217C3" w14:paraId="1FCF044C" w14:textId="77777777" w:rsidTr="009050D8">
        <w:trPr>
          <w:trHeight w:val="169"/>
        </w:trPr>
        <w:tc>
          <w:tcPr>
            <w:tcW w:w="5310" w:type="dxa"/>
            <w:gridSpan w:val="3"/>
            <w:tcBorders>
              <w:top w:val="single" w:sz="8" w:space="0" w:color="auto"/>
              <w:left w:val="single" w:sz="8" w:space="0" w:color="auto"/>
              <w:bottom w:val="single" w:sz="8" w:space="0" w:color="auto"/>
              <w:right w:val="single" w:sz="4" w:space="0" w:color="000000"/>
            </w:tcBorders>
            <w:shd w:val="clear" w:color="000000" w:fill="D8E4BC"/>
            <w:vAlign w:val="bottom"/>
            <w:hideMark/>
          </w:tcPr>
          <w:p w14:paraId="1D431A74"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325A9840"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$28,226,186</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588FAD5C"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$705,655</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1AFA81A9"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$2,139,506</w:t>
            </w:r>
          </w:p>
        </w:tc>
        <w:tc>
          <w:tcPr>
            <w:tcW w:w="1080" w:type="dxa"/>
            <w:tcBorders>
              <w:top w:val="single" w:sz="8" w:space="0" w:color="auto"/>
              <w:left w:val="nil"/>
              <w:bottom w:val="single" w:sz="8" w:space="0" w:color="auto"/>
              <w:right w:val="single" w:sz="4" w:space="0" w:color="auto"/>
            </w:tcBorders>
            <w:shd w:val="clear" w:color="000000" w:fill="D8E4BC"/>
            <w:vAlign w:val="bottom"/>
            <w:hideMark/>
          </w:tcPr>
          <w:p w14:paraId="174CDEB4"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7B085C9B"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$2,139,506</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0AD58F83"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303.19%</w:t>
            </w:r>
          </w:p>
        </w:tc>
        <w:tc>
          <w:tcPr>
            <w:tcW w:w="1260" w:type="dxa"/>
            <w:tcBorders>
              <w:top w:val="single" w:sz="8" w:space="0" w:color="auto"/>
              <w:left w:val="nil"/>
              <w:bottom w:val="single" w:sz="8" w:space="0" w:color="auto"/>
              <w:right w:val="single" w:sz="8" w:space="0" w:color="auto"/>
            </w:tcBorders>
            <w:shd w:val="clear" w:color="000000" w:fill="D8E4BC"/>
            <w:vAlign w:val="bottom"/>
            <w:hideMark/>
          </w:tcPr>
          <w:p w14:paraId="3DEF48F7"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$1,433,851</w:t>
            </w:r>
          </w:p>
        </w:tc>
      </w:tr>
      <w:tr w:rsidR="00433DC8" w:rsidRPr="005217C3" w14:paraId="6644B10F" w14:textId="77777777" w:rsidTr="009050D8">
        <w:trPr>
          <w:trHeight w:val="160"/>
        </w:trPr>
        <w:tc>
          <w:tcPr>
            <w:tcW w:w="630" w:type="dxa"/>
            <w:tcBorders>
              <w:top w:val="nil"/>
              <w:left w:val="single" w:sz="4" w:space="0" w:color="auto"/>
              <w:bottom w:val="single" w:sz="4" w:space="0" w:color="auto"/>
              <w:right w:val="single" w:sz="4" w:space="0" w:color="auto"/>
            </w:tcBorders>
            <w:vAlign w:val="bottom"/>
            <w:hideMark/>
          </w:tcPr>
          <w:p w14:paraId="63E4A5E8"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55BDAE5D"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CME</w:t>
            </w:r>
          </w:p>
        </w:tc>
        <w:tc>
          <w:tcPr>
            <w:tcW w:w="4050" w:type="dxa"/>
            <w:tcBorders>
              <w:top w:val="nil"/>
              <w:left w:val="nil"/>
              <w:bottom w:val="single" w:sz="4" w:space="0" w:color="auto"/>
              <w:right w:val="single" w:sz="4" w:space="0" w:color="auto"/>
            </w:tcBorders>
            <w:vAlign w:val="bottom"/>
            <w:hideMark/>
          </w:tcPr>
          <w:p w14:paraId="68D71401"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CHIEF MEDICAL EXAMINER</w:t>
            </w:r>
          </w:p>
        </w:tc>
        <w:tc>
          <w:tcPr>
            <w:tcW w:w="1260" w:type="dxa"/>
            <w:tcBorders>
              <w:top w:val="nil"/>
              <w:left w:val="nil"/>
              <w:bottom w:val="single" w:sz="4" w:space="0" w:color="auto"/>
              <w:right w:val="single" w:sz="4" w:space="0" w:color="auto"/>
            </w:tcBorders>
            <w:vAlign w:val="bottom"/>
            <w:hideMark/>
          </w:tcPr>
          <w:p w14:paraId="1E274B9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$735,485</w:t>
            </w:r>
          </w:p>
        </w:tc>
        <w:tc>
          <w:tcPr>
            <w:tcW w:w="1170" w:type="dxa"/>
            <w:tcBorders>
              <w:top w:val="nil"/>
              <w:left w:val="nil"/>
              <w:bottom w:val="single" w:sz="4" w:space="0" w:color="auto"/>
              <w:right w:val="single" w:sz="4" w:space="0" w:color="auto"/>
            </w:tcBorders>
            <w:vAlign w:val="bottom"/>
            <w:hideMark/>
          </w:tcPr>
          <w:p w14:paraId="648CE3C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$18,387</w:t>
            </w:r>
          </w:p>
        </w:tc>
        <w:tc>
          <w:tcPr>
            <w:tcW w:w="1260" w:type="dxa"/>
            <w:tcBorders>
              <w:top w:val="nil"/>
              <w:left w:val="nil"/>
              <w:bottom w:val="single" w:sz="4" w:space="0" w:color="auto"/>
              <w:right w:val="single" w:sz="4" w:space="0" w:color="auto"/>
            </w:tcBorders>
            <w:vAlign w:val="bottom"/>
            <w:hideMark/>
          </w:tcPr>
          <w:p w14:paraId="0C0A70E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$130,470</w:t>
            </w:r>
          </w:p>
        </w:tc>
        <w:tc>
          <w:tcPr>
            <w:tcW w:w="1080" w:type="dxa"/>
            <w:tcBorders>
              <w:top w:val="nil"/>
              <w:left w:val="nil"/>
              <w:bottom w:val="single" w:sz="4" w:space="0" w:color="auto"/>
              <w:right w:val="single" w:sz="4" w:space="0" w:color="auto"/>
            </w:tcBorders>
            <w:vAlign w:val="bottom"/>
            <w:hideMark/>
          </w:tcPr>
          <w:p w14:paraId="079934B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B8732A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$130,470</w:t>
            </w:r>
          </w:p>
        </w:tc>
        <w:tc>
          <w:tcPr>
            <w:tcW w:w="1170" w:type="dxa"/>
            <w:tcBorders>
              <w:top w:val="nil"/>
              <w:left w:val="nil"/>
              <w:bottom w:val="single" w:sz="4" w:space="0" w:color="auto"/>
              <w:right w:val="single" w:sz="4" w:space="0" w:color="auto"/>
            </w:tcBorders>
            <w:vAlign w:val="bottom"/>
            <w:hideMark/>
          </w:tcPr>
          <w:p w14:paraId="2CB028E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709.57%</w:t>
            </w:r>
          </w:p>
        </w:tc>
        <w:tc>
          <w:tcPr>
            <w:tcW w:w="1260" w:type="dxa"/>
            <w:tcBorders>
              <w:top w:val="nil"/>
              <w:left w:val="nil"/>
              <w:bottom w:val="single" w:sz="4" w:space="0" w:color="auto"/>
              <w:right w:val="single" w:sz="4" w:space="0" w:color="auto"/>
            </w:tcBorders>
            <w:vAlign w:val="bottom"/>
            <w:hideMark/>
          </w:tcPr>
          <w:p w14:paraId="7D1D409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$112,083</w:t>
            </w:r>
          </w:p>
        </w:tc>
      </w:tr>
      <w:tr w:rsidR="00433DC8" w:rsidRPr="005217C3" w14:paraId="63E874DB"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7449672F"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3F087501"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CHS</w:t>
            </w:r>
          </w:p>
        </w:tc>
        <w:tc>
          <w:tcPr>
            <w:tcW w:w="4050" w:type="dxa"/>
            <w:tcBorders>
              <w:top w:val="nil"/>
              <w:left w:val="nil"/>
              <w:bottom w:val="single" w:sz="4" w:space="0" w:color="auto"/>
              <w:right w:val="single" w:sz="4" w:space="0" w:color="auto"/>
            </w:tcBorders>
            <w:vAlign w:val="bottom"/>
            <w:hideMark/>
          </w:tcPr>
          <w:p w14:paraId="427D75D0"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CRIMINAL JUSTICE INFORMATION SERVICES DEPARTMENT</w:t>
            </w:r>
          </w:p>
        </w:tc>
        <w:tc>
          <w:tcPr>
            <w:tcW w:w="1260" w:type="dxa"/>
            <w:tcBorders>
              <w:top w:val="nil"/>
              <w:left w:val="nil"/>
              <w:bottom w:val="single" w:sz="4" w:space="0" w:color="auto"/>
              <w:right w:val="single" w:sz="4" w:space="0" w:color="auto"/>
            </w:tcBorders>
            <w:vAlign w:val="bottom"/>
            <w:hideMark/>
          </w:tcPr>
          <w:p w14:paraId="621D8D3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$579,281</w:t>
            </w:r>
          </w:p>
        </w:tc>
        <w:tc>
          <w:tcPr>
            <w:tcW w:w="1170" w:type="dxa"/>
            <w:tcBorders>
              <w:top w:val="nil"/>
              <w:left w:val="nil"/>
              <w:bottom w:val="single" w:sz="4" w:space="0" w:color="auto"/>
              <w:right w:val="single" w:sz="4" w:space="0" w:color="auto"/>
            </w:tcBorders>
            <w:vAlign w:val="bottom"/>
            <w:hideMark/>
          </w:tcPr>
          <w:p w14:paraId="22BF835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$14,482</w:t>
            </w:r>
          </w:p>
        </w:tc>
        <w:tc>
          <w:tcPr>
            <w:tcW w:w="1260" w:type="dxa"/>
            <w:tcBorders>
              <w:top w:val="nil"/>
              <w:left w:val="nil"/>
              <w:bottom w:val="single" w:sz="4" w:space="0" w:color="auto"/>
              <w:right w:val="single" w:sz="4" w:space="0" w:color="auto"/>
            </w:tcBorders>
            <w:vAlign w:val="bottom"/>
            <w:hideMark/>
          </w:tcPr>
          <w:p w14:paraId="281DC2C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$21,463</w:t>
            </w:r>
          </w:p>
        </w:tc>
        <w:tc>
          <w:tcPr>
            <w:tcW w:w="1080" w:type="dxa"/>
            <w:tcBorders>
              <w:top w:val="nil"/>
              <w:left w:val="nil"/>
              <w:bottom w:val="single" w:sz="4" w:space="0" w:color="auto"/>
              <w:right w:val="single" w:sz="4" w:space="0" w:color="auto"/>
            </w:tcBorders>
            <w:vAlign w:val="bottom"/>
            <w:hideMark/>
          </w:tcPr>
          <w:p w14:paraId="18C6D61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F0F085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$21,463</w:t>
            </w:r>
          </w:p>
        </w:tc>
        <w:tc>
          <w:tcPr>
            <w:tcW w:w="1170" w:type="dxa"/>
            <w:tcBorders>
              <w:top w:val="nil"/>
              <w:left w:val="nil"/>
              <w:bottom w:val="single" w:sz="4" w:space="0" w:color="auto"/>
              <w:right w:val="single" w:sz="4" w:space="0" w:color="auto"/>
            </w:tcBorders>
            <w:vAlign w:val="bottom"/>
            <w:hideMark/>
          </w:tcPr>
          <w:p w14:paraId="1EC0CED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148.20%</w:t>
            </w:r>
          </w:p>
        </w:tc>
        <w:tc>
          <w:tcPr>
            <w:tcW w:w="1260" w:type="dxa"/>
            <w:tcBorders>
              <w:top w:val="nil"/>
              <w:left w:val="nil"/>
              <w:bottom w:val="single" w:sz="4" w:space="0" w:color="auto"/>
              <w:right w:val="single" w:sz="4" w:space="0" w:color="auto"/>
            </w:tcBorders>
            <w:vAlign w:val="bottom"/>
            <w:hideMark/>
          </w:tcPr>
          <w:p w14:paraId="65CC265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$6,981</w:t>
            </w:r>
          </w:p>
        </w:tc>
      </w:tr>
      <w:tr w:rsidR="00433DC8" w:rsidRPr="005217C3" w14:paraId="009FDA5E"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67D7E2CD"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6024CC3B"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DOC</w:t>
            </w:r>
          </w:p>
        </w:tc>
        <w:tc>
          <w:tcPr>
            <w:tcW w:w="4050" w:type="dxa"/>
            <w:tcBorders>
              <w:top w:val="nil"/>
              <w:left w:val="nil"/>
              <w:bottom w:val="single" w:sz="4" w:space="0" w:color="auto"/>
              <w:right w:val="single" w:sz="4" w:space="0" w:color="auto"/>
            </w:tcBorders>
            <w:vAlign w:val="bottom"/>
            <w:hideMark/>
          </w:tcPr>
          <w:p w14:paraId="7EBBD3A3"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CORRECTION</w:t>
            </w:r>
          </w:p>
        </w:tc>
        <w:tc>
          <w:tcPr>
            <w:tcW w:w="1260" w:type="dxa"/>
            <w:tcBorders>
              <w:top w:val="nil"/>
              <w:left w:val="nil"/>
              <w:bottom w:val="single" w:sz="4" w:space="0" w:color="auto"/>
              <w:right w:val="single" w:sz="4" w:space="0" w:color="auto"/>
            </w:tcBorders>
            <w:vAlign w:val="bottom"/>
            <w:hideMark/>
          </w:tcPr>
          <w:p w14:paraId="06B31D1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$25,900,985</w:t>
            </w:r>
          </w:p>
        </w:tc>
        <w:tc>
          <w:tcPr>
            <w:tcW w:w="1170" w:type="dxa"/>
            <w:tcBorders>
              <w:top w:val="nil"/>
              <w:left w:val="nil"/>
              <w:bottom w:val="single" w:sz="4" w:space="0" w:color="auto"/>
              <w:right w:val="single" w:sz="4" w:space="0" w:color="auto"/>
            </w:tcBorders>
            <w:vAlign w:val="bottom"/>
            <w:hideMark/>
          </w:tcPr>
          <w:p w14:paraId="20708F9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$647,525</w:t>
            </w:r>
          </w:p>
        </w:tc>
        <w:tc>
          <w:tcPr>
            <w:tcW w:w="1260" w:type="dxa"/>
            <w:tcBorders>
              <w:top w:val="nil"/>
              <w:left w:val="nil"/>
              <w:bottom w:val="single" w:sz="4" w:space="0" w:color="auto"/>
              <w:right w:val="single" w:sz="4" w:space="0" w:color="auto"/>
            </w:tcBorders>
            <w:vAlign w:val="bottom"/>
            <w:hideMark/>
          </w:tcPr>
          <w:p w14:paraId="19426F1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$4,451,275</w:t>
            </w:r>
          </w:p>
        </w:tc>
        <w:tc>
          <w:tcPr>
            <w:tcW w:w="1080" w:type="dxa"/>
            <w:tcBorders>
              <w:top w:val="nil"/>
              <w:left w:val="nil"/>
              <w:bottom w:val="single" w:sz="4" w:space="0" w:color="auto"/>
              <w:right w:val="single" w:sz="4" w:space="0" w:color="auto"/>
            </w:tcBorders>
            <w:vAlign w:val="bottom"/>
            <w:hideMark/>
          </w:tcPr>
          <w:p w14:paraId="24ABFB1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74CCEE0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$4,451,275</w:t>
            </w:r>
          </w:p>
        </w:tc>
        <w:tc>
          <w:tcPr>
            <w:tcW w:w="1170" w:type="dxa"/>
            <w:tcBorders>
              <w:top w:val="nil"/>
              <w:left w:val="nil"/>
              <w:bottom w:val="single" w:sz="4" w:space="0" w:color="auto"/>
              <w:right w:val="single" w:sz="4" w:space="0" w:color="auto"/>
            </w:tcBorders>
            <w:vAlign w:val="bottom"/>
            <w:hideMark/>
          </w:tcPr>
          <w:p w14:paraId="74D5989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687.43%</w:t>
            </w:r>
          </w:p>
        </w:tc>
        <w:tc>
          <w:tcPr>
            <w:tcW w:w="1260" w:type="dxa"/>
            <w:tcBorders>
              <w:top w:val="nil"/>
              <w:left w:val="nil"/>
              <w:bottom w:val="single" w:sz="4" w:space="0" w:color="auto"/>
              <w:right w:val="single" w:sz="4" w:space="0" w:color="auto"/>
            </w:tcBorders>
            <w:vAlign w:val="bottom"/>
            <w:hideMark/>
          </w:tcPr>
          <w:p w14:paraId="414B4B9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$3,803,750</w:t>
            </w:r>
          </w:p>
        </w:tc>
      </w:tr>
      <w:tr w:rsidR="00433DC8" w:rsidRPr="005217C3" w14:paraId="68C429D3" w14:textId="77777777" w:rsidTr="009050D8">
        <w:trPr>
          <w:trHeight w:val="80"/>
        </w:trPr>
        <w:tc>
          <w:tcPr>
            <w:tcW w:w="630" w:type="dxa"/>
            <w:tcBorders>
              <w:top w:val="nil"/>
              <w:left w:val="single" w:sz="4" w:space="0" w:color="auto"/>
              <w:bottom w:val="single" w:sz="4" w:space="0" w:color="auto"/>
              <w:right w:val="single" w:sz="4" w:space="0" w:color="auto"/>
            </w:tcBorders>
            <w:vAlign w:val="bottom"/>
            <w:hideMark/>
          </w:tcPr>
          <w:p w14:paraId="0F88FAF4"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15101BF7"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DFS</w:t>
            </w:r>
          </w:p>
        </w:tc>
        <w:tc>
          <w:tcPr>
            <w:tcW w:w="4050" w:type="dxa"/>
            <w:tcBorders>
              <w:top w:val="nil"/>
              <w:left w:val="nil"/>
              <w:bottom w:val="single" w:sz="4" w:space="0" w:color="auto"/>
              <w:right w:val="single" w:sz="4" w:space="0" w:color="auto"/>
            </w:tcBorders>
            <w:vAlign w:val="bottom"/>
            <w:hideMark/>
          </w:tcPr>
          <w:p w14:paraId="260D8FFC"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FIRE SERVICES</w:t>
            </w:r>
          </w:p>
        </w:tc>
        <w:tc>
          <w:tcPr>
            <w:tcW w:w="1260" w:type="dxa"/>
            <w:tcBorders>
              <w:top w:val="nil"/>
              <w:left w:val="nil"/>
              <w:bottom w:val="single" w:sz="4" w:space="0" w:color="auto"/>
              <w:right w:val="single" w:sz="4" w:space="0" w:color="auto"/>
            </w:tcBorders>
            <w:vAlign w:val="bottom"/>
            <w:hideMark/>
          </w:tcPr>
          <w:p w14:paraId="7159900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$3,679,322</w:t>
            </w:r>
          </w:p>
        </w:tc>
        <w:tc>
          <w:tcPr>
            <w:tcW w:w="1170" w:type="dxa"/>
            <w:tcBorders>
              <w:top w:val="nil"/>
              <w:left w:val="nil"/>
              <w:bottom w:val="single" w:sz="4" w:space="0" w:color="auto"/>
              <w:right w:val="single" w:sz="4" w:space="0" w:color="auto"/>
            </w:tcBorders>
            <w:vAlign w:val="bottom"/>
            <w:hideMark/>
          </w:tcPr>
          <w:p w14:paraId="13F8083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$91,983</w:t>
            </w:r>
          </w:p>
        </w:tc>
        <w:tc>
          <w:tcPr>
            <w:tcW w:w="1260" w:type="dxa"/>
            <w:tcBorders>
              <w:top w:val="nil"/>
              <w:left w:val="nil"/>
              <w:bottom w:val="single" w:sz="4" w:space="0" w:color="auto"/>
              <w:right w:val="single" w:sz="4" w:space="0" w:color="auto"/>
            </w:tcBorders>
            <w:vAlign w:val="bottom"/>
            <w:hideMark/>
          </w:tcPr>
          <w:p w14:paraId="2D60252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$779,327</w:t>
            </w:r>
          </w:p>
        </w:tc>
        <w:tc>
          <w:tcPr>
            <w:tcW w:w="1080" w:type="dxa"/>
            <w:tcBorders>
              <w:top w:val="nil"/>
              <w:left w:val="nil"/>
              <w:bottom w:val="single" w:sz="4" w:space="0" w:color="auto"/>
              <w:right w:val="single" w:sz="4" w:space="0" w:color="auto"/>
            </w:tcBorders>
            <w:vAlign w:val="bottom"/>
            <w:hideMark/>
          </w:tcPr>
          <w:p w14:paraId="5C7D6C8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52BA704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$779,327</w:t>
            </w:r>
          </w:p>
        </w:tc>
        <w:tc>
          <w:tcPr>
            <w:tcW w:w="1170" w:type="dxa"/>
            <w:tcBorders>
              <w:top w:val="nil"/>
              <w:left w:val="nil"/>
              <w:bottom w:val="single" w:sz="4" w:space="0" w:color="auto"/>
              <w:right w:val="single" w:sz="4" w:space="0" w:color="auto"/>
            </w:tcBorders>
            <w:vAlign w:val="bottom"/>
            <w:hideMark/>
          </w:tcPr>
          <w:p w14:paraId="55734FA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847.25%</w:t>
            </w:r>
          </w:p>
        </w:tc>
        <w:tc>
          <w:tcPr>
            <w:tcW w:w="1260" w:type="dxa"/>
            <w:tcBorders>
              <w:top w:val="nil"/>
              <w:left w:val="nil"/>
              <w:bottom w:val="single" w:sz="4" w:space="0" w:color="auto"/>
              <w:right w:val="single" w:sz="4" w:space="0" w:color="auto"/>
            </w:tcBorders>
            <w:vAlign w:val="bottom"/>
            <w:hideMark/>
          </w:tcPr>
          <w:p w14:paraId="43C49CE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$687,344</w:t>
            </w:r>
          </w:p>
        </w:tc>
      </w:tr>
      <w:tr w:rsidR="00433DC8" w:rsidRPr="005217C3" w14:paraId="7B411EF5" w14:textId="77777777" w:rsidTr="009050D8">
        <w:trPr>
          <w:trHeight w:val="188"/>
        </w:trPr>
        <w:tc>
          <w:tcPr>
            <w:tcW w:w="630" w:type="dxa"/>
            <w:tcBorders>
              <w:top w:val="nil"/>
              <w:left w:val="single" w:sz="4" w:space="0" w:color="auto"/>
              <w:bottom w:val="single" w:sz="4" w:space="0" w:color="auto"/>
              <w:right w:val="single" w:sz="4" w:space="0" w:color="auto"/>
            </w:tcBorders>
            <w:vAlign w:val="bottom"/>
            <w:hideMark/>
          </w:tcPr>
          <w:p w14:paraId="488570AC"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42405B57"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DPS</w:t>
            </w:r>
          </w:p>
        </w:tc>
        <w:tc>
          <w:tcPr>
            <w:tcW w:w="4050" w:type="dxa"/>
            <w:tcBorders>
              <w:top w:val="nil"/>
              <w:left w:val="nil"/>
              <w:bottom w:val="single" w:sz="4" w:space="0" w:color="auto"/>
              <w:right w:val="single" w:sz="4" w:space="0" w:color="auto"/>
            </w:tcBorders>
            <w:vAlign w:val="bottom"/>
            <w:hideMark/>
          </w:tcPr>
          <w:p w14:paraId="39FCDED0"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PUBLIC SAFETY</w:t>
            </w:r>
          </w:p>
        </w:tc>
        <w:tc>
          <w:tcPr>
            <w:tcW w:w="1260" w:type="dxa"/>
            <w:tcBorders>
              <w:top w:val="nil"/>
              <w:left w:val="nil"/>
              <w:bottom w:val="single" w:sz="4" w:space="0" w:color="auto"/>
              <w:right w:val="single" w:sz="4" w:space="0" w:color="auto"/>
            </w:tcBorders>
            <w:vAlign w:val="bottom"/>
            <w:hideMark/>
          </w:tcPr>
          <w:p w14:paraId="34FCB2F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$540,464</w:t>
            </w:r>
          </w:p>
        </w:tc>
        <w:tc>
          <w:tcPr>
            <w:tcW w:w="1170" w:type="dxa"/>
            <w:tcBorders>
              <w:top w:val="nil"/>
              <w:left w:val="nil"/>
              <w:bottom w:val="single" w:sz="4" w:space="0" w:color="auto"/>
              <w:right w:val="single" w:sz="4" w:space="0" w:color="auto"/>
            </w:tcBorders>
            <w:vAlign w:val="bottom"/>
            <w:hideMark/>
          </w:tcPr>
          <w:p w14:paraId="5D6AB30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$13,512</w:t>
            </w:r>
          </w:p>
        </w:tc>
        <w:tc>
          <w:tcPr>
            <w:tcW w:w="1260" w:type="dxa"/>
            <w:tcBorders>
              <w:top w:val="nil"/>
              <w:left w:val="nil"/>
              <w:bottom w:val="single" w:sz="4" w:space="0" w:color="auto"/>
              <w:right w:val="single" w:sz="4" w:space="0" w:color="auto"/>
            </w:tcBorders>
            <w:vAlign w:val="bottom"/>
            <w:hideMark/>
          </w:tcPr>
          <w:p w14:paraId="6162F2B3"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$229,402</w:t>
            </w:r>
          </w:p>
        </w:tc>
        <w:tc>
          <w:tcPr>
            <w:tcW w:w="1080" w:type="dxa"/>
            <w:tcBorders>
              <w:top w:val="nil"/>
              <w:left w:val="nil"/>
              <w:bottom w:val="single" w:sz="4" w:space="0" w:color="auto"/>
              <w:right w:val="single" w:sz="4" w:space="0" w:color="auto"/>
            </w:tcBorders>
            <w:vAlign w:val="bottom"/>
            <w:hideMark/>
          </w:tcPr>
          <w:p w14:paraId="2C05B11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7167A70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$229,402</w:t>
            </w:r>
          </w:p>
        </w:tc>
        <w:tc>
          <w:tcPr>
            <w:tcW w:w="1170" w:type="dxa"/>
            <w:tcBorders>
              <w:top w:val="nil"/>
              <w:left w:val="nil"/>
              <w:bottom w:val="single" w:sz="4" w:space="0" w:color="auto"/>
              <w:right w:val="single" w:sz="4" w:space="0" w:color="auto"/>
            </w:tcBorders>
            <w:vAlign w:val="bottom"/>
            <w:hideMark/>
          </w:tcPr>
          <w:p w14:paraId="3080ACE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1697.82%</w:t>
            </w:r>
          </w:p>
        </w:tc>
        <w:tc>
          <w:tcPr>
            <w:tcW w:w="1260" w:type="dxa"/>
            <w:tcBorders>
              <w:top w:val="nil"/>
              <w:left w:val="nil"/>
              <w:bottom w:val="single" w:sz="4" w:space="0" w:color="auto"/>
              <w:right w:val="single" w:sz="4" w:space="0" w:color="auto"/>
            </w:tcBorders>
            <w:vAlign w:val="bottom"/>
            <w:hideMark/>
          </w:tcPr>
          <w:p w14:paraId="537644F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$215,891</w:t>
            </w:r>
          </w:p>
        </w:tc>
      </w:tr>
      <w:tr w:rsidR="00433DC8" w:rsidRPr="005217C3" w14:paraId="1E16859E"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0C4D8BAD"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15F42A44"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POL</w:t>
            </w:r>
          </w:p>
        </w:tc>
        <w:tc>
          <w:tcPr>
            <w:tcW w:w="4050" w:type="dxa"/>
            <w:tcBorders>
              <w:top w:val="nil"/>
              <w:left w:val="nil"/>
              <w:bottom w:val="single" w:sz="4" w:space="0" w:color="auto"/>
              <w:right w:val="single" w:sz="4" w:space="0" w:color="auto"/>
            </w:tcBorders>
            <w:vAlign w:val="bottom"/>
            <w:hideMark/>
          </w:tcPr>
          <w:p w14:paraId="530631F1"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DEPARTMENT OF STATE POLICE</w:t>
            </w:r>
          </w:p>
        </w:tc>
        <w:tc>
          <w:tcPr>
            <w:tcW w:w="1260" w:type="dxa"/>
            <w:tcBorders>
              <w:top w:val="nil"/>
              <w:left w:val="nil"/>
              <w:bottom w:val="single" w:sz="4" w:space="0" w:color="auto"/>
              <w:right w:val="single" w:sz="4" w:space="0" w:color="auto"/>
            </w:tcBorders>
            <w:vAlign w:val="bottom"/>
            <w:hideMark/>
          </w:tcPr>
          <w:p w14:paraId="2FB6D01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$21,540,061</w:t>
            </w:r>
          </w:p>
        </w:tc>
        <w:tc>
          <w:tcPr>
            <w:tcW w:w="1170" w:type="dxa"/>
            <w:tcBorders>
              <w:top w:val="nil"/>
              <w:left w:val="nil"/>
              <w:bottom w:val="single" w:sz="4" w:space="0" w:color="auto"/>
              <w:right w:val="single" w:sz="4" w:space="0" w:color="auto"/>
            </w:tcBorders>
            <w:vAlign w:val="bottom"/>
            <w:hideMark/>
          </w:tcPr>
          <w:p w14:paraId="13596DD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$538,502</w:t>
            </w:r>
          </w:p>
        </w:tc>
        <w:tc>
          <w:tcPr>
            <w:tcW w:w="1260" w:type="dxa"/>
            <w:tcBorders>
              <w:top w:val="nil"/>
              <w:left w:val="nil"/>
              <w:bottom w:val="single" w:sz="4" w:space="0" w:color="auto"/>
              <w:right w:val="single" w:sz="4" w:space="0" w:color="auto"/>
            </w:tcBorders>
            <w:vAlign w:val="bottom"/>
            <w:hideMark/>
          </w:tcPr>
          <w:p w14:paraId="68D71A5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$3,024,508</w:t>
            </w:r>
          </w:p>
        </w:tc>
        <w:tc>
          <w:tcPr>
            <w:tcW w:w="1080" w:type="dxa"/>
            <w:tcBorders>
              <w:top w:val="nil"/>
              <w:left w:val="nil"/>
              <w:bottom w:val="single" w:sz="4" w:space="0" w:color="auto"/>
              <w:right w:val="single" w:sz="4" w:space="0" w:color="auto"/>
            </w:tcBorders>
            <w:vAlign w:val="bottom"/>
            <w:hideMark/>
          </w:tcPr>
          <w:p w14:paraId="1F1A113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6121DE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$3,024,508</w:t>
            </w:r>
          </w:p>
        </w:tc>
        <w:tc>
          <w:tcPr>
            <w:tcW w:w="1170" w:type="dxa"/>
            <w:tcBorders>
              <w:top w:val="nil"/>
              <w:left w:val="nil"/>
              <w:bottom w:val="single" w:sz="4" w:space="0" w:color="auto"/>
              <w:right w:val="single" w:sz="4" w:space="0" w:color="auto"/>
            </w:tcBorders>
            <w:vAlign w:val="bottom"/>
            <w:hideMark/>
          </w:tcPr>
          <w:p w14:paraId="4011FAF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561.65%</w:t>
            </w:r>
          </w:p>
        </w:tc>
        <w:tc>
          <w:tcPr>
            <w:tcW w:w="1260" w:type="dxa"/>
            <w:tcBorders>
              <w:top w:val="nil"/>
              <w:left w:val="nil"/>
              <w:bottom w:val="single" w:sz="4" w:space="0" w:color="auto"/>
              <w:right w:val="single" w:sz="4" w:space="0" w:color="auto"/>
            </w:tcBorders>
            <w:vAlign w:val="bottom"/>
            <w:hideMark/>
          </w:tcPr>
          <w:p w14:paraId="0CD68E1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$2,486,007</w:t>
            </w:r>
          </w:p>
        </w:tc>
      </w:tr>
      <w:tr w:rsidR="00433DC8" w:rsidRPr="005217C3" w14:paraId="78B62389"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6110AFC6"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583433AB"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CDA</w:t>
            </w:r>
          </w:p>
        </w:tc>
        <w:tc>
          <w:tcPr>
            <w:tcW w:w="4050" w:type="dxa"/>
            <w:tcBorders>
              <w:top w:val="nil"/>
              <w:left w:val="nil"/>
              <w:bottom w:val="single" w:sz="4" w:space="0" w:color="auto"/>
              <w:right w:val="single" w:sz="4" w:space="0" w:color="auto"/>
            </w:tcBorders>
            <w:vAlign w:val="bottom"/>
            <w:hideMark/>
          </w:tcPr>
          <w:p w14:paraId="65AF00CF"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EMERGENCY MANAGEMENT AGENCY</w:t>
            </w:r>
          </w:p>
        </w:tc>
        <w:tc>
          <w:tcPr>
            <w:tcW w:w="1260" w:type="dxa"/>
            <w:tcBorders>
              <w:top w:val="nil"/>
              <w:left w:val="nil"/>
              <w:bottom w:val="single" w:sz="4" w:space="0" w:color="auto"/>
              <w:right w:val="single" w:sz="4" w:space="0" w:color="auto"/>
            </w:tcBorders>
            <w:vAlign w:val="bottom"/>
            <w:hideMark/>
          </w:tcPr>
          <w:p w14:paraId="05BEEF4D"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$1,200,016</w:t>
            </w:r>
          </w:p>
        </w:tc>
        <w:tc>
          <w:tcPr>
            <w:tcW w:w="1170" w:type="dxa"/>
            <w:tcBorders>
              <w:top w:val="nil"/>
              <w:left w:val="nil"/>
              <w:bottom w:val="single" w:sz="4" w:space="0" w:color="auto"/>
              <w:right w:val="single" w:sz="4" w:space="0" w:color="auto"/>
            </w:tcBorders>
            <w:vAlign w:val="bottom"/>
            <w:hideMark/>
          </w:tcPr>
          <w:p w14:paraId="08EF183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$30,000</w:t>
            </w:r>
          </w:p>
        </w:tc>
        <w:tc>
          <w:tcPr>
            <w:tcW w:w="1260" w:type="dxa"/>
            <w:tcBorders>
              <w:top w:val="nil"/>
              <w:left w:val="nil"/>
              <w:bottom w:val="single" w:sz="4" w:space="0" w:color="auto"/>
              <w:right w:val="single" w:sz="4" w:space="0" w:color="auto"/>
            </w:tcBorders>
            <w:vAlign w:val="bottom"/>
            <w:hideMark/>
          </w:tcPr>
          <w:p w14:paraId="5781D00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$255,510</w:t>
            </w:r>
          </w:p>
        </w:tc>
        <w:tc>
          <w:tcPr>
            <w:tcW w:w="1080" w:type="dxa"/>
            <w:tcBorders>
              <w:top w:val="nil"/>
              <w:left w:val="nil"/>
              <w:bottom w:val="single" w:sz="4" w:space="0" w:color="auto"/>
              <w:right w:val="single" w:sz="4" w:space="0" w:color="auto"/>
            </w:tcBorders>
            <w:vAlign w:val="bottom"/>
            <w:hideMark/>
          </w:tcPr>
          <w:p w14:paraId="2A1562C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117BFAF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$255,510</w:t>
            </w:r>
          </w:p>
        </w:tc>
        <w:tc>
          <w:tcPr>
            <w:tcW w:w="1170" w:type="dxa"/>
            <w:tcBorders>
              <w:top w:val="nil"/>
              <w:left w:val="nil"/>
              <w:bottom w:val="single" w:sz="4" w:space="0" w:color="auto"/>
              <w:right w:val="single" w:sz="4" w:space="0" w:color="auto"/>
            </w:tcBorders>
            <w:vAlign w:val="bottom"/>
            <w:hideMark/>
          </w:tcPr>
          <w:p w14:paraId="5C567FF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851.69%</w:t>
            </w:r>
          </w:p>
        </w:tc>
        <w:tc>
          <w:tcPr>
            <w:tcW w:w="1260" w:type="dxa"/>
            <w:tcBorders>
              <w:top w:val="nil"/>
              <w:left w:val="nil"/>
              <w:bottom w:val="single" w:sz="4" w:space="0" w:color="auto"/>
              <w:right w:val="single" w:sz="4" w:space="0" w:color="auto"/>
            </w:tcBorders>
            <w:vAlign w:val="bottom"/>
            <w:hideMark/>
          </w:tcPr>
          <w:p w14:paraId="7D77D1B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$225,510</w:t>
            </w:r>
          </w:p>
        </w:tc>
      </w:tr>
      <w:tr w:rsidR="00433DC8" w:rsidRPr="005217C3" w14:paraId="4E7F1EA5" w14:textId="77777777" w:rsidTr="009050D8">
        <w:trPr>
          <w:trHeight w:val="170"/>
        </w:trPr>
        <w:tc>
          <w:tcPr>
            <w:tcW w:w="630" w:type="dxa"/>
            <w:tcBorders>
              <w:top w:val="nil"/>
              <w:left w:val="single" w:sz="4" w:space="0" w:color="auto"/>
              <w:bottom w:val="single" w:sz="4" w:space="0" w:color="auto"/>
              <w:right w:val="single" w:sz="4" w:space="0" w:color="auto"/>
            </w:tcBorders>
            <w:vAlign w:val="bottom"/>
            <w:hideMark/>
          </w:tcPr>
          <w:p w14:paraId="7E7E43EA"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4D005FAB"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EPS</w:t>
            </w:r>
          </w:p>
        </w:tc>
        <w:tc>
          <w:tcPr>
            <w:tcW w:w="4050" w:type="dxa"/>
            <w:tcBorders>
              <w:top w:val="nil"/>
              <w:left w:val="nil"/>
              <w:bottom w:val="single" w:sz="4" w:space="0" w:color="auto"/>
              <w:right w:val="single" w:sz="4" w:space="0" w:color="auto"/>
            </w:tcBorders>
            <w:vAlign w:val="bottom"/>
            <w:hideMark/>
          </w:tcPr>
          <w:p w14:paraId="2263001C"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EXECUTIVE OFFICE OF PUBLIC SAFETY &amp; SECURITY</w:t>
            </w:r>
          </w:p>
        </w:tc>
        <w:tc>
          <w:tcPr>
            <w:tcW w:w="1260" w:type="dxa"/>
            <w:tcBorders>
              <w:top w:val="nil"/>
              <w:left w:val="nil"/>
              <w:bottom w:val="single" w:sz="4" w:space="0" w:color="auto"/>
              <w:right w:val="single" w:sz="4" w:space="0" w:color="auto"/>
            </w:tcBorders>
            <w:vAlign w:val="bottom"/>
            <w:hideMark/>
          </w:tcPr>
          <w:p w14:paraId="4B07F59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$34,736,707</w:t>
            </w:r>
          </w:p>
        </w:tc>
        <w:tc>
          <w:tcPr>
            <w:tcW w:w="1170" w:type="dxa"/>
            <w:tcBorders>
              <w:top w:val="nil"/>
              <w:left w:val="nil"/>
              <w:bottom w:val="single" w:sz="4" w:space="0" w:color="auto"/>
              <w:right w:val="single" w:sz="4" w:space="0" w:color="auto"/>
            </w:tcBorders>
            <w:vAlign w:val="bottom"/>
            <w:hideMark/>
          </w:tcPr>
          <w:p w14:paraId="0B66276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$868,418</w:t>
            </w:r>
          </w:p>
        </w:tc>
        <w:tc>
          <w:tcPr>
            <w:tcW w:w="1260" w:type="dxa"/>
            <w:tcBorders>
              <w:top w:val="nil"/>
              <w:left w:val="nil"/>
              <w:bottom w:val="single" w:sz="4" w:space="0" w:color="auto"/>
              <w:right w:val="single" w:sz="4" w:space="0" w:color="auto"/>
            </w:tcBorders>
            <w:vAlign w:val="bottom"/>
            <w:hideMark/>
          </w:tcPr>
          <w:p w14:paraId="690384E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$6,714,475</w:t>
            </w:r>
          </w:p>
        </w:tc>
        <w:tc>
          <w:tcPr>
            <w:tcW w:w="1080" w:type="dxa"/>
            <w:tcBorders>
              <w:top w:val="nil"/>
              <w:left w:val="nil"/>
              <w:bottom w:val="single" w:sz="4" w:space="0" w:color="auto"/>
              <w:right w:val="single" w:sz="4" w:space="0" w:color="auto"/>
            </w:tcBorders>
            <w:vAlign w:val="bottom"/>
            <w:hideMark/>
          </w:tcPr>
          <w:p w14:paraId="470F230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2ABFC6D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$6,714,475</w:t>
            </w:r>
          </w:p>
        </w:tc>
        <w:tc>
          <w:tcPr>
            <w:tcW w:w="1170" w:type="dxa"/>
            <w:tcBorders>
              <w:top w:val="nil"/>
              <w:left w:val="nil"/>
              <w:bottom w:val="single" w:sz="4" w:space="0" w:color="auto"/>
              <w:right w:val="single" w:sz="4" w:space="0" w:color="auto"/>
            </w:tcBorders>
            <w:vAlign w:val="bottom"/>
            <w:hideMark/>
          </w:tcPr>
          <w:p w14:paraId="1A3B22C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773.18%</w:t>
            </w:r>
          </w:p>
        </w:tc>
        <w:tc>
          <w:tcPr>
            <w:tcW w:w="1260" w:type="dxa"/>
            <w:tcBorders>
              <w:top w:val="nil"/>
              <w:left w:val="nil"/>
              <w:bottom w:val="single" w:sz="4" w:space="0" w:color="auto"/>
              <w:right w:val="single" w:sz="4" w:space="0" w:color="auto"/>
            </w:tcBorders>
            <w:vAlign w:val="bottom"/>
            <w:hideMark/>
          </w:tcPr>
          <w:p w14:paraId="69B1365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$5,846,057</w:t>
            </w:r>
          </w:p>
        </w:tc>
      </w:tr>
      <w:tr w:rsidR="00433DC8" w:rsidRPr="005217C3" w14:paraId="5A4C6A59" w14:textId="77777777" w:rsidTr="009050D8">
        <w:trPr>
          <w:trHeight w:val="161"/>
        </w:trPr>
        <w:tc>
          <w:tcPr>
            <w:tcW w:w="630" w:type="dxa"/>
            <w:tcBorders>
              <w:top w:val="nil"/>
              <w:left w:val="single" w:sz="4" w:space="0" w:color="auto"/>
              <w:bottom w:val="single" w:sz="4" w:space="0" w:color="auto"/>
              <w:right w:val="single" w:sz="4" w:space="0" w:color="auto"/>
            </w:tcBorders>
            <w:vAlign w:val="bottom"/>
            <w:hideMark/>
          </w:tcPr>
          <w:p w14:paraId="7DC774C2"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67D727FE"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MIL</w:t>
            </w:r>
          </w:p>
        </w:tc>
        <w:tc>
          <w:tcPr>
            <w:tcW w:w="4050" w:type="dxa"/>
            <w:tcBorders>
              <w:top w:val="nil"/>
              <w:left w:val="nil"/>
              <w:bottom w:val="single" w:sz="4" w:space="0" w:color="auto"/>
              <w:right w:val="single" w:sz="4" w:space="0" w:color="auto"/>
            </w:tcBorders>
            <w:vAlign w:val="bottom"/>
            <w:hideMark/>
          </w:tcPr>
          <w:p w14:paraId="44261C4E"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MILITARY DIVISION</w:t>
            </w:r>
          </w:p>
        </w:tc>
        <w:tc>
          <w:tcPr>
            <w:tcW w:w="1260" w:type="dxa"/>
            <w:tcBorders>
              <w:top w:val="nil"/>
              <w:left w:val="nil"/>
              <w:bottom w:val="single" w:sz="4" w:space="0" w:color="auto"/>
              <w:right w:val="single" w:sz="4" w:space="0" w:color="auto"/>
            </w:tcBorders>
            <w:vAlign w:val="bottom"/>
            <w:hideMark/>
          </w:tcPr>
          <w:p w14:paraId="0518BEC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$842,631</w:t>
            </w:r>
          </w:p>
        </w:tc>
        <w:tc>
          <w:tcPr>
            <w:tcW w:w="1170" w:type="dxa"/>
            <w:tcBorders>
              <w:top w:val="nil"/>
              <w:left w:val="nil"/>
              <w:bottom w:val="single" w:sz="4" w:space="0" w:color="auto"/>
              <w:right w:val="single" w:sz="4" w:space="0" w:color="auto"/>
            </w:tcBorders>
            <w:vAlign w:val="bottom"/>
            <w:hideMark/>
          </w:tcPr>
          <w:p w14:paraId="215C3F2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$21,066</w:t>
            </w:r>
          </w:p>
        </w:tc>
        <w:tc>
          <w:tcPr>
            <w:tcW w:w="1260" w:type="dxa"/>
            <w:tcBorders>
              <w:top w:val="nil"/>
              <w:left w:val="nil"/>
              <w:bottom w:val="single" w:sz="4" w:space="0" w:color="auto"/>
              <w:right w:val="single" w:sz="4" w:space="0" w:color="auto"/>
            </w:tcBorders>
            <w:vAlign w:val="bottom"/>
            <w:hideMark/>
          </w:tcPr>
          <w:p w14:paraId="6AEF60A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$797,191</w:t>
            </w:r>
          </w:p>
        </w:tc>
        <w:tc>
          <w:tcPr>
            <w:tcW w:w="1080" w:type="dxa"/>
            <w:tcBorders>
              <w:top w:val="nil"/>
              <w:left w:val="nil"/>
              <w:bottom w:val="single" w:sz="4" w:space="0" w:color="auto"/>
              <w:right w:val="single" w:sz="4" w:space="0" w:color="auto"/>
            </w:tcBorders>
            <w:vAlign w:val="bottom"/>
            <w:hideMark/>
          </w:tcPr>
          <w:p w14:paraId="7C5AF9C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492DE3F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$797,191</w:t>
            </w:r>
          </w:p>
        </w:tc>
        <w:tc>
          <w:tcPr>
            <w:tcW w:w="1170" w:type="dxa"/>
            <w:tcBorders>
              <w:top w:val="nil"/>
              <w:left w:val="nil"/>
              <w:bottom w:val="single" w:sz="4" w:space="0" w:color="auto"/>
              <w:right w:val="single" w:sz="4" w:space="0" w:color="auto"/>
            </w:tcBorders>
            <w:vAlign w:val="bottom"/>
            <w:hideMark/>
          </w:tcPr>
          <w:p w14:paraId="008E96D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3784.29%</w:t>
            </w:r>
          </w:p>
        </w:tc>
        <w:tc>
          <w:tcPr>
            <w:tcW w:w="1260" w:type="dxa"/>
            <w:tcBorders>
              <w:top w:val="nil"/>
              <w:left w:val="nil"/>
              <w:bottom w:val="single" w:sz="4" w:space="0" w:color="auto"/>
              <w:right w:val="single" w:sz="4" w:space="0" w:color="auto"/>
            </w:tcBorders>
            <w:vAlign w:val="bottom"/>
            <w:hideMark/>
          </w:tcPr>
          <w:p w14:paraId="793DFE2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$776,125</w:t>
            </w:r>
          </w:p>
        </w:tc>
      </w:tr>
      <w:tr w:rsidR="00433DC8" w:rsidRPr="005217C3" w14:paraId="7A9BAFB0" w14:textId="77777777" w:rsidTr="009050D8">
        <w:trPr>
          <w:trHeight w:val="179"/>
        </w:trPr>
        <w:tc>
          <w:tcPr>
            <w:tcW w:w="630" w:type="dxa"/>
            <w:tcBorders>
              <w:top w:val="nil"/>
              <w:left w:val="single" w:sz="4" w:space="0" w:color="auto"/>
              <w:bottom w:val="single" w:sz="4" w:space="0" w:color="auto"/>
              <w:right w:val="single" w:sz="4" w:space="0" w:color="auto"/>
            </w:tcBorders>
            <w:vAlign w:val="bottom"/>
            <w:hideMark/>
          </w:tcPr>
          <w:p w14:paraId="4098BCA9"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3E8A818D"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CJT</w:t>
            </w:r>
          </w:p>
        </w:tc>
        <w:tc>
          <w:tcPr>
            <w:tcW w:w="4050" w:type="dxa"/>
            <w:tcBorders>
              <w:top w:val="nil"/>
              <w:left w:val="nil"/>
              <w:bottom w:val="single" w:sz="4" w:space="0" w:color="auto"/>
              <w:right w:val="single" w:sz="4" w:space="0" w:color="auto"/>
            </w:tcBorders>
            <w:vAlign w:val="bottom"/>
            <w:hideMark/>
          </w:tcPr>
          <w:p w14:paraId="6298D61D"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MUNICIPAL POLICE TRAINING COMMITTEE</w:t>
            </w:r>
          </w:p>
        </w:tc>
        <w:tc>
          <w:tcPr>
            <w:tcW w:w="1260" w:type="dxa"/>
            <w:tcBorders>
              <w:top w:val="nil"/>
              <w:left w:val="nil"/>
              <w:bottom w:val="single" w:sz="4" w:space="0" w:color="auto"/>
              <w:right w:val="single" w:sz="4" w:space="0" w:color="auto"/>
            </w:tcBorders>
            <w:vAlign w:val="bottom"/>
            <w:hideMark/>
          </w:tcPr>
          <w:p w14:paraId="1C5AF2D9"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$598,754</w:t>
            </w:r>
          </w:p>
        </w:tc>
        <w:tc>
          <w:tcPr>
            <w:tcW w:w="1170" w:type="dxa"/>
            <w:tcBorders>
              <w:top w:val="nil"/>
              <w:left w:val="nil"/>
              <w:bottom w:val="single" w:sz="4" w:space="0" w:color="auto"/>
              <w:right w:val="single" w:sz="4" w:space="0" w:color="auto"/>
            </w:tcBorders>
            <w:vAlign w:val="bottom"/>
            <w:hideMark/>
          </w:tcPr>
          <w:p w14:paraId="68234047"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$14,969</w:t>
            </w:r>
          </w:p>
        </w:tc>
        <w:tc>
          <w:tcPr>
            <w:tcW w:w="1260" w:type="dxa"/>
            <w:tcBorders>
              <w:top w:val="nil"/>
              <w:left w:val="nil"/>
              <w:bottom w:val="single" w:sz="4" w:space="0" w:color="auto"/>
              <w:right w:val="single" w:sz="4" w:space="0" w:color="auto"/>
            </w:tcBorders>
            <w:vAlign w:val="bottom"/>
            <w:hideMark/>
          </w:tcPr>
          <w:p w14:paraId="2B65CEA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$107,944</w:t>
            </w:r>
          </w:p>
        </w:tc>
        <w:tc>
          <w:tcPr>
            <w:tcW w:w="1080" w:type="dxa"/>
            <w:tcBorders>
              <w:top w:val="nil"/>
              <w:left w:val="nil"/>
              <w:bottom w:val="single" w:sz="4" w:space="0" w:color="auto"/>
              <w:right w:val="single" w:sz="4" w:space="0" w:color="auto"/>
            </w:tcBorders>
            <w:vAlign w:val="bottom"/>
            <w:hideMark/>
          </w:tcPr>
          <w:p w14:paraId="7BB5442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7404F03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$107,944</w:t>
            </w:r>
          </w:p>
        </w:tc>
        <w:tc>
          <w:tcPr>
            <w:tcW w:w="1170" w:type="dxa"/>
            <w:tcBorders>
              <w:top w:val="nil"/>
              <w:left w:val="nil"/>
              <w:bottom w:val="single" w:sz="4" w:space="0" w:color="auto"/>
              <w:right w:val="single" w:sz="4" w:space="0" w:color="auto"/>
            </w:tcBorders>
            <w:vAlign w:val="bottom"/>
            <w:hideMark/>
          </w:tcPr>
          <w:p w14:paraId="7C819DC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721.13%</w:t>
            </w:r>
          </w:p>
        </w:tc>
        <w:tc>
          <w:tcPr>
            <w:tcW w:w="1260" w:type="dxa"/>
            <w:tcBorders>
              <w:top w:val="nil"/>
              <w:left w:val="nil"/>
              <w:bottom w:val="single" w:sz="4" w:space="0" w:color="auto"/>
              <w:right w:val="single" w:sz="4" w:space="0" w:color="auto"/>
            </w:tcBorders>
            <w:vAlign w:val="bottom"/>
            <w:hideMark/>
          </w:tcPr>
          <w:p w14:paraId="138F46C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$92,976</w:t>
            </w:r>
          </w:p>
        </w:tc>
      </w:tr>
      <w:tr w:rsidR="00433DC8" w:rsidRPr="005217C3" w14:paraId="18189E7C" w14:textId="77777777" w:rsidTr="009050D8">
        <w:trPr>
          <w:trHeight w:val="80"/>
        </w:trPr>
        <w:tc>
          <w:tcPr>
            <w:tcW w:w="630" w:type="dxa"/>
            <w:tcBorders>
              <w:top w:val="nil"/>
              <w:left w:val="single" w:sz="4" w:space="0" w:color="auto"/>
              <w:bottom w:val="single" w:sz="4" w:space="0" w:color="auto"/>
              <w:right w:val="single" w:sz="4" w:space="0" w:color="auto"/>
            </w:tcBorders>
            <w:vAlign w:val="bottom"/>
            <w:hideMark/>
          </w:tcPr>
          <w:p w14:paraId="41AFD9E4"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EPS</w:t>
            </w:r>
          </w:p>
        </w:tc>
        <w:tc>
          <w:tcPr>
            <w:tcW w:w="630" w:type="dxa"/>
            <w:tcBorders>
              <w:top w:val="nil"/>
              <w:left w:val="nil"/>
              <w:bottom w:val="single" w:sz="4" w:space="0" w:color="auto"/>
              <w:right w:val="single" w:sz="4" w:space="0" w:color="auto"/>
            </w:tcBorders>
            <w:vAlign w:val="bottom"/>
            <w:hideMark/>
          </w:tcPr>
          <w:p w14:paraId="1246C97C"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PAR</w:t>
            </w:r>
          </w:p>
        </w:tc>
        <w:tc>
          <w:tcPr>
            <w:tcW w:w="4050" w:type="dxa"/>
            <w:tcBorders>
              <w:top w:val="nil"/>
              <w:left w:val="nil"/>
              <w:bottom w:val="single" w:sz="4" w:space="0" w:color="auto"/>
              <w:right w:val="single" w:sz="4" w:space="0" w:color="auto"/>
            </w:tcBorders>
            <w:vAlign w:val="bottom"/>
            <w:hideMark/>
          </w:tcPr>
          <w:p w14:paraId="40AC62BA"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PAROLE BOARD</w:t>
            </w:r>
          </w:p>
        </w:tc>
        <w:tc>
          <w:tcPr>
            <w:tcW w:w="1260" w:type="dxa"/>
            <w:tcBorders>
              <w:top w:val="nil"/>
              <w:left w:val="nil"/>
              <w:bottom w:val="single" w:sz="4" w:space="0" w:color="auto"/>
              <w:right w:val="single" w:sz="4" w:space="0" w:color="auto"/>
            </w:tcBorders>
            <w:vAlign w:val="bottom"/>
            <w:hideMark/>
          </w:tcPr>
          <w:p w14:paraId="30545AC1"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$1,859,554</w:t>
            </w:r>
          </w:p>
        </w:tc>
        <w:tc>
          <w:tcPr>
            <w:tcW w:w="1170" w:type="dxa"/>
            <w:tcBorders>
              <w:top w:val="nil"/>
              <w:left w:val="nil"/>
              <w:bottom w:val="single" w:sz="4" w:space="0" w:color="auto"/>
              <w:right w:val="single" w:sz="4" w:space="0" w:color="auto"/>
            </w:tcBorders>
            <w:vAlign w:val="bottom"/>
            <w:hideMark/>
          </w:tcPr>
          <w:p w14:paraId="2F2A6825"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$46,489</w:t>
            </w:r>
          </w:p>
        </w:tc>
        <w:tc>
          <w:tcPr>
            <w:tcW w:w="1260" w:type="dxa"/>
            <w:tcBorders>
              <w:top w:val="nil"/>
              <w:left w:val="nil"/>
              <w:bottom w:val="single" w:sz="4" w:space="0" w:color="auto"/>
              <w:right w:val="single" w:sz="4" w:space="0" w:color="auto"/>
            </w:tcBorders>
            <w:vAlign w:val="bottom"/>
            <w:hideMark/>
          </w:tcPr>
          <w:p w14:paraId="08EA189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$191,193</w:t>
            </w:r>
          </w:p>
        </w:tc>
        <w:tc>
          <w:tcPr>
            <w:tcW w:w="1080" w:type="dxa"/>
            <w:tcBorders>
              <w:top w:val="nil"/>
              <w:left w:val="nil"/>
              <w:bottom w:val="single" w:sz="4" w:space="0" w:color="auto"/>
              <w:right w:val="single" w:sz="4" w:space="0" w:color="auto"/>
            </w:tcBorders>
            <w:vAlign w:val="bottom"/>
            <w:hideMark/>
          </w:tcPr>
          <w:p w14:paraId="17BE988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single" w:sz="4" w:space="0" w:color="auto"/>
              <w:right w:val="single" w:sz="4" w:space="0" w:color="auto"/>
            </w:tcBorders>
            <w:vAlign w:val="bottom"/>
            <w:hideMark/>
          </w:tcPr>
          <w:p w14:paraId="05EE189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$191,193</w:t>
            </w:r>
          </w:p>
        </w:tc>
        <w:tc>
          <w:tcPr>
            <w:tcW w:w="1170" w:type="dxa"/>
            <w:tcBorders>
              <w:top w:val="nil"/>
              <w:left w:val="nil"/>
              <w:bottom w:val="single" w:sz="4" w:space="0" w:color="auto"/>
              <w:right w:val="single" w:sz="4" w:space="0" w:color="auto"/>
            </w:tcBorders>
            <w:vAlign w:val="bottom"/>
            <w:hideMark/>
          </w:tcPr>
          <w:p w14:paraId="1A31E60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411.27%</w:t>
            </w:r>
          </w:p>
        </w:tc>
        <w:tc>
          <w:tcPr>
            <w:tcW w:w="1260" w:type="dxa"/>
            <w:tcBorders>
              <w:top w:val="nil"/>
              <w:left w:val="nil"/>
              <w:bottom w:val="single" w:sz="4" w:space="0" w:color="auto"/>
              <w:right w:val="single" w:sz="4" w:space="0" w:color="auto"/>
            </w:tcBorders>
            <w:vAlign w:val="bottom"/>
            <w:hideMark/>
          </w:tcPr>
          <w:p w14:paraId="07530CA4"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$144,704</w:t>
            </w:r>
          </w:p>
        </w:tc>
      </w:tr>
      <w:tr w:rsidR="00433DC8" w:rsidRPr="005217C3" w14:paraId="17E6CDF8" w14:textId="77777777" w:rsidTr="009050D8">
        <w:trPr>
          <w:trHeight w:val="161"/>
        </w:trPr>
        <w:tc>
          <w:tcPr>
            <w:tcW w:w="630" w:type="dxa"/>
            <w:tcBorders>
              <w:top w:val="nil"/>
              <w:left w:val="single" w:sz="4" w:space="0" w:color="auto"/>
              <w:bottom w:val="nil"/>
              <w:right w:val="single" w:sz="4" w:space="0" w:color="auto"/>
            </w:tcBorders>
            <w:vAlign w:val="bottom"/>
            <w:hideMark/>
          </w:tcPr>
          <w:p w14:paraId="0384C9A7"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EPS</w:t>
            </w:r>
          </w:p>
        </w:tc>
        <w:tc>
          <w:tcPr>
            <w:tcW w:w="630" w:type="dxa"/>
            <w:tcBorders>
              <w:top w:val="nil"/>
              <w:left w:val="nil"/>
              <w:bottom w:val="nil"/>
              <w:right w:val="single" w:sz="4" w:space="0" w:color="auto"/>
            </w:tcBorders>
            <w:vAlign w:val="bottom"/>
            <w:hideMark/>
          </w:tcPr>
          <w:p w14:paraId="1838AD8A"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SOR</w:t>
            </w:r>
          </w:p>
        </w:tc>
        <w:tc>
          <w:tcPr>
            <w:tcW w:w="4050" w:type="dxa"/>
            <w:tcBorders>
              <w:top w:val="nil"/>
              <w:left w:val="nil"/>
              <w:bottom w:val="nil"/>
              <w:right w:val="single" w:sz="4" w:space="0" w:color="auto"/>
            </w:tcBorders>
            <w:vAlign w:val="bottom"/>
            <w:hideMark/>
          </w:tcPr>
          <w:p w14:paraId="51663E81"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SEX OFFENDER REGISTRY</w:t>
            </w:r>
          </w:p>
        </w:tc>
        <w:tc>
          <w:tcPr>
            <w:tcW w:w="1260" w:type="dxa"/>
            <w:tcBorders>
              <w:top w:val="nil"/>
              <w:left w:val="nil"/>
              <w:bottom w:val="nil"/>
              <w:right w:val="single" w:sz="4" w:space="0" w:color="auto"/>
            </w:tcBorders>
            <w:vAlign w:val="bottom"/>
            <w:hideMark/>
          </w:tcPr>
          <w:p w14:paraId="5A78BD9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$154,345</w:t>
            </w:r>
          </w:p>
        </w:tc>
        <w:tc>
          <w:tcPr>
            <w:tcW w:w="1170" w:type="dxa"/>
            <w:tcBorders>
              <w:top w:val="nil"/>
              <w:left w:val="nil"/>
              <w:bottom w:val="nil"/>
              <w:right w:val="single" w:sz="4" w:space="0" w:color="auto"/>
            </w:tcBorders>
            <w:vAlign w:val="bottom"/>
            <w:hideMark/>
          </w:tcPr>
          <w:p w14:paraId="650F3FA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$3,859</w:t>
            </w:r>
          </w:p>
        </w:tc>
        <w:tc>
          <w:tcPr>
            <w:tcW w:w="1260" w:type="dxa"/>
            <w:tcBorders>
              <w:top w:val="nil"/>
              <w:left w:val="nil"/>
              <w:bottom w:val="nil"/>
              <w:right w:val="single" w:sz="4" w:space="0" w:color="auto"/>
            </w:tcBorders>
            <w:vAlign w:val="bottom"/>
            <w:hideMark/>
          </w:tcPr>
          <w:p w14:paraId="150A8B3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$32,992</w:t>
            </w:r>
          </w:p>
        </w:tc>
        <w:tc>
          <w:tcPr>
            <w:tcW w:w="1080" w:type="dxa"/>
            <w:tcBorders>
              <w:top w:val="nil"/>
              <w:left w:val="nil"/>
              <w:bottom w:val="nil"/>
              <w:right w:val="single" w:sz="4" w:space="0" w:color="auto"/>
            </w:tcBorders>
            <w:vAlign w:val="bottom"/>
            <w:hideMark/>
          </w:tcPr>
          <w:p w14:paraId="508AAB3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72D85E8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$32,992</w:t>
            </w:r>
          </w:p>
        </w:tc>
        <w:tc>
          <w:tcPr>
            <w:tcW w:w="1170" w:type="dxa"/>
            <w:tcBorders>
              <w:top w:val="nil"/>
              <w:left w:val="nil"/>
              <w:bottom w:val="nil"/>
              <w:right w:val="single" w:sz="4" w:space="0" w:color="auto"/>
            </w:tcBorders>
            <w:vAlign w:val="bottom"/>
            <w:hideMark/>
          </w:tcPr>
          <w:p w14:paraId="71B0898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855.01%</w:t>
            </w:r>
          </w:p>
        </w:tc>
        <w:tc>
          <w:tcPr>
            <w:tcW w:w="1260" w:type="dxa"/>
            <w:tcBorders>
              <w:top w:val="nil"/>
              <w:left w:val="nil"/>
              <w:bottom w:val="nil"/>
              <w:right w:val="single" w:sz="4" w:space="0" w:color="auto"/>
            </w:tcBorders>
            <w:vAlign w:val="bottom"/>
            <w:hideMark/>
          </w:tcPr>
          <w:p w14:paraId="1C98404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$29,133</w:t>
            </w:r>
          </w:p>
        </w:tc>
      </w:tr>
      <w:tr w:rsidR="00433DC8" w:rsidRPr="005217C3" w14:paraId="47E862A5" w14:textId="77777777" w:rsidTr="009050D8">
        <w:trPr>
          <w:trHeight w:val="151"/>
        </w:trPr>
        <w:tc>
          <w:tcPr>
            <w:tcW w:w="5310" w:type="dxa"/>
            <w:gridSpan w:val="3"/>
            <w:tcBorders>
              <w:top w:val="single" w:sz="8" w:space="0" w:color="auto"/>
              <w:left w:val="single" w:sz="8" w:space="0" w:color="auto"/>
              <w:bottom w:val="single" w:sz="8" w:space="0" w:color="auto"/>
              <w:right w:val="single" w:sz="4" w:space="0" w:color="000000"/>
            </w:tcBorders>
            <w:shd w:val="clear" w:color="000000" w:fill="D8E4BC"/>
            <w:vAlign w:val="bottom"/>
            <w:hideMark/>
          </w:tcPr>
          <w:p w14:paraId="0C786555"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01D4373D"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$92,367,605</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4557CBF8"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$2,309,190</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5438B466"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$16,735,749</w:t>
            </w:r>
          </w:p>
        </w:tc>
        <w:tc>
          <w:tcPr>
            <w:tcW w:w="1080" w:type="dxa"/>
            <w:tcBorders>
              <w:top w:val="single" w:sz="8" w:space="0" w:color="auto"/>
              <w:left w:val="nil"/>
              <w:bottom w:val="single" w:sz="8" w:space="0" w:color="auto"/>
              <w:right w:val="single" w:sz="4" w:space="0" w:color="auto"/>
            </w:tcBorders>
            <w:shd w:val="clear" w:color="000000" w:fill="D8E4BC"/>
            <w:vAlign w:val="bottom"/>
            <w:hideMark/>
          </w:tcPr>
          <w:p w14:paraId="1E6D8C97"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6BB74708"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$16,735,749</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712CF75D"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724.75%</w:t>
            </w:r>
          </w:p>
        </w:tc>
        <w:tc>
          <w:tcPr>
            <w:tcW w:w="1260" w:type="dxa"/>
            <w:tcBorders>
              <w:top w:val="single" w:sz="8" w:space="0" w:color="auto"/>
              <w:left w:val="nil"/>
              <w:bottom w:val="single" w:sz="8" w:space="0" w:color="auto"/>
              <w:right w:val="single" w:sz="8" w:space="0" w:color="auto"/>
            </w:tcBorders>
            <w:shd w:val="clear" w:color="000000" w:fill="D8E4BC"/>
            <w:vAlign w:val="bottom"/>
            <w:hideMark/>
          </w:tcPr>
          <w:p w14:paraId="651A958E"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$14,426,559</w:t>
            </w:r>
          </w:p>
        </w:tc>
      </w:tr>
      <w:tr w:rsidR="00433DC8" w:rsidRPr="005217C3" w14:paraId="7BD99E54" w14:textId="77777777" w:rsidTr="009050D8">
        <w:trPr>
          <w:trHeight w:val="169"/>
        </w:trPr>
        <w:tc>
          <w:tcPr>
            <w:tcW w:w="630" w:type="dxa"/>
            <w:tcBorders>
              <w:top w:val="nil"/>
              <w:left w:val="single" w:sz="4" w:space="0" w:color="auto"/>
              <w:bottom w:val="nil"/>
              <w:right w:val="single" w:sz="4" w:space="0" w:color="auto"/>
            </w:tcBorders>
            <w:vAlign w:val="bottom"/>
            <w:hideMark/>
          </w:tcPr>
          <w:p w14:paraId="391D29A9"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GOV</w:t>
            </w:r>
          </w:p>
        </w:tc>
        <w:tc>
          <w:tcPr>
            <w:tcW w:w="630" w:type="dxa"/>
            <w:tcBorders>
              <w:top w:val="nil"/>
              <w:left w:val="nil"/>
              <w:bottom w:val="nil"/>
              <w:right w:val="single" w:sz="4" w:space="0" w:color="auto"/>
            </w:tcBorders>
            <w:vAlign w:val="bottom"/>
            <w:hideMark/>
          </w:tcPr>
          <w:p w14:paraId="2ED40A71"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GOV</w:t>
            </w:r>
          </w:p>
        </w:tc>
        <w:tc>
          <w:tcPr>
            <w:tcW w:w="4050" w:type="dxa"/>
            <w:tcBorders>
              <w:top w:val="nil"/>
              <w:left w:val="nil"/>
              <w:bottom w:val="nil"/>
              <w:right w:val="single" w:sz="4" w:space="0" w:color="auto"/>
            </w:tcBorders>
            <w:vAlign w:val="bottom"/>
            <w:hideMark/>
          </w:tcPr>
          <w:p w14:paraId="17A166EC"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GOVERNORS OFFICE</w:t>
            </w:r>
          </w:p>
        </w:tc>
        <w:tc>
          <w:tcPr>
            <w:tcW w:w="1260" w:type="dxa"/>
            <w:tcBorders>
              <w:top w:val="nil"/>
              <w:left w:val="nil"/>
              <w:bottom w:val="nil"/>
              <w:right w:val="single" w:sz="4" w:space="0" w:color="auto"/>
            </w:tcBorders>
            <w:vAlign w:val="bottom"/>
            <w:hideMark/>
          </w:tcPr>
          <w:p w14:paraId="25F6255B"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$260,590</w:t>
            </w:r>
          </w:p>
        </w:tc>
        <w:tc>
          <w:tcPr>
            <w:tcW w:w="1170" w:type="dxa"/>
            <w:tcBorders>
              <w:top w:val="nil"/>
              <w:left w:val="nil"/>
              <w:bottom w:val="nil"/>
              <w:right w:val="single" w:sz="4" w:space="0" w:color="auto"/>
            </w:tcBorders>
            <w:vAlign w:val="bottom"/>
            <w:hideMark/>
          </w:tcPr>
          <w:p w14:paraId="6F03E1A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$6,515</w:t>
            </w:r>
          </w:p>
        </w:tc>
        <w:tc>
          <w:tcPr>
            <w:tcW w:w="1260" w:type="dxa"/>
            <w:tcBorders>
              <w:top w:val="nil"/>
              <w:left w:val="nil"/>
              <w:bottom w:val="nil"/>
              <w:right w:val="single" w:sz="4" w:space="0" w:color="auto"/>
            </w:tcBorders>
            <w:vAlign w:val="bottom"/>
            <w:hideMark/>
          </w:tcPr>
          <w:p w14:paraId="02F5D75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$24,705</w:t>
            </w:r>
          </w:p>
        </w:tc>
        <w:tc>
          <w:tcPr>
            <w:tcW w:w="1080" w:type="dxa"/>
            <w:tcBorders>
              <w:top w:val="nil"/>
              <w:left w:val="nil"/>
              <w:bottom w:val="nil"/>
              <w:right w:val="single" w:sz="4" w:space="0" w:color="auto"/>
            </w:tcBorders>
            <w:vAlign w:val="bottom"/>
            <w:hideMark/>
          </w:tcPr>
          <w:p w14:paraId="2C51B85C"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561A5FE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$24,705</w:t>
            </w:r>
          </w:p>
        </w:tc>
        <w:tc>
          <w:tcPr>
            <w:tcW w:w="1170" w:type="dxa"/>
            <w:tcBorders>
              <w:top w:val="nil"/>
              <w:left w:val="nil"/>
              <w:bottom w:val="nil"/>
              <w:right w:val="single" w:sz="4" w:space="0" w:color="auto"/>
            </w:tcBorders>
            <w:vAlign w:val="bottom"/>
            <w:hideMark/>
          </w:tcPr>
          <w:p w14:paraId="4CDE7138"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379.21%</w:t>
            </w:r>
          </w:p>
        </w:tc>
        <w:tc>
          <w:tcPr>
            <w:tcW w:w="1260" w:type="dxa"/>
            <w:tcBorders>
              <w:top w:val="nil"/>
              <w:left w:val="nil"/>
              <w:bottom w:val="nil"/>
              <w:right w:val="single" w:sz="4" w:space="0" w:color="auto"/>
            </w:tcBorders>
            <w:vAlign w:val="bottom"/>
            <w:hideMark/>
          </w:tcPr>
          <w:p w14:paraId="0CAA49B0"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$18,190</w:t>
            </w:r>
          </w:p>
        </w:tc>
      </w:tr>
      <w:tr w:rsidR="00433DC8" w:rsidRPr="005217C3" w14:paraId="32671752" w14:textId="77777777" w:rsidTr="009050D8">
        <w:trPr>
          <w:trHeight w:val="169"/>
        </w:trPr>
        <w:tc>
          <w:tcPr>
            <w:tcW w:w="5310" w:type="dxa"/>
            <w:gridSpan w:val="3"/>
            <w:tcBorders>
              <w:top w:val="single" w:sz="8" w:space="0" w:color="auto"/>
              <w:left w:val="single" w:sz="8" w:space="0" w:color="auto"/>
              <w:bottom w:val="single" w:sz="8" w:space="0" w:color="auto"/>
              <w:right w:val="single" w:sz="4" w:space="0" w:color="000000"/>
            </w:tcBorders>
            <w:shd w:val="clear" w:color="000000" w:fill="D8E4BC"/>
            <w:vAlign w:val="bottom"/>
            <w:hideMark/>
          </w:tcPr>
          <w:p w14:paraId="669C01F6"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0A04278B"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$260,590</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5C6DA58F"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$6,515</w:t>
            </w:r>
          </w:p>
        </w:tc>
        <w:tc>
          <w:tcPr>
            <w:tcW w:w="1260" w:type="dxa"/>
            <w:tcBorders>
              <w:top w:val="single" w:sz="8" w:space="0" w:color="auto"/>
              <w:left w:val="nil"/>
              <w:bottom w:val="single" w:sz="8" w:space="0" w:color="auto"/>
              <w:right w:val="single" w:sz="4" w:space="0" w:color="auto"/>
            </w:tcBorders>
            <w:shd w:val="clear" w:color="000000" w:fill="D8E4BC"/>
            <w:vAlign w:val="bottom"/>
            <w:hideMark/>
          </w:tcPr>
          <w:p w14:paraId="75754346"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$24,705</w:t>
            </w:r>
          </w:p>
        </w:tc>
        <w:tc>
          <w:tcPr>
            <w:tcW w:w="1080" w:type="dxa"/>
            <w:tcBorders>
              <w:top w:val="single" w:sz="8" w:space="0" w:color="auto"/>
              <w:left w:val="nil"/>
              <w:bottom w:val="single" w:sz="8" w:space="0" w:color="auto"/>
              <w:right w:val="single" w:sz="4" w:space="0" w:color="auto"/>
            </w:tcBorders>
            <w:shd w:val="clear" w:color="000000" w:fill="D8E4BC"/>
            <w:vAlign w:val="bottom"/>
            <w:hideMark/>
          </w:tcPr>
          <w:p w14:paraId="2EA2DCF3"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39032E52"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$24,705</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4A14C3AC"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379.21%</w:t>
            </w:r>
          </w:p>
        </w:tc>
        <w:tc>
          <w:tcPr>
            <w:tcW w:w="1260" w:type="dxa"/>
            <w:tcBorders>
              <w:top w:val="single" w:sz="8" w:space="0" w:color="auto"/>
              <w:left w:val="nil"/>
              <w:bottom w:val="single" w:sz="8" w:space="0" w:color="auto"/>
              <w:right w:val="single" w:sz="8" w:space="0" w:color="auto"/>
            </w:tcBorders>
            <w:shd w:val="clear" w:color="000000" w:fill="D8E4BC"/>
            <w:vAlign w:val="bottom"/>
            <w:hideMark/>
          </w:tcPr>
          <w:p w14:paraId="19A38D0E"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$18,190</w:t>
            </w:r>
          </w:p>
        </w:tc>
      </w:tr>
      <w:tr w:rsidR="00433DC8" w:rsidRPr="005217C3" w14:paraId="34B1B93A" w14:textId="77777777" w:rsidTr="009050D8">
        <w:trPr>
          <w:trHeight w:val="160"/>
        </w:trPr>
        <w:tc>
          <w:tcPr>
            <w:tcW w:w="630" w:type="dxa"/>
            <w:tcBorders>
              <w:top w:val="nil"/>
              <w:left w:val="single" w:sz="4" w:space="0" w:color="auto"/>
              <w:bottom w:val="nil"/>
              <w:right w:val="single" w:sz="4" w:space="0" w:color="auto"/>
            </w:tcBorders>
            <w:vAlign w:val="bottom"/>
            <w:hideMark/>
          </w:tcPr>
          <w:p w14:paraId="37F67856"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OSC</w:t>
            </w:r>
          </w:p>
        </w:tc>
        <w:tc>
          <w:tcPr>
            <w:tcW w:w="630" w:type="dxa"/>
            <w:tcBorders>
              <w:top w:val="nil"/>
              <w:left w:val="nil"/>
              <w:bottom w:val="nil"/>
              <w:right w:val="single" w:sz="4" w:space="0" w:color="auto"/>
            </w:tcBorders>
            <w:vAlign w:val="bottom"/>
            <w:hideMark/>
          </w:tcPr>
          <w:p w14:paraId="05734307"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OSC</w:t>
            </w:r>
          </w:p>
        </w:tc>
        <w:tc>
          <w:tcPr>
            <w:tcW w:w="4050" w:type="dxa"/>
            <w:tcBorders>
              <w:top w:val="nil"/>
              <w:left w:val="nil"/>
              <w:bottom w:val="nil"/>
              <w:right w:val="single" w:sz="4" w:space="0" w:color="auto"/>
            </w:tcBorders>
            <w:vAlign w:val="bottom"/>
            <w:hideMark/>
          </w:tcPr>
          <w:p w14:paraId="31DF1778" w14:textId="77777777" w:rsidR="00433DC8" w:rsidRPr="005217C3" w:rsidRDefault="00433DC8" w:rsidP="00433DC8">
            <w:pPr>
              <w:spacing w:after="0" w:line="240" w:lineRule="auto"/>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OFFICE OF THE COMPTROLLER</w:t>
            </w:r>
          </w:p>
        </w:tc>
        <w:tc>
          <w:tcPr>
            <w:tcW w:w="1260" w:type="dxa"/>
            <w:tcBorders>
              <w:top w:val="nil"/>
              <w:left w:val="nil"/>
              <w:bottom w:val="nil"/>
              <w:right w:val="single" w:sz="4" w:space="0" w:color="auto"/>
            </w:tcBorders>
            <w:vAlign w:val="bottom"/>
            <w:hideMark/>
          </w:tcPr>
          <w:p w14:paraId="56942BB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$425,069</w:t>
            </w:r>
          </w:p>
        </w:tc>
        <w:tc>
          <w:tcPr>
            <w:tcW w:w="1170" w:type="dxa"/>
            <w:tcBorders>
              <w:top w:val="nil"/>
              <w:left w:val="nil"/>
              <w:bottom w:val="nil"/>
              <w:right w:val="single" w:sz="4" w:space="0" w:color="auto"/>
            </w:tcBorders>
            <w:vAlign w:val="bottom"/>
            <w:hideMark/>
          </w:tcPr>
          <w:p w14:paraId="0D5DCC26"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$10,627</w:t>
            </w:r>
          </w:p>
        </w:tc>
        <w:tc>
          <w:tcPr>
            <w:tcW w:w="1260" w:type="dxa"/>
            <w:tcBorders>
              <w:top w:val="nil"/>
              <w:left w:val="nil"/>
              <w:bottom w:val="nil"/>
              <w:right w:val="single" w:sz="4" w:space="0" w:color="auto"/>
            </w:tcBorders>
            <w:vAlign w:val="bottom"/>
            <w:hideMark/>
          </w:tcPr>
          <w:p w14:paraId="626D77E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$219,575</w:t>
            </w:r>
          </w:p>
        </w:tc>
        <w:tc>
          <w:tcPr>
            <w:tcW w:w="1080" w:type="dxa"/>
            <w:tcBorders>
              <w:top w:val="nil"/>
              <w:left w:val="nil"/>
              <w:bottom w:val="nil"/>
              <w:right w:val="single" w:sz="4" w:space="0" w:color="auto"/>
            </w:tcBorders>
            <w:vAlign w:val="bottom"/>
            <w:hideMark/>
          </w:tcPr>
          <w:p w14:paraId="1C9E28FF"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$0</w:t>
            </w:r>
          </w:p>
        </w:tc>
        <w:tc>
          <w:tcPr>
            <w:tcW w:w="1170" w:type="dxa"/>
            <w:tcBorders>
              <w:top w:val="nil"/>
              <w:left w:val="nil"/>
              <w:bottom w:val="nil"/>
              <w:right w:val="single" w:sz="4" w:space="0" w:color="auto"/>
            </w:tcBorders>
            <w:vAlign w:val="bottom"/>
            <w:hideMark/>
          </w:tcPr>
          <w:p w14:paraId="7A978212"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$219,575</w:t>
            </w:r>
          </w:p>
        </w:tc>
        <w:tc>
          <w:tcPr>
            <w:tcW w:w="1170" w:type="dxa"/>
            <w:tcBorders>
              <w:top w:val="nil"/>
              <w:left w:val="nil"/>
              <w:bottom w:val="nil"/>
              <w:right w:val="single" w:sz="4" w:space="0" w:color="auto"/>
            </w:tcBorders>
            <w:vAlign w:val="bottom"/>
            <w:hideMark/>
          </w:tcPr>
          <w:p w14:paraId="2165D8AA"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2066.26%</w:t>
            </w:r>
          </w:p>
        </w:tc>
        <w:tc>
          <w:tcPr>
            <w:tcW w:w="1260" w:type="dxa"/>
            <w:tcBorders>
              <w:top w:val="nil"/>
              <w:left w:val="nil"/>
              <w:bottom w:val="nil"/>
              <w:right w:val="single" w:sz="4" w:space="0" w:color="auto"/>
            </w:tcBorders>
            <w:vAlign w:val="bottom"/>
            <w:hideMark/>
          </w:tcPr>
          <w:p w14:paraId="5B35A96E" w14:textId="77777777" w:rsidR="00433DC8" w:rsidRPr="005217C3" w:rsidRDefault="00433DC8" w:rsidP="00433DC8">
            <w:pPr>
              <w:spacing w:after="0" w:line="240" w:lineRule="auto"/>
              <w:jc w:val="right"/>
              <w:rPr>
                <w:rFonts w:ascii="Calibri" w:eastAsia="Times New Roman" w:hAnsi="Calibri"/>
                <w:color w:val="000000"/>
                <w:sz w:val="12"/>
                <w:szCs w:val="12"/>
                <w:lang w:val="en-US"/>
              </w:rPr>
            </w:pPr>
            <w:r w:rsidRPr="005217C3">
              <w:rPr>
                <w:rFonts w:ascii="Calibri" w:eastAsia="Times New Roman" w:hAnsi="Calibri"/>
                <w:color w:val="000000"/>
                <w:sz w:val="12"/>
                <w:szCs w:val="12"/>
                <w:lang w:val="en-US"/>
              </w:rPr>
              <w:t>$208,949</w:t>
            </w:r>
          </w:p>
        </w:tc>
      </w:tr>
      <w:tr w:rsidR="00433DC8" w:rsidRPr="005217C3" w14:paraId="44577CCA" w14:textId="77777777" w:rsidTr="009050D8">
        <w:trPr>
          <w:trHeight w:val="151"/>
        </w:trPr>
        <w:tc>
          <w:tcPr>
            <w:tcW w:w="5310" w:type="dxa"/>
            <w:gridSpan w:val="3"/>
            <w:tcBorders>
              <w:top w:val="single" w:sz="8" w:space="0" w:color="auto"/>
              <w:left w:val="single" w:sz="8" w:space="0" w:color="auto"/>
              <w:bottom w:val="single" w:sz="8" w:space="0" w:color="auto"/>
              <w:right w:val="single" w:sz="4" w:space="0" w:color="000000"/>
            </w:tcBorders>
            <w:shd w:val="clear" w:color="000000" w:fill="D8E4BC"/>
            <w:noWrap/>
            <w:vAlign w:val="bottom"/>
            <w:hideMark/>
          </w:tcPr>
          <w:p w14:paraId="211BBEDD"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TOTAL</w:t>
            </w:r>
          </w:p>
        </w:tc>
        <w:tc>
          <w:tcPr>
            <w:tcW w:w="1260" w:type="dxa"/>
            <w:tcBorders>
              <w:top w:val="single" w:sz="8" w:space="0" w:color="auto"/>
              <w:left w:val="nil"/>
              <w:bottom w:val="single" w:sz="8" w:space="0" w:color="auto"/>
              <w:right w:val="single" w:sz="4" w:space="0" w:color="auto"/>
            </w:tcBorders>
            <w:shd w:val="clear" w:color="000000" w:fill="D8E4BC"/>
            <w:noWrap/>
            <w:vAlign w:val="bottom"/>
            <w:hideMark/>
          </w:tcPr>
          <w:p w14:paraId="4075E121"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$425,069</w:t>
            </w:r>
          </w:p>
        </w:tc>
        <w:tc>
          <w:tcPr>
            <w:tcW w:w="1170" w:type="dxa"/>
            <w:tcBorders>
              <w:top w:val="single" w:sz="8" w:space="0" w:color="auto"/>
              <w:left w:val="nil"/>
              <w:bottom w:val="single" w:sz="8" w:space="0" w:color="auto"/>
              <w:right w:val="single" w:sz="4" w:space="0" w:color="auto"/>
            </w:tcBorders>
            <w:shd w:val="clear" w:color="000000" w:fill="D8E4BC"/>
            <w:noWrap/>
            <w:vAlign w:val="bottom"/>
            <w:hideMark/>
          </w:tcPr>
          <w:p w14:paraId="054A755A"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$10,627</w:t>
            </w:r>
          </w:p>
        </w:tc>
        <w:tc>
          <w:tcPr>
            <w:tcW w:w="1260" w:type="dxa"/>
            <w:tcBorders>
              <w:top w:val="single" w:sz="8" w:space="0" w:color="auto"/>
              <w:left w:val="nil"/>
              <w:bottom w:val="single" w:sz="8" w:space="0" w:color="auto"/>
              <w:right w:val="single" w:sz="4" w:space="0" w:color="auto"/>
            </w:tcBorders>
            <w:shd w:val="clear" w:color="000000" w:fill="D8E4BC"/>
            <w:noWrap/>
            <w:vAlign w:val="bottom"/>
            <w:hideMark/>
          </w:tcPr>
          <w:p w14:paraId="1484A051"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$219,575</w:t>
            </w:r>
          </w:p>
        </w:tc>
        <w:tc>
          <w:tcPr>
            <w:tcW w:w="1080" w:type="dxa"/>
            <w:tcBorders>
              <w:top w:val="single" w:sz="8" w:space="0" w:color="auto"/>
              <w:left w:val="nil"/>
              <w:bottom w:val="single" w:sz="8" w:space="0" w:color="auto"/>
              <w:right w:val="single" w:sz="4" w:space="0" w:color="auto"/>
            </w:tcBorders>
            <w:shd w:val="clear" w:color="000000" w:fill="D8E4BC"/>
            <w:noWrap/>
            <w:vAlign w:val="bottom"/>
            <w:hideMark/>
          </w:tcPr>
          <w:p w14:paraId="3F06F3C1"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$0</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08C21306"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$219,575</w:t>
            </w:r>
          </w:p>
        </w:tc>
        <w:tc>
          <w:tcPr>
            <w:tcW w:w="1170" w:type="dxa"/>
            <w:tcBorders>
              <w:top w:val="single" w:sz="8" w:space="0" w:color="auto"/>
              <w:left w:val="nil"/>
              <w:bottom w:val="single" w:sz="8" w:space="0" w:color="auto"/>
              <w:right w:val="single" w:sz="4" w:space="0" w:color="auto"/>
            </w:tcBorders>
            <w:shd w:val="clear" w:color="000000" w:fill="D8E4BC"/>
            <w:vAlign w:val="bottom"/>
            <w:hideMark/>
          </w:tcPr>
          <w:p w14:paraId="186093D7"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2066.26%</w:t>
            </w:r>
          </w:p>
        </w:tc>
        <w:tc>
          <w:tcPr>
            <w:tcW w:w="1260" w:type="dxa"/>
            <w:tcBorders>
              <w:top w:val="single" w:sz="8" w:space="0" w:color="auto"/>
              <w:left w:val="nil"/>
              <w:bottom w:val="single" w:sz="8" w:space="0" w:color="auto"/>
              <w:right w:val="single" w:sz="8" w:space="0" w:color="auto"/>
            </w:tcBorders>
            <w:shd w:val="clear" w:color="000000" w:fill="D8E4BC"/>
            <w:vAlign w:val="bottom"/>
            <w:hideMark/>
          </w:tcPr>
          <w:p w14:paraId="4C145D98"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$208,949</w:t>
            </w:r>
          </w:p>
        </w:tc>
      </w:tr>
      <w:tr w:rsidR="00433DC8" w:rsidRPr="005217C3" w14:paraId="64657501" w14:textId="77777777" w:rsidTr="009050D8">
        <w:trPr>
          <w:trHeight w:val="79"/>
        </w:trPr>
        <w:tc>
          <w:tcPr>
            <w:tcW w:w="5310" w:type="dxa"/>
            <w:gridSpan w:val="3"/>
            <w:tcBorders>
              <w:top w:val="single" w:sz="8" w:space="0" w:color="auto"/>
              <w:left w:val="single" w:sz="8" w:space="0" w:color="auto"/>
              <w:bottom w:val="single" w:sz="8" w:space="0" w:color="auto"/>
              <w:right w:val="single" w:sz="4" w:space="0" w:color="000000"/>
            </w:tcBorders>
            <w:shd w:val="clear" w:color="000000" w:fill="F0EA00"/>
            <w:noWrap/>
            <w:vAlign w:val="bottom"/>
            <w:hideMark/>
          </w:tcPr>
          <w:p w14:paraId="6B5B32CA" w14:textId="77777777" w:rsidR="00433DC8" w:rsidRPr="005217C3" w:rsidRDefault="00433DC8" w:rsidP="00433DC8">
            <w:pPr>
              <w:spacing w:after="0" w:line="240" w:lineRule="auto"/>
              <w:jc w:val="center"/>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Year To Date Grand Total</w:t>
            </w:r>
          </w:p>
        </w:tc>
        <w:tc>
          <w:tcPr>
            <w:tcW w:w="1260" w:type="dxa"/>
            <w:tcBorders>
              <w:top w:val="nil"/>
              <w:left w:val="nil"/>
              <w:bottom w:val="single" w:sz="8" w:space="0" w:color="auto"/>
              <w:right w:val="single" w:sz="4" w:space="0" w:color="auto"/>
            </w:tcBorders>
            <w:shd w:val="clear" w:color="000000" w:fill="F0EA00"/>
            <w:noWrap/>
            <w:vAlign w:val="bottom"/>
            <w:hideMark/>
          </w:tcPr>
          <w:p w14:paraId="24B84E52"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$3,976,078,574</w:t>
            </w:r>
          </w:p>
        </w:tc>
        <w:tc>
          <w:tcPr>
            <w:tcW w:w="1170" w:type="dxa"/>
            <w:tcBorders>
              <w:top w:val="nil"/>
              <w:left w:val="nil"/>
              <w:bottom w:val="single" w:sz="8" w:space="0" w:color="auto"/>
              <w:right w:val="single" w:sz="4" w:space="0" w:color="auto"/>
            </w:tcBorders>
            <w:shd w:val="clear" w:color="000000" w:fill="F0EA00"/>
            <w:noWrap/>
            <w:vAlign w:val="bottom"/>
            <w:hideMark/>
          </w:tcPr>
          <w:p w14:paraId="4DA158A9"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$99,401,965</w:t>
            </w:r>
          </w:p>
        </w:tc>
        <w:tc>
          <w:tcPr>
            <w:tcW w:w="1260" w:type="dxa"/>
            <w:tcBorders>
              <w:top w:val="nil"/>
              <w:left w:val="nil"/>
              <w:bottom w:val="single" w:sz="8" w:space="0" w:color="auto"/>
              <w:right w:val="single" w:sz="4" w:space="0" w:color="auto"/>
            </w:tcBorders>
            <w:shd w:val="clear" w:color="000000" w:fill="F0EA00"/>
            <w:noWrap/>
            <w:vAlign w:val="bottom"/>
            <w:hideMark/>
          </w:tcPr>
          <w:p w14:paraId="41D32010"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$140,946,043</w:t>
            </w:r>
          </w:p>
        </w:tc>
        <w:tc>
          <w:tcPr>
            <w:tcW w:w="1080" w:type="dxa"/>
            <w:tcBorders>
              <w:top w:val="nil"/>
              <w:left w:val="nil"/>
              <w:bottom w:val="single" w:sz="8" w:space="0" w:color="auto"/>
              <w:right w:val="single" w:sz="4" w:space="0" w:color="auto"/>
            </w:tcBorders>
            <w:shd w:val="clear" w:color="000000" w:fill="F0EA00"/>
            <w:noWrap/>
            <w:vAlign w:val="bottom"/>
            <w:hideMark/>
          </w:tcPr>
          <w:p w14:paraId="5B81E964"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$0</w:t>
            </w:r>
          </w:p>
        </w:tc>
        <w:tc>
          <w:tcPr>
            <w:tcW w:w="1170" w:type="dxa"/>
            <w:tcBorders>
              <w:top w:val="nil"/>
              <w:left w:val="nil"/>
              <w:bottom w:val="single" w:sz="8" w:space="0" w:color="auto"/>
              <w:right w:val="single" w:sz="4" w:space="0" w:color="auto"/>
            </w:tcBorders>
            <w:shd w:val="clear" w:color="000000" w:fill="F0EA00"/>
            <w:noWrap/>
            <w:vAlign w:val="bottom"/>
            <w:hideMark/>
          </w:tcPr>
          <w:p w14:paraId="21E38A88"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$140,946,043</w:t>
            </w:r>
          </w:p>
        </w:tc>
        <w:tc>
          <w:tcPr>
            <w:tcW w:w="1170" w:type="dxa"/>
            <w:tcBorders>
              <w:top w:val="nil"/>
              <w:left w:val="nil"/>
              <w:bottom w:val="single" w:sz="8" w:space="0" w:color="auto"/>
              <w:right w:val="single" w:sz="4" w:space="0" w:color="auto"/>
            </w:tcBorders>
            <w:shd w:val="clear" w:color="000000" w:fill="F0EA00"/>
            <w:vAlign w:val="bottom"/>
            <w:hideMark/>
          </w:tcPr>
          <w:p w14:paraId="314637C8"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141.79%</w:t>
            </w:r>
          </w:p>
        </w:tc>
        <w:tc>
          <w:tcPr>
            <w:tcW w:w="1260" w:type="dxa"/>
            <w:tcBorders>
              <w:top w:val="nil"/>
              <w:left w:val="nil"/>
              <w:bottom w:val="single" w:sz="8" w:space="0" w:color="auto"/>
              <w:right w:val="single" w:sz="8" w:space="0" w:color="auto"/>
            </w:tcBorders>
            <w:shd w:val="clear" w:color="000000" w:fill="F0EA00"/>
            <w:vAlign w:val="bottom"/>
            <w:hideMark/>
          </w:tcPr>
          <w:p w14:paraId="6DD6CC38" w14:textId="77777777" w:rsidR="00433DC8" w:rsidRPr="005217C3" w:rsidRDefault="00433DC8" w:rsidP="00433DC8">
            <w:pPr>
              <w:spacing w:after="0" w:line="240" w:lineRule="auto"/>
              <w:jc w:val="right"/>
              <w:rPr>
                <w:rFonts w:ascii="Calibri" w:eastAsia="Times New Roman" w:hAnsi="Calibri"/>
                <w:b/>
                <w:bCs/>
                <w:color w:val="000000"/>
                <w:sz w:val="12"/>
                <w:szCs w:val="12"/>
                <w:lang w:val="en-US"/>
              </w:rPr>
            </w:pPr>
            <w:r w:rsidRPr="005217C3">
              <w:rPr>
                <w:rFonts w:ascii="Calibri" w:eastAsia="Times New Roman" w:hAnsi="Calibri"/>
                <w:b/>
                <w:bCs/>
                <w:color w:val="000000"/>
                <w:sz w:val="12"/>
                <w:szCs w:val="12"/>
                <w:lang w:val="en-US"/>
              </w:rPr>
              <w:t>$41,544,079</w:t>
            </w:r>
          </w:p>
        </w:tc>
      </w:tr>
    </w:tbl>
    <w:p w14:paraId="2346A086" w14:textId="77777777" w:rsidR="00433DC8" w:rsidRPr="001A0566" w:rsidRDefault="00433DC8" w:rsidP="00EF4C42">
      <w:pPr>
        <w:tabs>
          <w:tab w:val="left" w:pos="7300"/>
        </w:tabs>
        <w:rPr>
          <w:sz w:val="16"/>
          <w:szCs w:val="16"/>
        </w:rPr>
      </w:pPr>
    </w:p>
    <w:sectPr w:rsidR="00433DC8" w:rsidRPr="001A0566" w:rsidSect="003C7242">
      <w:pgSz w:w="15840" w:h="12240" w:orient="landscape" w:code="1"/>
      <w:pgMar w:top="1080" w:right="1584" w:bottom="1260" w:left="1440" w:header="0"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40E0" w14:textId="77777777" w:rsidR="0037044E" w:rsidRDefault="0037044E" w:rsidP="00D45548">
      <w:r>
        <w:separator/>
      </w:r>
    </w:p>
  </w:endnote>
  <w:endnote w:type="continuationSeparator" w:id="0">
    <w:p w14:paraId="4C2FAE53" w14:textId="77777777" w:rsidR="0037044E" w:rsidRDefault="0037044E" w:rsidP="00D4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40153"/>
      <w:docPartObj>
        <w:docPartGallery w:val="Page Numbers (Bottom of Page)"/>
        <w:docPartUnique/>
      </w:docPartObj>
    </w:sdtPr>
    <w:sdtEndPr>
      <w:rPr>
        <w:noProof/>
      </w:rPr>
    </w:sdtEndPr>
    <w:sdtContent>
      <w:p w14:paraId="093DFA8C" w14:textId="77777777" w:rsidR="00EF4C42" w:rsidRDefault="00EF4C42" w:rsidP="00D45548">
        <w:pPr>
          <w:pStyle w:val="Footer"/>
        </w:pPr>
        <w:r>
          <w:fldChar w:fldCharType="begin"/>
        </w:r>
        <w:r>
          <w:instrText xml:space="preserve"> PAGE   \* MERGEFORMAT </w:instrText>
        </w:r>
        <w:r>
          <w:fldChar w:fldCharType="separate"/>
        </w:r>
        <w:r w:rsidR="008A63D3">
          <w:rPr>
            <w:noProof/>
          </w:rPr>
          <w:t>25</w:t>
        </w:r>
        <w:r>
          <w:rPr>
            <w:noProof/>
          </w:rPr>
          <w:fldChar w:fldCharType="end"/>
        </w:r>
      </w:p>
    </w:sdtContent>
  </w:sdt>
  <w:p w14:paraId="29C17D90" w14:textId="77777777" w:rsidR="00EF4C42" w:rsidRDefault="00EF4C42" w:rsidP="00D45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653856"/>
      <w:docPartObj>
        <w:docPartGallery w:val="Page Numbers (Bottom of Page)"/>
        <w:docPartUnique/>
      </w:docPartObj>
    </w:sdtPr>
    <w:sdtEndPr>
      <w:rPr>
        <w:noProof/>
      </w:rPr>
    </w:sdtEndPr>
    <w:sdtContent>
      <w:p w14:paraId="787E8071" w14:textId="77777777" w:rsidR="00EF4C42" w:rsidRDefault="00EF4C42" w:rsidP="00D45548">
        <w:pPr>
          <w:pStyle w:val="Footer"/>
        </w:pPr>
        <w:r>
          <w:fldChar w:fldCharType="begin"/>
        </w:r>
        <w:r>
          <w:instrText xml:space="preserve"> PAGE   \* MERGEFORMAT </w:instrText>
        </w:r>
        <w:r>
          <w:fldChar w:fldCharType="separate"/>
        </w:r>
        <w:r w:rsidR="008A63D3">
          <w:rPr>
            <w:noProof/>
          </w:rPr>
          <w:t>27</w:t>
        </w:r>
        <w:r>
          <w:rPr>
            <w:noProof/>
          </w:rPr>
          <w:fldChar w:fldCharType="end"/>
        </w:r>
      </w:p>
    </w:sdtContent>
  </w:sdt>
  <w:p w14:paraId="281255C7" w14:textId="77777777" w:rsidR="00EF4C42" w:rsidRDefault="00EF4C42" w:rsidP="00D45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8F6F6" w14:textId="77777777" w:rsidR="0037044E" w:rsidRDefault="0037044E" w:rsidP="00D45548">
      <w:r>
        <w:separator/>
      </w:r>
    </w:p>
  </w:footnote>
  <w:footnote w:type="continuationSeparator" w:id="0">
    <w:p w14:paraId="3039EA98" w14:textId="77777777" w:rsidR="0037044E" w:rsidRDefault="0037044E" w:rsidP="00D45548">
      <w:r>
        <w:continuationSeparator/>
      </w:r>
    </w:p>
  </w:footnote>
  <w:footnote w:id="1">
    <w:p w14:paraId="50F314D2" w14:textId="77777777" w:rsidR="00EF4C42" w:rsidRPr="00891F21" w:rsidRDefault="00EF4C42" w:rsidP="00D45548">
      <w:pPr>
        <w:pStyle w:val="FootnoteText"/>
        <w:rPr>
          <w:color w:val="000000" w:themeColor="text1"/>
          <w:sz w:val="16"/>
          <w:szCs w:val="16"/>
        </w:rPr>
      </w:pPr>
      <w:r w:rsidRPr="00891F21">
        <w:rPr>
          <w:rStyle w:val="FootnoteReference"/>
          <w:sz w:val="16"/>
          <w:szCs w:val="16"/>
        </w:rPr>
        <w:footnoteRef/>
      </w:r>
      <w:r w:rsidRPr="00891F21">
        <w:rPr>
          <w:sz w:val="16"/>
          <w:szCs w:val="16"/>
        </w:rPr>
        <w:t xml:space="preserve"> </w:t>
      </w:r>
      <w:r w:rsidRPr="00891F21">
        <w:rPr>
          <w:color w:val="000000" w:themeColor="text1"/>
          <w:sz w:val="16"/>
          <w:szCs w:val="16"/>
        </w:rPr>
        <w:t xml:space="preserve">The “as filed” legislation can be reviewed at: </w:t>
      </w:r>
      <w:hyperlink r:id="rId1" w:tooltip="This link is for the SDO website." w:history="1">
        <w:r w:rsidRPr="00891F21">
          <w:rPr>
            <w:rStyle w:val="Hyperlink"/>
            <w:color w:val="0070C0"/>
            <w:sz w:val="16"/>
            <w:szCs w:val="16"/>
          </w:rPr>
          <w:t>http://www.mass.gov/governor/docs/legislation/2010article87.pdf</w:t>
        </w:r>
      </w:hyperlink>
      <w:r w:rsidRPr="00891F21">
        <w:rPr>
          <w:color w:val="0070C0"/>
          <w:sz w:val="16"/>
          <w:szCs w:val="16"/>
        </w:rPr>
        <w:t>.</w:t>
      </w:r>
      <w:r w:rsidRPr="00891F21">
        <w:rPr>
          <w:color w:val="000000" w:themeColor="text1"/>
          <w:sz w:val="16"/>
          <w:szCs w:val="16"/>
        </w:rPr>
        <w:t xml:space="preserve">  </w:t>
      </w:r>
    </w:p>
  </w:footnote>
  <w:footnote w:id="2">
    <w:p w14:paraId="18729083" w14:textId="77777777" w:rsidR="00EF4C42" w:rsidRDefault="00EF4C42" w:rsidP="00D45548">
      <w:pPr>
        <w:pStyle w:val="FootnoteText"/>
      </w:pPr>
      <w:r>
        <w:rPr>
          <w:rStyle w:val="FootnoteReference"/>
        </w:rPr>
        <w:footnoteRef/>
      </w:r>
      <w:r>
        <w:t xml:space="preserve"> </w:t>
      </w:r>
      <w:hyperlink r:id="rId2" w:tooltip="http://www.4dxbook.com/blog/category/the-4dx-book/" w:history="1">
        <w:r w:rsidRPr="00622452">
          <w:rPr>
            <w:rStyle w:val="Hyperlink"/>
          </w:rPr>
          <w:t>http://www.4dxbook.com/blog/category/the-4dx-book/</w:t>
        </w:r>
      </w:hyperlink>
    </w:p>
  </w:footnote>
  <w:footnote w:id="3">
    <w:p w14:paraId="7E1EAB5B" w14:textId="77777777" w:rsidR="00EF4C42" w:rsidRPr="00A079B7" w:rsidRDefault="00EF4C42" w:rsidP="00D45548">
      <w:pPr>
        <w:pStyle w:val="FootnoteText"/>
        <w:rPr>
          <w:sz w:val="16"/>
          <w:szCs w:val="16"/>
        </w:rPr>
      </w:pPr>
      <w:r w:rsidRPr="00A079B7">
        <w:rPr>
          <w:rStyle w:val="FootnoteReference"/>
          <w:sz w:val="16"/>
          <w:szCs w:val="16"/>
        </w:rPr>
        <w:footnoteRef/>
      </w:r>
      <w:r w:rsidRPr="00A079B7">
        <w:rPr>
          <w:sz w:val="16"/>
          <w:szCs w:val="16"/>
        </w:rPr>
        <w:t xml:space="preserve"> regulations </w:t>
      </w:r>
      <w:r>
        <w:rPr>
          <w:sz w:val="16"/>
          <w:szCs w:val="16"/>
        </w:rPr>
        <w:t xml:space="preserve">are available </w:t>
      </w:r>
      <w:r w:rsidRPr="00A079B7">
        <w:rPr>
          <w:sz w:val="16"/>
          <w:szCs w:val="16"/>
        </w:rPr>
        <w:t xml:space="preserve">at: </w:t>
      </w:r>
      <w:hyperlink r:id="rId3" w:tooltip="http://www.gpo.gov/fdsys/pkg/CFR-2010-title49-vol1/pdf/CFR-2010-title49-vol1-part26.pdf" w:history="1">
        <w:r w:rsidRPr="00A079B7">
          <w:rPr>
            <w:rStyle w:val="Hyperlink"/>
            <w:sz w:val="16"/>
            <w:szCs w:val="16"/>
          </w:rPr>
          <w:t>http://www.gpo.gov/fdsys/pkg/CFR-2010-title49-vol1/pdf/CFR-2010-title49-vol1-part26.pdf</w:t>
        </w:r>
      </w:hyperlink>
      <w:r w:rsidRPr="00A079B7">
        <w:rPr>
          <w:sz w:val="16"/>
          <w:szCs w:val="16"/>
        </w:rPr>
        <w:t xml:space="preserve"> </w:t>
      </w:r>
    </w:p>
  </w:footnote>
  <w:footnote w:id="4">
    <w:p w14:paraId="79A0C3FB" w14:textId="77777777" w:rsidR="00EF4C42" w:rsidRPr="00CB0F05" w:rsidRDefault="00EF4C42" w:rsidP="00D45548">
      <w:pPr>
        <w:pStyle w:val="FootnoteText"/>
      </w:pPr>
      <w:r w:rsidRPr="00CB0F05">
        <w:rPr>
          <w:rStyle w:val="FootnoteReference"/>
          <w:sz w:val="16"/>
          <w:szCs w:val="16"/>
        </w:rPr>
        <w:footnoteRef/>
      </w:r>
      <w:r w:rsidRPr="00CB0F05">
        <w:t xml:space="preserve"> Initi</w:t>
      </w:r>
      <w:r>
        <w:t>al Denial - 14 cases ( 11 State, 3</w:t>
      </w:r>
      <w:r w:rsidRPr="00CB0F05">
        <w:t xml:space="preserve"> Federal) were carried over from FY2012</w:t>
      </w:r>
      <w:r>
        <w:t xml:space="preserve"> and FY2013</w:t>
      </w:r>
    </w:p>
  </w:footnote>
  <w:footnote w:id="5">
    <w:p w14:paraId="278B7330" w14:textId="77777777" w:rsidR="00EF4C42" w:rsidRPr="004650E0" w:rsidRDefault="00EF4C42" w:rsidP="00D45548">
      <w:pPr>
        <w:pStyle w:val="FootnoteText"/>
      </w:pPr>
      <w:r w:rsidRPr="00CB0F05">
        <w:rPr>
          <w:rStyle w:val="FootnoteReference"/>
          <w:sz w:val="16"/>
          <w:szCs w:val="16"/>
        </w:rPr>
        <w:footnoteRef/>
      </w:r>
      <w:r w:rsidRPr="00CB0F05">
        <w:t xml:space="preserve"> </w:t>
      </w:r>
      <w:r>
        <w:t>Show Cause  - 3 c</w:t>
      </w:r>
      <w:r w:rsidRPr="004650E0">
        <w:t>ases</w:t>
      </w:r>
      <w:r>
        <w:t xml:space="preserve"> (2 State, 1 Federal) were carried over from FY2013</w:t>
      </w:r>
    </w:p>
  </w:footnote>
  <w:footnote w:id="6">
    <w:p w14:paraId="2BCECDC8" w14:textId="77777777" w:rsidR="00EF4C42" w:rsidRPr="00B0552F" w:rsidRDefault="00EF4C42" w:rsidP="00D45548">
      <w:pPr>
        <w:pStyle w:val="FootnoteText"/>
      </w:pPr>
      <w:r w:rsidRPr="00B0552F">
        <w:rPr>
          <w:rStyle w:val="FootnoteReference"/>
          <w:sz w:val="16"/>
          <w:szCs w:val="16"/>
        </w:rPr>
        <w:footnoteRef/>
      </w:r>
      <w:r w:rsidRPr="00B0552F">
        <w:t xml:space="preserve"> PNW- 2</w:t>
      </w:r>
      <w:r>
        <w:t xml:space="preserve"> cases were</w:t>
      </w:r>
      <w:r w:rsidRPr="00B0552F">
        <w:t xml:space="preserve"> carried over from FY2013</w:t>
      </w:r>
    </w:p>
  </w:footnote>
  <w:footnote w:id="7">
    <w:p w14:paraId="37B9473A" w14:textId="77777777" w:rsidR="00EF4C42" w:rsidRDefault="00EF4C42" w:rsidP="00D45548">
      <w:pPr>
        <w:pStyle w:val="FootnoteText"/>
      </w:pPr>
      <w:r w:rsidRPr="00B0552F">
        <w:rPr>
          <w:rStyle w:val="FootnoteReference"/>
          <w:sz w:val="16"/>
          <w:szCs w:val="16"/>
        </w:rPr>
        <w:footnoteRef/>
      </w:r>
      <w:r w:rsidRPr="00B0552F">
        <w:t xml:space="preserve"> Decertified – 1 case (1state, 0 Federal) was carried over from FY2012</w:t>
      </w:r>
    </w:p>
  </w:footnote>
  <w:footnote w:id="8">
    <w:p w14:paraId="59EE402E" w14:textId="77777777" w:rsidR="00EF4C42" w:rsidRDefault="00EF4C42" w:rsidP="00D45548">
      <w:pPr>
        <w:pStyle w:val="FootnoteText"/>
      </w:pPr>
      <w:r>
        <w:rPr>
          <w:rStyle w:val="FootnoteReference"/>
        </w:rPr>
        <w:footnoteRef/>
      </w:r>
      <w:r>
        <w:t xml:space="preserve"> </w:t>
      </w:r>
      <w:r w:rsidRPr="00933A70">
        <w:t xml:space="preserve">Prior to and during </w:t>
      </w:r>
      <w:r>
        <w:t>FY2014,</w:t>
      </w:r>
      <w:r w:rsidRPr="00933A70">
        <w:t xml:space="preserve"> the Commonwealths’ Massachusetts Management Accounting and Reporting System (MMARS) capture</w:t>
      </w:r>
      <w:r>
        <w:t>d</w:t>
      </w:r>
      <w:r w:rsidRPr="00933A70">
        <w:t xml:space="preserve"> data for business entities that are Minority Women owned business entities (MWBE) and attributes 100% of those expenditures in the MBE and the WBE reports.</w:t>
      </w:r>
    </w:p>
  </w:footnote>
  <w:footnote w:id="9">
    <w:p w14:paraId="242102D3" w14:textId="77777777" w:rsidR="00EF4C42" w:rsidRPr="0031227D" w:rsidRDefault="00EF4C42" w:rsidP="00D45548">
      <w:pPr>
        <w:pStyle w:val="FootnoteText"/>
      </w:pPr>
      <w:r w:rsidRPr="0031227D">
        <w:rPr>
          <w:rStyle w:val="FootnoteReference"/>
          <w:sz w:val="16"/>
          <w:szCs w:val="16"/>
        </w:rPr>
        <w:footnoteRef/>
      </w:r>
      <w:r w:rsidRPr="0031227D">
        <w:t xml:space="preserve"> </w:t>
      </w:r>
      <w:proofErr w:type="spellStart"/>
      <w:r w:rsidRPr="0031227D">
        <w:t>MassHousing</w:t>
      </w:r>
      <w:proofErr w:type="spellEnd"/>
      <w:r w:rsidRPr="0031227D">
        <w:t xml:space="preserve"> is not a department within the Executive Branch.  </w:t>
      </w:r>
      <w:proofErr w:type="spellStart"/>
      <w:r w:rsidRPr="0031227D">
        <w:t>MassHousing</w:t>
      </w:r>
      <w:proofErr w:type="spellEnd"/>
      <w:r w:rsidRPr="0031227D">
        <w:t xml:space="preserve"> has volunteered to participate in the SDP program and provides the SDO with their spend report on an Annual basis for inclusion in Annual Reporting.</w:t>
      </w:r>
      <w:r>
        <w:t xml:space="preserve">  For that reason this table reports totals separately for the Executive Branch and </w:t>
      </w:r>
      <w:proofErr w:type="spellStart"/>
      <w:r>
        <w:t>MassHousing</w:t>
      </w:r>
      <w:proofErr w:type="spellEnd"/>
      <w:r>
        <w:t xml:space="preserve"> and then provides a combined total.</w:t>
      </w:r>
    </w:p>
  </w:footnote>
  <w:footnote w:id="10">
    <w:p w14:paraId="21761186" w14:textId="77777777" w:rsidR="00EF4C42" w:rsidRPr="00383664" w:rsidRDefault="00EF4C42" w:rsidP="000F3202">
      <w:pPr>
        <w:rPr>
          <w:sz w:val="16"/>
          <w:szCs w:val="16"/>
        </w:rPr>
      </w:pPr>
      <w:r>
        <w:rPr>
          <w:rStyle w:val="FootnoteReference"/>
        </w:rPr>
        <w:footnoteRef/>
      </w:r>
      <w:r>
        <w:t xml:space="preserve"> </w:t>
      </w:r>
      <w:r w:rsidRPr="00383664">
        <w:rPr>
          <w:sz w:val="16"/>
          <w:szCs w:val="16"/>
        </w:rPr>
        <w:t xml:space="preserve">Construction Reform Law - </w:t>
      </w:r>
      <w:hyperlink r:id="rId4" w:tooltip="http://www.malegislature.gov/Laws/SessionLaws/Acts/2004/Chapter193" w:history="1">
        <w:r w:rsidRPr="00383664">
          <w:rPr>
            <w:color w:val="0000FF"/>
            <w:sz w:val="16"/>
            <w:szCs w:val="16"/>
            <w:u w:val="single"/>
          </w:rPr>
          <w:t>http://www.malegislature.gov/Laws/SessionLaws/Acts/2004/Chapter193</w:t>
        </w:r>
      </w:hyperlink>
      <w:r w:rsidRPr="00383664">
        <w:rPr>
          <w:sz w:val="16"/>
          <w:szCs w:val="16"/>
        </w:rPr>
        <w:t xml:space="preserve"> </w:t>
      </w:r>
    </w:p>
    <w:p w14:paraId="498B1659" w14:textId="77777777" w:rsidR="00EF4C42" w:rsidRPr="00383664" w:rsidRDefault="00EF4C42" w:rsidP="000F3202">
      <w:pPr>
        <w:rPr>
          <w:sz w:val="16"/>
          <w:szCs w:val="16"/>
        </w:rPr>
      </w:pPr>
      <w:r w:rsidRPr="00383664">
        <w:rPr>
          <w:sz w:val="16"/>
          <w:szCs w:val="16"/>
        </w:rPr>
        <w:t xml:space="preserve">DCAMM/Mass Housing Disparity Study - </w:t>
      </w:r>
      <w:hyperlink r:id="rId5" w:tooltip="http://www.mass.gov/anf/docs/dcam/dcam-disparity-study-executive-summary-8-11.pdf" w:history="1">
        <w:r w:rsidRPr="00383664">
          <w:rPr>
            <w:color w:val="0000FF"/>
            <w:sz w:val="16"/>
            <w:szCs w:val="16"/>
            <w:u w:val="single"/>
          </w:rPr>
          <w:t>http://www.mass.gov/anf/docs/dcam/dcam-disparity-study-executive-summary-8-11.pdf</w:t>
        </w:r>
      </w:hyperlink>
      <w:r w:rsidRPr="00383664">
        <w:rPr>
          <w:sz w:val="16"/>
          <w:szCs w:val="16"/>
        </w:rPr>
        <w:t xml:space="preserve"> </w:t>
      </w:r>
    </w:p>
    <w:p w14:paraId="77E537E9" w14:textId="77777777" w:rsidR="00EF4C42" w:rsidRDefault="00EF4C42" w:rsidP="000F320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35E"/>
    <w:multiLevelType w:val="hybridMultilevel"/>
    <w:tmpl w:val="B3C0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C448C"/>
    <w:multiLevelType w:val="multilevel"/>
    <w:tmpl w:val="0FD824A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92D43"/>
    <w:multiLevelType w:val="multilevel"/>
    <w:tmpl w:val="FF98136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B0400"/>
    <w:multiLevelType w:val="hybridMultilevel"/>
    <w:tmpl w:val="2444CB5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0A767D93"/>
    <w:multiLevelType w:val="hybridMultilevel"/>
    <w:tmpl w:val="79D20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A5F0A"/>
    <w:multiLevelType w:val="hybridMultilevel"/>
    <w:tmpl w:val="9F5AE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EF19B6"/>
    <w:multiLevelType w:val="hybridMultilevel"/>
    <w:tmpl w:val="389E7E76"/>
    <w:lvl w:ilvl="0" w:tplc="0409001B">
      <w:start w:val="1"/>
      <w:numFmt w:val="lowerRoman"/>
      <w:lvlText w:val="%1."/>
      <w:lvlJc w:val="righ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7" w15:restartNumberingAfterBreak="0">
    <w:nsid w:val="13A841D9"/>
    <w:multiLevelType w:val="hybridMultilevel"/>
    <w:tmpl w:val="A7C271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E825D6"/>
    <w:multiLevelType w:val="hybridMultilevel"/>
    <w:tmpl w:val="69D6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02368"/>
    <w:multiLevelType w:val="hybridMultilevel"/>
    <w:tmpl w:val="FF2E392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176701FD"/>
    <w:multiLevelType w:val="hybridMultilevel"/>
    <w:tmpl w:val="D18ECF82"/>
    <w:lvl w:ilvl="0" w:tplc="04090001">
      <w:start w:val="1"/>
      <w:numFmt w:val="bullet"/>
      <w:lvlText w:val=""/>
      <w:lvlJc w:val="left"/>
      <w:pPr>
        <w:ind w:left="1344" w:hanging="624"/>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737BCB"/>
    <w:multiLevelType w:val="hybridMultilevel"/>
    <w:tmpl w:val="E88E4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DE46E0"/>
    <w:multiLevelType w:val="hybridMultilevel"/>
    <w:tmpl w:val="70F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84CD7"/>
    <w:multiLevelType w:val="hybridMultilevel"/>
    <w:tmpl w:val="2C44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C1D0C"/>
    <w:multiLevelType w:val="hybridMultilevel"/>
    <w:tmpl w:val="7DFED53C"/>
    <w:lvl w:ilvl="0" w:tplc="1F5A3F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98765D3"/>
    <w:multiLevelType w:val="hybridMultilevel"/>
    <w:tmpl w:val="58BEC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CF3199"/>
    <w:multiLevelType w:val="hybridMultilevel"/>
    <w:tmpl w:val="E9B45978"/>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0F">
      <w:start w:val="1"/>
      <w:numFmt w:val="decimal"/>
      <w:lvlText w:val="%3."/>
      <w:lvlJc w:val="lef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7" w15:restartNumberingAfterBreak="0">
    <w:nsid w:val="2E401B8E"/>
    <w:multiLevelType w:val="hybridMultilevel"/>
    <w:tmpl w:val="7B3E58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B91A80"/>
    <w:multiLevelType w:val="hybridMultilevel"/>
    <w:tmpl w:val="318C3774"/>
    <w:lvl w:ilvl="0" w:tplc="7482003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8C4A7C"/>
    <w:multiLevelType w:val="multilevel"/>
    <w:tmpl w:val="7842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CF761E"/>
    <w:multiLevelType w:val="hybridMultilevel"/>
    <w:tmpl w:val="36C82072"/>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1" w15:restartNumberingAfterBreak="0">
    <w:nsid w:val="3436338E"/>
    <w:multiLevelType w:val="hybridMultilevel"/>
    <w:tmpl w:val="B2063D78"/>
    <w:lvl w:ilvl="0" w:tplc="1E1A1AA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382233C3"/>
    <w:multiLevelType w:val="hybridMultilevel"/>
    <w:tmpl w:val="16B22992"/>
    <w:lvl w:ilvl="0" w:tplc="04090001">
      <w:start w:val="1"/>
      <w:numFmt w:val="bullet"/>
      <w:lvlText w:val=""/>
      <w:lvlJc w:val="left"/>
      <w:pPr>
        <w:ind w:left="787" w:hanging="360"/>
      </w:pPr>
      <w:rPr>
        <w:rFonts w:ascii="Symbol" w:hAnsi="Symbol" w:hint="default"/>
        <w:b/>
        <w:i w:val="0"/>
        <w:sz w:val="24"/>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3" w15:restartNumberingAfterBreak="0">
    <w:nsid w:val="3EAE5138"/>
    <w:multiLevelType w:val="hybridMultilevel"/>
    <w:tmpl w:val="36DC1DFC"/>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61088"/>
    <w:multiLevelType w:val="hybridMultilevel"/>
    <w:tmpl w:val="D16E1C48"/>
    <w:lvl w:ilvl="0" w:tplc="BEA2E1DC">
      <w:start w:val="1"/>
      <w:numFmt w:val="lowerLetter"/>
      <w:lvlText w:val="(%1)"/>
      <w:lvlJc w:val="left"/>
      <w:pPr>
        <w:ind w:left="720" w:hanging="360"/>
      </w:pPr>
    </w:lvl>
    <w:lvl w:ilvl="1" w:tplc="1FBCE0C4">
      <w:start w:val="1"/>
      <w:numFmt w:val="decimal"/>
      <w:lvlText w:val="%2."/>
      <w:lvlJc w:val="left"/>
      <w:pPr>
        <w:tabs>
          <w:tab w:val="num" w:pos="1440"/>
        </w:tabs>
        <w:ind w:left="1440" w:hanging="360"/>
      </w:pPr>
      <w:rPr>
        <w:rFonts w:ascii="Georgia" w:hAnsi="Georgia" w:hint="default"/>
        <w:b w:val="0"/>
        <w:i w:val="0"/>
        <w:color w:val="auto"/>
        <w:sz w:val="20"/>
      </w:rPr>
    </w:lvl>
    <w:lvl w:ilvl="2" w:tplc="254E6512">
      <w:start w:val="1"/>
      <w:numFmt w:val="lowerRoman"/>
      <w:lvlText w:val="(%3)"/>
      <w:lvlJc w:val="left"/>
      <w:pPr>
        <w:tabs>
          <w:tab w:val="num" w:pos="2400"/>
        </w:tabs>
        <w:ind w:left="2400" w:hanging="4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38B795E"/>
    <w:multiLevelType w:val="multilevel"/>
    <w:tmpl w:val="FCB439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10918B9"/>
    <w:multiLevelType w:val="hybridMultilevel"/>
    <w:tmpl w:val="505C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069D2"/>
    <w:multiLevelType w:val="hybridMultilevel"/>
    <w:tmpl w:val="D638D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305016"/>
    <w:multiLevelType w:val="multilevel"/>
    <w:tmpl w:val="EFCAC9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342C17"/>
    <w:multiLevelType w:val="hybridMultilevel"/>
    <w:tmpl w:val="A0D0CE32"/>
    <w:lvl w:ilvl="0" w:tplc="04046BBE">
      <w:numFmt w:val="bullet"/>
      <w:lvlText w:val="·"/>
      <w:lvlJc w:val="left"/>
      <w:pPr>
        <w:ind w:left="1344" w:hanging="624"/>
      </w:pPr>
      <w:rPr>
        <w:rFonts w:ascii="Times New Roman" w:eastAsiaTheme="minorHAnsi" w:hAnsi="Times New Roman" w:cs="Times New Roman"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D0481B"/>
    <w:multiLevelType w:val="multilevel"/>
    <w:tmpl w:val="DD9E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120DEF"/>
    <w:multiLevelType w:val="multilevel"/>
    <w:tmpl w:val="67EE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A02E89"/>
    <w:multiLevelType w:val="hybridMultilevel"/>
    <w:tmpl w:val="194E0D20"/>
    <w:lvl w:ilvl="0" w:tplc="04090017">
      <w:start w:val="1"/>
      <w:numFmt w:val="lowerLetter"/>
      <w:lvlText w:val="%1)"/>
      <w:lvlJc w:val="left"/>
      <w:pPr>
        <w:tabs>
          <w:tab w:val="num" w:pos="720"/>
        </w:tabs>
        <w:ind w:left="720" w:hanging="360"/>
      </w:pPr>
      <w:rPr>
        <w:rFonts w:hint="default"/>
      </w:rPr>
    </w:lvl>
    <w:lvl w:ilvl="1" w:tplc="1804C44C">
      <w:start w:val="3015"/>
      <w:numFmt w:val="bullet"/>
      <w:lvlText w:val="•"/>
      <w:lvlJc w:val="left"/>
      <w:pPr>
        <w:tabs>
          <w:tab w:val="num" w:pos="1440"/>
        </w:tabs>
        <w:ind w:left="1440" w:hanging="360"/>
      </w:pPr>
      <w:rPr>
        <w:rFonts w:ascii="Arial" w:hAnsi="Arial" w:hint="default"/>
      </w:rPr>
    </w:lvl>
    <w:lvl w:ilvl="2" w:tplc="2E1C712E" w:tentative="1">
      <w:start w:val="1"/>
      <w:numFmt w:val="bullet"/>
      <w:lvlText w:val="•"/>
      <w:lvlJc w:val="left"/>
      <w:pPr>
        <w:tabs>
          <w:tab w:val="num" w:pos="2160"/>
        </w:tabs>
        <w:ind w:left="2160" w:hanging="360"/>
      </w:pPr>
      <w:rPr>
        <w:rFonts w:ascii="Arial" w:hAnsi="Arial" w:hint="default"/>
      </w:rPr>
    </w:lvl>
    <w:lvl w:ilvl="3" w:tplc="534843D8" w:tentative="1">
      <w:start w:val="1"/>
      <w:numFmt w:val="bullet"/>
      <w:lvlText w:val="•"/>
      <w:lvlJc w:val="left"/>
      <w:pPr>
        <w:tabs>
          <w:tab w:val="num" w:pos="2880"/>
        </w:tabs>
        <w:ind w:left="2880" w:hanging="360"/>
      </w:pPr>
      <w:rPr>
        <w:rFonts w:ascii="Arial" w:hAnsi="Arial" w:hint="default"/>
      </w:rPr>
    </w:lvl>
    <w:lvl w:ilvl="4" w:tplc="44503004" w:tentative="1">
      <w:start w:val="1"/>
      <w:numFmt w:val="bullet"/>
      <w:lvlText w:val="•"/>
      <w:lvlJc w:val="left"/>
      <w:pPr>
        <w:tabs>
          <w:tab w:val="num" w:pos="3600"/>
        </w:tabs>
        <w:ind w:left="3600" w:hanging="360"/>
      </w:pPr>
      <w:rPr>
        <w:rFonts w:ascii="Arial" w:hAnsi="Arial" w:hint="default"/>
      </w:rPr>
    </w:lvl>
    <w:lvl w:ilvl="5" w:tplc="7A7C60B8" w:tentative="1">
      <w:start w:val="1"/>
      <w:numFmt w:val="bullet"/>
      <w:lvlText w:val="•"/>
      <w:lvlJc w:val="left"/>
      <w:pPr>
        <w:tabs>
          <w:tab w:val="num" w:pos="4320"/>
        </w:tabs>
        <w:ind w:left="4320" w:hanging="360"/>
      </w:pPr>
      <w:rPr>
        <w:rFonts w:ascii="Arial" w:hAnsi="Arial" w:hint="default"/>
      </w:rPr>
    </w:lvl>
    <w:lvl w:ilvl="6" w:tplc="F8581324" w:tentative="1">
      <w:start w:val="1"/>
      <w:numFmt w:val="bullet"/>
      <w:lvlText w:val="•"/>
      <w:lvlJc w:val="left"/>
      <w:pPr>
        <w:tabs>
          <w:tab w:val="num" w:pos="5040"/>
        </w:tabs>
        <w:ind w:left="5040" w:hanging="360"/>
      </w:pPr>
      <w:rPr>
        <w:rFonts w:ascii="Arial" w:hAnsi="Arial" w:hint="default"/>
      </w:rPr>
    </w:lvl>
    <w:lvl w:ilvl="7" w:tplc="C2EC7C4E" w:tentative="1">
      <w:start w:val="1"/>
      <w:numFmt w:val="bullet"/>
      <w:lvlText w:val="•"/>
      <w:lvlJc w:val="left"/>
      <w:pPr>
        <w:tabs>
          <w:tab w:val="num" w:pos="5760"/>
        </w:tabs>
        <w:ind w:left="5760" w:hanging="360"/>
      </w:pPr>
      <w:rPr>
        <w:rFonts w:ascii="Arial" w:hAnsi="Arial" w:hint="default"/>
      </w:rPr>
    </w:lvl>
    <w:lvl w:ilvl="8" w:tplc="5684821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10263F3"/>
    <w:multiLevelType w:val="multilevel"/>
    <w:tmpl w:val="39528A3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63F1551B"/>
    <w:multiLevelType w:val="hybridMultilevel"/>
    <w:tmpl w:val="737C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86191C"/>
    <w:multiLevelType w:val="multilevel"/>
    <w:tmpl w:val="FA38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356F5D"/>
    <w:multiLevelType w:val="hybridMultilevel"/>
    <w:tmpl w:val="15ACDCEC"/>
    <w:lvl w:ilvl="0" w:tplc="CA6C1732">
      <w:start w:val="1"/>
      <w:numFmt w:val="bullet"/>
      <w:lvlText w:val="•"/>
      <w:lvlJc w:val="left"/>
      <w:pPr>
        <w:tabs>
          <w:tab w:val="num" w:pos="720"/>
        </w:tabs>
        <w:ind w:left="720" w:hanging="360"/>
      </w:pPr>
      <w:rPr>
        <w:rFonts w:ascii="Arial" w:hAnsi="Arial" w:hint="default"/>
      </w:rPr>
    </w:lvl>
    <w:lvl w:ilvl="1" w:tplc="1804C44C">
      <w:start w:val="3015"/>
      <w:numFmt w:val="bullet"/>
      <w:lvlText w:val="•"/>
      <w:lvlJc w:val="left"/>
      <w:pPr>
        <w:tabs>
          <w:tab w:val="num" w:pos="1440"/>
        </w:tabs>
        <w:ind w:left="1440" w:hanging="360"/>
      </w:pPr>
      <w:rPr>
        <w:rFonts w:ascii="Arial" w:hAnsi="Arial" w:hint="default"/>
      </w:rPr>
    </w:lvl>
    <w:lvl w:ilvl="2" w:tplc="2E1C712E" w:tentative="1">
      <w:start w:val="1"/>
      <w:numFmt w:val="bullet"/>
      <w:lvlText w:val="•"/>
      <w:lvlJc w:val="left"/>
      <w:pPr>
        <w:tabs>
          <w:tab w:val="num" w:pos="2160"/>
        </w:tabs>
        <w:ind w:left="2160" w:hanging="360"/>
      </w:pPr>
      <w:rPr>
        <w:rFonts w:ascii="Arial" w:hAnsi="Arial" w:hint="default"/>
      </w:rPr>
    </w:lvl>
    <w:lvl w:ilvl="3" w:tplc="534843D8" w:tentative="1">
      <w:start w:val="1"/>
      <w:numFmt w:val="bullet"/>
      <w:lvlText w:val="•"/>
      <w:lvlJc w:val="left"/>
      <w:pPr>
        <w:tabs>
          <w:tab w:val="num" w:pos="2880"/>
        </w:tabs>
        <w:ind w:left="2880" w:hanging="360"/>
      </w:pPr>
      <w:rPr>
        <w:rFonts w:ascii="Arial" w:hAnsi="Arial" w:hint="default"/>
      </w:rPr>
    </w:lvl>
    <w:lvl w:ilvl="4" w:tplc="44503004" w:tentative="1">
      <w:start w:val="1"/>
      <w:numFmt w:val="bullet"/>
      <w:lvlText w:val="•"/>
      <w:lvlJc w:val="left"/>
      <w:pPr>
        <w:tabs>
          <w:tab w:val="num" w:pos="3600"/>
        </w:tabs>
        <w:ind w:left="3600" w:hanging="360"/>
      </w:pPr>
      <w:rPr>
        <w:rFonts w:ascii="Arial" w:hAnsi="Arial" w:hint="default"/>
      </w:rPr>
    </w:lvl>
    <w:lvl w:ilvl="5" w:tplc="7A7C60B8" w:tentative="1">
      <w:start w:val="1"/>
      <w:numFmt w:val="bullet"/>
      <w:lvlText w:val="•"/>
      <w:lvlJc w:val="left"/>
      <w:pPr>
        <w:tabs>
          <w:tab w:val="num" w:pos="4320"/>
        </w:tabs>
        <w:ind w:left="4320" w:hanging="360"/>
      </w:pPr>
      <w:rPr>
        <w:rFonts w:ascii="Arial" w:hAnsi="Arial" w:hint="default"/>
      </w:rPr>
    </w:lvl>
    <w:lvl w:ilvl="6" w:tplc="F8581324" w:tentative="1">
      <w:start w:val="1"/>
      <w:numFmt w:val="bullet"/>
      <w:lvlText w:val="•"/>
      <w:lvlJc w:val="left"/>
      <w:pPr>
        <w:tabs>
          <w:tab w:val="num" w:pos="5040"/>
        </w:tabs>
        <w:ind w:left="5040" w:hanging="360"/>
      </w:pPr>
      <w:rPr>
        <w:rFonts w:ascii="Arial" w:hAnsi="Arial" w:hint="default"/>
      </w:rPr>
    </w:lvl>
    <w:lvl w:ilvl="7" w:tplc="C2EC7C4E" w:tentative="1">
      <w:start w:val="1"/>
      <w:numFmt w:val="bullet"/>
      <w:lvlText w:val="•"/>
      <w:lvlJc w:val="left"/>
      <w:pPr>
        <w:tabs>
          <w:tab w:val="num" w:pos="5760"/>
        </w:tabs>
        <w:ind w:left="5760" w:hanging="360"/>
      </w:pPr>
      <w:rPr>
        <w:rFonts w:ascii="Arial" w:hAnsi="Arial" w:hint="default"/>
      </w:rPr>
    </w:lvl>
    <w:lvl w:ilvl="8" w:tplc="5684821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9EB1A1D"/>
    <w:multiLevelType w:val="hybridMultilevel"/>
    <w:tmpl w:val="E154D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B12882"/>
    <w:multiLevelType w:val="multilevel"/>
    <w:tmpl w:val="882E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91734"/>
    <w:multiLevelType w:val="hybridMultilevel"/>
    <w:tmpl w:val="A16C5414"/>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0" w15:restartNumberingAfterBreak="0">
    <w:nsid w:val="755C223E"/>
    <w:multiLevelType w:val="hybridMultilevel"/>
    <w:tmpl w:val="B06E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6736823"/>
    <w:multiLevelType w:val="hybridMultilevel"/>
    <w:tmpl w:val="AFDC02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76A26431"/>
    <w:multiLevelType w:val="multilevel"/>
    <w:tmpl w:val="D11E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032527"/>
    <w:multiLevelType w:val="hybridMultilevel"/>
    <w:tmpl w:val="2AE4F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C406C24"/>
    <w:multiLevelType w:val="hybridMultilevel"/>
    <w:tmpl w:val="E7D440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5" w15:restartNumberingAfterBreak="0">
    <w:nsid w:val="7C565193"/>
    <w:multiLevelType w:val="hybridMultilevel"/>
    <w:tmpl w:val="5BE25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C650ACC"/>
    <w:multiLevelType w:val="hybridMultilevel"/>
    <w:tmpl w:val="D4DEFB5A"/>
    <w:lvl w:ilvl="0" w:tplc="612EB5A0">
      <w:start w:val="1"/>
      <w:numFmt w:val="bullet"/>
      <w:lvlText w:val=""/>
      <w:lvlJc w:val="left"/>
      <w:pPr>
        <w:tabs>
          <w:tab w:val="num" w:pos="720"/>
        </w:tabs>
        <w:ind w:left="720" w:hanging="360"/>
      </w:pPr>
      <w:rPr>
        <w:rFonts w:ascii="Symbol" w:hAnsi="Symbol" w:hint="default"/>
      </w:rPr>
    </w:lvl>
    <w:lvl w:ilvl="1" w:tplc="6FBC0348" w:tentative="1">
      <w:start w:val="1"/>
      <w:numFmt w:val="bullet"/>
      <w:lvlText w:val=""/>
      <w:lvlJc w:val="left"/>
      <w:pPr>
        <w:tabs>
          <w:tab w:val="num" w:pos="1440"/>
        </w:tabs>
        <w:ind w:left="1440" w:hanging="360"/>
      </w:pPr>
      <w:rPr>
        <w:rFonts w:ascii="Symbol" w:hAnsi="Symbol" w:hint="default"/>
      </w:rPr>
    </w:lvl>
    <w:lvl w:ilvl="2" w:tplc="394A5A34" w:tentative="1">
      <w:start w:val="1"/>
      <w:numFmt w:val="bullet"/>
      <w:lvlText w:val=""/>
      <w:lvlJc w:val="left"/>
      <w:pPr>
        <w:tabs>
          <w:tab w:val="num" w:pos="2160"/>
        </w:tabs>
        <w:ind w:left="2160" w:hanging="360"/>
      </w:pPr>
      <w:rPr>
        <w:rFonts w:ascii="Symbol" w:hAnsi="Symbol" w:hint="default"/>
      </w:rPr>
    </w:lvl>
    <w:lvl w:ilvl="3" w:tplc="DE8AE948" w:tentative="1">
      <w:start w:val="1"/>
      <w:numFmt w:val="bullet"/>
      <w:lvlText w:val=""/>
      <w:lvlJc w:val="left"/>
      <w:pPr>
        <w:tabs>
          <w:tab w:val="num" w:pos="2880"/>
        </w:tabs>
        <w:ind w:left="2880" w:hanging="360"/>
      </w:pPr>
      <w:rPr>
        <w:rFonts w:ascii="Symbol" w:hAnsi="Symbol" w:hint="default"/>
      </w:rPr>
    </w:lvl>
    <w:lvl w:ilvl="4" w:tplc="026AEF08" w:tentative="1">
      <w:start w:val="1"/>
      <w:numFmt w:val="bullet"/>
      <w:lvlText w:val=""/>
      <w:lvlJc w:val="left"/>
      <w:pPr>
        <w:tabs>
          <w:tab w:val="num" w:pos="3600"/>
        </w:tabs>
        <w:ind w:left="3600" w:hanging="360"/>
      </w:pPr>
      <w:rPr>
        <w:rFonts w:ascii="Symbol" w:hAnsi="Symbol" w:hint="default"/>
      </w:rPr>
    </w:lvl>
    <w:lvl w:ilvl="5" w:tplc="ABAC4FBE" w:tentative="1">
      <w:start w:val="1"/>
      <w:numFmt w:val="bullet"/>
      <w:lvlText w:val=""/>
      <w:lvlJc w:val="left"/>
      <w:pPr>
        <w:tabs>
          <w:tab w:val="num" w:pos="4320"/>
        </w:tabs>
        <w:ind w:left="4320" w:hanging="360"/>
      </w:pPr>
      <w:rPr>
        <w:rFonts w:ascii="Symbol" w:hAnsi="Symbol" w:hint="default"/>
      </w:rPr>
    </w:lvl>
    <w:lvl w:ilvl="6" w:tplc="BED69D0C" w:tentative="1">
      <w:start w:val="1"/>
      <w:numFmt w:val="bullet"/>
      <w:lvlText w:val=""/>
      <w:lvlJc w:val="left"/>
      <w:pPr>
        <w:tabs>
          <w:tab w:val="num" w:pos="5040"/>
        </w:tabs>
        <w:ind w:left="5040" w:hanging="360"/>
      </w:pPr>
      <w:rPr>
        <w:rFonts w:ascii="Symbol" w:hAnsi="Symbol" w:hint="default"/>
      </w:rPr>
    </w:lvl>
    <w:lvl w:ilvl="7" w:tplc="70B2EE6E" w:tentative="1">
      <w:start w:val="1"/>
      <w:numFmt w:val="bullet"/>
      <w:lvlText w:val=""/>
      <w:lvlJc w:val="left"/>
      <w:pPr>
        <w:tabs>
          <w:tab w:val="num" w:pos="5760"/>
        </w:tabs>
        <w:ind w:left="5760" w:hanging="360"/>
      </w:pPr>
      <w:rPr>
        <w:rFonts w:ascii="Symbol" w:hAnsi="Symbol" w:hint="default"/>
      </w:rPr>
    </w:lvl>
    <w:lvl w:ilvl="8" w:tplc="ACA84118"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C9A6B07"/>
    <w:multiLevelType w:val="hybridMultilevel"/>
    <w:tmpl w:val="97FC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824445">
    <w:abstractNumId w:val="43"/>
  </w:num>
  <w:num w:numId="2" w16cid:durableId="838037333">
    <w:abstractNumId w:val="34"/>
  </w:num>
  <w:num w:numId="3" w16cid:durableId="440032383">
    <w:abstractNumId w:val="1"/>
  </w:num>
  <w:num w:numId="4" w16cid:durableId="123237504">
    <w:abstractNumId w:val="2"/>
  </w:num>
  <w:num w:numId="5" w16cid:durableId="1045763078">
    <w:abstractNumId w:val="28"/>
  </w:num>
  <w:num w:numId="6" w16cid:durableId="1530534714">
    <w:abstractNumId w:val="33"/>
  </w:num>
  <w:num w:numId="7" w16cid:durableId="584803191">
    <w:abstractNumId w:val="25"/>
  </w:num>
  <w:num w:numId="8" w16cid:durableId="1617981809">
    <w:abstractNumId w:val="45"/>
  </w:num>
  <w:num w:numId="9" w16cid:durableId="2053653589">
    <w:abstractNumId w:val="17"/>
  </w:num>
  <w:num w:numId="10" w16cid:durableId="1104954522">
    <w:abstractNumId w:val="13"/>
  </w:num>
  <w:num w:numId="11" w16cid:durableId="1546868580">
    <w:abstractNumId w:val="19"/>
  </w:num>
  <w:num w:numId="12" w16cid:durableId="723985106">
    <w:abstractNumId w:val="30"/>
  </w:num>
  <w:num w:numId="13" w16cid:durableId="640038885">
    <w:abstractNumId w:val="38"/>
  </w:num>
  <w:num w:numId="14" w16cid:durableId="2073042796">
    <w:abstractNumId w:val="35"/>
  </w:num>
  <w:num w:numId="15" w16cid:durableId="332487241">
    <w:abstractNumId w:val="31"/>
  </w:num>
  <w:num w:numId="16" w16cid:durableId="607663740">
    <w:abstractNumId w:val="42"/>
  </w:num>
  <w:num w:numId="17" w16cid:durableId="430471266">
    <w:abstractNumId w:val="23"/>
  </w:num>
  <w:num w:numId="18" w16cid:durableId="328400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0436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8184705">
    <w:abstractNumId w:val="40"/>
  </w:num>
  <w:num w:numId="21" w16cid:durableId="1155103756">
    <w:abstractNumId w:val="22"/>
  </w:num>
  <w:num w:numId="22" w16cid:durableId="115834143">
    <w:abstractNumId w:val="47"/>
  </w:num>
  <w:num w:numId="23" w16cid:durableId="1210413764">
    <w:abstractNumId w:val="11"/>
  </w:num>
  <w:num w:numId="24" w16cid:durableId="20476758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20356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2758515">
    <w:abstractNumId w:val="5"/>
  </w:num>
  <w:num w:numId="27" w16cid:durableId="1693648844">
    <w:abstractNumId w:val="4"/>
  </w:num>
  <w:num w:numId="28" w16cid:durableId="2015300041">
    <w:abstractNumId w:val="6"/>
  </w:num>
  <w:num w:numId="29" w16cid:durableId="1476141532">
    <w:abstractNumId w:val="7"/>
  </w:num>
  <w:num w:numId="30" w16cid:durableId="944651570">
    <w:abstractNumId w:val="18"/>
  </w:num>
  <w:num w:numId="31" w16cid:durableId="2040086101">
    <w:abstractNumId w:val="3"/>
  </w:num>
  <w:num w:numId="32" w16cid:durableId="527835896">
    <w:abstractNumId w:val="14"/>
  </w:num>
  <w:num w:numId="33" w16cid:durableId="19937039">
    <w:abstractNumId w:val="9"/>
  </w:num>
  <w:num w:numId="34" w16cid:durableId="1072004135">
    <w:abstractNumId w:val="46"/>
  </w:num>
  <w:num w:numId="35" w16cid:durableId="600995979">
    <w:abstractNumId w:val="36"/>
  </w:num>
  <w:num w:numId="36" w16cid:durableId="1176847849">
    <w:abstractNumId w:val="39"/>
  </w:num>
  <w:num w:numId="37" w16cid:durableId="526215773">
    <w:abstractNumId w:val="16"/>
  </w:num>
  <w:num w:numId="38" w16cid:durableId="587084164">
    <w:abstractNumId w:val="41"/>
  </w:num>
  <w:num w:numId="39" w16cid:durableId="1695109221">
    <w:abstractNumId w:val="29"/>
  </w:num>
  <w:num w:numId="40" w16cid:durableId="1278683008">
    <w:abstractNumId w:val="44"/>
  </w:num>
  <w:num w:numId="41" w16cid:durableId="304698001">
    <w:abstractNumId w:val="12"/>
  </w:num>
  <w:num w:numId="42" w16cid:durableId="733818635">
    <w:abstractNumId w:val="15"/>
  </w:num>
  <w:num w:numId="43" w16cid:durableId="984504972">
    <w:abstractNumId w:val="0"/>
  </w:num>
  <w:num w:numId="44" w16cid:durableId="193886243">
    <w:abstractNumId w:val="8"/>
  </w:num>
  <w:num w:numId="45" w16cid:durableId="684479270">
    <w:abstractNumId w:val="37"/>
  </w:num>
  <w:num w:numId="46" w16cid:durableId="2006130264">
    <w:abstractNumId w:val="26"/>
  </w:num>
  <w:num w:numId="47" w16cid:durableId="261648104">
    <w:abstractNumId w:val="10"/>
  </w:num>
  <w:num w:numId="48" w16cid:durableId="688529822">
    <w:abstractNumId w:val="21"/>
  </w:num>
  <w:num w:numId="49" w16cid:durableId="1905798286">
    <w:abstractNumId w:val="32"/>
  </w:num>
  <w:num w:numId="50" w16cid:durableId="416292207">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90"/>
    <w:rsid w:val="000004BE"/>
    <w:rsid w:val="00001291"/>
    <w:rsid w:val="000066AD"/>
    <w:rsid w:val="00006C97"/>
    <w:rsid w:val="00007AA1"/>
    <w:rsid w:val="00010465"/>
    <w:rsid w:val="00010BCF"/>
    <w:rsid w:val="0001618A"/>
    <w:rsid w:val="0001713A"/>
    <w:rsid w:val="0002117D"/>
    <w:rsid w:val="0002164F"/>
    <w:rsid w:val="00022A2B"/>
    <w:rsid w:val="000245A9"/>
    <w:rsid w:val="0002574C"/>
    <w:rsid w:val="0002581D"/>
    <w:rsid w:val="00025D2A"/>
    <w:rsid w:val="000260DB"/>
    <w:rsid w:val="00033A38"/>
    <w:rsid w:val="00040A55"/>
    <w:rsid w:val="00040C17"/>
    <w:rsid w:val="000432C1"/>
    <w:rsid w:val="00044DAF"/>
    <w:rsid w:val="00045EC4"/>
    <w:rsid w:val="000462BB"/>
    <w:rsid w:val="00047804"/>
    <w:rsid w:val="000513B3"/>
    <w:rsid w:val="0005157A"/>
    <w:rsid w:val="00056EA2"/>
    <w:rsid w:val="00057394"/>
    <w:rsid w:val="00060056"/>
    <w:rsid w:val="00060597"/>
    <w:rsid w:val="00061033"/>
    <w:rsid w:val="00062B64"/>
    <w:rsid w:val="00064103"/>
    <w:rsid w:val="00070042"/>
    <w:rsid w:val="00070BE8"/>
    <w:rsid w:val="00073251"/>
    <w:rsid w:val="000748D1"/>
    <w:rsid w:val="00074A01"/>
    <w:rsid w:val="000756A5"/>
    <w:rsid w:val="00075760"/>
    <w:rsid w:val="000825A7"/>
    <w:rsid w:val="0008280E"/>
    <w:rsid w:val="00083B70"/>
    <w:rsid w:val="00084A23"/>
    <w:rsid w:val="000856AB"/>
    <w:rsid w:val="00085846"/>
    <w:rsid w:val="00085E91"/>
    <w:rsid w:val="0008744F"/>
    <w:rsid w:val="000912DA"/>
    <w:rsid w:val="000913DA"/>
    <w:rsid w:val="0009224C"/>
    <w:rsid w:val="00092D91"/>
    <w:rsid w:val="000965DB"/>
    <w:rsid w:val="000A1701"/>
    <w:rsid w:val="000A17AE"/>
    <w:rsid w:val="000A1886"/>
    <w:rsid w:val="000A63AE"/>
    <w:rsid w:val="000B0B37"/>
    <w:rsid w:val="000B13DD"/>
    <w:rsid w:val="000B1BEA"/>
    <w:rsid w:val="000B4588"/>
    <w:rsid w:val="000B45C5"/>
    <w:rsid w:val="000B4CF0"/>
    <w:rsid w:val="000B6744"/>
    <w:rsid w:val="000C1AFE"/>
    <w:rsid w:val="000C3B4A"/>
    <w:rsid w:val="000D09F3"/>
    <w:rsid w:val="000D2494"/>
    <w:rsid w:val="000D286A"/>
    <w:rsid w:val="000D3A2D"/>
    <w:rsid w:val="000D6A9D"/>
    <w:rsid w:val="000E0E23"/>
    <w:rsid w:val="000E1F39"/>
    <w:rsid w:val="000E2AA1"/>
    <w:rsid w:val="000E2F6C"/>
    <w:rsid w:val="000E54F2"/>
    <w:rsid w:val="000E73B5"/>
    <w:rsid w:val="000E7EA0"/>
    <w:rsid w:val="000F0A14"/>
    <w:rsid w:val="000F3202"/>
    <w:rsid w:val="000F3520"/>
    <w:rsid w:val="000F398F"/>
    <w:rsid w:val="000F3ACF"/>
    <w:rsid w:val="000F77F9"/>
    <w:rsid w:val="00100E26"/>
    <w:rsid w:val="00101628"/>
    <w:rsid w:val="00104FD8"/>
    <w:rsid w:val="00105BFA"/>
    <w:rsid w:val="00106C0B"/>
    <w:rsid w:val="00106CA2"/>
    <w:rsid w:val="00107415"/>
    <w:rsid w:val="001103D7"/>
    <w:rsid w:val="00111E98"/>
    <w:rsid w:val="0011321F"/>
    <w:rsid w:val="001138DB"/>
    <w:rsid w:val="00115E4A"/>
    <w:rsid w:val="00120B34"/>
    <w:rsid w:val="001213D4"/>
    <w:rsid w:val="00123A2B"/>
    <w:rsid w:val="00123E74"/>
    <w:rsid w:val="00125A49"/>
    <w:rsid w:val="001352EC"/>
    <w:rsid w:val="00136E40"/>
    <w:rsid w:val="00137ACA"/>
    <w:rsid w:val="00140B96"/>
    <w:rsid w:val="00141321"/>
    <w:rsid w:val="0014292E"/>
    <w:rsid w:val="00144DCC"/>
    <w:rsid w:val="0014575D"/>
    <w:rsid w:val="00151365"/>
    <w:rsid w:val="00154690"/>
    <w:rsid w:val="00157186"/>
    <w:rsid w:val="001616CF"/>
    <w:rsid w:val="00163C72"/>
    <w:rsid w:val="00164B12"/>
    <w:rsid w:val="00165D2E"/>
    <w:rsid w:val="0016716A"/>
    <w:rsid w:val="001675DF"/>
    <w:rsid w:val="001727A2"/>
    <w:rsid w:val="00173376"/>
    <w:rsid w:val="00175024"/>
    <w:rsid w:val="001753F6"/>
    <w:rsid w:val="0017772A"/>
    <w:rsid w:val="00182D0E"/>
    <w:rsid w:val="00184FF4"/>
    <w:rsid w:val="0018510E"/>
    <w:rsid w:val="00185963"/>
    <w:rsid w:val="00186079"/>
    <w:rsid w:val="00186A70"/>
    <w:rsid w:val="001877F6"/>
    <w:rsid w:val="00190474"/>
    <w:rsid w:val="001909FA"/>
    <w:rsid w:val="00192B1B"/>
    <w:rsid w:val="00192C92"/>
    <w:rsid w:val="00196002"/>
    <w:rsid w:val="0019703C"/>
    <w:rsid w:val="001A0566"/>
    <w:rsid w:val="001A07D5"/>
    <w:rsid w:val="001A20DC"/>
    <w:rsid w:val="001A40B1"/>
    <w:rsid w:val="001A41F1"/>
    <w:rsid w:val="001A4CC9"/>
    <w:rsid w:val="001A55E3"/>
    <w:rsid w:val="001A6C70"/>
    <w:rsid w:val="001B0DD8"/>
    <w:rsid w:val="001B25FF"/>
    <w:rsid w:val="001B5276"/>
    <w:rsid w:val="001B6084"/>
    <w:rsid w:val="001C05A9"/>
    <w:rsid w:val="001C0A4C"/>
    <w:rsid w:val="001C7B1A"/>
    <w:rsid w:val="001C7F49"/>
    <w:rsid w:val="001D00BF"/>
    <w:rsid w:val="001D0AC7"/>
    <w:rsid w:val="001D6C7E"/>
    <w:rsid w:val="001E015C"/>
    <w:rsid w:val="001E5ED1"/>
    <w:rsid w:val="001E74A1"/>
    <w:rsid w:val="001F0389"/>
    <w:rsid w:val="001F1EF4"/>
    <w:rsid w:val="001F3266"/>
    <w:rsid w:val="001F354D"/>
    <w:rsid w:val="001F379D"/>
    <w:rsid w:val="001F6AA9"/>
    <w:rsid w:val="002004C5"/>
    <w:rsid w:val="0020133F"/>
    <w:rsid w:val="00206570"/>
    <w:rsid w:val="00207869"/>
    <w:rsid w:val="00210CC1"/>
    <w:rsid w:val="00211440"/>
    <w:rsid w:val="002130A1"/>
    <w:rsid w:val="00213DE8"/>
    <w:rsid w:val="00215948"/>
    <w:rsid w:val="00215C95"/>
    <w:rsid w:val="00217258"/>
    <w:rsid w:val="00220D76"/>
    <w:rsid w:val="00221DE3"/>
    <w:rsid w:val="00221F8A"/>
    <w:rsid w:val="0022314E"/>
    <w:rsid w:val="00223F02"/>
    <w:rsid w:val="00224510"/>
    <w:rsid w:val="002266D3"/>
    <w:rsid w:val="00227156"/>
    <w:rsid w:val="00232436"/>
    <w:rsid w:val="002346E6"/>
    <w:rsid w:val="002355F8"/>
    <w:rsid w:val="00236176"/>
    <w:rsid w:val="0023672D"/>
    <w:rsid w:val="00240C03"/>
    <w:rsid w:val="00244AF1"/>
    <w:rsid w:val="00245504"/>
    <w:rsid w:val="00246B0D"/>
    <w:rsid w:val="00246C77"/>
    <w:rsid w:val="0024798D"/>
    <w:rsid w:val="002504A0"/>
    <w:rsid w:val="002509C9"/>
    <w:rsid w:val="0025276F"/>
    <w:rsid w:val="00252AF9"/>
    <w:rsid w:val="00253752"/>
    <w:rsid w:val="002567DF"/>
    <w:rsid w:val="002568C8"/>
    <w:rsid w:val="00257183"/>
    <w:rsid w:val="00257AC1"/>
    <w:rsid w:val="002623A7"/>
    <w:rsid w:val="002631E7"/>
    <w:rsid w:val="00263F21"/>
    <w:rsid w:val="00266823"/>
    <w:rsid w:val="00271955"/>
    <w:rsid w:val="00272C01"/>
    <w:rsid w:val="00273405"/>
    <w:rsid w:val="00274FC3"/>
    <w:rsid w:val="00276217"/>
    <w:rsid w:val="00276C71"/>
    <w:rsid w:val="00280E7E"/>
    <w:rsid w:val="00282E19"/>
    <w:rsid w:val="002848BF"/>
    <w:rsid w:val="00287E93"/>
    <w:rsid w:val="00297D9D"/>
    <w:rsid w:val="002A0911"/>
    <w:rsid w:val="002A116E"/>
    <w:rsid w:val="002A11B1"/>
    <w:rsid w:val="002A235E"/>
    <w:rsid w:val="002A3E80"/>
    <w:rsid w:val="002A4356"/>
    <w:rsid w:val="002A4A75"/>
    <w:rsid w:val="002A6290"/>
    <w:rsid w:val="002B04D0"/>
    <w:rsid w:val="002B0537"/>
    <w:rsid w:val="002B19C3"/>
    <w:rsid w:val="002B3350"/>
    <w:rsid w:val="002B4D3C"/>
    <w:rsid w:val="002B5E14"/>
    <w:rsid w:val="002B615E"/>
    <w:rsid w:val="002B78E4"/>
    <w:rsid w:val="002B7DD1"/>
    <w:rsid w:val="002C24A3"/>
    <w:rsid w:val="002C2977"/>
    <w:rsid w:val="002C2FD7"/>
    <w:rsid w:val="002C392E"/>
    <w:rsid w:val="002C6196"/>
    <w:rsid w:val="002D1B90"/>
    <w:rsid w:val="002D1BE2"/>
    <w:rsid w:val="002D4DA5"/>
    <w:rsid w:val="002D7BF1"/>
    <w:rsid w:val="002E222A"/>
    <w:rsid w:val="002E2DA2"/>
    <w:rsid w:val="002E30D0"/>
    <w:rsid w:val="002E41E9"/>
    <w:rsid w:val="002E6927"/>
    <w:rsid w:val="002F20F2"/>
    <w:rsid w:val="002F3F56"/>
    <w:rsid w:val="002F4A92"/>
    <w:rsid w:val="002F6C68"/>
    <w:rsid w:val="002F7C3A"/>
    <w:rsid w:val="00303588"/>
    <w:rsid w:val="00306B53"/>
    <w:rsid w:val="00306CC2"/>
    <w:rsid w:val="0031004C"/>
    <w:rsid w:val="0031050B"/>
    <w:rsid w:val="0031227D"/>
    <w:rsid w:val="00314EE1"/>
    <w:rsid w:val="00316155"/>
    <w:rsid w:val="003164F2"/>
    <w:rsid w:val="003173F9"/>
    <w:rsid w:val="00317B15"/>
    <w:rsid w:val="00321818"/>
    <w:rsid w:val="00321F70"/>
    <w:rsid w:val="00322441"/>
    <w:rsid w:val="00322AEF"/>
    <w:rsid w:val="003234E8"/>
    <w:rsid w:val="00325E7C"/>
    <w:rsid w:val="00327089"/>
    <w:rsid w:val="0033059C"/>
    <w:rsid w:val="00332141"/>
    <w:rsid w:val="00333578"/>
    <w:rsid w:val="00333B61"/>
    <w:rsid w:val="00335A89"/>
    <w:rsid w:val="0034064F"/>
    <w:rsid w:val="00341170"/>
    <w:rsid w:val="003429DE"/>
    <w:rsid w:val="00343958"/>
    <w:rsid w:val="00344DF7"/>
    <w:rsid w:val="00345CD2"/>
    <w:rsid w:val="0034679A"/>
    <w:rsid w:val="00347C44"/>
    <w:rsid w:val="00352A9A"/>
    <w:rsid w:val="003553BC"/>
    <w:rsid w:val="003557CB"/>
    <w:rsid w:val="003563B2"/>
    <w:rsid w:val="00360C91"/>
    <w:rsid w:val="003648AE"/>
    <w:rsid w:val="00364F36"/>
    <w:rsid w:val="00366949"/>
    <w:rsid w:val="0036798A"/>
    <w:rsid w:val="00367F2C"/>
    <w:rsid w:val="0037044E"/>
    <w:rsid w:val="003713A2"/>
    <w:rsid w:val="00381A39"/>
    <w:rsid w:val="00383664"/>
    <w:rsid w:val="003864AB"/>
    <w:rsid w:val="00387EFD"/>
    <w:rsid w:val="003908ED"/>
    <w:rsid w:val="00391345"/>
    <w:rsid w:val="0039240E"/>
    <w:rsid w:val="003924FB"/>
    <w:rsid w:val="00392A24"/>
    <w:rsid w:val="00392BFF"/>
    <w:rsid w:val="0039345A"/>
    <w:rsid w:val="00394925"/>
    <w:rsid w:val="0039588A"/>
    <w:rsid w:val="00397768"/>
    <w:rsid w:val="00397826"/>
    <w:rsid w:val="003A0BDD"/>
    <w:rsid w:val="003A28FB"/>
    <w:rsid w:val="003A3297"/>
    <w:rsid w:val="003A4360"/>
    <w:rsid w:val="003A6A14"/>
    <w:rsid w:val="003B0CF5"/>
    <w:rsid w:val="003B4B9A"/>
    <w:rsid w:val="003B5F95"/>
    <w:rsid w:val="003B62C7"/>
    <w:rsid w:val="003B7622"/>
    <w:rsid w:val="003C0E30"/>
    <w:rsid w:val="003C1C9B"/>
    <w:rsid w:val="003C2FCD"/>
    <w:rsid w:val="003C39FD"/>
    <w:rsid w:val="003C441D"/>
    <w:rsid w:val="003C461A"/>
    <w:rsid w:val="003C56DE"/>
    <w:rsid w:val="003C7242"/>
    <w:rsid w:val="003D132C"/>
    <w:rsid w:val="003D3B50"/>
    <w:rsid w:val="003D3B7D"/>
    <w:rsid w:val="003D66B2"/>
    <w:rsid w:val="003E1398"/>
    <w:rsid w:val="003E28BA"/>
    <w:rsid w:val="003E2E97"/>
    <w:rsid w:val="003E62BF"/>
    <w:rsid w:val="003F0AFC"/>
    <w:rsid w:val="003F25A3"/>
    <w:rsid w:val="003F28BC"/>
    <w:rsid w:val="00401534"/>
    <w:rsid w:val="004023B3"/>
    <w:rsid w:val="00403480"/>
    <w:rsid w:val="004036DB"/>
    <w:rsid w:val="00405185"/>
    <w:rsid w:val="00405591"/>
    <w:rsid w:val="00413DE0"/>
    <w:rsid w:val="00414171"/>
    <w:rsid w:val="004143FE"/>
    <w:rsid w:val="0041504B"/>
    <w:rsid w:val="004155C4"/>
    <w:rsid w:val="004163A6"/>
    <w:rsid w:val="0041679B"/>
    <w:rsid w:val="0041744A"/>
    <w:rsid w:val="00417D0C"/>
    <w:rsid w:val="00420864"/>
    <w:rsid w:val="004211B6"/>
    <w:rsid w:val="00421B46"/>
    <w:rsid w:val="004229E1"/>
    <w:rsid w:val="00422E95"/>
    <w:rsid w:val="00425096"/>
    <w:rsid w:val="0042796B"/>
    <w:rsid w:val="00427FC3"/>
    <w:rsid w:val="0043242D"/>
    <w:rsid w:val="00433DC8"/>
    <w:rsid w:val="00434878"/>
    <w:rsid w:val="004379AF"/>
    <w:rsid w:val="00437CA0"/>
    <w:rsid w:val="00442529"/>
    <w:rsid w:val="0044341D"/>
    <w:rsid w:val="00443EF8"/>
    <w:rsid w:val="0044585E"/>
    <w:rsid w:val="00446375"/>
    <w:rsid w:val="00450952"/>
    <w:rsid w:val="00454582"/>
    <w:rsid w:val="00455084"/>
    <w:rsid w:val="00455C32"/>
    <w:rsid w:val="004571A9"/>
    <w:rsid w:val="00457790"/>
    <w:rsid w:val="0046464A"/>
    <w:rsid w:val="00464EEB"/>
    <w:rsid w:val="004650E0"/>
    <w:rsid w:val="00472803"/>
    <w:rsid w:val="00473B47"/>
    <w:rsid w:val="004746F9"/>
    <w:rsid w:val="00475D4A"/>
    <w:rsid w:val="00476C69"/>
    <w:rsid w:val="00477D04"/>
    <w:rsid w:val="0048018D"/>
    <w:rsid w:val="00486856"/>
    <w:rsid w:val="0048699D"/>
    <w:rsid w:val="00486FBF"/>
    <w:rsid w:val="0049122E"/>
    <w:rsid w:val="004945EE"/>
    <w:rsid w:val="00495B48"/>
    <w:rsid w:val="00495EF2"/>
    <w:rsid w:val="004A3410"/>
    <w:rsid w:val="004A41E3"/>
    <w:rsid w:val="004A45D2"/>
    <w:rsid w:val="004A7ABE"/>
    <w:rsid w:val="004B0648"/>
    <w:rsid w:val="004B2910"/>
    <w:rsid w:val="004B4C79"/>
    <w:rsid w:val="004B5EBF"/>
    <w:rsid w:val="004C1CBF"/>
    <w:rsid w:val="004C246E"/>
    <w:rsid w:val="004C28C7"/>
    <w:rsid w:val="004C2C3A"/>
    <w:rsid w:val="004C47B6"/>
    <w:rsid w:val="004C49D8"/>
    <w:rsid w:val="004D0256"/>
    <w:rsid w:val="004D1CA5"/>
    <w:rsid w:val="004D27D0"/>
    <w:rsid w:val="004D2BF3"/>
    <w:rsid w:val="004D387A"/>
    <w:rsid w:val="004D4CA8"/>
    <w:rsid w:val="004D622A"/>
    <w:rsid w:val="004D698C"/>
    <w:rsid w:val="004D7C16"/>
    <w:rsid w:val="004E1B7F"/>
    <w:rsid w:val="004E3877"/>
    <w:rsid w:val="004E3E2D"/>
    <w:rsid w:val="004E429E"/>
    <w:rsid w:val="004E4FD1"/>
    <w:rsid w:val="004E65FD"/>
    <w:rsid w:val="004E7D1F"/>
    <w:rsid w:val="004F1034"/>
    <w:rsid w:val="004F2126"/>
    <w:rsid w:val="004F44F3"/>
    <w:rsid w:val="004F47B5"/>
    <w:rsid w:val="004F49C3"/>
    <w:rsid w:val="004F5811"/>
    <w:rsid w:val="004F5D5A"/>
    <w:rsid w:val="004F6DED"/>
    <w:rsid w:val="00502DF7"/>
    <w:rsid w:val="00503504"/>
    <w:rsid w:val="00504364"/>
    <w:rsid w:val="00505584"/>
    <w:rsid w:val="005057E9"/>
    <w:rsid w:val="00506CA0"/>
    <w:rsid w:val="00507F2C"/>
    <w:rsid w:val="00510A5D"/>
    <w:rsid w:val="00510CDD"/>
    <w:rsid w:val="00515DE8"/>
    <w:rsid w:val="005217C3"/>
    <w:rsid w:val="00522ED8"/>
    <w:rsid w:val="0052306E"/>
    <w:rsid w:val="00526604"/>
    <w:rsid w:val="005279A8"/>
    <w:rsid w:val="0053139D"/>
    <w:rsid w:val="0053166D"/>
    <w:rsid w:val="00531672"/>
    <w:rsid w:val="00532AFD"/>
    <w:rsid w:val="005337D0"/>
    <w:rsid w:val="0053398E"/>
    <w:rsid w:val="00536051"/>
    <w:rsid w:val="00537C5B"/>
    <w:rsid w:val="00540038"/>
    <w:rsid w:val="0054145E"/>
    <w:rsid w:val="005415DF"/>
    <w:rsid w:val="0054450E"/>
    <w:rsid w:val="00551375"/>
    <w:rsid w:val="00553A3D"/>
    <w:rsid w:val="00556ED0"/>
    <w:rsid w:val="005577B8"/>
    <w:rsid w:val="00561AA7"/>
    <w:rsid w:val="00562F21"/>
    <w:rsid w:val="00565C67"/>
    <w:rsid w:val="005662FC"/>
    <w:rsid w:val="005663FB"/>
    <w:rsid w:val="00571207"/>
    <w:rsid w:val="00571453"/>
    <w:rsid w:val="00571B24"/>
    <w:rsid w:val="005736EE"/>
    <w:rsid w:val="005738B4"/>
    <w:rsid w:val="00577349"/>
    <w:rsid w:val="00581018"/>
    <w:rsid w:val="0058107F"/>
    <w:rsid w:val="005812A6"/>
    <w:rsid w:val="005815BC"/>
    <w:rsid w:val="00582F22"/>
    <w:rsid w:val="005834AD"/>
    <w:rsid w:val="00586173"/>
    <w:rsid w:val="005862F5"/>
    <w:rsid w:val="00591A36"/>
    <w:rsid w:val="00594067"/>
    <w:rsid w:val="005A4785"/>
    <w:rsid w:val="005A4E12"/>
    <w:rsid w:val="005A6319"/>
    <w:rsid w:val="005A6A65"/>
    <w:rsid w:val="005A74C6"/>
    <w:rsid w:val="005A7C31"/>
    <w:rsid w:val="005A7F1C"/>
    <w:rsid w:val="005B1241"/>
    <w:rsid w:val="005B1882"/>
    <w:rsid w:val="005B2E63"/>
    <w:rsid w:val="005B3C05"/>
    <w:rsid w:val="005B46F4"/>
    <w:rsid w:val="005B56F8"/>
    <w:rsid w:val="005C3D19"/>
    <w:rsid w:val="005C6488"/>
    <w:rsid w:val="005C79B5"/>
    <w:rsid w:val="005D21F0"/>
    <w:rsid w:val="005D2CAD"/>
    <w:rsid w:val="005D2FFB"/>
    <w:rsid w:val="005D7025"/>
    <w:rsid w:val="005D72B3"/>
    <w:rsid w:val="005E1817"/>
    <w:rsid w:val="005E28C2"/>
    <w:rsid w:val="005E3B1C"/>
    <w:rsid w:val="005E5645"/>
    <w:rsid w:val="005E5C4C"/>
    <w:rsid w:val="005E5E14"/>
    <w:rsid w:val="005E66A4"/>
    <w:rsid w:val="005F321A"/>
    <w:rsid w:val="005F6C29"/>
    <w:rsid w:val="00603B21"/>
    <w:rsid w:val="00606D7B"/>
    <w:rsid w:val="006113DD"/>
    <w:rsid w:val="0061256B"/>
    <w:rsid w:val="006145D1"/>
    <w:rsid w:val="006227E4"/>
    <w:rsid w:val="006228D4"/>
    <w:rsid w:val="0062418B"/>
    <w:rsid w:val="00624ACE"/>
    <w:rsid w:val="0062582A"/>
    <w:rsid w:val="00626868"/>
    <w:rsid w:val="00631FE4"/>
    <w:rsid w:val="00633C93"/>
    <w:rsid w:val="00636052"/>
    <w:rsid w:val="00636CA5"/>
    <w:rsid w:val="00640947"/>
    <w:rsid w:val="006421D8"/>
    <w:rsid w:val="0064244B"/>
    <w:rsid w:val="00647794"/>
    <w:rsid w:val="006501D3"/>
    <w:rsid w:val="00651170"/>
    <w:rsid w:val="006557B8"/>
    <w:rsid w:val="0065591D"/>
    <w:rsid w:val="0066027E"/>
    <w:rsid w:val="0066245B"/>
    <w:rsid w:val="00665F3F"/>
    <w:rsid w:val="00666791"/>
    <w:rsid w:val="00671518"/>
    <w:rsid w:val="00672054"/>
    <w:rsid w:val="0067316B"/>
    <w:rsid w:val="00673438"/>
    <w:rsid w:val="0067387F"/>
    <w:rsid w:val="00673976"/>
    <w:rsid w:val="00673B44"/>
    <w:rsid w:val="00680996"/>
    <w:rsid w:val="00682098"/>
    <w:rsid w:val="006823E3"/>
    <w:rsid w:val="0068477A"/>
    <w:rsid w:val="00686FFC"/>
    <w:rsid w:val="0069382F"/>
    <w:rsid w:val="00693D4E"/>
    <w:rsid w:val="0069589E"/>
    <w:rsid w:val="00696ADE"/>
    <w:rsid w:val="00697C5A"/>
    <w:rsid w:val="006A0730"/>
    <w:rsid w:val="006A4376"/>
    <w:rsid w:val="006A510A"/>
    <w:rsid w:val="006B1CDF"/>
    <w:rsid w:val="006B31D6"/>
    <w:rsid w:val="006B57DD"/>
    <w:rsid w:val="006B73DE"/>
    <w:rsid w:val="006C0EBE"/>
    <w:rsid w:val="006C2A43"/>
    <w:rsid w:val="006C2CC1"/>
    <w:rsid w:val="006C3C02"/>
    <w:rsid w:val="006C4112"/>
    <w:rsid w:val="006C6EE5"/>
    <w:rsid w:val="006D007E"/>
    <w:rsid w:val="006D0C97"/>
    <w:rsid w:val="006D168D"/>
    <w:rsid w:val="006D5303"/>
    <w:rsid w:val="006D5F06"/>
    <w:rsid w:val="006D6E9C"/>
    <w:rsid w:val="006D7248"/>
    <w:rsid w:val="006E102A"/>
    <w:rsid w:val="006E2AAA"/>
    <w:rsid w:val="006E2D5D"/>
    <w:rsid w:val="006E4326"/>
    <w:rsid w:val="006E6663"/>
    <w:rsid w:val="006E6E84"/>
    <w:rsid w:val="006E7C09"/>
    <w:rsid w:val="006F1B9D"/>
    <w:rsid w:val="006F4C84"/>
    <w:rsid w:val="006F5B4B"/>
    <w:rsid w:val="006F5CA9"/>
    <w:rsid w:val="006F6C68"/>
    <w:rsid w:val="006F6E07"/>
    <w:rsid w:val="006F7E33"/>
    <w:rsid w:val="00700644"/>
    <w:rsid w:val="00701C52"/>
    <w:rsid w:val="00702669"/>
    <w:rsid w:val="00703BBB"/>
    <w:rsid w:val="007043A2"/>
    <w:rsid w:val="00704925"/>
    <w:rsid w:val="00713031"/>
    <w:rsid w:val="00713152"/>
    <w:rsid w:val="0071325D"/>
    <w:rsid w:val="0071497B"/>
    <w:rsid w:val="007172A5"/>
    <w:rsid w:val="00717611"/>
    <w:rsid w:val="0072051C"/>
    <w:rsid w:val="00721011"/>
    <w:rsid w:val="00725520"/>
    <w:rsid w:val="00725AE6"/>
    <w:rsid w:val="00725C74"/>
    <w:rsid w:val="00726B62"/>
    <w:rsid w:val="0073133E"/>
    <w:rsid w:val="00732725"/>
    <w:rsid w:val="00732A8D"/>
    <w:rsid w:val="007376D6"/>
    <w:rsid w:val="0074098E"/>
    <w:rsid w:val="00742C76"/>
    <w:rsid w:val="00742FE5"/>
    <w:rsid w:val="007456D8"/>
    <w:rsid w:val="00746107"/>
    <w:rsid w:val="00747480"/>
    <w:rsid w:val="00747E9E"/>
    <w:rsid w:val="0075226B"/>
    <w:rsid w:val="00752CC5"/>
    <w:rsid w:val="007532AA"/>
    <w:rsid w:val="007533F6"/>
    <w:rsid w:val="00754132"/>
    <w:rsid w:val="007577F6"/>
    <w:rsid w:val="007629C8"/>
    <w:rsid w:val="00766522"/>
    <w:rsid w:val="007702A1"/>
    <w:rsid w:val="007713C1"/>
    <w:rsid w:val="0077228B"/>
    <w:rsid w:val="0077316F"/>
    <w:rsid w:val="00774685"/>
    <w:rsid w:val="0077473C"/>
    <w:rsid w:val="00776481"/>
    <w:rsid w:val="007767D7"/>
    <w:rsid w:val="00777111"/>
    <w:rsid w:val="00780367"/>
    <w:rsid w:val="0078047D"/>
    <w:rsid w:val="0078513E"/>
    <w:rsid w:val="00785532"/>
    <w:rsid w:val="0078654E"/>
    <w:rsid w:val="00790EDF"/>
    <w:rsid w:val="00793935"/>
    <w:rsid w:val="00794079"/>
    <w:rsid w:val="007944FD"/>
    <w:rsid w:val="00796ADB"/>
    <w:rsid w:val="00797A1D"/>
    <w:rsid w:val="007A38E5"/>
    <w:rsid w:val="007A6946"/>
    <w:rsid w:val="007B101A"/>
    <w:rsid w:val="007B4CAD"/>
    <w:rsid w:val="007B5F17"/>
    <w:rsid w:val="007B7808"/>
    <w:rsid w:val="007C1DB5"/>
    <w:rsid w:val="007C4BD1"/>
    <w:rsid w:val="007C6321"/>
    <w:rsid w:val="007C640F"/>
    <w:rsid w:val="007C7050"/>
    <w:rsid w:val="007D2B35"/>
    <w:rsid w:val="007D2F58"/>
    <w:rsid w:val="007D3AEC"/>
    <w:rsid w:val="007D4400"/>
    <w:rsid w:val="007D69F1"/>
    <w:rsid w:val="007E0A0A"/>
    <w:rsid w:val="007E6F12"/>
    <w:rsid w:val="007F000C"/>
    <w:rsid w:val="007F3CD8"/>
    <w:rsid w:val="007F40D2"/>
    <w:rsid w:val="007F480D"/>
    <w:rsid w:val="007F5194"/>
    <w:rsid w:val="007F5FA9"/>
    <w:rsid w:val="007F6033"/>
    <w:rsid w:val="0080000C"/>
    <w:rsid w:val="008034CA"/>
    <w:rsid w:val="00803620"/>
    <w:rsid w:val="00803944"/>
    <w:rsid w:val="008051CB"/>
    <w:rsid w:val="008063DD"/>
    <w:rsid w:val="00806F9E"/>
    <w:rsid w:val="00811ECC"/>
    <w:rsid w:val="0081468D"/>
    <w:rsid w:val="00817550"/>
    <w:rsid w:val="00827795"/>
    <w:rsid w:val="0082799A"/>
    <w:rsid w:val="008301FF"/>
    <w:rsid w:val="0083348F"/>
    <w:rsid w:val="008334B0"/>
    <w:rsid w:val="00834BA8"/>
    <w:rsid w:val="00837297"/>
    <w:rsid w:val="0084040F"/>
    <w:rsid w:val="00840DBC"/>
    <w:rsid w:val="00841832"/>
    <w:rsid w:val="00841DD3"/>
    <w:rsid w:val="008430B9"/>
    <w:rsid w:val="00843810"/>
    <w:rsid w:val="008448E7"/>
    <w:rsid w:val="0084559E"/>
    <w:rsid w:val="00846355"/>
    <w:rsid w:val="00850E6C"/>
    <w:rsid w:val="00851E99"/>
    <w:rsid w:val="00852142"/>
    <w:rsid w:val="00852854"/>
    <w:rsid w:val="00853C7E"/>
    <w:rsid w:val="0085464B"/>
    <w:rsid w:val="008560B7"/>
    <w:rsid w:val="00856753"/>
    <w:rsid w:val="00856B25"/>
    <w:rsid w:val="00856BBB"/>
    <w:rsid w:val="0085710D"/>
    <w:rsid w:val="00857649"/>
    <w:rsid w:val="00861CEC"/>
    <w:rsid w:val="008628EC"/>
    <w:rsid w:val="00863E9C"/>
    <w:rsid w:val="00864C39"/>
    <w:rsid w:val="008662AC"/>
    <w:rsid w:val="00866A40"/>
    <w:rsid w:val="00870AE9"/>
    <w:rsid w:val="00874E72"/>
    <w:rsid w:val="00875261"/>
    <w:rsid w:val="008756D8"/>
    <w:rsid w:val="00876003"/>
    <w:rsid w:val="008760B0"/>
    <w:rsid w:val="0087715E"/>
    <w:rsid w:val="00877A53"/>
    <w:rsid w:val="00877B01"/>
    <w:rsid w:val="008815A2"/>
    <w:rsid w:val="00881BB2"/>
    <w:rsid w:val="008821E9"/>
    <w:rsid w:val="00884388"/>
    <w:rsid w:val="00886176"/>
    <w:rsid w:val="0088739C"/>
    <w:rsid w:val="00891276"/>
    <w:rsid w:val="00891F21"/>
    <w:rsid w:val="00892A7F"/>
    <w:rsid w:val="00892DDD"/>
    <w:rsid w:val="00893171"/>
    <w:rsid w:val="00893F09"/>
    <w:rsid w:val="008941AF"/>
    <w:rsid w:val="00895EF7"/>
    <w:rsid w:val="008972B0"/>
    <w:rsid w:val="008A0F04"/>
    <w:rsid w:val="008A183F"/>
    <w:rsid w:val="008A3FE2"/>
    <w:rsid w:val="008A541A"/>
    <w:rsid w:val="008A54FC"/>
    <w:rsid w:val="008A63D3"/>
    <w:rsid w:val="008A6BEB"/>
    <w:rsid w:val="008B2905"/>
    <w:rsid w:val="008B4D1C"/>
    <w:rsid w:val="008B6E94"/>
    <w:rsid w:val="008B719F"/>
    <w:rsid w:val="008C0001"/>
    <w:rsid w:val="008C1B1C"/>
    <w:rsid w:val="008C2E45"/>
    <w:rsid w:val="008C434C"/>
    <w:rsid w:val="008C6B23"/>
    <w:rsid w:val="008C6CA0"/>
    <w:rsid w:val="008C6FD2"/>
    <w:rsid w:val="008C71E1"/>
    <w:rsid w:val="008D1927"/>
    <w:rsid w:val="008D2F04"/>
    <w:rsid w:val="008D42B3"/>
    <w:rsid w:val="008D523B"/>
    <w:rsid w:val="008D5530"/>
    <w:rsid w:val="008D609D"/>
    <w:rsid w:val="008D6596"/>
    <w:rsid w:val="008D6F39"/>
    <w:rsid w:val="008E0188"/>
    <w:rsid w:val="008E1FE5"/>
    <w:rsid w:val="008E34C3"/>
    <w:rsid w:val="008E393B"/>
    <w:rsid w:val="008E4D5E"/>
    <w:rsid w:val="008E6ECD"/>
    <w:rsid w:val="008F0AA1"/>
    <w:rsid w:val="008F1FD3"/>
    <w:rsid w:val="008F32AF"/>
    <w:rsid w:val="008F5A89"/>
    <w:rsid w:val="008F5D7D"/>
    <w:rsid w:val="009020AC"/>
    <w:rsid w:val="009050D8"/>
    <w:rsid w:val="0090788E"/>
    <w:rsid w:val="00907D53"/>
    <w:rsid w:val="00910372"/>
    <w:rsid w:val="009115E1"/>
    <w:rsid w:val="009127B0"/>
    <w:rsid w:val="009139BF"/>
    <w:rsid w:val="009248F2"/>
    <w:rsid w:val="009259A5"/>
    <w:rsid w:val="009259BC"/>
    <w:rsid w:val="009259E9"/>
    <w:rsid w:val="0092617E"/>
    <w:rsid w:val="00927530"/>
    <w:rsid w:val="009318E4"/>
    <w:rsid w:val="00932D92"/>
    <w:rsid w:val="0093374D"/>
    <w:rsid w:val="00933A70"/>
    <w:rsid w:val="00934FE9"/>
    <w:rsid w:val="00935F38"/>
    <w:rsid w:val="00936B98"/>
    <w:rsid w:val="00937191"/>
    <w:rsid w:val="00941096"/>
    <w:rsid w:val="00945959"/>
    <w:rsid w:val="00946FC6"/>
    <w:rsid w:val="00947DB3"/>
    <w:rsid w:val="00950111"/>
    <w:rsid w:val="00951ACD"/>
    <w:rsid w:val="00951E2F"/>
    <w:rsid w:val="009521F7"/>
    <w:rsid w:val="00952457"/>
    <w:rsid w:val="0095310C"/>
    <w:rsid w:val="009552D8"/>
    <w:rsid w:val="009553BA"/>
    <w:rsid w:val="009569F0"/>
    <w:rsid w:val="00957FA5"/>
    <w:rsid w:val="00963E40"/>
    <w:rsid w:val="00965B1E"/>
    <w:rsid w:val="00970990"/>
    <w:rsid w:val="0097132E"/>
    <w:rsid w:val="009721C6"/>
    <w:rsid w:val="0097429B"/>
    <w:rsid w:val="00976F2A"/>
    <w:rsid w:val="009770AB"/>
    <w:rsid w:val="009774FA"/>
    <w:rsid w:val="00977E30"/>
    <w:rsid w:val="0098140C"/>
    <w:rsid w:val="00981ACD"/>
    <w:rsid w:val="00981BD5"/>
    <w:rsid w:val="00982C56"/>
    <w:rsid w:val="00983516"/>
    <w:rsid w:val="00983F5C"/>
    <w:rsid w:val="009848FD"/>
    <w:rsid w:val="009857BB"/>
    <w:rsid w:val="00985A67"/>
    <w:rsid w:val="00986238"/>
    <w:rsid w:val="00986CBE"/>
    <w:rsid w:val="00990062"/>
    <w:rsid w:val="00990B71"/>
    <w:rsid w:val="00990F54"/>
    <w:rsid w:val="009919E5"/>
    <w:rsid w:val="00997494"/>
    <w:rsid w:val="0099797A"/>
    <w:rsid w:val="009A22D0"/>
    <w:rsid w:val="009A2979"/>
    <w:rsid w:val="009A2BAC"/>
    <w:rsid w:val="009A5FEB"/>
    <w:rsid w:val="009B06BE"/>
    <w:rsid w:val="009B0A54"/>
    <w:rsid w:val="009B277F"/>
    <w:rsid w:val="009B2C0F"/>
    <w:rsid w:val="009B528F"/>
    <w:rsid w:val="009B5C90"/>
    <w:rsid w:val="009B60AB"/>
    <w:rsid w:val="009C0E8F"/>
    <w:rsid w:val="009C11A1"/>
    <w:rsid w:val="009C1C01"/>
    <w:rsid w:val="009C2778"/>
    <w:rsid w:val="009C5773"/>
    <w:rsid w:val="009C681E"/>
    <w:rsid w:val="009D3CE4"/>
    <w:rsid w:val="009D48D2"/>
    <w:rsid w:val="009D6F0E"/>
    <w:rsid w:val="009E0579"/>
    <w:rsid w:val="009E234B"/>
    <w:rsid w:val="009E236C"/>
    <w:rsid w:val="009E4FF5"/>
    <w:rsid w:val="009E5FCC"/>
    <w:rsid w:val="009E628A"/>
    <w:rsid w:val="009F05DD"/>
    <w:rsid w:val="009F1402"/>
    <w:rsid w:val="009F542D"/>
    <w:rsid w:val="009F6D00"/>
    <w:rsid w:val="009F7129"/>
    <w:rsid w:val="00A0098F"/>
    <w:rsid w:val="00A0225C"/>
    <w:rsid w:val="00A023F9"/>
    <w:rsid w:val="00A06414"/>
    <w:rsid w:val="00A079B7"/>
    <w:rsid w:val="00A07A61"/>
    <w:rsid w:val="00A12D63"/>
    <w:rsid w:val="00A1444E"/>
    <w:rsid w:val="00A17A68"/>
    <w:rsid w:val="00A17ACB"/>
    <w:rsid w:val="00A2005D"/>
    <w:rsid w:val="00A21254"/>
    <w:rsid w:val="00A21EDE"/>
    <w:rsid w:val="00A23B7D"/>
    <w:rsid w:val="00A242B5"/>
    <w:rsid w:val="00A24366"/>
    <w:rsid w:val="00A24E3A"/>
    <w:rsid w:val="00A2647F"/>
    <w:rsid w:val="00A278B3"/>
    <w:rsid w:val="00A27B6D"/>
    <w:rsid w:val="00A3343E"/>
    <w:rsid w:val="00A3703D"/>
    <w:rsid w:val="00A41D39"/>
    <w:rsid w:val="00A45232"/>
    <w:rsid w:val="00A45334"/>
    <w:rsid w:val="00A46F50"/>
    <w:rsid w:val="00A5169C"/>
    <w:rsid w:val="00A5612E"/>
    <w:rsid w:val="00A607B5"/>
    <w:rsid w:val="00A60F56"/>
    <w:rsid w:val="00A6136E"/>
    <w:rsid w:val="00A61CDB"/>
    <w:rsid w:val="00A63FB0"/>
    <w:rsid w:val="00A64277"/>
    <w:rsid w:val="00A64E57"/>
    <w:rsid w:val="00A64F7B"/>
    <w:rsid w:val="00A65696"/>
    <w:rsid w:val="00A66852"/>
    <w:rsid w:val="00A66CAC"/>
    <w:rsid w:val="00A66D5A"/>
    <w:rsid w:val="00A67410"/>
    <w:rsid w:val="00A708C5"/>
    <w:rsid w:val="00A712C2"/>
    <w:rsid w:val="00A72AE2"/>
    <w:rsid w:val="00A750E1"/>
    <w:rsid w:val="00A75B41"/>
    <w:rsid w:val="00A77429"/>
    <w:rsid w:val="00A83533"/>
    <w:rsid w:val="00A83D21"/>
    <w:rsid w:val="00A90165"/>
    <w:rsid w:val="00A9275A"/>
    <w:rsid w:val="00A92DA3"/>
    <w:rsid w:val="00AA595C"/>
    <w:rsid w:val="00AA7C6D"/>
    <w:rsid w:val="00AB18A4"/>
    <w:rsid w:val="00AB4982"/>
    <w:rsid w:val="00AB671A"/>
    <w:rsid w:val="00AB6A31"/>
    <w:rsid w:val="00AC0BF7"/>
    <w:rsid w:val="00AC1DFE"/>
    <w:rsid w:val="00AC2070"/>
    <w:rsid w:val="00AC24A0"/>
    <w:rsid w:val="00AC3CE8"/>
    <w:rsid w:val="00AC4C71"/>
    <w:rsid w:val="00AC6FD5"/>
    <w:rsid w:val="00AD013E"/>
    <w:rsid w:val="00AD3406"/>
    <w:rsid w:val="00AD36A7"/>
    <w:rsid w:val="00AD5BA1"/>
    <w:rsid w:val="00AD69A9"/>
    <w:rsid w:val="00AD6D05"/>
    <w:rsid w:val="00AD7B59"/>
    <w:rsid w:val="00AE0E9F"/>
    <w:rsid w:val="00AE1BA2"/>
    <w:rsid w:val="00AE5966"/>
    <w:rsid w:val="00AE62D3"/>
    <w:rsid w:val="00AE7645"/>
    <w:rsid w:val="00AF1289"/>
    <w:rsid w:val="00AF25FD"/>
    <w:rsid w:val="00AF7352"/>
    <w:rsid w:val="00B02D80"/>
    <w:rsid w:val="00B046F9"/>
    <w:rsid w:val="00B0552F"/>
    <w:rsid w:val="00B05DD4"/>
    <w:rsid w:val="00B105C7"/>
    <w:rsid w:val="00B1134B"/>
    <w:rsid w:val="00B134CF"/>
    <w:rsid w:val="00B13E7E"/>
    <w:rsid w:val="00B14CAD"/>
    <w:rsid w:val="00B170F0"/>
    <w:rsid w:val="00B171B6"/>
    <w:rsid w:val="00B17279"/>
    <w:rsid w:val="00B17BD9"/>
    <w:rsid w:val="00B227C1"/>
    <w:rsid w:val="00B2371E"/>
    <w:rsid w:val="00B2459E"/>
    <w:rsid w:val="00B24F99"/>
    <w:rsid w:val="00B3029B"/>
    <w:rsid w:val="00B318E6"/>
    <w:rsid w:val="00B3286F"/>
    <w:rsid w:val="00B35C13"/>
    <w:rsid w:val="00B365EB"/>
    <w:rsid w:val="00B370F5"/>
    <w:rsid w:val="00B42E76"/>
    <w:rsid w:val="00B43924"/>
    <w:rsid w:val="00B441EA"/>
    <w:rsid w:val="00B44E33"/>
    <w:rsid w:val="00B50516"/>
    <w:rsid w:val="00B51493"/>
    <w:rsid w:val="00B53A12"/>
    <w:rsid w:val="00B54D8C"/>
    <w:rsid w:val="00B55C30"/>
    <w:rsid w:val="00B567A1"/>
    <w:rsid w:val="00B61F73"/>
    <w:rsid w:val="00B646A4"/>
    <w:rsid w:val="00B65187"/>
    <w:rsid w:val="00B67D2F"/>
    <w:rsid w:val="00B721E7"/>
    <w:rsid w:val="00B72536"/>
    <w:rsid w:val="00B72843"/>
    <w:rsid w:val="00B7519E"/>
    <w:rsid w:val="00B766DB"/>
    <w:rsid w:val="00B76A62"/>
    <w:rsid w:val="00B8073B"/>
    <w:rsid w:val="00B84684"/>
    <w:rsid w:val="00B87B9A"/>
    <w:rsid w:val="00B91243"/>
    <w:rsid w:val="00B91647"/>
    <w:rsid w:val="00B9349A"/>
    <w:rsid w:val="00B968A4"/>
    <w:rsid w:val="00B97025"/>
    <w:rsid w:val="00BA05AF"/>
    <w:rsid w:val="00BA0FE4"/>
    <w:rsid w:val="00BA4363"/>
    <w:rsid w:val="00BA4373"/>
    <w:rsid w:val="00BA4810"/>
    <w:rsid w:val="00BA62E9"/>
    <w:rsid w:val="00BB1A71"/>
    <w:rsid w:val="00BB28A1"/>
    <w:rsid w:val="00BB623F"/>
    <w:rsid w:val="00BB7447"/>
    <w:rsid w:val="00BC04FB"/>
    <w:rsid w:val="00BC139C"/>
    <w:rsid w:val="00BC13D0"/>
    <w:rsid w:val="00BC37DE"/>
    <w:rsid w:val="00BC6036"/>
    <w:rsid w:val="00BC6BE0"/>
    <w:rsid w:val="00BC71A8"/>
    <w:rsid w:val="00BD09AA"/>
    <w:rsid w:val="00BD0D69"/>
    <w:rsid w:val="00BD1FC6"/>
    <w:rsid w:val="00BD2181"/>
    <w:rsid w:val="00BD7894"/>
    <w:rsid w:val="00BE778F"/>
    <w:rsid w:val="00BE7AF8"/>
    <w:rsid w:val="00BE7D5C"/>
    <w:rsid w:val="00BE7F12"/>
    <w:rsid w:val="00BF099E"/>
    <w:rsid w:val="00BF2A28"/>
    <w:rsid w:val="00BF4E57"/>
    <w:rsid w:val="00BF6D89"/>
    <w:rsid w:val="00BF746C"/>
    <w:rsid w:val="00C00216"/>
    <w:rsid w:val="00C0192D"/>
    <w:rsid w:val="00C023A4"/>
    <w:rsid w:val="00C054A6"/>
    <w:rsid w:val="00C05530"/>
    <w:rsid w:val="00C05CE9"/>
    <w:rsid w:val="00C173C6"/>
    <w:rsid w:val="00C2008F"/>
    <w:rsid w:val="00C24E44"/>
    <w:rsid w:val="00C2521C"/>
    <w:rsid w:val="00C25669"/>
    <w:rsid w:val="00C25A5D"/>
    <w:rsid w:val="00C30DEA"/>
    <w:rsid w:val="00C32A91"/>
    <w:rsid w:val="00C339F5"/>
    <w:rsid w:val="00C341F4"/>
    <w:rsid w:val="00C35553"/>
    <w:rsid w:val="00C364CA"/>
    <w:rsid w:val="00C430E1"/>
    <w:rsid w:val="00C431A0"/>
    <w:rsid w:val="00C437D0"/>
    <w:rsid w:val="00C43DC8"/>
    <w:rsid w:val="00C50A49"/>
    <w:rsid w:val="00C511B8"/>
    <w:rsid w:val="00C5124F"/>
    <w:rsid w:val="00C54B96"/>
    <w:rsid w:val="00C5502E"/>
    <w:rsid w:val="00C55994"/>
    <w:rsid w:val="00C56CB5"/>
    <w:rsid w:val="00C623F5"/>
    <w:rsid w:val="00C627DB"/>
    <w:rsid w:val="00C653C5"/>
    <w:rsid w:val="00C66118"/>
    <w:rsid w:val="00C66A30"/>
    <w:rsid w:val="00C66F6B"/>
    <w:rsid w:val="00C719ED"/>
    <w:rsid w:val="00C74BBE"/>
    <w:rsid w:val="00C75782"/>
    <w:rsid w:val="00C76BFB"/>
    <w:rsid w:val="00C77F9D"/>
    <w:rsid w:val="00C81E76"/>
    <w:rsid w:val="00C82AD7"/>
    <w:rsid w:val="00C83ED5"/>
    <w:rsid w:val="00C83F14"/>
    <w:rsid w:val="00C84254"/>
    <w:rsid w:val="00C850D2"/>
    <w:rsid w:val="00C87409"/>
    <w:rsid w:val="00C932F9"/>
    <w:rsid w:val="00C93F4E"/>
    <w:rsid w:val="00C95D19"/>
    <w:rsid w:val="00C96D33"/>
    <w:rsid w:val="00C97C4F"/>
    <w:rsid w:val="00CA18D5"/>
    <w:rsid w:val="00CA597F"/>
    <w:rsid w:val="00CA6B08"/>
    <w:rsid w:val="00CB0F05"/>
    <w:rsid w:val="00CB10F8"/>
    <w:rsid w:val="00CB1A8A"/>
    <w:rsid w:val="00CB457C"/>
    <w:rsid w:val="00CB64B3"/>
    <w:rsid w:val="00CB7C2A"/>
    <w:rsid w:val="00CC0FF8"/>
    <w:rsid w:val="00CC2F19"/>
    <w:rsid w:val="00CC58D4"/>
    <w:rsid w:val="00CC5D8E"/>
    <w:rsid w:val="00CC7ED7"/>
    <w:rsid w:val="00CD0E35"/>
    <w:rsid w:val="00CD1340"/>
    <w:rsid w:val="00CD214B"/>
    <w:rsid w:val="00CD2534"/>
    <w:rsid w:val="00CD7AE0"/>
    <w:rsid w:val="00CE1D2B"/>
    <w:rsid w:val="00CE41F3"/>
    <w:rsid w:val="00CE6B17"/>
    <w:rsid w:val="00CE747A"/>
    <w:rsid w:val="00CF2713"/>
    <w:rsid w:val="00CF5C5B"/>
    <w:rsid w:val="00CF6AE4"/>
    <w:rsid w:val="00D02B0B"/>
    <w:rsid w:val="00D128DD"/>
    <w:rsid w:val="00D17667"/>
    <w:rsid w:val="00D20318"/>
    <w:rsid w:val="00D20DFA"/>
    <w:rsid w:val="00D21790"/>
    <w:rsid w:val="00D22F38"/>
    <w:rsid w:val="00D237DF"/>
    <w:rsid w:val="00D23BB6"/>
    <w:rsid w:val="00D26C40"/>
    <w:rsid w:val="00D352BB"/>
    <w:rsid w:val="00D35532"/>
    <w:rsid w:val="00D35BAC"/>
    <w:rsid w:val="00D361A1"/>
    <w:rsid w:val="00D3646E"/>
    <w:rsid w:val="00D409FD"/>
    <w:rsid w:val="00D411E7"/>
    <w:rsid w:val="00D41276"/>
    <w:rsid w:val="00D4163E"/>
    <w:rsid w:val="00D442B9"/>
    <w:rsid w:val="00D4453F"/>
    <w:rsid w:val="00D44FA5"/>
    <w:rsid w:val="00D45548"/>
    <w:rsid w:val="00D46450"/>
    <w:rsid w:val="00D46B1F"/>
    <w:rsid w:val="00D46FD9"/>
    <w:rsid w:val="00D476A7"/>
    <w:rsid w:val="00D52F3F"/>
    <w:rsid w:val="00D5302C"/>
    <w:rsid w:val="00D53663"/>
    <w:rsid w:val="00D5440B"/>
    <w:rsid w:val="00D57B7E"/>
    <w:rsid w:val="00D601CA"/>
    <w:rsid w:val="00D6056E"/>
    <w:rsid w:val="00D71548"/>
    <w:rsid w:val="00D71BB1"/>
    <w:rsid w:val="00D71F6C"/>
    <w:rsid w:val="00D728D6"/>
    <w:rsid w:val="00D73849"/>
    <w:rsid w:val="00D73AD7"/>
    <w:rsid w:val="00D752F7"/>
    <w:rsid w:val="00D76039"/>
    <w:rsid w:val="00D763A0"/>
    <w:rsid w:val="00D76E1D"/>
    <w:rsid w:val="00D76E2B"/>
    <w:rsid w:val="00D81721"/>
    <w:rsid w:val="00D87841"/>
    <w:rsid w:val="00D9044F"/>
    <w:rsid w:val="00D91D4E"/>
    <w:rsid w:val="00D920BB"/>
    <w:rsid w:val="00D95FA3"/>
    <w:rsid w:val="00DA4AD2"/>
    <w:rsid w:val="00DA6BD5"/>
    <w:rsid w:val="00DA712B"/>
    <w:rsid w:val="00DA748E"/>
    <w:rsid w:val="00DB1BE5"/>
    <w:rsid w:val="00DB2382"/>
    <w:rsid w:val="00DB4E1D"/>
    <w:rsid w:val="00DB57A1"/>
    <w:rsid w:val="00DB5BA3"/>
    <w:rsid w:val="00DC298C"/>
    <w:rsid w:val="00DC54C6"/>
    <w:rsid w:val="00DD05E7"/>
    <w:rsid w:val="00DD22A6"/>
    <w:rsid w:val="00DD4798"/>
    <w:rsid w:val="00DD5EF7"/>
    <w:rsid w:val="00DD65BB"/>
    <w:rsid w:val="00DE0132"/>
    <w:rsid w:val="00DE0B17"/>
    <w:rsid w:val="00DE19DC"/>
    <w:rsid w:val="00DE5D54"/>
    <w:rsid w:val="00DE7806"/>
    <w:rsid w:val="00DF012C"/>
    <w:rsid w:val="00DF6A9A"/>
    <w:rsid w:val="00DF7DC4"/>
    <w:rsid w:val="00E00895"/>
    <w:rsid w:val="00E03476"/>
    <w:rsid w:val="00E051EE"/>
    <w:rsid w:val="00E077B2"/>
    <w:rsid w:val="00E07B16"/>
    <w:rsid w:val="00E07DCF"/>
    <w:rsid w:val="00E119B5"/>
    <w:rsid w:val="00E20511"/>
    <w:rsid w:val="00E20FB4"/>
    <w:rsid w:val="00E2422D"/>
    <w:rsid w:val="00E24DD2"/>
    <w:rsid w:val="00E251FF"/>
    <w:rsid w:val="00E25559"/>
    <w:rsid w:val="00E258BF"/>
    <w:rsid w:val="00E32F43"/>
    <w:rsid w:val="00E33853"/>
    <w:rsid w:val="00E33B58"/>
    <w:rsid w:val="00E35147"/>
    <w:rsid w:val="00E35ABB"/>
    <w:rsid w:val="00E365D5"/>
    <w:rsid w:val="00E4146C"/>
    <w:rsid w:val="00E4311F"/>
    <w:rsid w:val="00E435F2"/>
    <w:rsid w:val="00E50862"/>
    <w:rsid w:val="00E50A1C"/>
    <w:rsid w:val="00E52EAC"/>
    <w:rsid w:val="00E53AA0"/>
    <w:rsid w:val="00E549AD"/>
    <w:rsid w:val="00E553A7"/>
    <w:rsid w:val="00E55C22"/>
    <w:rsid w:val="00E6051F"/>
    <w:rsid w:val="00E607D3"/>
    <w:rsid w:val="00E62A31"/>
    <w:rsid w:val="00E64AFD"/>
    <w:rsid w:val="00E66AED"/>
    <w:rsid w:val="00E66DC6"/>
    <w:rsid w:val="00E67D16"/>
    <w:rsid w:val="00E743BA"/>
    <w:rsid w:val="00E75BF0"/>
    <w:rsid w:val="00E77BEE"/>
    <w:rsid w:val="00E77E58"/>
    <w:rsid w:val="00E80591"/>
    <w:rsid w:val="00E80FB3"/>
    <w:rsid w:val="00E83012"/>
    <w:rsid w:val="00E831D0"/>
    <w:rsid w:val="00E84F15"/>
    <w:rsid w:val="00E85F96"/>
    <w:rsid w:val="00E90635"/>
    <w:rsid w:val="00E9229D"/>
    <w:rsid w:val="00E93C44"/>
    <w:rsid w:val="00E943F8"/>
    <w:rsid w:val="00E94AE4"/>
    <w:rsid w:val="00E96F79"/>
    <w:rsid w:val="00EA014E"/>
    <w:rsid w:val="00EA1F24"/>
    <w:rsid w:val="00EA2278"/>
    <w:rsid w:val="00EA29BB"/>
    <w:rsid w:val="00EA5DB1"/>
    <w:rsid w:val="00EA6B90"/>
    <w:rsid w:val="00EB04DE"/>
    <w:rsid w:val="00EB0EAE"/>
    <w:rsid w:val="00EB1456"/>
    <w:rsid w:val="00EB217B"/>
    <w:rsid w:val="00EB2A34"/>
    <w:rsid w:val="00EB5403"/>
    <w:rsid w:val="00EB5799"/>
    <w:rsid w:val="00EC1CE5"/>
    <w:rsid w:val="00EC24C6"/>
    <w:rsid w:val="00EC3876"/>
    <w:rsid w:val="00EC4001"/>
    <w:rsid w:val="00EC6B4B"/>
    <w:rsid w:val="00EC7367"/>
    <w:rsid w:val="00ED0952"/>
    <w:rsid w:val="00ED16BF"/>
    <w:rsid w:val="00ED1C6C"/>
    <w:rsid w:val="00ED70EB"/>
    <w:rsid w:val="00ED7A43"/>
    <w:rsid w:val="00EE028A"/>
    <w:rsid w:val="00EE3420"/>
    <w:rsid w:val="00EE69AE"/>
    <w:rsid w:val="00EF1956"/>
    <w:rsid w:val="00EF1E36"/>
    <w:rsid w:val="00EF217C"/>
    <w:rsid w:val="00EF3DC8"/>
    <w:rsid w:val="00EF4C42"/>
    <w:rsid w:val="00EF6997"/>
    <w:rsid w:val="00F01347"/>
    <w:rsid w:val="00F01E8D"/>
    <w:rsid w:val="00F02485"/>
    <w:rsid w:val="00F03503"/>
    <w:rsid w:val="00F04913"/>
    <w:rsid w:val="00F05DF8"/>
    <w:rsid w:val="00F12573"/>
    <w:rsid w:val="00F21F94"/>
    <w:rsid w:val="00F2231D"/>
    <w:rsid w:val="00F223D8"/>
    <w:rsid w:val="00F24209"/>
    <w:rsid w:val="00F24CBA"/>
    <w:rsid w:val="00F26C17"/>
    <w:rsid w:val="00F26D0A"/>
    <w:rsid w:val="00F27678"/>
    <w:rsid w:val="00F30162"/>
    <w:rsid w:val="00F33C20"/>
    <w:rsid w:val="00F361BF"/>
    <w:rsid w:val="00F37873"/>
    <w:rsid w:val="00F4066D"/>
    <w:rsid w:val="00F40BEC"/>
    <w:rsid w:val="00F416E5"/>
    <w:rsid w:val="00F41DAC"/>
    <w:rsid w:val="00F43EE4"/>
    <w:rsid w:val="00F4544E"/>
    <w:rsid w:val="00F461C6"/>
    <w:rsid w:val="00F472D6"/>
    <w:rsid w:val="00F47831"/>
    <w:rsid w:val="00F50F1B"/>
    <w:rsid w:val="00F53426"/>
    <w:rsid w:val="00F53661"/>
    <w:rsid w:val="00F54ADE"/>
    <w:rsid w:val="00F56AE0"/>
    <w:rsid w:val="00F575EF"/>
    <w:rsid w:val="00F57650"/>
    <w:rsid w:val="00F61C7E"/>
    <w:rsid w:val="00F6259A"/>
    <w:rsid w:val="00F62CAA"/>
    <w:rsid w:val="00F62F91"/>
    <w:rsid w:val="00F6628B"/>
    <w:rsid w:val="00F66478"/>
    <w:rsid w:val="00F7192F"/>
    <w:rsid w:val="00F72070"/>
    <w:rsid w:val="00F72B3D"/>
    <w:rsid w:val="00F74856"/>
    <w:rsid w:val="00F74E6A"/>
    <w:rsid w:val="00F76441"/>
    <w:rsid w:val="00F77EAD"/>
    <w:rsid w:val="00F8162C"/>
    <w:rsid w:val="00F83DD6"/>
    <w:rsid w:val="00F938A6"/>
    <w:rsid w:val="00F93DA6"/>
    <w:rsid w:val="00F947C5"/>
    <w:rsid w:val="00F96690"/>
    <w:rsid w:val="00FA228C"/>
    <w:rsid w:val="00FA2AB9"/>
    <w:rsid w:val="00FA7FD0"/>
    <w:rsid w:val="00FB00D5"/>
    <w:rsid w:val="00FB0396"/>
    <w:rsid w:val="00FB043F"/>
    <w:rsid w:val="00FB1FF7"/>
    <w:rsid w:val="00FB2162"/>
    <w:rsid w:val="00FB2C61"/>
    <w:rsid w:val="00FB30F7"/>
    <w:rsid w:val="00FB6CC3"/>
    <w:rsid w:val="00FB7398"/>
    <w:rsid w:val="00FC3302"/>
    <w:rsid w:val="00FC5E62"/>
    <w:rsid w:val="00FC730D"/>
    <w:rsid w:val="00FC73BA"/>
    <w:rsid w:val="00FD0D64"/>
    <w:rsid w:val="00FD32EE"/>
    <w:rsid w:val="00FD3B81"/>
    <w:rsid w:val="00FD463D"/>
    <w:rsid w:val="00FD4730"/>
    <w:rsid w:val="00FD5759"/>
    <w:rsid w:val="00FD63AE"/>
    <w:rsid w:val="00FD63B8"/>
    <w:rsid w:val="00FE078E"/>
    <w:rsid w:val="00FE197B"/>
    <w:rsid w:val="00FE2B6B"/>
    <w:rsid w:val="00FE3401"/>
    <w:rsid w:val="00FE5652"/>
    <w:rsid w:val="00FE60F0"/>
    <w:rsid w:val="00FF1BC8"/>
    <w:rsid w:val="00FF3AD3"/>
    <w:rsid w:val="00FF6230"/>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DE550"/>
  <w15:docId w15:val="{18FDFECB-D4D7-4A2D-88A3-2B957244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548"/>
    <w:rPr>
      <w:rFonts w:ascii="Times New Roman" w:hAnsi="Times New Roman" w:cs="Times New Roman"/>
      <w:sz w:val="24"/>
      <w:szCs w:val="24"/>
      <w:lang w:val="en"/>
    </w:rPr>
  </w:style>
  <w:style w:type="paragraph" w:styleId="Heading1">
    <w:name w:val="heading 1"/>
    <w:basedOn w:val="Normal"/>
    <w:next w:val="Normal"/>
    <w:link w:val="Heading1Char"/>
    <w:qFormat/>
    <w:rsid w:val="009857BB"/>
    <w:pPr>
      <w:keepNext/>
      <w:spacing w:before="200" w:line="240" w:lineRule="auto"/>
      <w:jc w:val="center"/>
      <w:outlineLvl w:val="0"/>
    </w:pPr>
    <w:rPr>
      <w:rFonts w:eastAsia="Times New Roman"/>
      <w:sz w:val="28"/>
      <w:szCs w:val="28"/>
    </w:rPr>
  </w:style>
  <w:style w:type="paragraph" w:styleId="Heading2">
    <w:name w:val="heading 2"/>
    <w:basedOn w:val="Normal"/>
    <w:next w:val="Normal"/>
    <w:link w:val="Heading2Char"/>
    <w:uiPriority w:val="9"/>
    <w:unhideWhenUsed/>
    <w:qFormat/>
    <w:rsid w:val="00D45548"/>
    <w:pPr>
      <w:keepNext/>
      <w:keepLines/>
      <w:spacing w:before="200" w:after="0"/>
      <w:jc w:val="center"/>
      <w:outlineLvl w:val="1"/>
    </w:pPr>
    <w:rPr>
      <w:rFonts w:eastAsia="SymbolMT"/>
      <w:bCs/>
      <w:color w:val="000000" w:themeColor="text1"/>
    </w:rPr>
  </w:style>
  <w:style w:type="paragraph" w:styleId="Heading3">
    <w:name w:val="heading 3"/>
    <w:basedOn w:val="Normal"/>
    <w:next w:val="Normal"/>
    <w:link w:val="Heading3Char"/>
    <w:uiPriority w:val="9"/>
    <w:unhideWhenUsed/>
    <w:qFormat/>
    <w:rsid w:val="009857BB"/>
    <w:pPr>
      <w:keepNext/>
      <w:keepLines/>
      <w:spacing w:before="200"/>
      <w:jc w:val="center"/>
      <w:outlineLvl w:val="2"/>
    </w:pPr>
    <w:rPr>
      <w:rFonts w:eastAsiaTheme="majorEastAsia"/>
      <w:bCs/>
      <w:color w:val="000000" w:themeColor="text1"/>
    </w:rPr>
  </w:style>
  <w:style w:type="paragraph" w:styleId="Heading4">
    <w:name w:val="heading 4"/>
    <w:basedOn w:val="Normal"/>
    <w:next w:val="Normal"/>
    <w:link w:val="Heading4Char"/>
    <w:uiPriority w:val="9"/>
    <w:unhideWhenUsed/>
    <w:qFormat/>
    <w:rsid w:val="00306B53"/>
    <w:pPr>
      <w:keepNext/>
      <w:keepLines/>
      <w:spacing w:before="200" w:after="0"/>
      <w:jc w:val="center"/>
      <w:outlineLvl w:val="3"/>
    </w:pPr>
    <w:rPr>
      <w:rFonts w:eastAsiaTheme="majorEastAsia"/>
      <w:b/>
      <w:bCs/>
      <w:iCs/>
      <w:color w:val="000000" w:themeColor="text1"/>
      <w:sz w:val="36"/>
      <w:szCs w:val="36"/>
    </w:rPr>
  </w:style>
  <w:style w:type="paragraph" w:styleId="Heading5">
    <w:name w:val="heading 5"/>
    <w:basedOn w:val="Normal"/>
    <w:next w:val="Normal"/>
    <w:link w:val="Heading5Char"/>
    <w:uiPriority w:val="9"/>
    <w:semiHidden/>
    <w:unhideWhenUsed/>
    <w:qFormat/>
    <w:rsid w:val="002A11B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7BB"/>
    <w:rPr>
      <w:rFonts w:ascii="Times New Roman" w:eastAsia="Times New Roman" w:hAnsi="Times New Roman" w:cs="Times New Roman"/>
      <w:sz w:val="28"/>
      <w:szCs w:val="28"/>
      <w:lang w:val="en"/>
    </w:rPr>
  </w:style>
  <w:style w:type="character" w:customStyle="1" w:styleId="Heading2Char">
    <w:name w:val="Heading 2 Char"/>
    <w:basedOn w:val="DefaultParagraphFont"/>
    <w:link w:val="Heading2"/>
    <w:uiPriority w:val="9"/>
    <w:rsid w:val="00D45548"/>
    <w:rPr>
      <w:rFonts w:ascii="Times New Roman" w:eastAsia="SymbolMT" w:hAnsi="Times New Roman" w:cs="Times New Roman"/>
      <w:bCs/>
      <w:color w:val="000000" w:themeColor="text1"/>
      <w:sz w:val="24"/>
      <w:szCs w:val="24"/>
      <w:lang w:val="en"/>
    </w:rPr>
  </w:style>
  <w:style w:type="character" w:customStyle="1" w:styleId="Heading3Char">
    <w:name w:val="Heading 3 Char"/>
    <w:basedOn w:val="DefaultParagraphFont"/>
    <w:link w:val="Heading3"/>
    <w:uiPriority w:val="9"/>
    <w:rsid w:val="009857BB"/>
    <w:rPr>
      <w:rFonts w:ascii="Times New Roman" w:eastAsiaTheme="majorEastAsia" w:hAnsi="Times New Roman" w:cs="Times New Roman"/>
      <w:bCs/>
      <w:color w:val="000000" w:themeColor="text1"/>
      <w:sz w:val="24"/>
      <w:szCs w:val="24"/>
      <w:lang w:val="en"/>
    </w:rPr>
  </w:style>
  <w:style w:type="character" w:customStyle="1" w:styleId="Heading4Char">
    <w:name w:val="Heading 4 Char"/>
    <w:basedOn w:val="DefaultParagraphFont"/>
    <w:link w:val="Heading4"/>
    <w:uiPriority w:val="9"/>
    <w:rsid w:val="00306B53"/>
    <w:rPr>
      <w:rFonts w:ascii="Times New Roman" w:eastAsiaTheme="majorEastAsia" w:hAnsi="Times New Roman" w:cs="Times New Roman"/>
      <w:b/>
      <w:bCs/>
      <w:iCs/>
      <w:color w:val="000000" w:themeColor="text1"/>
      <w:sz w:val="36"/>
      <w:szCs w:val="36"/>
      <w:lang w:val="en"/>
    </w:rPr>
  </w:style>
  <w:style w:type="character" w:customStyle="1" w:styleId="Heading5Char">
    <w:name w:val="Heading 5 Char"/>
    <w:basedOn w:val="DefaultParagraphFont"/>
    <w:link w:val="Heading5"/>
    <w:uiPriority w:val="9"/>
    <w:semiHidden/>
    <w:rsid w:val="002A11B1"/>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F7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441"/>
  </w:style>
  <w:style w:type="paragraph" w:styleId="Footer">
    <w:name w:val="footer"/>
    <w:basedOn w:val="Normal"/>
    <w:link w:val="FooterChar"/>
    <w:uiPriority w:val="99"/>
    <w:unhideWhenUsed/>
    <w:rsid w:val="00F7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441"/>
  </w:style>
  <w:style w:type="paragraph" w:styleId="BalloonText">
    <w:name w:val="Balloon Text"/>
    <w:basedOn w:val="Normal"/>
    <w:link w:val="BalloonTextChar"/>
    <w:uiPriority w:val="99"/>
    <w:semiHidden/>
    <w:unhideWhenUsed/>
    <w:rsid w:val="00F76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441"/>
    <w:rPr>
      <w:rFonts w:ascii="Tahoma" w:hAnsi="Tahoma" w:cs="Tahoma"/>
      <w:sz w:val="16"/>
      <w:szCs w:val="16"/>
    </w:rPr>
  </w:style>
  <w:style w:type="table" w:styleId="TableGrid">
    <w:name w:val="Table Grid"/>
    <w:basedOn w:val="TableNormal"/>
    <w:uiPriority w:val="59"/>
    <w:rsid w:val="00BB6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77E30"/>
    <w:pPr>
      <w:spacing w:after="0" w:line="240" w:lineRule="auto"/>
      <w:ind w:left="720"/>
    </w:pPr>
    <w:rPr>
      <w:rFonts w:ascii="Calibri" w:hAnsi="Calibri" w:cs="Calibri"/>
    </w:rPr>
  </w:style>
  <w:style w:type="paragraph" w:styleId="BodyText">
    <w:name w:val="Body Text"/>
    <w:basedOn w:val="Normal"/>
    <w:link w:val="BodyTextChar"/>
    <w:rsid w:val="000965DB"/>
    <w:pPr>
      <w:spacing w:after="120" w:line="240" w:lineRule="auto"/>
      <w:jc w:val="center"/>
    </w:pPr>
    <w:rPr>
      <w:rFonts w:ascii="Comic Sans MS" w:eastAsia="Times New Roman" w:hAnsi="Comic Sans MS"/>
      <w:b/>
      <w:sz w:val="48"/>
      <w:szCs w:val="20"/>
    </w:rPr>
  </w:style>
  <w:style w:type="character" w:customStyle="1" w:styleId="BodyTextChar">
    <w:name w:val="Body Text Char"/>
    <w:basedOn w:val="DefaultParagraphFont"/>
    <w:link w:val="BodyText"/>
    <w:rsid w:val="000965DB"/>
    <w:rPr>
      <w:rFonts w:ascii="Comic Sans MS" w:eastAsia="Times New Roman" w:hAnsi="Comic Sans MS" w:cs="Times New Roman"/>
      <w:b/>
      <w:sz w:val="48"/>
      <w:szCs w:val="20"/>
    </w:rPr>
  </w:style>
  <w:style w:type="paragraph" w:styleId="Quote">
    <w:name w:val="Quote"/>
    <w:basedOn w:val="Normal"/>
    <w:next w:val="Normal"/>
    <w:link w:val="QuoteChar"/>
    <w:uiPriority w:val="29"/>
    <w:qFormat/>
    <w:rsid w:val="004C2C3A"/>
    <w:rPr>
      <w:rFonts w:eastAsiaTheme="minorEastAsia"/>
      <w:i/>
      <w:iCs/>
      <w:color w:val="000000" w:themeColor="text1"/>
      <w:lang w:eastAsia="ja-JP"/>
    </w:rPr>
  </w:style>
  <w:style w:type="character" w:customStyle="1" w:styleId="QuoteChar">
    <w:name w:val="Quote Char"/>
    <w:basedOn w:val="DefaultParagraphFont"/>
    <w:link w:val="Quote"/>
    <w:uiPriority w:val="29"/>
    <w:rsid w:val="004C2C3A"/>
    <w:rPr>
      <w:rFonts w:eastAsiaTheme="minorEastAsia"/>
      <w:i/>
      <w:iCs/>
      <w:color w:val="000000" w:themeColor="text1"/>
      <w:lang w:eastAsia="ja-JP"/>
    </w:rPr>
  </w:style>
  <w:style w:type="character" w:styleId="IntenseEmphasis">
    <w:name w:val="Intense Emphasis"/>
    <w:uiPriority w:val="21"/>
    <w:qFormat/>
    <w:rsid w:val="00A83D21"/>
    <w:rPr>
      <w:b/>
      <w:bCs/>
      <w:i/>
      <w:iCs/>
      <w:color w:val="4F81BD"/>
    </w:rPr>
  </w:style>
  <w:style w:type="paragraph" w:customStyle="1" w:styleId="Style">
    <w:name w:val="Style"/>
    <w:rsid w:val="00297D9D"/>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uiPriority w:val="99"/>
    <w:rsid w:val="006D5F06"/>
    <w:rPr>
      <w:color w:val="0000FF"/>
      <w:u w:val="single"/>
    </w:rPr>
  </w:style>
  <w:style w:type="paragraph" w:styleId="FootnoteText">
    <w:name w:val="footnote text"/>
    <w:basedOn w:val="Normal"/>
    <w:link w:val="FootnoteTextChar"/>
    <w:uiPriority w:val="99"/>
    <w:unhideWhenUsed/>
    <w:rsid w:val="006D5F06"/>
    <w:pPr>
      <w:spacing w:after="0" w:line="240" w:lineRule="auto"/>
    </w:pPr>
    <w:rPr>
      <w:sz w:val="20"/>
      <w:szCs w:val="20"/>
    </w:rPr>
  </w:style>
  <w:style w:type="character" w:customStyle="1" w:styleId="FootnoteTextChar">
    <w:name w:val="Footnote Text Char"/>
    <w:basedOn w:val="DefaultParagraphFont"/>
    <w:link w:val="FootnoteText"/>
    <w:uiPriority w:val="99"/>
    <w:rsid w:val="006D5F06"/>
    <w:rPr>
      <w:sz w:val="20"/>
      <w:szCs w:val="20"/>
    </w:rPr>
  </w:style>
  <w:style w:type="character" w:styleId="FootnoteReference">
    <w:name w:val="footnote reference"/>
    <w:basedOn w:val="DefaultParagraphFont"/>
    <w:uiPriority w:val="99"/>
    <w:unhideWhenUsed/>
    <w:rsid w:val="006D5F06"/>
    <w:rPr>
      <w:vertAlign w:val="superscript"/>
    </w:rPr>
  </w:style>
  <w:style w:type="character" w:styleId="CommentReference">
    <w:name w:val="annotation reference"/>
    <w:basedOn w:val="DefaultParagraphFont"/>
    <w:uiPriority w:val="99"/>
    <w:semiHidden/>
    <w:unhideWhenUsed/>
    <w:rsid w:val="000C3B4A"/>
    <w:rPr>
      <w:sz w:val="16"/>
      <w:szCs w:val="16"/>
    </w:rPr>
  </w:style>
  <w:style w:type="paragraph" w:styleId="CommentText">
    <w:name w:val="annotation text"/>
    <w:basedOn w:val="Normal"/>
    <w:link w:val="CommentTextChar"/>
    <w:uiPriority w:val="99"/>
    <w:semiHidden/>
    <w:unhideWhenUsed/>
    <w:rsid w:val="000C3B4A"/>
    <w:pPr>
      <w:spacing w:after="0" w:line="240" w:lineRule="auto"/>
      <w:ind w:left="835"/>
    </w:pPr>
    <w:rPr>
      <w:rFonts w:ascii="Arial" w:eastAsia="Times New Roman" w:hAnsi="Arial"/>
      <w:spacing w:val="-5"/>
      <w:sz w:val="20"/>
      <w:szCs w:val="20"/>
    </w:rPr>
  </w:style>
  <w:style w:type="character" w:customStyle="1" w:styleId="CommentTextChar">
    <w:name w:val="Comment Text Char"/>
    <w:basedOn w:val="DefaultParagraphFont"/>
    <w:link w:val="CommentText"/>
    <w:uiPriority w:val="99"/>
    <w:semiHidden/>
    <w:rsid w:val="000C3B4A"/>
    <w:rPr>
      <w:rFonts w:ascii="Arial" w:eastAsia="Times New Roman" w:hAnsi="Arial" w:cs="Times New Roman"/>
      <w:spacing w:val="-5"/>
      <w:sz w:val="20"/>
      <w:szCs w:val="20"/>
    </w:rPr>
  </w:style>
  <w:style w:type="paragraph" w:styleId="NormalWeb">
    <w:name w:val="Normal (Web)"/>
    <w:basedOn w:val="Normal"/>
    <w:uiPriority w:val="99"/>
    <w:unhideWhenUsed/>
    <w:rsid w:val="00A023F9"/>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A023F9"/>
    <w:rPr>
      <w:b/>
      <w:bCs/>
    </w:rPr>
  </w:style>
  <w:style w:type="character" w:styleId="FollowedHyperlink">
    <w:name w:val="FollowedHyperlink"/>
    <w:basedOn w:val="DefaultParagraphFont"/>
    <w:uiPriority w:val="99"/>
    <w:semiHidden/>
    <w:unhideWhenUsed/>
    <w:rsid w:val="00DA748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770AB"/>
    <w:pPr>
      <w:spacing w:after="200"/>
      <w:ind w:left="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9770AB"/>
    <w:rPr>
      <w:rFonts w:ascii="Arial" w:eastAsia="Times New Roman" w:hAnsi="Arial" w:cs="Times New Roman"/>
      <w:b/>
      <w:bCs/>
      <w:spacing w:val="-5"/>
      <w:sz w:val="20"/>
      <w:szCs w:val="20"/>
    </w:rPr>
  </w:style>
  <w:style w:type="character" w:customStyle="1" w:styleId="leadsnippet">
    <w:name w:val="lead_snippet"/>
    <w:basedOn w:val="DefaultParagraphFont"/>
    <w:rsid w:val="00057394"/>
  </w:style>
  <w:style w:type="paragraph" w:styleId="Title">
    <w:name w:val="Title"/>
    <w:basedOn w:val="Normal"/>
    <w:next w:val="Normal"/>
    <w:link w:val="TitleChar"/>
    <w:qFormat/>
    <w:rsid w:val="00E2422D"/>
    <w:pPr>
      <w:spacing w:before="1000" w:after="0" w:line="240" w:lineRule="auto"/>
      <w:jc w:val="center"/>
    </w:pPr>
    <w:rPr>
      <w:rFonts w:ascii="Calibri" w:hAnsi="Calibri"/>
      <w:color w:val="00B0F0"/>
      <w:sz w:val="52"/>
      <w:szCs w:val="48"/>
    </w:rPr>
  </w:style>
  <w:style w:type="character" w:customStyle="1" w:styleId="TitleChar">
    <w:name w:val="Title Char"/>
    <w:basedOn w:val="DefaultParagraphFont"/>
    <w:link w:val="Title"/>
    <w:rsid w:val="00E2422D"/>
    <w:rPr>
      <w:rFonts w:ascii="Calibri" w:hAnsi="Calibri"/>
      <w:color w:val="00B0F0"/>
      <w:sz w:val="52"/>
      <w:szCs w:val="48"/>
    </w:rPr>
  </w:style>
  <w:style w:type="paragraph" w:styleId="Subtitle">
    <w:name w:val="Subtitle"/>
    <w:basedOn w:val="Normal"/>
    <w:next w:val="Normal"/>
    <w:link w:val="SubtitleChar"/>
    <w:qFormat/>
    <w:rsid w:val="00E2422D"/>
    <w:pPr>
      <w:pBdr>
        <w:bottom w:val="dashSmallGap" w:sz="4" w:space="31" w:color="BFBFBF" w:themeColor="background1" w:themeShade="BF"/>
      </w:pBdr>
      <w:spacing w:before="160" w:after="360" w:line="240" w:lineRule="auto"/>
      <w:ind w:left="864" w:right="864"/>
      <w:jc w:val="center"/>
    </w:pPr>
  </w:style>
  <w:style w:type="character" w:customStyle="1" w:styleId="SubtitleChar">
    <w:name w:val="Subtitle Char"/>
    <w:basedOn w:val="DefaultParagraphFont"/>
    <w:link w:val="Subtitle"/>
    <w:rsid w:val="00E2422D"/>
    <w:rPr>
      <w:sz w:val="24"/>
      <w:szCs w:val="24"/>
    </w:rPr>
  </w:style>
  <w:style w:type="paragraph" w:styleId="NoSpacing">
    <w:name w:val="No Spacing"/>
    <w:basedOn w:val="Normal"/>
    <w:uiPriority w:val="99"/>
    <w:qFormat/>
    <w:rsid w:val="00C50A49"/>
    <w:pPr>
      <w:spacing w:after="0" w:line="240" w:lineRule="auto"/>
    </w:pPr>
    <w:rPr>
      <w:rFonts w:ascii="Calibri" w:hAnsi="Calibri" w:cs="Calibri"/>
    </w:rPr>
  </w:style>
  <w:style w:type="character" w:customStyle="1" w:styleId="msid2424">
    <w:name w:val="ms__id2424"/>
    <w:basedOn w:val="DefaultParagraphFont"/>
    <w:rsid w:val="00391345"/>
  </w:style>
  <w:style w:type="character" w:customStyle="1" w:styleId="msid2425">
    <w:name w:val="ms__id2425"/>
    <w:basedOn w:val="DefaultParagraphFont"/>
    <w:rsid w:val="00391345"/>
  </w:style>
  <w:style w:type="character" w:customStyle="1" w:styleId="msid2428">
    <w:name w:val="ms__id2428"/>
    <w:basedOn w:val="DefaultParagraphFont"/>
    <w:rsid w:val="00391345"/>
  </w:style>
  <w:style w:type="character" w:customStyle="1" w:styleId="msid2432">
    <w:name w:val="ms__id2432"/>
    <w:basedOn w:val="DefaultParagraphFont"/>
    <w:rsid w:val="00391345"/>
  </w:style>
  <w:style w:type="character" w:customStyle="1" w:styleId="msid2434">
    <w:name w:val="ms__id2434"/>
    <w:basedOn w:val="DefaultParagraphFont"/>
    <w:rsid w:val="00391345"/>
  </w:style>
  <w:style w:type="paragraph" w:styleId="EndnoteText">
    <w:name w:val="endnote text"/>
    <w:basedOn w:val="Normal"/>
    <w:link w:val="EndnoteTextChar"/>
    <w:uiPriority w:val="99"/>
    <w:semiHidden/>
    <w:unhideWhenUsed/>
    <w:rsid w:val="00F301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0162"/>
    <w:rPr>
      <w:sz w:val="20"/>
      <w:szCs w:val="20"/>
    </w:rPr>
  </w:style>
  <w:style w:type="character" w:styleId="EndnoteReference">
    <w:name w:val="endnote reference"/>
    <w:basedOn w:val="DefaultParagraphFont"/>
    <w:uiPriority w:val="99"/>
    <w:semiHidden/>
    <w:unhideWhenUsed/>
    <w:rsid w:val="00F30162"/>
    <w:rPr>
      <w:vertAlign w:val="superscript"/>
    </w:rPr>
  </w:style>
  <w:style w:type="paragraph" w:customStyle="1" w:styleId="Body">
    <w:name w:val="Body"/>
    <w:basedOn w:val="Normal"/>
    <w:rsid w:val="001103D7"/>
    <w:pPr>
      <w:spacing w:after="0" w:line="360" w:lineRule="auto"/>
    </w:pPr>
  </w:style>
  <w:style w:type="paragraph" w:customStyle="1" w:styleId="Default">
    <w:name w:val="Default"/>
    <w:rsid w:val="008E1FE5"/>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4C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35553"/>
    <w:pPr>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qFormat/>
    <w:rsid w:val="00C35553"/>
    <w:pPr>
      <w:spacing w:after="100"/>
    </w:pPr>
  </w:style>
  <w:style w:type="paragraph" w:styleId="TOC2">
    <w:name w:val="toc 2"/>
    <w:basedOn w:val="Normal"/>
    <w:next w:val="Normal"/>
    <w:autoRedefine/>
    <w:uiPriority w:val="39"/>
    <w:unhideWhenUsed/>
    <w:qFormat/>
    <w:rsid w:val="00C35553"/>
    <w:pPr>
      <w:spacing w:after="100"/>
      <w:ind w:left="220"/>
    </w:pPr>
  </w:style>
  <w:style w:type="paragraph" w:styleId="TOC3">
    <w:name w:val="toc 3"/>
    <w:basedOn w:val="Normal"/>
    <w:next w:val="Normal"/>
    <w:autoRedefine/>
    <w:uiPriority w:val="39"/>
    <w:unhideWhenUsed/>
    <w:qFormat/>
    <w:rsid w:val="00C35553"/>
    <w:pPr>
      <w:spacing w:after="100"/>
      <w:ind w:left="440"/>
    </w:pPr>
  </w:style>
  <w:style w:type="paragraph" w:styleId="Revision">
    <w:name w:val="Revision"/>
    <w:hidden/>
    <w:uiPriority w:val="99"/>
    <w:semiHidden/>
    <w:rsid w:val="00213DE8"/>
    <w:pPr>
      <w:spacing w:after="0" w:line="240" w:lineRule="auto"/>
    </w:pPr>
    <w:rPr>
      <w:rFonts w:ascii="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792">
      <w:bodyDiv w:val="1"/>
      <w:marLeft w:val="0"/>
      <w:marRight w:val="0"/>
      <w:marTop w:val="0"/>
      <w:marBottom w:val="0"/>
      <w:divBdr>
        <w:top w:val="none" w:sz="0" w:space="0" w:color="auto"/>
        <w:left w:val="none" w:sz="0" w:space="0" w:color="auto"/>
        <w:bottom w:val="none" w:sz="0" w:space="0" w:color="auto"/>
        <w:right w:val="none" w:sz="0" w:space="0" w:color="auto"/>
      </w:divBdr>
    </w:div>
    <w:div w:id="84107474">
      <w:bodyDiv w:val="1"/>
      <w:marLeft w:val="0"/>
      <w:marRight w:val="0"/>
      <w:marTop w:val="0"/>
      <w:marBottom w:val="0"/>
      <w:divBdr>
        <w:top w:val="none" w:sz="0" w:space="0" w:color="auto"/>
        <w:left w:val="none" w:sz="0" w:space="0" w:color="auto"/>
        <w:bottom w:val="none" w:sz="0" w:space="0" w:color="auto"/>
        <w:right w:val="none" w:sz="0" w:space="0" w:color="auto"/>
      </w:divBdr>
    </w:div>
    <w:div w:id="94138657">
      <w:bodyDiv w:val="1"/>
      <w:marLeft w:val="0"/>
      <w:marRight w:val="0"/>
      <w:marTop w:val="0"/>
      <w:marBottom w:val="0"/>
      <w:divBdr>
        <w:top w:val="none" w:sz="0" w:space="0" w:color="auto"/>
        <w:left w:val="none" w:sz="0" w:space="0" w:color="auto"/>
        <w:bottom w:val="none" w:sz="0" w:space="0" w:color="auto"/>
        <w:right w:val="none" w:sz="0" w:space="0" w:color="auto"/>
      </w:divBdr>
    </w:div>
    <w:div w:id="117577424">
      <w:bodyDiv w:val="1"/>
      <w:marLeft w:val="0"/>
      <w:marRight w:val="0"/>
      <w:marTop w:val="0"/>
      <w:marBottom w:val="0"/>
      <w:divBdr>
        <w:top w:val="none" w:sz="0" w:space="0" w:color="auto"/>
        <w:left w:val="none" w:sz="0" w:space="0" w:color="auto"/>
        <w:bottom w:val="none" w:sz="0" w:space="0" w:color="auto"/>
        <w:right w:val="none" w:sz="0" w:space="0" w:color="auto"/>
      </w:divBdr>
    </w:div>
    <w:div w:id="131873233">
      <w:bodyDiv w:val="1"/>
      <w:marLeft w:val="0"/>
      <w:marRight w:val="0"/>
      <w:marTop w:val="0"/>
      <w:marBottom w:val="0"/>
      <w:divBdr>
        <w:top w:val="none" w:sz="0" w:space="0" w:color="auto"/>
        <w:left w:val="none" w:sz="0" w:space="0" w:color="auto"/>
        <w:bottom w:val="none" w:sz="0" w:space="0" w:color="auto"/>
        <w:right w:val="none" w:sz="0" w:space="0" w:color="auto"/>
      </w:divBdr>
    </w:div>
    <w:div w:id="159589197">
      <w:bodyDiv w:val="1"/>
      <w:marLeft w:val="0"/>
      <w:marRight w:val="0"/>
      <w:marTop w:val="0"/>
      <w:marBottom w:val="0"/>
      <w:divBdr>
        <w:top w:val="none" w:sz="0" w:space="0" w:color="auto"/>
        <w:left w:val="none" w:sz="0" w:space="0" w:color="auto"/>
        <w:bottom w:val="none" w:sz="0" w:space="0" w:color="auto"/>
        <w:right w:val="none" w:sz="0" w:space="0" w:color="auto"/>
      </w:divBdr>
    </w:div>
    <w:div w:id="162161966">
      <w:bodyDiv w:val="1"/>
      <w:marLeft w:val="0"/>
      <w:marRight w:val="0"/>
      <w:marTop w:val="0"/>
      <w:marBottom w:val="0"/>
      <w:divBdr>
        <w:top w:val="none" w:sz="0" w:space="0" w:color="auto"/>
        <w:left w:val="none" w:sz="0" w:space="0" w:color="auto"/>
        <w:bottom w:val="none" w:sz="0" w:space="0" w:color="auto"/>
        <w:right w:val="none" w:sz="0" w:space="0" w:color="auto"/>
      </w:divBdr>
    </w:div>
    <w:div w:id="187640555">
      <w:bodyDiv w:val="1"/>
      <w:marLeft w:val="0"/>
      <w:marRight w:val="0"/>
      <w:marTop w:val="0"/>
      <w:marBottom w:val="0"/>
      <w:divBdr>
        <w:top w:val="none" w:sz="0" w:space="0" w:color="auto"/>
        <w:left w:val="none" w:sz="0" w:space="0" w:color="auto"/>
        <w:bottom w:val="none" w:sz="0" w:space="0" w:color="auto"/>
        <w:right w:val="none" w:sz="0" w:space="0" w:color="auto"/>
      </w:divBdr>
    </w:div>
    <w:div w:id="188379059">
      <w:bodyDiv w:val="1"/>
      <w:marLeft w:val="0"/>
      <w:marRight w:val="0"/>
      <w:marTop w:val="0"/>
      <w:marBottom w:val="0"/>
      <w:divBdr>
        <w:top w:val="none" w:sz="0" w:space="0" w:color="auto"/>
        <w:left w:val="none" w:sz="0" w:space="0" w:color="auto"/>
        <w:bottom w:val="none" w:sz="0" w:space="0" w:color="auto"/>
        <w:right w:val="none" w:sz="0" w:space="0" w:color="auto"/>
      </w:divBdr>
    </w:div>
    <w:div w:id="193883556">
      <w:bodyDiv w:val="1"/>
      <w:marLeft w:val="0"/>
      <w:marRight w:val="0"/>
      <w:marTop w:val="0"/>
      <w:marBottom w:val="0"/>
      <w:divBdr>
        <w:top w:val="none" w:sz="0" w:space="0" w:color="auto"/>
        <w:left w:val="none" w:sz="0" w:space="0" w:color="auto"/>
        <w:bottom w:val="none" w:sz="0" w:space="0" w:color="auto"/>
        <w:right w:val="none" w:sz="0" w:space="0" w:color="auto"/>
      </w:divBdr>
      <w:divsChild>
        <w:div w:id="2071415537">
          <w:marLeft w:val="0"/>
          <w:marRight w:val="0"/>
          <w:marTop w:val="0"/>
          <w:marBottom w:val="0"/>
          <w:divBdr>
            <w:top w:val="none" w:sz="0" w:space="0" w:color="auto"/>
            <w:left w:val="none" w:sz="0" w:space="0" w:color="auto"/>
            <w:bottom w:val="none" w:sz="0" w:space="0" w:color="auto"/>
            <w:right w:val="none" w:sz="0" w:space="0" w:color="auto"/>
          </w:divBdr>
          <w:divsChild>
            <w:div w:id="12190433">
              <w:marLeft w:val="0"/>
              <w:marRight w:val="0"/>
              <w:marTop w:val="0"/>
              <w:marBottom w:val="0"/>
              <w:divBdr>
                <w:top w:val="none" w:sz="0" w:space="0" w:color="auto"/>
                <w:left w:val="none" w:sz="0" w:space="0" w:color="auto"/>
                <w:bottom w:val="none" w:sz="0" w:space="0" w:color="auto"/>
                <w:right w:val="none" w:sz="0" w:space="0" w:color="auto"/>
              </w:divBdr>
              <w:divsChild>
                <w:div w:id="1436946920">
                  <w:marLeft w:val="0"/>
                  <w:marRight w:val="0"/>
                  <w:marTop w:val="0"/>
                  <w:marBottom w:val="0"/>
                  <w:divBdr>
                    <w:top w:val="none" w:sz="0" w:space="0" w:color="auto"/>
                    <w:left w:val="none" w:sz="0" w:space="0" w:color="auto"/>
                    <w:bottom w:val="none" w:sz="0" w:space="0" w:color="auto"/>
                    <w:right w:val="none" w:sz="0" w:space="0" w:color="auto"/>
                  </w:divBdr>
                  <w:divsChild>
                    <w:div w:id="14747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0008">
      <w:bodyDiv w:val="1"/>
      <w:marLeft w:val="0"/>
      <w:marRight w:val="0"/>
      <w:marTop w:val="0"/>
      <w:marBottom w:val="0"/>
      <w:divBdr>
        <w:top w:val="none" w:sz="0" w:space="0" w:color="auto"/>
        <w:left w:val="none" w:sz="0" w:space="0" w:color="auto"/>
        <w:bottom w:val="none" w:sz="0" w:space="0" w:color="auto"/>
        <w:right w:val="none" w:sz="0" w:space="0" w:color="auto"/>
      </w:divBdr>
    </w:div>
    <w:div w:id="201289955">
      <w:bodyDiv w:val="1"/>
      <w:marLeft w:val="0"/>
      <w:marRight w:val="0"/>
      <w:marTop w:val="0"/>
      <w:marBottom w:val="0"/>
      <w:divBdr>
        <w:top w:val="none" w:sz="0" w:space="0" w:color="auto"/>
        <w:left w:val="none" w:sz="0" w:space="0" w:color="auto"/>
        <w:bottom w:val="none" w:sz="0" w:space="0" w:color="auto"/>
        <w:right w:val="none" w:sz="0" w:space="0" w:color="auto"/>
      </w:divBdr>
    </w:div>
    <w:div w:id="222756971">
      <w:bodyDiv w:val="1"/>
      <w:marLeft w:val="0"/>
      <w:marRight w:val="0"/>
      <w:marTop w:val="0"/>
      <w:marBottom w:val="0"/>
      <w:divBdr>
        <w:top w:val="none" w:sz="0" w:space="0" w:color="auto"/>
        <w:left w:val="none" w:sz="0" w:space="0" w:color="auto"/>
        <w:bottom w:val="none" w:sz="0" w:space="0" w:color="auto"/>
        <w:right w:val="none" w:sz="0" w:space="0" w:color="auto"/>
      </w:divBdr>
    </w:div>
    <w:div w:id="262302926">
      <w:bodyDiv w:val="1"/>
      <w:marLeft w:val="0"/>
      <w:marRight w:val="0"/>
      <w:marTop w:val="0"/>
      <w:marBottom w:val="0"/>
      <w:divBdr>
        <w:top w:val="none" w:sz="0" w:space="0" w:color="auto"/>
        <w:left w:val="none" w:sz="0" w:space="0" w:color="auto"/>
        <w:bottom w:val="none" w:sz="0" w:space="0" w:color="auto"/>
        <w:right w:val="none" w:sz="0" w:space="0" w:color="auto"/>
      </w:divBdr>
    </w:div>
    <w:div w:id="278150887">
      <w:bodyDiv w:val="1"/>
      <w:marLeft w:val="0"/>
      <w:marRight w:val="0"/>
      <w:marTop w:val="0"/>
      <w:marBottom w:val="0"/>
      <w:divBdr>
        <w:top w:val="none" w:sz="0" w:space="0" w:color="auto"/>
        <w:left w:val="none" w:sz="0" w:space="0" w:color="auto"/>
        <w:bottom w:val="none" w:sz="0" w:space="0" w:color="auto"/>
        <w:right w:val="none" w:sz="0" w:space="0" w:color="auto"/>
      </w:divBdr>
    </w:div>
    <w:div w:id="305818785">
      <w:bodyDiv w:val="1"/>
      <w:marLeft w:val="0"/>
      <w:marRight w:val="0"/>
      <w:marTop w:val="0"/>
      <w:marBottom w:val="0"/>
      <w:divBdr>
        <w:top w:val="none" w:sz="0" w:space="0" w:color="auto"/>
        <w:left w:val="none" w:sz="0" w:space="0" w:color="auto"/>
        <w:bottom w:val="none" w:sz="0" w:space="0" w:color="auto"/>
        <w:right w:val="none" w:sz="0" w:space="0" w:color="auto"/>
      </w:divBdr>
    </w:div>
    <w:div w:id="321810925">
      <w:bodyDiv w:val="1"/>
      <w:marLeft w:val="0"/>
      <w:marRight w:val="0"/>
      <w:marTop w:val="0"/>
      <w:marBottom w:val="0"/>
      <w:divBdr>
        <w:top w:val="none" w:sz="0" w:space="0" w:color="auto"/>
        <w:left w:val="none" w:sz="0" w:space="0" w:color="auto"/>
        <w:bottom w:val="none" w:sz="0" w:space="0" w:color="auto"/>
        <w:right w:val="none" w:sz="0" w:space="0" w:color="auto"/>
      </w:divBdr>
    </w:div>
    <w:div w:id="360782833">
      <w:bodyDiv w:val="1"/>
      <w:marLeft w:val="0"/>
      <w:marRight w:val="0"/>
      <w:marTop w:val="0"/>
      <w:marBottom w:val="0"/>
      <w:divBdr>
        <w:top w:val="none" w:sz="0" w:space="0" w:color="auto"/>
        <w:left w:val="none" w:sz="0" w:space="0" w:color="auto"/>
        <w:bottom w:val="none" w:sz="0" w:space="0" w:color="auto"/>
        <w:right w:val="none" w:sz="0" w:space="0" w:color="auto"/>
      </w:divBdr>
    </w:div>
    <w:div w:id="395323769">
      <w:bodyDiv w:val="1"/>
      <w:marLeft w:val="0"/>
      <w:marRight w:val="0"/>
      <w:marTop w:val="0"/>
      <w:marBottom w:val="0"/>
      <w:divBdr>
        <w:top w:val="none" w:sz="0" w:space="0" w:color="auto"/>
        <w:left w:val="none" w:sz="0" w:space="0" w:color="auto"/>
        <w:bottom w:val="none" w:sz="0" w:space="0" w:color="auto"/>
        <w:right w:val="none" w:sz="0" w:space="0" w:color="auto"/>
      </w:divBdr>
    </w:div>
    <w:div w:id="398015623">
      <w:bodyDiv w:val="1"/>
      <w:marLeft w:val="0"/>
      <w:marRight w:val="0"/>
      <w:marTop w:val="0"/>
      <w:marBottom w:val="0"/>
      <w:divBdr>
        <w:top w:val="none" w:sz="0" w:space="0" w:color="auto"/>
        <w:left w:val="none" w:sz="0" w:space="0" w:color="auto"/>
        <w:bottom w:val="none" w:sz="0" w:space="0" w:color="auto"/>
        <w:right w:val="none" w:sz="0" w:space="0" w:color="auto"/>
      </w:divBdr>
    </w:div>
    <w:div w:id="405417304">
      <w:bodyDiv w:val="1"/>
      <w:marLeft w:val="0"/>
      <w:marRight w:val="0"/>
      <w:marTop w:val="0"/>
      <w:marBottom w:val="0"/>
      <w:divBdr>
        <w:top w:val="none" w:sz="0" w:space="0" w:color="auto"/>
        <w:left w:val="none" w:sz="0" w:space="0" w:color="auto"/>
        <w:bottom w:val="none" w:sz="0" w:space="0" w:color="auto"/>
        <w:right w:val="none" w:sz="0" w:space="0" w:color="auto"/>
      </w:divBdr>
    </w:div>
    <w:div w:id="407700182">
      <w:bodyDiv w:val="1"/>
      <w:marLeft w:val="0"/>
      <w:marRight w:val="0"/>
      <w:marTop w:val="0"/>
      <w:marBottom w:val="0"/>
      <w:divBdr>
        <w:top w:val="none" w:sz="0" w:space="0" w:color="auto"/>
        <w:left w:val="none" w:sz="0" w:space="0" w:color="auto"/>
        <w:bottom w:val="none" w:sz="0" w:space="0" w:color="auto"/>
        <w:right w:val="none" w:sz="0" w:space="0" w:color="auto"/>
      </w:divBdr>
    </w:div>
    <w:div w:id="41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1805101">
          <w:marLeft w:val="547"/>
          <w:marRight w:val="0"/>
          <w:marTop w:val="115"/>
          <w:marBottom w:val="240"/>
          <w:divBdr>
            <w:top w:val="none" w:sz="0" w:space="0" w:color="auto"/>
            <w:left w:val="none" w:sz="0" w:space="0" w:color="auto"/>
            <w:bottom w:val="none" w:sz="0" w:space="0" w:color="auto"/>
            <w:right w:val="none" w:sz="0" w:space="0" w:color="auto"/>
          </w:divBdr>
        </w:div>
      </w:divsChild>
    </w:div>
    <w:div w:id="436608241">
      <w:bodyDiv w:val="1"/>
      <w:marLeft w:val="0"/>
      <w:marRight w:val="0"/>
      <w:marTop w:val="0"/>
      <w:marBottom w:val="0"/>
      <w:divBdr>
        <w:top w:val="none" w:sz="0" w:space="0" w:color="auto"/>
        <w:left w:val="none" w:sz="0" w:space="0" w:color="auto"/>
        <w:bottom w:val="none" w:sz="0" w:space="0" w:color="auto"/>
        <w:right w:val="none" w:sz="0" w:space="0" w:color="auto"/>
      </w:divBdr>
    </w:div>
    <w:div w:id="440799996">
      <w:bodyDiv w:val="1"/>
      <w:marLeft w:val="0"/>
      <w:marRight w:val="0"/>
      <w:marTop w:val="0"/>
      <w:marBottom w:val="0"/>
      <w:divBdr>
        <w:top w:val="none" w:sz="0" w:space="0" w:color="auto"/>
        <w:left w:val="none" w:sz="0" w:space="0" w:color="auto"/>
        <w:bottom w:val="none" w:sz="0" w:space="0" w:color="auto"/>
        <w:right w:val="none" w:sz="0" w:space="0" w:color="auto"/>
      </w:divBdr>
    </w:div>
    <w:div w:id="482545750">
      <w:bodyDiv w:val="1"/>
      <w:marLeft w:val="0"/>
      <w:marRight w:val="0"/>
      <w:marTop w:val="0"/>
      <w:marBottom w:val="0"/>
      <w:divBdr>
        <w:top w:val="none" w:sz="0" w:space="0" w:color="auto"/>
        <w:left w:val="none" w:sz="0" w:space="0" w:color="auto"/>
        <w:bottom w:val="none" w:sz="0" w:space="0" w:color="auto"/>
        <w:right w:val="none" w:sz="0" w:space="0" w:color="auto"/>
      </w:divBdr>
    </w:div>
    <w:div w:id="484902929">
      <w:bodyDiv w:val="1"/>
      <w:marLeft w:val="0"/>
      <w:marRight w:val="0"/>
      <w:marTop w:val="0"/>
      <w:marBottom w:val="0"/>
      <w:divBdr>
        <w:top w:val="none" w:sz="0" w:space="0" w:color="auto"/>
        <w:left w:val="none" w:sz="0" w:space="0" w:color="auto"/>
        <w:bottom w:val="none" w:sz="0" w:space="0" w:color="auto"/>
        <w:right w:val="none" w:sz="0" w:space="0" w:color="auto"/>
      </w:divBdr>
    </w:div>
    <w:div w:id="503666269">
      <w:bodyDiv w:val="1"/>
      <w:marLeft w:val="0"/>
      <w:marRight w:val="0"/>
      <w:marTop w:val="0"/>
      <w:marBottom w:val="0"/>
      <w:divBdr>
        <w:top w:val="none" w:sz="0" w:space="0" w:color="auto"/>
        <w:left w:val="none" w:sz="0" w:space="0" w:color="auto"/>
        <w:bottom w:val="none" w:sz="0" w:space="0" w:color="auto"/>
        <w:right w:val="none" w:sz="0" w:space="0" w:color="auto"/>
      </w:divBdr>
    </w:div>
    <w:div w:id="519585183">
      <w:bodyDiv w:val="1"/>
      <w:marLeft w:val="0"/>
      <w:marRight w:val="0"/>
      <w:marTop w:val="0"/>
      <w:marBottom w:val="0"/>
      <w:divBdr>
        <w:top w:val="none" w:sz="0" w:space="0" w:color="auto"/>
        <w:left w:val="none" w:sz="0" w:space="0" w:color="auto"/>
        <w:bottom w:val="none" w:sz="0" w:space="0" w:color="auto"/>
        <w:right w:val="none" w:sz="0" w:space="0" w:color="auto"/>
      </w:divBdr>
    </w:div>
    <w:div w:id="521019039">
      <w:bodyDiv w:val="1"/>
      <w:marLeft w:val="0"/>
      <w:marRight w:val="0"/>
      <w:marTop w:val="0"/>
      <w:marBottom w:val="0"/>
      <w:divBdr>
        <w:top w:val="none" w:sz="0" w:space="0" w:color="auto"/>
        <w:left w:val="none" w:sz="0" w:space="0" w:color="auto"/>
        <w:bottom w:val="none" w:sz="0" w:space="0" w:color="auto"/>
        <w:right w:val="none" w:sz="0" w:space="0" w:color="auto"/>
      </w:divBdr>
      <w:divsChild>
        <w:div w:id="451247338">
          <w:marLeft w:val="547"/>
          <w:marRight w:val="0"/>
          <w:marTop w:val="0"/>
          <w:marBottom w:val="0"/>
          <w:divBdr>
            <w:top w:val="none" w:sz="0" w:space="0" w:color="auto"/>
            <w:left w:val="none" w:sz="0" w:space="0" w:color="auto"/>
            <w:bottom w:val="none" w:sz="0" w:space="0" w:color="auto"/>
            <w:right w:val="none" w:sz="0" w:space="0" w:color="auto"/>
          </w:divBdr>
        </w:div>
        <w:div w:id="1059784972">
          <w:marLeft w:val="547"/>
          <w:marRight w:val="0"/>
          <w:marTop w:val="0"/>
          <w:marBottom w:val="0"/>
          <w:divBdr>
            <w:top w:val="none" w:sz="0" w:space="0" w:color="auto"/>
            <w:left w:val="none" w:sz="0" w:space="0" w:color="auto"/>
            <w:bottom w:val="none" w:sz="0" w:space="0" w:color="auto"/>
            <w:right w:val="none" w:sz="0" w:space="0" w:color="auto"/>
          </w:divBdr>
        </w:div>
        <w:div w:id="1207257838">
          <w:marLeft w:val="547"/>
          <w:marRight w:val="0"/>
          <w:marTop w:val="0"/>
          <w:marBottom w:val="0"/>
          <w:divBdr>
            <w:top w:val="none" w:sz="0" w:space="0" w:color="auto"/>
            <w:left w:val="none" w:sz="0" w:space="0" w:color="auto"/>
            <w:bottom w:val="none" w:sz="0" w:space="0" w:color="auto"/>
            <w:right w:val="none" w:sz="0" w:space="0" w:color="auto"/>
          </w:divBdr>
        </w:div>
        <w:div w:id="1353990810">
          <w:marLeft w:val="547"/>
          <w:marRight w:val="0"/>
          <w:marTop w:val="0"/>
          <w:marBottom w:val="0"/>
          <w:divBdr>
            <w:top w:val="none" w:sz="0" w:space="0" w:color="auto"/>
            <w:left w:val="none" w:sz="0" w:space="0" w:color="auto"/>
            <w:bottom w:val="none" w:sz="0" w:space="0" w:color="auto"/>
            <w:right w:val="none" w:sz="0" w:space="0" w:color="auto"/>
          </w:divBdr>
        </w:div>
        <w:div w:id="1522162469">
          <w:marLeft w:val="547"/>
          <w:marRight w:val="0"/>
          <w:marTop w:val="0"/>
          <w:marBottom w:val="0"/>
          <w:divBdr>
            <w:top w:val="none" w:sz="0" w:space="0" w:color="auto"/>
            <w:left w:val="none" w:sz="0" w:space="0" w:color="auto"/>
            <w:bottom w:val="none" w:sz="0" w:space="0" w:color="auto"/>
            <w:right w:val="none" w:sz="0" w:space="0" w:color="auto"/>
          </w:divBdr>
        </w:div>
        <w:div w:id="1552110158">
          <w:marLeft w:val="547"/>
          <w:marRight w:val="0"/>
          <w:marTop w:val="0"/>
          <w:marBottom w:val="0"/>
          <w:divBdr>
            <w:top w:val="none" w:sz="0" w:space="0" w:color="auto"/>
            <w:left w:val="none" w:sz="0" w:space="0" w:color="auto"/>
            <w:bottom w:val="none" w:sz="0" w:space="0" w:color="auto"/>
            <w:right w:val="none" w:sz="0" w:space="0" w:color="auto"/>
          </w:divBdr>
        </w:div>
        <w:div w:id="1851987739">
          <w:marLeft w:val="547"/>
          <w:marRight w:val="0"/>
          <w:marTop w:val="0"/>
          <w:marBottom w:val="0"/>
          <w:divBdr>
            <w:top w:val="none" w:sz="0" w:space="0" w:color="auto"/>
            <w:left w:val="none" w:sz="0" w:space="0" w:color="auto"/>
            <w:bottom w:val="none" w:sz="0" w:space="0" w:color="auto"/>
            <w:right w:val="none" w:sz="0" w:space="0" w:color="auto"/>
          </w:divBdr>
        </w:div>
        <w:div w:id="1862283334">
          <w:marLeft w:val="547"/>
          <w:marRight w:val="0"/>
          <w:marTop w:val="0"/>
          <w:marBottom w:val="0"/>
          <w:divBdr>
            <w:top w:val="none" w:sz="0" w:space="0" w:color="auto"/>
            <w:left w:val="none" w:sz="0" w:space="0" w:color="auto"/>
            <w:bottom w:val="none" w:sz="0" w:space="0" w:color="auto"/>
            <w:right w:val="none" w:sz="0" w:space="0" w:color="auto"/>
          </w:divBdr>
        </w:div>
        <w:div w:id="1872108829">
          <w:marLeft w:val="547"/>
          <w:marRight w:val="0"/>
          <w:marTop w:val="0"/>
          <w:marBottom w:val="0"/>
          <w:divBdr>
            <w:top w:val="none" w:sz="0" w:space="0" w:color="auto"/>
            <w:left w:val="none" w:sz="0" w:space="0" w:color="auto"/>
            <w:bottom w:val="none" w:sz="0" w:space="0" w:color="auto"/>
            <w:right w:val="none" w:sz="0" w:space="0" w:color="auto"/>
          </w:divBdr>
        </w:div>
        <w:div w:id="1959213188">
          <w:marLeft w:val="547"/>
          <w:marRight w:val="0"/>
          <w:marTop w:val="0"/>
          <w:marBottom w:val="0"/>
          <w:divBdr>
            <w:top w:val="none" w:sz="0" w:space="0" w:color="auto"/>
            <w:left w:val="none" w:sz="0" w:space="0" w:color="auto"/>
            <w:bottom w:val="none" w:sz="0" w:space="0" w:color="auto"/>
            <w:right w:val="none" w:sz="0" w:space="0" w:color="auto"/>
          </w:divBdr>
        </w:div>
        <w:div w:id="2070956143">
          <w:marLeft w:val="547"/>
          <w:marRight w:val="0"/>
          <w:marTop w:val="0"/>
          <w:marBottom w:val="0"/>
          <w:divBdr>
            <w:top w:val="none" w:sz="0" w:space="0" w:color="auto"/>
            <w:left w:val="none" w:sz="0" w:space="0" w:color="auto"/>
            <w:bottom w:val="none" w:sz="0" w:space="0" w:color="auto"/>
            <w:right w:val="none" w:sz="0" w:space="0" w:color="auto"/>
          </w:divBdr>
        </w:div>
        <w:div w:id="2110812835">
          <w:marLeft w:val="547"/>
          <w:marRight w:val="0"/>
          <w:marTop w:val="0"/>
          <w:marBottom w:val="0"/>
          <w:divBdr>
            <w:top w:val="none" w:sz="0" w:space="0" w:color="auto"/>
            <w:left w:val="none" w:sz="0" w:space="0" w:color="auto"/>
            <w:bottom w:val="none" w:sz="0" w:space="0" w:color="auto"/>
            <w:right w:val="none" w:sz="0" w:space="0" w:color="auto"/>
          </w:divBdr>
        </w:div>
      </w:divsChild>
    </w:div>
    <w:div w:id="547492482">
      <w:bodyDiv w:val="1"/>
      <w:marLeft w:val="0"/>
      <w:marRight w:val="0"/>
      <w:marTop w:val="0"/>
      <w:marBottom w:val="0"/>
      <w:divBdr>
        <w:top w:val="none" w:sz="0" w:space="0" w:color="auto"/>
        <w:left w:val="none" w:sz="0" w:space="0" w:color="auto"/>
        <w:bottom w:val="none" w:sz="0" w:space="0" w:color="auto"/>
        <w:right w:val="none" w:sz="0" w:space="0" w:color="auto"/>
      </w:divBdr>
    </w:div>
    <w:div w:id="556554252">
      <w:bodyDiv w:val="1"/>
      <w:marLeft w:val="0"/>
      <w:marRight w:val="0"/>
      <w:marTop w:val="0"/>
      <w:marBottom w:val="0"/>
      <w:divBdr>
        <w:top w:val="none" w:sz="0" w:space="0" w:color="auto"/>
        <w:left w:val="none" w:sz="0" w:space="0" w:color="auto"/>
        <w:bottom w:val="none" w:sz="0" w:space="0" w:color="auto"/>
        <w:right w:val="none" w:sz="0" w:space="0" w:color="auto"/>
      </w:divBdr>
      <w:divsChild>
        <w:div w:id="1140877774">
          <w:marLeft w:val="0"/>
          <w:marRight w:val="0"/>
          <w:marTop w:val="0"/>
          <w:marBottom w:val="0"/>
          <w:divBdr>
            <w:top w:val="none" w:sz="0" w:space="0" w:color="auto"/>
            <w:left w:val="none" w:sz="0" w:space="0" w:color="auto"/>
            <w:bottom w:val="none" w:sz="0" w:space="0" w:color="auto"/>
            <w:right w:val="none" w:sz="0" w:space="0" w:color="auto"/>
          </w:divBdr>
          <w:divsChild>
            <w:div w:id="1729302981">
              <w:marLeft w:val="0"/>
              <w:marRight w:val="0"/>
              <w:marTop w:val="0"/>
              <w:marBottom w:val="0"/>
              <w:divBdr>
                <w:top w:val="none" w:sz="0" w:space="0" w:color="auto"/>
                <w:left w:val="none" w:sz="0" w:space="0" w:color="auto"/>
                <w:bottom w:val="none" w:sz="0" w:space="0" w:color="auto"/>
                <w:right w:val="none" w:sz="0" w:space="0" w:color="auto"/>
              </w:divBdr>
              <w:divsChild>
                <w:div w:id="1801651593">
                  <w:marLeft w:val="0"/>
                  <w:marRight w:val="0"/>
                  <w:marTop w:val="0"/>
                  <w:marBottom w:val="0"/>
                  <w:divBdr>
                    <w:top w:val="none" w:sz="0" w:space="0" w:color="auto"/>
                    <w:left w:val="none" w:sz="0" w:space="0" w:color="auto"/>
                    <w:bottom w:val="none" w:sz="0" w:space="0" w:color="auto"/>
                    <w:right w:val="none" w:sz="0" w:space="0" w:color="auto"/>
                  </w:divBdr>
                  <w:divsChild>
                    <w:div w:id="10363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89099">
      <w:bodyDiv w:val="1"/>
      <w:marLeft w:val="0"/>
      <w:marRight w:val="0"/>
      <w:marTop w:val="0"/>
      <w:marBottom w:val="0"/>
      <w:divBdr>
        <w:top w:val="none" w:sz="0" w:space="0" w:color="auto"/>
        <w:left w:val="none" w:sz="0" w:space="0" w:color="auto"/>
        <w:bottom w:val="none" w:sz="0" w:space="0" w:color="auto"/>
        <w:right w:val="none" w:sz="0" w:space="0" w:color="auto"/>
      </w:divBdr>
      <w:divsChild>
        <w:div w:id="1237328285">
          <w:marLeft w:val="0"/>
          <w:marRight w:val="0"/>
          <w:marTop w:val="0"/>
          <w:marBottom w:val="0"/>
          <w:divBdr>
            <w:top w:val="none" w:sz="0" w:space="0" w:color="auto"/>
            <w:left w:val="none" w:sz="0" w:space="0" w:color="auto"/>
            <w:bottom w:val="none" w:sz="0" w:space="0" w:color="auto"/>
            <w:right w:val="none" w:sz="0" w:space="0" w:color="auto"/>
          </w:divBdr>
          <w:divsChild>
            <w:div w:id="654646109">
              <w:marLeft w:val="0"/>
              <w:marRight w:val="0"/>
              <w:marTop w:val="0"/>
              <w:marBottom w:val="0"/>
              <w:divBdr>
                <w:top w:val="none" w:sz="0" w:space="0" w:color="auto"/>
                <w:left w:val="none" w:sz="0" w:space="0" w:color="auto"/>
                <w:bottom w:val="none" w:sz="0" w:space="0" w:color="auto"/>
                <w:right w:val="none" w:sz="0" w:space="0" w:color="auto"/>
              </w:divBdr>
              <w:divsChild>
                <w:div w:id="2032490066">
                  <w:marLeft w:val="0"/>
                  <w:marRight w:val="0"/>
                  <w:marTop w:val="0"/>
                  <w:marBottom w:val="0"/>
                  <w:divBdr>
                    <w:top w:val="none" w:sz="0" w:space="0" w:color="auto"/>
                    <w:left w:val="none" w:sz="0" w:space="0" w:color="auto"/>
                    <w:bottom w:val="none" w:sz="0" w:space="0" w:color="auto"/>
                    <w:right w:val="none" w:sz="0" w:space="0" w:color="auto"/>
                  </w:divBdr>
                  <w:divsChild>
                    <w:div w:id="4692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709634">
      <w:bodyDiv w:val="1"/>
      <w:marLeft w:val="0"/>
      <w:marRight w:val="0"/>
      <w:marTop w:val="0"/>
      <w:marBottom w:val="0"/>
      <w:divBdr>
        <w:top w:val="none" w:sz="0" w:space="0" w:color="auto"/>
        <w:left w:val="none" w:sz="0" w:space="0" w:color="auto"/>
        <w:bottom w:val="none" w:sz="0" w:space="0" w:color="auto"/>
        <w:right w:val="none" w:sz="0" w:space="0" w:color="auto"/>
      </w:divBdr>
    </w:div>
    <w:div w:id="595938511">
      <w:bodyDiv w:val="1"/>
      <w:marLeft w:val="0"/>
      <w:marRight w:val="0"/>
      <w:marTop w:val="0"/>
      <w:marBottom w:val="0"/>
      <w:divBdr>
        <w:top w:val="none" w:sz="0" w:space="0" w:color="auto"/>
        <w:left w:val="none" w:sz="0" w:space="0" w:color="auto"/>
        <w:bottom w:val="none" w:sz="0" w:space="0" w:color="auto"/>
        <w:right w:val="none" w:sz="0" w:space="0" w:color="auto"/>
      </w:divBdr>
    </w:div>
    <w:div w:id="617446685">
      <w:bodyDiv w:val="1"/>
      <w:marLeft w:val="0"/>
      <w:marRight w:val="0"/>
      <w:marTop w:val="0"/>
      <w:marBottom w:val="0"/>
      <w:divBdr>
        <w:top w:val="none" w:sz="0" w:space="0" w:color="auto"/>
        <w:left w:val="none" w:sz="0" w:space="0" w:color="auto"/>
        <w:bottom w:val="none" w:sz="0" w:space="0" w:color="auto"/>
        <w:right w:val="none" w:sz="0" w:space="0" w:color="auto"/>
      </w:divBdr>
    </w:div>
    <w:div w:id="635380283">
      <w:bodyDiv w:val="1"/>
      <w:marLeft w:val="0"/>
      <w:marRight w:val="0"/>
      <w:marTop w:val="0"/>
      <w:marBottom w:val="0"/>
      <w:divBdr>
        <w:top w:val="none" w:sz="0" w:space="0" w:color="auto"/>
        <w:left w:val="none" w:sz="0" w:space="0" w:color="auto"/>
        <w:bottom w:val="none" w:sz="0" w:space="0" w:color="auto"/>
        <w:right w:val="none" w:sz="0" w:space="0" w:color="auto"/>
      </w:divBdr>
    </w:div>
    <w:div w:id="658122438">
      <w:bodyDiv w:val="1"/>
      <w:marLeft w:val="0"/>
      <w:marRight w:val="0"/>
      <w:marTop w:val="0"/>
      <w:marBottom w:val="0"/>
      <w:divBdr>
        <w:top w:val="none" w:sz="0" w:space="0" w:color="auto"/>
        <w:left w:val="none" w:sz="0" w:space="0" w:color="auto"/>
        <w:bottom w:val="none" w:sz="0" w:space="0" w:color="auto"/>
        <w:right w:val="none" w:sz="0" w:space="0" w:color="auto"/>
      </w:divBdr>
    </w:div>
    <w:div w:id="671490777">
      <w:bodyDiv w:val="1"/>
      <w:marLeft w:val="0"/>
      <w:marRight w:val="0"/>
      <w:marTop w:val="0"/>
      <w:marBottom w:val="0"/>
      <w:divBdr>
        <w:top w:val="none" w:sz="0" w:space="0" w:color="auto"/>
        <w:left w:val="none" w:sz="0" w:space="0" w:color="auto"/>
        <w:bottom w:val="none" w:sz="0" w:space="0" w:color="auto"/>
        <w:right w:val="none" w:sz="0" w:space="0" w:color="auto"/>
      </w:divBdr>
    </w:div>
    <w:div w:id="681396024">
      <w:bodyDiv w:val="1"/>
      <w:marLeft w:val="0"/>
      <w:marRight w:val="0"/>
      <w:marTop w:val="0"/>
      <w:marBottom w:val="0"/>
      <w:divBdr>
        <w:top w:val="none" w:sz="0" w:space="0" w:color="auto"/>
        <w:left w:val="none" w:sz="0" w:space="0" w:color="auto"/>
        <w:bottom w:val="none" w:sz="0" w:space="0" w:color="auto"/>
        <w:right w:val="none" w:sz="0" w:space="0" w:color="auto"/>
      </w:divBdr>
    </w:div>
    <w:div w:id="697392728">
      <w:bodyDiv w:val="1"/>
      <w:marLeft w:val="0"/>
      <w:marRight w:val="0"/>
      <w:marTop w:val="0"/>
      <w:marBottom w:val="0"/>
      <w:divBdr>
        <w:top w:val="none" w:sz="0" w:space="0" w:color="auto"/>
        <w:left w:val="none" w:sz="0" w:space="0" w:color="auto"/>
        <w:bottom w:val="none" w:sz="0" w:space="0" w:color="auto"/>
        <w:right w:val="none" w:sz="0" w:space="0" w:color="auto"/>
      </w:divBdr>
      <w:divsChild>
        <w:div w:id="317006374">
          <w:marLeft w:val="0"/>
          <w:marRight w:val="0"/>
          <w:marTop w:val="0"/>
          <w:marBottom w:val="0"/>
          <w:divBdr>
            <w:top w:val="none" w:sz="0" w:space="0" w:color="auto"/>
            <w:left w:val="none" w:sz="0" w:space="0" w:color="auto"/>
            <w:bottom w:val="none" w:sz="0" w:space="0" w:color="auto"/>
            <w:right w:val="none" w:sz="0" w:space="0" w:color="auto"/>
          </w:divBdr>
          <w:divsChild>
            <w:div w:id="709763255">
              <w:marLeft w:val="0"/>
              <w:marRight w:val="0"/>
              <w:marTop w:val="0"/>
              <w:marBottom w:val="0"/>
              <w:divBdr>
                <w:top w:val="single" w:sz="18" w:space="0" w:color="939393"/>
                <w:left w:val="none" w:sz="0" w:space="0" w:color="auto"/>
                <w:bottom w:val="none" w:sz="0" w:space="0" w:color="auto"/>
                <w:right w:val="none" w:sz="0" w:space="0" w:color="auto"/>
              </w:divBdr>
              <w:divsChild>
                <w:div w:id="215549016">
                  <w:marLeft w:val="0"/>
                  <w:marRight w:val="0"/>
                  <w:marTop w:val="0"/>
                  <w:marBottom w:val="0"/>
                  <w:divBdr>
                    <w:top w:val="none" w:sz="0" w:space="0" w:color="auto"/>
                    <w:left w:val="none" w:sz="0" w:space="0" w:color="auto"/>
                    <w:bottom w:val="none" w:sz="0" w:space="0" w:color="auto"/>
                    <w:right w:val="none" w:sz="0" w:space="0" w:color="auto"/>
                  </w:divBdr>
                  <w:divsChild>
                    <w:div w:id="670565143">
                      <w:marLeft w:val="0"/>
                      <w:marRight w:val="0"/>
                      <w:marTop w:val="0"/>
                      <w:marBottom w:val="0"/>
                      <w:divBdr>
                        <w:top w:val="none" w:sz="0" w:space="0" w:color="auto"/>
                        <w:left w:val="none" w:sz="0" w:space="0" w:color="auto"/>
                        <w:bottom w:val="none" w:sz="0" w:space="0" w:color="auto"/>
                        <w:right w:val="none" w:sz="0" w:space="0" w:color="auto"/>
                      </w:divBdr>
                      <w:divsChild>
                        <w:div w:id="1815756205">
                          <w:marLeft w:val="0"/>
                          <w:marRight w:val="0"/>
                          <w:marTop w:val="0"/>
                          <w:marBottom w:val="0"/>
                          <w:divBdr>
                            <w:top w:val="none" w:sz="0" w:space="0" w:color="auto"/>
                            <w:left w:val="none" w:sz="0" w:space="0" w:color="auto"/>
                            <w:bottom w:val="none" w:sz="0" w:space="0" w:color="auto"/>
                            <w:right w:val="none" w:sz="0" w:space="0" w:color="auto"/>
                          </w:divBdr>
                          <w:divsChild>
                            <w:div w:id="691222528">
                              <w:marLeft w:val="0"/>
                              <w:marRight w:val="0"/>
                              <w:marTop w:val="0"/>
                              <w:marBottom w:val="0"/>
                              <w:divBdr>
                                <w:top w:val="none" w:sz="0" w:space="0" w:color="auto"/>
                                <w:left w:val="none" w:sz="0" w:space="0" w:color="auto"/>
                                <w:bottom w:val="none" w:sz="0" w:space="0" w:color="auto"/>
                                <w:right w:val="none" w:sz="0" w:space="0" w:color="auto"/>
                              </w:divBdr>
                              <w:divsChild>
                                <w:div w:id="19915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940533">
      <w:bodyDiv w:val="1"/>
      <w:marLeft w:val="0"/>
      <w:marRight w:val="0"/>
      <w:marTop w:val="0"/>
      <w:marBottom w:val="0"/>
      <w:divBdr>
        <w:top w:val="none" w:sz="0" w:space="0" w:color="auto"/>
        <w:left w:val="none" w:sz="0" w:space="0" w:color="auto"/>
        <w:bottom w:val="none" w:sz="0" w:space="0" w:color="auto"/>
        <w:right w:val="none" w:sz="0" w:space="0" w:color="auto"/>
      </w:divBdr>
    </w:div>
    <w:div w:id="786120654">
      <w:bodyDiv w:val="1"/>
      <w:marLeft w:val="0"/>
      <w:marRight w:val="0"/>
      <w:marTop w:val="0"/>
      <w:marBottom w:val="0"/>
      <w:divBdr>
        <w:top w:val="none" w:sz="0" w:space="0" w:color="auto"/>
        <w:left w:val="none" w:sz="0" w:space="0" w:color="auto"/>
        <w:bottom w:val="none" w:sz="0" w:space="0" w:color="auto"/>
        <w:right w:val="none" w:sz="0" w:space="0" w:color="auto"/>
      </w:divBdr>
    </w:div>
    <w:div w:id="798185556">
      <w:bodyDiv w:val="1"/>
      <w:marLeft w:val="0"/>
      <w:marRight w:val="0"/>
      <w:marTop w:val="0"/>
      <w:marBottom w:val="0"/>
      <w:divBdr>
        <w:top w:val="none" w:sz="0" w:space="0" w:color="auto"/>
        <w:left w:val="none" w:sz="0" w:space="0" w:color="auto"/>
        <w:bottom w:val="none" w:sz="0" w:space="0" w:color="auto"/>
        <w:right w:val="none" w:sz="0" w:space="0" w:color="auto"/>
      </w:divBdr>
    </w:div>
    <w:div w:id="805320731">
      <w:bodyDiv w:val="1"/>
      <w:marLeft w:val="0"/>
      <w:marRight w:val="0"/>
      <w:marTop w:val="0"/>
      <w:marBottom w:val="0"/>
      <w:divBdr>
        <w:top w:val="none" w:sz="0" w:space="0" w:color="auto"/>
        <w:left w:val="none" w:sz="0" w:space="0" w:color="auto"/>
        <w:bottom w:val="none" w:sz="0" w:space="0" w:color="auto"/>
        <w:right w:val="none" w:sz="0" w:space="0" w:color="auto"/>
      </w:divBdr>
    </w:div>
    <w:div w:id="812403423">
      <w:bodyDiv w:val="1"/>
      <w:marLeft w:val="0"/>
      <w:marRight w:val="0"/>
      <w:marTop w:val="0"/>
      <w:marBottom w:val="0"/>
      <w:divBdr>
        <w:top w:val="none" w:sz="0" w:space="0" w:color="auto"/>
        <w:left w:val="none" w:sz="0" w:space="0" w:color="auto"/>
        <w:bottom w:val="none" w:sz="0" w:space="0" w:color="auto"/>
        <w:right w:val="none" w:sz="0" w:space="0" w:color="auto"/>
      </w:divBdr>
    </w:div>
    <w:div w:id="824080539">
      <w:bodyDiv w:val="1"/>
      <w:marLeft w:val="0"/>
      <w:marRight w:val="0"/>
      <w:marTop w:val="0"/>
      <w:marBottom w:val="0"/>
      <w:divBdr>
        <w:top w:val="none" w:sz="0" w:space="0" w:color="auto"/>
        <w:left w:val="none" w:sz="0" w:space="0" w:color="auto"/>
        <w:bottom w:val="none" w:sz="0" w:space="0" w:color="auto"/>
        <w:right w:val="none" w:sz="0" w:space="0" w:color="auto"/>
      </w:divBdr>
    </w:div>
    <w:div w:id="832455315">
      <w:bodyDiv w:val="1"/>
      <w:marLeft w:val="0"/>
      <w:marRight w:val="0"/>
      <w:marTop w:val="0"/>
      <w:marBottom w:val="0"/>
      <w:divBdr>
        <w:top w:val="none" w:sz="0" w:space="0" w:color="auto"/>
        <w:left w:val="none" w:sz="0" w:space="0" w:color="auto"/>
        <w:bottom w:val="none" w:sz="0" w:space="0" w:color="auto"/>
        <w:right w:val="none" w:sz="0" w:space="0" w:color="auto"/>
      </w:divBdr>
    </w:div>
    <w:div w:id="838809260">
      <w:bodyDiv w:val="1"/>
      <w:marLeft w:val="0"/>
      <w:marRight w:val="0"/>
      <w:marTop w:val="0"/>
      <w:marBottom w:val="0"/>
      <w:divBdr>
        <w:top w:val="none" w:sz="0" w:space="0" w:color="auto"/>
        <w:left w:val="none" w:sz="0" w:space="0" w:color="auto"/>
        <w:bottom w:val="none" w:sz="0" w:space="0" w:color="auto"/>
        <w:right w:val="none" w:sz="0" w:space="0" w:color="auto"/>
      </w:divBdr>
    </w:div>
    <w:div w:id="852189187">
      <w:bodyDiv w:val="1"/>
      <w:marLeft w:val="0"/>
      <w:marRight w:val="0"/>
      <w:marTop w:val="0"/>
      <w:marBottom w:val="0"/>
      <w:divBdr>
        <w:top w:val="none" w:sz="0" w:space="0" w:color="auto"/>
        <w:left w:val="none" w:sz="0" w:space="0" w:color="auto"/>
        <w:bottom w:val="none" w:sz="0" w:space="0" w:color="auto"/>
        <w:right w:val="none" w:sz="0" w:space="0" w:color="auto"/>
      </w:divBdr>
    </w:div>
    <w:div w:id="863060063">
      <w:bodyDiv w:val="1"/>
      <w:marLeft w:val="0"/>
      <w:marRight w:val="0"/>
      <w:marTop w:val="0"/>
      <w:marBottom w:val="0"/>
      <w:divBdr>
        <w:top w:val="none" w:sz="0" w:space="0" w:color="auto"/>
        <w:left w:val="none" w:sz="0" w:space="0" w:color="auto"/>
        <w:bottom w:val="none" w:sz="0" w:space="0" w:color="auto"/>
        <w:right w:val="none" w:sz="0" w:space="0" w:color="auto"/>
      </w:divBdr>
    </w:div>
    <w:div w:id="878280298">
      <w:bodyDiv w:val="1"/>
      <w:marLeft w:val="0"/>
      <w:marRight w:val="0"/>
      <w:marTop w:val="0"/>
      <w:marBottom w:val="0"/>
      <w:divBdr>
        <w:top w:val="none" w:sz="0" w:space="0" w:color="auto"/>
        <w:left w:val="none" w:sz="0" w:space="0" w:color="auto"/>
        <w:bottom w:val="none" w:sz="0" w:space="0" w:color="auto"/>
        <w:right w:val="none" w:sz="0" w:space="0" w:color="auto"/>
      </w:divBdr>
    </w:div>
    <w:div w:id="890505378">
      <w:bodyDiv w:val="1"/>
      <w:marLeft w:val="0"/>
      <w:marRight w:val="0"/>
      <w:marTop w:val="0"/>
      <w:marBottom w:val="0"/>
      <w:divBdr>
        <w:top w:val="none" w:sz="0" w:space="0" w:color="auto"/>
        <w:left w:val="none" w:sz="0" w:space="0" w:color="auto"/>
        <w:bottom w:val="none" w:sz="0" w:space="0" w:color="auto"/>
        <w:right w:val="none" w:sz="0" w:space="0" w:color="auto"/>
      </w:divBdr>
    </w:div>
    <w:div w:id="897399187">
      <w:bodyDiv w:val="1"/>
      <w:marLeft w:val="0"/>
      <w:marRight w:val="0"/>
      <w:marTop w:val="0"/>
      <w:marBottom w:val="0"/>
      <w:divBdr>
        <w:top w:val="none" w:sz="0" w:space="0" w:color="auto"/>
        <w:left w:val="none" w:sz="0" w:space="0" w:color="auto"/>
        <w:bottom w:val="none" w:sz="0" w:space="0" w:color="auto"/>
        <w:right w:val="none" w:sz="0" w:space="0" w:color="auto"/>
      </w:divBdr>
    </w:div>
    <w:div w:id="910315152">
      <w:bodyDiv w:val="1"/>
      <w:marLeft w:val="0"/>
      <w:marRight w:val="0"/>
      <w:marTop w:val="0"/>
      <w:marBottom w:val="0"/>
      <w:divBdr>
        <w:top w:val="none" w:sz="0" w:space="0" w:color="auto"/>
        <w:left w:val="none" w:sz="0" w:space="0" w:color="auto"/>
        <w:bottom w:val="none" w:sz="0" w:space="0" w:color="auto"/>
        <w:right w:val="none" w:sz="0" w:space="0" w:color="auto"/>
      </w:divBdr>
    </w:div>
    <w:div w:id="912930517">
      <w:bodyDiv w:val="1"/>
      <w:marLeft w:val="0"/>
      <w:marRight w:val="0"/>
      <w:marTop w:val="0"/>
      <w:marBottom w:val="0"/>
      <w:divBdr>
        <w:top w:val="none" w:sz="0" w:space="0" w:color="auto"/>
        <w:left w:val="none" w:sz="0" w:space="0" w:color="auto"/>
        <w:bottom w:val="none" w:sz="0" w:space="0" w:color="auto"/>
        <w:right w:val="none" w:sz="0" w:space="0" w:color="auto"/>
      </w:divBdr>
    </w:div>
    <w:div w:id="929586090">
      <w:bodyDiv w:val="1"/>
      <w:marLeft w:val="0"/>
      <w:marRight w:val="0"/>
      <w:marTop w:val="0"/>
      <w:marBottom w:val="0"/>
      <w:divBdr>
        <w:top w:val="none" w:sz="0" w:space="0" w:color="auto"/>
        <w:left w:val="none" w:sz="0" w:space="0" w:color="auto"/>
        <w:bottom w:val="none" w:sz="0" w:space="0" w:color="auto"/>
        <w:right w:val="none" w:sz="0" w:space="0" w:color="auto"/>
      </w:divBdr>
    </w:div>
    <w:div w:id="929657135">
      <w:bodyDiv w:val="1"/>
      <w:marLeft w:val="0"/>
      <w:marRight w:val="0"/>
      <w:marTop w:val="0"/>
      <w:marBottom w:val="0"/>
      <w:divBdr>
        <w:top w:val="none" w:sz="0" w:space="0" w:color="auto"/>
        <w:left w:val="none" w:sz="0" w:space="0" w:color="auto"/>
        <w:bottom w:val="none" w:sz="0" w:space="0" w:color="auto"/>
        <w:right w:val="none" w:sz="0" w:space="0" w:color="auto"/>
      </w:divBdr>
    </w:div>
    <w:div w:id="945310151">
      <w:bodyDiv w:val="1"/>
      <w:marLeft w:val="0"/>
      <w:marRight w:val="0"/>
      <w:marTop w:val="0"/>
      <w:marBottom w:val="0"/>
      <w:divBdr>
        <w:top w:val="none" w:sz="0" w:space="0" w:color="auto"/>
        <w:left w:val="none" w:sz="0" w:space="0" w:color="auto"/>
        <w:bottom w:val="none" w:sz="0" w:space="0" w:color="auto"/>
        <w:right w:val="none" w:sz="0" w:space="0" w:color="auto"/>
      </w:divBdr>
    </w:div>
    <w:div w:id="946086876">
      <w:bodyDiv w:val="1"/>
      <w:marLeft w:val="0"/>
      <w:marRight w:val="0"/>
      <w:marTop w:val="0"/>
      <w:marBottom w:val="0"/>
      <w:divBdr>
        <w:top w:val="none" w:sz="0" w:space="0" w:color="auto"/>
        <w:left w:val="none" w:sz="0" w:space="0" w:color="auto"/>
        <w:bottom w:val="none" w:sz="0" w:space="0" w:color="auto"/>
        <w:right w:val="none" w:sz="0" w:space="0" w:color="auto"/>
      </w:divBdr>
    </w:div>
    <w:div w:id="964579029">
      <w:bodyDiv w:val="1"/>
      <w:marLeft w:val="0"/>
      <w:marRight w:val="0"/>
      <w:marTop w:val="0"/>
      <w:marBottom w:val="0"/>
      <w:divBdr>
        <w:top w:val="none" w:sz="0" w:space="0" w:color="auto"/>
        <w:left w:val="none" w:sz="0" w:space="0" w:color="auto"/>
        <w:bottom w:val="none" w:sz="0" w:space="0" w:color="auto"/>
        <w:right w:val="none" w:sz="0" w:space="0" w:color="auto"/>
      </w:divBdr>
    </w:div>
    <w:div w:id="976186797">
      <w:bodyDiv w:val="1"/>
      <w:marLeft w:val="0"/>
      <w:marRight w:val="0"/>
      <w:marTop w:val="0"/>
      <w:marBottom w:val="0"/>
      <w:divBdr>
        <w:top w:val="none" w:sz="0" w:space="0" w:color="auto"/>
        <w:left w:val="none" w:sz="0" w:space="0" w:color="auto"/>
        <w:bottom w:val="none" w:sz="0" w:space="0" w:color="auto"/>
        <w:right w:val="none" w:sz="0" w:space="0" w:color="auto"/>
      </w:divBdr>
    </w:div>
    <w:div w:id="1000356388">
      <w:bodyDiv w:val="1"/>
      <w:marLeft w:val="0"/>
      <w:marRight w:val="0"/>
      <w:marTop w:val="0"/>
      <w:marBottom w:val="0"/>
      <w:divBdr>
        <w:top w:val="none" w:sz="0" w:space="0" w:color="auto"/>
        <w:left w:val="none" w:sz="0" w:space="0" w:color="auto"/>
        <w:bottom w:val="none" w:sz="0" w:space="0" w:color="auto"/>
        <w:right w:val="none" w:sz="0" w:space="0" w:color="auto"/>
      </w:divBdr>
    </w:div>
    <w:div w:id="1003121395">
      <w:bodyDiv w:val="1"/>
      <w:marLeft w:val="0"/>
      <w:marRight w:val="0"/>
      <w:marTop w:val="0"/>
      <w:marBottom w:val="0"/>
      <w:divBdr>
        <w:top w:val="none" w:sz="0" w:space="0" w:color="auto"/>
        <w:left w:val="none" w:sz="0" w:space="0" w:color="auto"/>
        <w:bottom w:val="none" w:sz="0" w:space="0" w:color="auto"/>
        <w:right w:val="none" w:sz="0" w:space="0" w:color="auto"/>
      </w:divBdr>
    </w:div>
    <w:div w:id="1004479797">
      <w:bodyDiv w:val="1"/>
      <w:marLeft w:val="0"/>
      <w:marRight w:val="0"/>
      <w:marTop w:val="0"/>
      <w:marBottom w:val="0"/>
      <w:divBdr>
        <w:top w:val="none" w:sz="0" w:space="0" w:color="auto"/>
        <w:left w:val="none" w:sz="0" w:space="0" w:color="auto"/>
        <w:bottom w:val="none" w:sz="0" w:space="0" w:color="auto"/>
        <w:right w:val="none" w:sz="0" w:space="0" w:color="auto"/>
      </w:divBdr>
    </w:div>
    <w:div w:id="1024289856">
      <w:bodyDiv w:val="1"/>
      <w:marLeft w:val="0"/>
      <w:marRight w:val="0"/>
      <w:marTop w:val="0"/>
      <w:marBottom w:val="0"/>
      <w:divBdr>
        <w:top w:val="none" w:sz="0" w:space="0" w:color="auto"/>
        <w:left w:val="none" w:sz="0" w:space="0" w:color="auto"/>
        <w:bottom w:val="none" w:sz="0" w:space="0" w:color="auto"/>
        <w:right w:val="none" w:sz="0" w:space="0" w:color="auto"/>
      </w:divBdr>
    </w:div>
    <w:div w:id="1028602912">
      <w:bodyDiv w:val="1"/>
      <w:marLeft w:val="0"/>
      <w:marRight w:val="0"/>
      <w:marTop w:val="0"/>
      <w:marBottom w:val="0"/>
      <w:divBdr>
        <w:top w:val="none" w:sz="0" w:space="0" w:color="auto"/>
        <w:left w:val="none" w:sz="0" w:space="0" w:color="auto"/>
        <w:bottom w:val="none" w:sz="0" w:space="0" w:color="auto"/>
        <w:right w:val="none" w:sz="0" w:space="0" w:color="auto"/>
      </w:divBdr>
    </w:div>
    <w:div w:id="1030959490">
      <w:bodyDiv w:val="1"/>
      <w:marLeft w:val="0"/>
      <w:marRight w:val="0"/>
      <w:marTop w:val="0"/>
      <w:marBottom w:val="0"/>
      <w:divBdr>
        <w:top w:val="none" w:sz="0" w:space="0" w:color="auto"/>
        <w:left w:val="none" w:sz="0" w:space="0" w:color="auto"/>
        <w:bottom w:val="none" w:sz="0" w:space="0" w:color="auto"/>
        <w:right w:val="none" w:sz="0" w:space="0" w:color="auto"/>
      </w:divBdr>
    </w:div>
    <w:div w:id="1033270402">
      <w:bodyDiv w:val="1"/>
      <w:marLeft w:val="0"/>
      <w:marRight w:val="0"/>
      <w:marTop w:val="0"/>
      <w:marBottom w:val="0"/>
      <w:divBdr>
        <w:top w:val="none" w:sz="0" w:space="0" w:color="auto"/>
        <w:left w:val="none" w:sz="0" w:space="0" w:color="auto"/>
        <w:bottom w:val="none" w:sz="0" w:space="0" w:color="auto"/>
        <w:right w:val="none" w:sz="0" w:space="0" w:color="auto"/>
      </w:divBdr>
    </w:div>
    <w:div w:id="1047797827">
      <w:bodyDiv w:val="1"/>
      <w:marLeft w:val="0"/>
      <w:marRight w:val="0"/>
      <w:marTop w:val="0"/>
      <w:marBottom w:val="0"/>
      <w:divBdr>
        <w:top w:val="none" w:sz="0" w:space="0" w:color="auto"/>
        <w:left w:val="none" w:sz="0" w:space="0" w:color="auto"/>
        <w:bottom w:val="none" w:sz="0" w:space="0" w:color="auto"/>
        <w:right w:val="none" w:sz="0" w:space="0" w:color="auto"/>
      </w:divBdr>
    </w:div>
    <w:div w:id="1098789241">
      <w:bodyDiv w:val="1"/>
      <w:marLeft w:val="0"/>
      <w:marRight w:val="0"/>
      <w:marTop w:val="0"/>
      <w:marBottom w:val="0"/>
      <w:divBdr>
        <w:top w:val="none" w:sz="0" w:space="0" w:color="auto"/>
        <w:left w:val="none" w:sz="0" w:space="0" w:color="auto"/>
        <w:bottom w:val="none" w:sz="0" w:space="0" w:color="auto"/>
        <w:right w:val="none" w:sz="0" w:space="0" w:color="auto"/>
      </w:divBdr>
    </w:div>
    <w:div w:id="1154298980">
      <w:bodyDiv w:val="1"/>
      <w:marLeft w:val="0"/>
      <w:marRight w:val="0"/>
      <w:marTop w:val="0"/>
      <w:marBottom w:val="0"/>
      <w:divBdr>
        <w:top w:val="none" w:sz="0" w:space="0" w:color="auto"/>
        <w:left w:val="none" w:sz="0" w:space="0" w:color="auto"/>
        <w:bottom w:val="none" w:sz="0" w:space="0" w:color="auto"/>
        <w:right w:val="none" w:sz="0" w:space="0" w:color="auto"/>
      </w:divBdr>
    </w:div>
    <w:div w:id="1160118885">
      <w:bodyDiv w:val="1"/>
      <w:marLeft w:val="0"/>
      <w:marRight w:val="0"/>
      <w:marTop w:val="0"/>
      <w:marBottom w:val="0"/>
      <w:divBdr>
        <w:top w:val="none" w:sz="0" w:space="0" w:color="auto"/>
        <w:left w:val="none" w:sz="0" w:space="0" w:color="auto"/>
        <w:bottom w:val="none" w:sz="0" w:space="0" w:color="auto"/>
        <w:right w:val="none" w:sz="0" w:space="0" w:color="auto"/>
      </w:divBdr>
      <w:divsChild>
        <w:div w:id="1486437378">
          <w:marLeft w:val="0"/>
          <w:marRight w:val="0"/>
          <w:marTop w:val="0"/>
          <w:marBottom w:val="0"/>
          <w:divBdr>
            <w:top w:val="none" w:sz="0" w:space="0" w:color="auto"/>
            <w:left w:val="none" w:sz="0" w:space="0" w:color="auto"/>
            <w:bottom w:val="none" w:sz="0" w:space="0" w:color="auto"/>
            <w:right w:val="none" w:sz="0" w:space="0" w:color="auto"/>
          </w:divBdr>
          <w:divsChild>
            <w:div w:id="336690427">
              <w:marLeft w:val="0"/>
              <w:marRight w:val="0"/>
              <w:marTop w:val="0"/>
              <w:marBottom w:val="0"/>
              <w:divBdr>
                <w:top w:val="none" w:sz="0" w:space="0" w:color="auto"/>
                <w:left w:val="none" w:sz="0" w:space="0" w:color="auto"/>
                <w:bottom w:val="none" w:sz="0" w:space="0" w:color="auto"/>
                <w:right w:val="none" w:sz="0" w:space="0" w:color="auto"/>
              </w:divBdr>
              <w:divsChild>
                <w:div w:id="1723018911">
                  <w:marLeft w:val="0"/>
                  <w:marRight w:val="0"/>
                  <w:marTop w:val="0"/>
                  <w:marBottom w:val="0"/>
                  <w:divBdr>
                    <w:top w:val="none" w:sz="0" w:space="0" w:color="auto"/>
                    <w:left w:val="none" w:sz="0" w:space="0" w:color="auto"/>
                    <w:bottom w:val="none" w:sz="0" w:space="0" w:color="auto"/>
                    <w:right w:val="none" w:sz="0" w:space="0" w:color="auto"/>
                  </w:divBdr>
                  <w:divsChild>
                    <w:div w:id="2212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66417">
      <w:bodyDiv w:val="1"/>
      <w:marLeft w:val="0"/>
      <w:marRight w:val="0"/>
      <w:marTop w:val="0"/>
      <w:marBottom w:val="0"/>
      <w:divBdr>
        <w:top w:val="none" w:sz="0" w:space="0" w:color="auto"/>
        <w:left w:val="none" w:sz="0" w:space="0" w:color="auto"/>
        <w:bottom w:val="none" w:sz="0" w:space="0" w:color="auto"/>
        <w:right w:val="none" w:sz="0" w:space="0" w:color="auto"/>
      </w:divBdr>
    </w:div>
    <w:div w:id="1203591796">
      <w:bodyDiv w:val="1"/>
      <w:marLeft w:val="0"/>
      <w:marRight w:val="0"/>
      <w:marTop w:val="0"/>
      <w:marBottom w:val="0"/>
      <w:divBdr>
        <w:top w:val="none" w:sz="0" w:space="0" w:color="auto"/>
        <w:left w:val="none" w:sz="0" w:space="0" w:color="auto"/>
        <w:bottom w:val="none" w:sz="0" w:space="0" w:color="auto"/>
        <w:right w:val="none" w:sz="0" w:space="0" w:color="auto"/>
      </w:divBdr>
    </w:div>
    <w:div w:id="1213732395">
      <w:bodyDiv w:val="1"/>
      <w:marLeft w:val="0"/>
      <w:marRight w:val="0"/>
      <w:marTop w:val="0"/>
      <w:marBottom w:val="0"/>
      <w:divBdr>
        <w:top w:val="none" w:sz="0" w:space="0" w:color="auto"/>
        <w:left w:val="none" w:sz="0" w:space="0" w:color="auto"/>
        <w:bottom w:val="none" w:sz="0" w:space="0" w:color="auto"/>
        <w:right w:val="none" w:sz="0" w:space="0" w:color="auto"/>
      </w:divBdr>
    </w:div>
    <w:div w:id="1218276999">
      <w:bodyDiv w:val="1"/>
      <w:marLeft w:val="0"/>
      <w:marRight w:val="0"/>
      <w:marTop w:val="0"/>
      <w:marBottom w:val="0"/>
      <w:divBdr>
        <w:top w:val="none" w:sz="0" w:space="0" w:color="auto"/>
        <w:left w:val="none" w:sz="0" w:space="0" w:color="auto"/>
        <w:bottom w:val="none" w:sz="0" w:space="0" w:color="auto"/>
        <w:right w:val="none" w:sz="0" w:space="0" w:color="auto"/>
      </w:divBdr>
    </w:div>
    <w:div w:id="1231815507">
      <w:bodyDiv w:val="1"/>
      <w:marLeft w:val="0"/>
      <w:marRight w:val="0"/>
      <w:marTop w:val="0"/>
      <w:marBottom w:val="0"/>
      <w:divBdr>
        <w:top w:val="none" w:sz="0" w:space="0" w:color="auto"/>
        <w:left w:val="none" w:sz="0" w:space="0" w:color="auto"/>
        <w:bottom w:val="none" w:sz="0" w:space="0" w:color="auto"/>
        <w:right w:val="none" w:sz="0" w:space="0" w:color="auto"/>
      </w:divBdr>
    </w:div>
    <w:div w:id="1243486071">
      <w:bodyDiv w:val="1"/>
      <w:marLeft w:val="0"/>
      <w:marRight w:val="0"/>
      <w:marTop w:val="0"/>
      <w:marBottom w:val="0"/>
      <w:divBdr>
        <w:top w:val="none" w:sz="0" w:space="0" w:color="auto"/>
        <w:left w:val="none" w:sz="0" w:space="0" w:color="auto"/>
        <w:bottom w:val="none" w:sz="0" w:space="0" w:color="auto"/>
        <w:right w:val="none" w:sz="0" w:space="0" w:color="auto"/>
      </w:divBdr>
      <w:divsChild>
        <w:div w:id="1227960218">
          <w:marLeft w:val="0"/>
          <w:marRight w:val="0"/>
          <w:marTop w:val="0"/>
          <w:marBottom w:val="0"/>
          <w:divBdr>
            <w:top w:val="none" w:sz="0" w:space="0" w:color="auto"/>
            <w:left w:val="none" w:sz="0" w:space="0" w:color="auto"/>
            <w:bottom w:val="none" w:sz="0" w:space="0" w:color="auto"/>
            <w:right w:val="none" w:sz="0" w:space="0" w:color="auto"/>
          </w:divBdr>
          <w:divsChild>
            <w:div w:id="1664354300">
              <w:marLeft w:val="0"/>
              <w:marRight w:val="0"/>
              <w:marTop w:val="0"/>
              <w:marBottom w:val="0"/>
              <w:divBdr>
                <w:top w:val="none" w:sz="0" w:space="0" w:color="auto"/>
                <w:left w:val="none" w:sz="0" w:space="0" w:color="auto"/>
                <w:bottom w:val="none" w:sz="0" w:space="0" w:color="auto"/>
                <w:right w:val="none" w:sz="0" w:space="0" w:color="auto"/>
              </w:divBdr>
              <w:divsChild>
                <w:div w:id="987126296">
                  <w:marLeft w:val="0"/>
                  <w:marRight w:val="0"/>
                  <w:marTop w:val="0"/>
                  <w:marBottom w:val="0"/>
                  <w:divBdr>
                    <w:top w:val="none" w:sz="0" w:space="0" w:color="auto"/>
                    <w:left w:val="none" w:sz="0" w:space="0" w:color="auto"/>
                    <w:bottom w:val="none" w:sz="0" w:space="0" w:color="auto"/>
                    <w:right w:val="none" w:sz="0" w:space="0" w:color="auto"/>
                  </w:divBdr>
                  <w:divsChild>
                    <w:div w:id="7310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66831">
      <w:bodyDiv w:val="1"/>
      <w:marLeft w:val="0"/>
      <w:marRight w:val="0"/>
      <w:marTop w:val="0"/>
      <w:marBottom w:val="0"/>
      <w:divBdr>
        <w:top w:val="none" w:sz="0" w:space="0" w:color="auto"/>
        <w:left w:val="none" w:sz="0" w:space="0" w:color="auto"/>
        <w:bottom w:val="none" w:sz="0" w:space="0" w:color="auto"/>
        <w:right w:val="none" w:sz="0" w:space="0" w:color="auto"/>
      </w:divBdr>
    </w:div>
    <w:div w:id="1255818579">
      <w:bodyDiv w:val="1"/>
      <w:marLeft w:val="0"/>
      <w:marRight w:val="0"/>
      <w:marTop w:val="0"/>
      <w:marBottom w:val="0"/>
      <w:divBdr>
        <w:top w:val="none" w:sz="0" w:space="0" w:color="auto"/>
        <w:left w:val="none" w:sz="0" w:space="0" w:color="auto"/>
        <w:bottom w:val="none" w:sz="0" w:space="0" w:color="auto"/>
        <w:right w:val="none" w:sz="0" w:space="0" w:color="auto"/>
      </w:divBdr>
    </w:div>
    <w:div w:id="1256480067">
      <w:bodyDiv w:val="1"/>
      <w:marLeft w:val="0"/>
      <w:marRight w:val="0"/>
      <w:marTop w:val="0"/>
      <w:marBottom w:val="0"/>
      <w:divBdr>
        <w:top w:val="none" w:sz="0" w:space="0" w:color="auto"/>
        <w:left w:val="none" w:sz="0" w:space="0" w:color="auto"/>
        <w:bottom w:val="none" w:sz="0" w:space="0" w:color="auto"/>
        <w:right w:val="none" w:sz="0" w:space="0" w:color="auto"/>
      </w:divBdr>
    </w:div>
    <w:div w:id="1259095452">
      <w:bodyDiv w:val="1"/>
      <w:marLeft w:val="0"/>
      <w:marRight w:val="0"/>
      <w:marTop w:val="0"/>
      <w:marBottom w:val="0"/>
      <w:divBdr>
        <w:top w:val="none" w:sz="0" w:space="0" w:color="auto"/>
        <w:left w:val="none" w:sz="0" w:space="0" w:color="auto"/>
        <w:bottom w:val="none" w:sz="0" w:space="0" w:color="auto"/>
        <w:right w:val="none" w:sz="0" w:space="0" w:color="auto"/>
      </w:divBdr>
    </w:div>
    <w:div w:id="1273324377">
      <w:bodyDiv w:val="1"/>
      <w:marLeft w:val="0"/>
      <w:marRight w:val="0"/>
      <w:marTop w:val="0"/>
      <w:marBottom w:val="0"/>
      <w:divBdr>
        <w:top w:val="none" w:sz="0" w:space="0" w:color="auto"/>
        <w:left w:val="none" w:sz="0" w:space="0" w:color="auto"/>
        <w:bottom w:val="none" w:sz="0" w:space="0" w:color="auto"/>
        <w:right w:val="none" w:sz="0" w:space="0" w:color="auto"/>
      </w:divBdr>
    </w:div>
    <w:div w:id="1283804211">
      <w:bodyDiv w:val="1"/>
      <w:marLeft w:val="0"/>
      <w:marRight w:val="0"/>
      <w:marTop w:val="0"/>
      <w:marBottom w:val="0"/>
      <w:divBdr>
        <w:top w:val="none" w:sz="0" w:space="0" w:color="auto"/>
        <w:left w:val="none" w:sz="0" w:space="0" w:color="auto"/>
        <w:bottom w:val="none" w:sz="0" w:space="0" w:color="auto"/>
        <w:right w:val="none" w:sz="0" w:space="0" w:color="auto"/>
      </w:divBdr>
    </w:div>
    <w:div w:id="1288657421">
      <w:bodyDiv w:val="1"/>
      <w:marLeft w:val="0"/>
      <w:marRight w:val="0"/>
      <w:marTop w:val="0"/>
      <w:marBottom w:val="0"/>
      <w:divBdr>
        <w:top w:val="none" w:sz="0" w:space="0" w:color="auto"/>
        <w:left w:val="none" w:sz="0" w:space="0" w:color="auto"/>
        <w:bottom w:val="none" w:sz="0" w:space="0" w:color="auto"/>
        <w:right w:val="none" w:sz="0" w:space="0" w:color="auto"/>
      </w:divBdr>
    </w:div>
    <w:div w:id="1298146660">
      <w:bodyDiv w:val="1"/>
      <w:marLeft w:val="0"/>
      <w:marRight w:val="0"/>
      <w:marTop w:val="0"/>
      <w:marBottom w:val="0"/>
      <w:divBdr>
        <w:top w:val="none" w:sz="0" w:space="0" w:color="auto"/>
        <w:left w:val="none" w:sz="0" w:space="0" w:color="auto"/>
        <w:bottom w:val="none" w:sz="0" w:space="0" w:color="auto"/>
        <w:right w:val="none" w:sz="0" w:space="0" w:color="auto"/>
      </w:divBdr>
    </w:div>
    <w:div w:id="1333486785">
      <w:bodyDiv w:val="1"/>
      <w:marLeft w:val="0"/>
      <w:marRight w:val="0"/>
      <w:marTop w:val="0"/>
      <w:marBottom w:val="0"/>
      <w:divBdr>
        <w:top w:val="none" w:sz="0" w:space="0" w:color="auto"/>
        <w:left w:val="none" w:sz="0" w:space="0" w:color="auto"/>
        <w:bottom w:val="none" w:sz="0" w:space="0" w:color="auto"/>
        <w:right w:val="none" w:sz="0" w:space="0" w:color="auto"/>
      </w:divBdr>
    </w:div>
    <w:div w:id="1335575066">
      <w:bodyDiv w:val="1"/>
      <w:marLeft w:val="0"/>
      <w:marRight w:val="0"/>
      <w:marTop w:val="0"/>
      <w:marBottom w:val="0"/>
      <w:divBdr>
        <w:top w:val="none" w:sz="0" w:space="0" w:color="auto"/>
        <w:left w:val="none" w:sz="0" w:space="0" w:color="auto"/>
        <w:bottom w:val="none" w:sz="0" w:space="0" w:color="auto"/>
        <w:right w:val="none" w:sz="0" w:space="0" w:color="auto"/>
      </w:divBdr>
    </w:div>
    <w:div w:id="1342123429">
      <w:bodyDiv w:val="1"/>
      <w:marLeft w:val="0"/>
      <w:marRight w:val="0"/>
      <w:marTop w:val="0"/>
      <w:marBottom w:val="0"/>
      <w:divBdr>
        <w:top w:val="none" w:sz="0" w:space="0" w:color="auto"/>
        <w:left w:val="none" w:sz="0" w:space="0" w:color="auto"/>
        <w:bottom w:val="none" w:sz="0" w:space="0" w:color="auto"/>
        <w:right w:val="none" w:sz="0" w:space="0" w:color="auto"/>
      </w:divBdr>
    </w:div>
    <w:div w:id="1348293885">
      <w:bodyDiv w:val="1"/>
      <w:marLeft w:val="0"/>
      <w:marRight w:val="0"/>
      <w:marTop w:val="0"/>
      <w:marBottom w:val="0"/>
      <w:divBdr>
        <w:top w:val="none" w:sz="0" w:space="0" w:color="auto"/>
        <w:left w:val="none" w:sz="0" w:space="0" w:color="auto"/>
        <w:bottom w:val="none" w:sz="0" w:space="0" w:color="auto"/>
        <w:right w:val="none" w:sz="0" w:space="0" w:color="auto"/>
      </w:divBdr>
    </w:div>
    <w:div w:id="1349865188">
      <w:bodyDiv w:val="1"/>
      <w:marLeft w:val="0"/>
      <w:marRight w:val="0"/>
      <w:marTop w:val="0"/>
      <w:marBottom w:val="0"/>
      <w:divBdr>
        <w:top w:val="none" w:sz="0" w:space="0" w:color="auto"/>
        <w:left w:val="none" w:sz="0" w:space="0" w:color="auto"/>
        <w:bottom w:val="none" w:sz="0" w:space="0" w:color="auto"/>
        <w:right w:val="none" w:sz="0" w:space="0" w:color="auto"/>
      </w:divBdr>
    </w:div>
    <w:div w:id="1390423239">
      <w:bodyDiv w:val="1"/>
      <w:marLeft w:val="0"/>
      <w:marRight w:val="0"/>
      <w:marTop w:val="0"/>
      <w:marBottom w:val="0"/>
      <w:divBdr>
        <w:top w:val="none" w:sz="0" w:space="0" w:color="auto"/>
        <w:left w:val="none" w:sz="0" w:space="0" w:color="auto"/>
        <w:bottom w:val="none" w:sz="0" w:space="0" w:color="auto"/>
        <w:right w:val="none" w:sz="0" w:space="0" w:color="auto"/>
      </w:divBdr>
    </w:div>
    <w:div w:id="1406756793">
      <w:bodyDiv w:val="1"/>
      <w:marLeft w:val="0"/>
      <w:marRight w:val="0"/>
      <w:marTop w:val="0"/>
      <w:marBottom w:val="0"/>
      <w:divBdr>
        <w:top w:val="none" w:sz="0" w:space="0" w:color="auto"/>
        <w:left w:val="none" w:sz="0" w:space="0" w:color="auto"/>
        <w:bottom w:val="none" w:sz="0" w:space="0" w:color="auto"/>
        <w:right w:val="none" w:sz="0" w:space="0" w:color="auto"/>
      </w:divBdr>
    </w:div>
    <w:div w:id="1412005387">
      <w:bodyDiv w:val="1"/>
      <w:marLeft w:val="0"/>
      <w:marRight w:val="0"/>
      <w:marTop w:val="0"/>
      <w:marBottom w:val="0"/>
      <w:divBdr>
        <w:top w:val="none" w:sz="0" w:space="0" w:color="auto"/>
        <w:left w:val="none" w:sz="0" w:space="0" w:color="auto"/>
        <w:bottom w:val="none" w:sz="0" w:space="0" w:color="auto"/>
        <w:right w:val="none" w:sz="0" w:space="0" w:color="auto"/>
      </w:divBdr>
      <w:divsChild>
        <w:div w:id="948316895">
          <w:marLeft w:val="547"/>
          <w:marRight w:val="0"/>
          <w:marTop w:val="86"/>
          <w:marBottom w:val="240"/>
          <w:divBdr>
            <w:top w:val="none" w:sz="0" w:space="0" w:color="auto"/>
            <w:left w:val="none" w:sz="0" w:space="0" w:color="auto"/>
            <w:bottom w:val="none" w:sz="0" w:space="0" w:color="auto"/>
            <w:right w:val="none" w:sz="0" w:space="0" w:color="auto"/>
          </w:divBdr>
        </w:div>
      </w:divsChild>
    </w:div>
    <w:div w:id="1426072641">
      <w:bodyDiv w:val="1"/>
      <w:marLeft w:val="0"/>
      <w:marRight w:val="0"/>
      <w:marTop w:val="0"/>
      <w:marBottom w:val="0"/>
      <w:divBdr>
        <w:top w:val="none" w:sz="0" w:space="0" w:color="auto"/>
        <w:left w:val="none" w:sz="0" w:space="0" w:color="auto"/>
        <w:bottom w:val="none" w:sz="0" w:space="0" w:color="auto"/>
        <w:right w:val="none" w:sz="0" w:space="0" w:color="auto"/>
      </w:divBdr>
    </w:div>
    <w:div w:id="1427770851">
      <w:bodyDiv w:val="1"/>
      <w:marLeft w:val="0"/>
      <w:marRight w:val="0"/>
      <w:marTop w:val="0"/>
      <w:marBottom w:val="0"/>
      <w:divBdr>
        <w:top w:val="none" w:sz="0" w:space="0" w:color="auto"/>
        <w:left w:val="none" w:sz="0" w:space="0" w:color="auto"/>
        <w:bottom w:val="none" w:sz="0" w:space="0" w:color="auto"/>
        <w:right w:val="none" w:sz="0" w:space="0" w:color="auto"/>
      </w:divBdr>
      <w:divsChild>
        <w:div w:id="2050687292">
          <w:marLeft w:val="0"/>
          <w:marRight w:val="0"/>
          <w:marTop w:val="0"/>
          <w:marBottom w:val="0"/>
          <w:divBdr>
            <w:top w:val="none" w:sz="0" w:space="0" w:color="auto"/>
            <w:left w:val="none" w:sz="0" w:space="0" w:color="auto"/>
            <w:bottom w:val="none" w:sz="0" w:space="0" w:color="auto"/>
            <w:right w:val="none" w:sz="0" w:space="0" w:color="auto"/>
          </w:divBdr>
          <w:divsChild>
            <w:div w:id="1251966968">
              <w:marLeft w:val="0"/>
              <w:marRight w:val="0"/>
              <w:marTop w:val="0"/>
              <w:marBottom w:val="0"/>
              <w:divBdr>
                <w:top w:val="none" w:sz="0" w:space="0" w:color="auto"/>
                <w:left w:val="none" w:sz="0" w:space="0" w:color="auto"/>
                <w:bottom w:val="none" w:sz="0" w:space="0" w:color="auto"/>
                <w:right w:val="none" w:sz="0" w:space="0" w:color="auto"/>
              </w:divBdr>
              <w:divsChild>
                <w:div w:id="1027219337">
                  <w:marLeft w:val="0"/>
                  <w:marRight w:val="0"/>
                  <w:marTop w:val="0"/>
                  <w:marBottom w:val="0"/>
                  <w:divBdr>
                    <w:top w:val="none" w:sz="0" w:space="0" w:color="auto"/>
                    <w:left w:val="none" w:sz="0" w:space="0" w:color="auto"/>
                    <w:bottom w:val="none" w:sz="0" w:space="0" w:color="auto"/>
                    <w:right w:val="none" w:sz="0" w:space="0" w:color="auto"/>
                  </w:divBdr>
                  <w:divsChild>
                    <w:div w:id="355932407">
                      <w:marLeft w:val="0"/>
                      <w:marRight w:val="0"/>
                      <w:marTop w:val="0"/>
                      <w:marBottom w:val="0"/>
                      <w:divBdr>
                        <w:top w:val="none" w:sz="0" w:space="0" w:color="auto"/>
                        <w:left w:val="none" w:sz="0" w:space="0" w:color="auto"/>
                        <w:bottom w:val="none" w:sz="0" w:space="0" w:color="auto"/>
                        <w:right w:val="none" w:sz="0" w:space="0" w:color="auto"/>
                      </w:divBdr>
                      <w:divsChild>
                        <w:div w:id="880241435">
                          <w:marLeft w:val="0"/>
                          <w:marRight w:val="0"/>
                          <w:marTop w:val="0"/>
                          <w:marBottom w:val="0"/>
                          <w:divBdr>
                            <w:top w:val="none" w:sz="0" w:space="0" w:color="auto"/>
                            <w:left w:val="none" w:sz="0" w:space="0" w:color="auto"/>
                            <w:bottom w:val="none" w:sz="0" w:space="0" w:color="auto"/>
                            <w:right w:val="none" w:sz="0" w:space="0" w:color="auto"/>
                          </w:divBdr>
                          <w:divsChild>
                            <w:div w:id="17087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228957">
      <w:bodyDiv w:val="1"/>
      <w:marLeft w:val="0"/>
      <w:marRight w:val="0"/>
      <w:marTop w:val="0"/>
      <w:marBottom w:val="0"/>
      <w:divBdr>
        <w:top w:val="none" w:sz="0" w:space="0" w:color="auto"/>
        <w:left w:val="none" w:sz="0" w:space="0" w:color="auto"/>
        <w:bottom w:val="none" w:sz="0" w:space="0" w:color="auto"/>
        <w:right w:val="none" w:sz="0" w:space="0" w:color="auto"/>
      </w:divBdr>
    </w:div>
    <w:div w:id="1447891228">
      <w:bodyDiv w:val="1"/>
      <w:marLeft w:val="0"/>
      <w:marRight w:val="0"/>
      <w:marTop w:val="0"/>
      <w:marBottom w:val="0"/>
      <w:divBdr>
        <w:top w:val="none" w:sz="0" w:space="0" w:color="auto"/>
        <w:left w:val="none" w:sz="0" w:space="0" w:color="auto"/>
        <w:bottom w:val="none" w:sz="0" w:space="0" w:color="auto"/>
        <w:right w:val="none" w:sz="0" w:space="0" w:color="auto"/>
      </w:divBdr>
    </w:div>
    <w:div w:id="1448700346">
      <w:bodyDiv w:val="1"/>
      <w:marLeft w:val="0"/>
      <w:marRight w:val="0"/>
      <w:marTop w:val="0"/>
      <w:marBottom w:val="0"/>
      <w:divBdr>
        <w:top w:val="none" w:sz="0" w:space="0" w:color="auto"/>
        <w:left w:val="none" w:sz="0" w:space="0" w:color="auto"/>
        <w:bottom w:val="none" w:sz="0" w:space="0" w:color="auto"/>
        <w:right w:val="none" w:sz="0" w:space="0" w:color="auto"/>
      </w:divBdr>
    </w:div>
    <w:div w:id="1450857569">
      <w:bodyDiv w:val="1"/>
      <w:marLeft w:val="0"/>
      <w:marRight w:val="0"/>
      <w:marTop w:val="0"/>
      <w:marBottom w:val="0"/>
      <w:divBdr>
        <w:top w:val="none" w:sz="0" w:space="0" w:color="auto"/>
        <w:left w:val="none" w:sz="0" w:space="0" w:color="auto"/>
        <w:bottom w:val="none" w:sz="0" w:space="0" w:color="auto"/>
        <w:right w:val="none" w:sz="0" w:space="0" w:color="auto"/>
      </w:divBdr>
    </w:div>
    <w:div w:id="1473136946">
      <w:bodyDiv w:val="1"/>
      <w:marLeft w:val="0"/>
      <w:marRight w:val="0"/>
      <w:marTop w:val="0"/>
      <w:marBottom w:val="0"/>
      <w:divBdr>
        <w:top w:val="none" w:sz="0" w:space="0" w:color="auto"/>
        <w:left w:val="none" w:sz="0" w:space="0" w:color="auto"/>
        <w:bottom w:val="none" w:sz="0" w:space="0" w:color="auto"/>
        <w:right w:val="none" w:sz="0" w:space="0" w:color="auto"/>
      </w:divBdr>
    </w:div>
    <w:div w:id="1479300565">
      <w:bodyDiv w:val="1"/>
      <w:marLeft w:val="0"/>
      <w:marRight w:val="0"/>
      <w:marTop w:val="0"/>
      <w:marBottom w:val="0"/>
      <w:divBdr>
        <w:top w:val="none" w:sz="0" w:space="0" w:color="auto"/>
        <w:left w:val="none" w:sz="0" w:space="0" w:color="auto"/>
        <w:bottom w:val="none" w:sz="0" w:space="0" w:color="auto"/>
        <w:right w:val="none" w:sz="0" w:space="0" w:color="auto"/>
      </w:divBdr>
      <w:divsChild>
        <w:div w:id="1865049120">
          <w:marLeft w:val="547"/>
          <w:marRight w:val="0"/>
          <w:marTop w:val="115"/>
          <w:marBottom w:val="240"/>
          <w:divBdr>
            <w:top w:val="none" w:sz="0" w:space="0" w:color="auto"/>
            <w:left w:val="none" w:sz="0" w:space="0" w:color="auto"/>
            <w:bottom w:val="none" w:sz="0" w:space="0" w:color="auto"/>
            <w:right w:val="none" w:sz="0" w:space="0" w:color="auto"/>
          </w:divBdr>
        </w:div>
      </w:divsChild>
    </w:div>
    <w:div w:id="1526210502">
      <w:bodyDiv w:val="1"/>
      <w:marLeft w:val="0"/>
      <w:marRight w:val="0"/>
      <w:marTop w:val="0"/>
      <w:marBottom w:val="0"/>
      <w:divBdr>
        <w:top w:val="none" w:sz="0" w:space="0" w:color="auto"/>
        <w:left w:val="none" w:sz="0" w:space="0" w:color="auto"/>
        <w:bottom w:val="none" w:sz="0" w:space="0" w:color="auto"/>
        <w:right w:val="none" w:sz="0" w:space="0" w:color="auto"/>
      </w:divBdr>
    </w:div>
    <w:div w:id="1530534614">
      <w:bodyDiv w:val="1"/>
      <w:marLeft w:val="0"/>
      <w:marRight w:val="0"/>
      <w:marTop w:val="0"/>
      <w:marBottom w:val="0"/>
      <w:divBdr>
        <w:top w:val="none" w:sz="0" w:space="0" w:color="auto"/>
        <w:left w:val="none" w:sz="0" w:space="0" w:color="auto"/>
        <w:bottom w:val="none" w:sz="0" w:space="0" w:color="auto"/>
        <w:right w:val="none" w:sz="0" w:space="0" w:color="auto"/>
      </w:divBdr>
    </w:div>
    <w:div w:id="1531457816">
      <w:bodyDiv w:val="1"/>
      <w:marLeft w:val="0"/>
      <w:marRight w:val="0"/>
      <w:marTop w:val="0"/>
      <w:marBottom w:val="0"/>
      <w:divBdr>
        <w:top w:val="none" w:sz="0" w:space="0" w:color="auto"/>
        <w:left w:val="none" w:sz="0" w:space="0" w:color="auto"/>
        <w:bottom w:val="none" w:sz="0" w:space="0" w:color="auto"/>
        <w:right w:val="none" w:sz="0" w:space="0" w:color="auto"/>
      </w:divBdr>
    </w:div>
    <w:div w:id="1552574685">
      <w:bodyDiv w:val="1"/>
      <w:marLeft w:val="0"/>
      <w:marRight w:val="0"/>
      <w:marTop w:val="0"/>
      <w:marBottom w:val="0"/>
      <w:divBdr>
        <w:top w:val="none" w:sz="0" w:space="0" w:color="auto"/>
        <w:left w:val="none" w:sz="0" w:space="0" w:color="auto"/>
        <w:bottom w:val="none" w:sz="0" w:space="0" w:color="auto"/>
        <w:right w:val="none" w:sz="0" w:space="0" w:color="auto"/>
      </w:divBdr>
    </w:div>
    <w:div w:id="1566379579">
      <w:bodyDiv w:val="1"/>
      <w:marLeft w:val="0"/>
      <w:marRight w:val="0"/>
      <w:marTop w:val="0"/>
      <w:marBottom w:val="0"/>
      <w:divBdr>
        <w:top w:val="none" w:sz="0" w:space="0" w:color="auto"/>
        <w:left w:val="none" w:sz="0" w:space="0" w:color="auto"/>
        <w:bottom w:val="none" w:sz="0" w:space="0" w:color="auto"/>
        <w:right w:val="none" w:sz="0" w:space="0" w:color="auto"/>
      </w:divBdr>
      <w:divsChild>
        <w:div w:id="46805189">
          <w:marLeft w:val="1166"/>
          <w:marRight w:val="0"/>
          <w:marTop w:val="0"/>
          <w:marBottom w:val="0"/>
          <w:divBdr>
            <w:top w:val="none" w:sz="0" w:space="0" w:color="auto"/>
            <w:left w:val="none" w:sz="0" w:space="0" w:color="auto"/>
            <w:bottom w:val="none" w:sz="0" w:space="0" w:color="auto"/>
            <w:right w:val="none" w:sz="0" w:space="0" w:color="auto"/>
          </w:divBdr>
        </w:div>
        <w:div w:id="57753686">
          <w:marLeft w:val="1166"/>
          <w:marRight w:val="0"/>
          <w:marTop w:val="0"/>
          <w:marBottom w:val="0"/>
          <w:divBdr>
            <w:top w:val="none" w:sz="0" w:space="0" w:color="auto"/>
            <w:left w:val="none" w:sz="0" w:space="0" w:color="auto"/>
            <w:bottom w:val="none" w:sz="0" w:space="0" w:color="auto"/>
            <w:right w:val="none" w:sz="0" w:space="0" w:color="auto"/>
          </w:divBdr>
        </w:div>
        <w:div w:id="345596059">
          <w:marLeft w:val="446"/>
          <w:marRight w:val="0"/>
          <w:marTop w:val="0"/>
          <w:marBottom w:val="0"/>
          <w:divBdr>
            <w:top w:val="none" w:sz="0" w:space="0" w:color="auto"/>
            <w:left w:val="none" w:sz="0" w:space="0" w:color="auto"/>
            <w:bottom w:val="none" w:sz="0" w:space="0" w:color="auto"/>
            <w:right w:val="none" w:sz="0" w:space="0" w:color="auto"/>
          </w:divBdr>
        </w:div>
        <w:div w:id="659891192">
          <w:marLeft w:val="1166"/>
          <w:marRight w:val="0"/>
          <w:marTop w:val="0"/>
          <w:marBottom w:val="0"/>
          <w:divBdr>
            <w:top w:val="none" w:sz="0" w:space="0" w:color="auto"/>
            <w:left w:val="none" w:sz="0" w:space="0" w:color="auto"/>
            <w:bottom w:val="none" w:sz="0" w:space="0" w:color="auto"/>
            <w:right w:val="none" w:sz="0" w:space="0" w:color="auto"/>
          </w:divBdr>
        </w:div>
        <w:div w:id="1726027607">
          <w:marLeft w:val="446"/>
          <w:marRight w:val="0"/>
          <w:marTop w:val="0"/>
          <w:marBottom w:val="0"/>
          <w:divBdr>
            <w:top w:val="none" w:sz="0" w:space="0" w:color="auto"/>
            <w:left w:val="none" w:sz="0" w:space="0" w:color="auto"/>
            <w:bottom w:val="none" w:sz="0" w:space="0" w:color="auto"/>
            <w:right w:val="none" w:sz="0" w:space="0" w:color="auto"/>
          </w:divBdr>
        </w:div>
        <w:div w:id="2004429662">
          <w:marLeft w:val="446"/>
          <w:marRight w:val="0"/>
          <w:marTop w:val="0"/>
          <w:marBottom w:val="0"/>
          <w:divBdr>
            <w:top w:val="none" w:sz="0" w:space="0" w:color="auto"/>
            <w:left w:val="none" w:sz="0" w:space="0" w:color="auto"/>
            <w:bottom w:val="none" w:sz="0" w:space="0" w:color="auto"/>
            <w:right w:val="none" w:sz="0" w:space="0" w:color="auto"/>
          </w:divBdr>
        </w:div>
        <w:div w:id="2126269347">
          <w:marLeft w:val="1166"/>
          <w:marRight w:val="0"/>
          <w:marTop w:val="0"/>
          <w:marBottom w:val="0"/>
          <w:divBdr>
            <w:top w:val="none" w:sz="0" w:space="0" w:color="auto"/>
            <w:left w:val="none" w:sz="0" w:space="0" w:color="auto"/>
            <w:bottom w:val="none" w:sz="0" w:space="0" w:color="auto"/>
            <w:right w:val="none" w:sz="0" w:space="0" w:color="auto"/>
          </w:divBdr>
        </w:div>
      </w:divsChild>
    </w:div>
    <w:div w:id="1588685143">
      <w:bodyDiv w:val="1"/>
      <w:marLeft w:val="0"/>
      <w:marRight w:val="0"/>
      <w:marTop w:val="0"/>
      <w:marBottom w:val="0"/>
      <w:divBdr>
        <w:top w:val="none" w:sz="0" w:space="0" w:color="auto"/>
        <w:left w:val="none" w:sz="0" w:space="0" w:color="auto"/>
        <w:bottom w:val="none" w:sz="0" w:space="0" w:color="auto"/>
        <w:right w:val="none" w:sz="0" w:space="0" w:color="auto"/>
      </w:divBdr>
    </w:div>
    <w:div w:id="1589846067">
      <w:bodyDiv w:val="1"/>
      <w:marLeft w:val="0"/>
      <w:marRight w:val="0"/>
      <w:marTop w:val="0"/>
      <w:marBottom w:val="0"/>
      <w:divBdr>
        <w:top w:val="none" w:sz="0" w:space="0" w:color="auto"/>
        <w:left w:val="none" w:sz="0" w:space="0" w:color="auto"/>
        <w:bottom w:val="none" w:sz="0" w:space="0" w:color="auto"/>
        <w:right w:val="none" w:sz="0" w:space="0" w:color="auto"/>
      </w:divBdr>
      <w:divsChild>
        <w:div w:id="1043286741">
          <w:marLeft w:val="0"/>
          <w:marRight w:val="0"/>
          <w:marTop w:val="0"/>
          <w:marBottom w:val="0"/>
          <w:divBdr>
            <w:top w:val="none" w:sz="0" w:space="0" w:color="auto"/>
            <w:left w:val="none" w:sz="0" w:space="0" w:color="auto"/>
            <w:bottom w:val="none" w:sz="0" w:space="0" w:color="auto"/>
            <w:right w:val="none" w:sz="0" w:space="0" w:color="auto"/>
          </w:divBdr>
          <w:divsChild>
            <w:div w:id="1262374369">
              <w:marLeft w:val="0"/>
              <w:marRight w:val="0"/>
              <w:marTop w:val="0"/>
              <w:marBottom w:val="0"/>
              <w:divBdr>
                <w:top w:val="none" w:sz="0" w:space="0" w:color="auto"/>
                <w:left w:val="none" w:sz="0" w:space="0" w:color="auto"/>
                <w:bottom w:val="none" w:sz="0" w:space="0" w:color="auto"/>
                <w:right w:val="none" w:sz="0" w:space="0" w:color="auto"/>
              </w:divBdr>
              <w:divsChild>
                <w:div w:id="1183978486">
                  <w:marLeft w:val="0"/>
                  <w:marRight w:val="0"/>
                  <w:marTop w:val="0"/>
                  <w:marBottom w:val="0"/>
                  <w:divBdr>
                    <w:top w:val="none" w:sz="0" w:space="0" w:color="auto"/>
                    <w:left w:val="none" w:sz="0" w:space="0" w:color="auto"/>
                    <w:bottom w:val="none" w:sz="0" w:space="0" w:color="auto"/>
                    <w:right w:val="none" w:sz="0" w:space="0" w:color="auto"/>
                  </w:divBdr>
                  <w:divsChild>
                    <w:div w:id="978337107">
                      <w:marLeft w:val="0"/>
                      <w:marRight w:val="0"/>
                      <w:marTop w:val="0"/>
                      <w:marBottom w:val="90"/>
                      <w:divBdr>
                        <w:top w:val="none" w:sz="0" w:space="0" w:color="auto"/>
                        <w:left w:val="none" w:sz="0" w:space="0" w:color="auto"/>
                        <w:bottom w:val="none" w:sz="0" w:space="0" w:color="auto"/>
                        <w:right w:val="none" w:sz="0" w:space="0" w:color="auto"/>
                      </w:divBdr>
                      <w:divsChild>
                        <w:div w:id="2077126795">
                          <w:marLeft w:val="0"/>
                          <w:marRight w:val="90"/>
                          <w:marTop w:val="0"/>
                          <w:marBottom w:val="0"/>
                          <w:divBdr>
                            <w:top w:val="single" w:sz="48" w:space="10" w:color="464646"/>
                            <w:left w:val="single" w:sz="48" w:space="15" w:color="464646"/>
                            <w:bottom w:val="single" w:sz="48" w:space="0" w:color="464646"/>
                            <w:right w:val="single" w:sz="48" w:space="15" w:color="464646"/>
                          </w:divBdr>
                          <w:divsChild>
                            <w:div w:id="2708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363488">
      <w:bodyDiv w:val="1"/>
      <w:marLeft w:val="0"/>
      <w:marRight w:val="0"/>
      <w:marTop w:val="0"/>
      <w:marBottom w:val="0"/>
      <w:divBdr>
        <w:top w:val="none" w:sz="0" w:space="0" w:color="auto"/>
        <w:left w:val="none" w:sz="0" w:space="0" w:color="auto"/>
        <w:bottom w:val="none" w:sz="0" w:space="0" w:color="auto"/>
        <w:right w:val="none" w:sz="0" w:space="0" w:color="auto"/>
      </w:divBdr>
    </w:div>
    <w:div w:id="1597246051">
      <w:bodyDiv w:val="1"/>
      <w:marLeft w:val="0"/>
      <w:marRight w:val="0"/>
      <w:marTop w:val="0"/>
      <w:marBottom w:val="0"/>
      <w:divBdr>
        <w:top w:val="none" w:sz="0" w:space="0" w:color="auto"/>
        <w:left w:val="none" w:sz="0" w:space="0" w:color="auto"/>
        <w:bottom w:val="none" w:sz="0" w:space="0" w:color="auto"/>
        <w:right w:val="none" w:sz="0" w:space="0" w:color="auto"/>
      </w:divBdr>
    </w:div>
    <w:div w:id="1607038987">
      <w:bodyDiv w:val="1"/>
      <w:marLeft w:val="0"/>
      <w:marRight w:val="0"/>
      <w:marTop w:val="0"/>
      <w:marBottom w:val="0"/>
      <w:divBdr>
        <w:top w:val="none" w:sz="0" w:space="0" w:color="auto"/>
        <w:left w:val="none" w:sz="0" w:space="0" w:color="auto"/>
        <w:bottom w:val="none" w:sz="0" w:space="0" w:color="auto"/>
        <w:right w:val="none" w:sz="0" w:space="0" w:color="auto"/>
      </w:divBdr>
      <w:divsChild>
        <w:div w:id="537938785">
          <w:marLeft w:val="0"/>
          <w:marRight w:val="0"/>
          <w:marTop w:val="0"/>
          <w:marBottom w:val="0"/>
          <w:divBdr>
            <w:top w:val="none" w:sz="0" w:space="0" w:color="auto"/>
            <w:left w:val="none" w:sz="0" w:space="0" w:color="auto"/>
            <w:bottom w:val="none" w:sz="0" w:space="0" w:color="auto"/>
            <w:right w:val="none" w:sz="0" w:space="0" w:color="auto"/>
          </w:divBdr>
          <w:divsChild>
            <w:div w:id="161749768">
              <w:marLeft w:val="0"/>
              <w:marRight w:val="0"/>
              <w:marTop w:val="0"/>
              <w:marBottom w:val="0"/>
              <w:divBdr>
                <w:top w:val="none" w:sz="0" w:space="0" w:color="auto"/>
                <w:left w:val="none" w:sz="0" w:space="0" w:color="auto"/>
                <w:bottom w:val="none" w:sz="0" w:space="0" w:color="auto"/>
                <w:right w:val="none" w:sz="0" w:space="0" w:color="auto"/>
              </w:divBdr>
              <w:divsChild>
                <w:div w:id="1757168361">
                  <w:marLeft w:val="0"/>
                  <w:marRight w:val="0"/>
                  <w:marTop w:val="0"/>
                  <w:marBottom w:val="0"/>
                  <w:divBdr>
                    <w:top w:val="none" w:sz="0" w:space="0" w:color="auto"/>
                    <w:left w:val="none" w:sz="0" w:space="0" w:color="auto"/>
                    <w:bottom w:val="none" w:sz="0" w:space="0" w:color="auto"/>
                    <w:right w:val="none" w:sz="0" w:space="0" w:color="auto"/>
                  </w:divBdr>
                  <w:divsChild>
                    <w:div w:id="13842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17887">
      <w:bodyDiv w:val="1"/>
      <w:marLeft w:val="0"/>
      <w:marRight w:val="0"/>
      <w:marTop w:val="0"/>
      <w:marBottom w:val="0"/>
      <w:divBdr>
        <w:top w:val="none" w:sz="0" w:space="0" w:color="auto"/>
        <w:left w:val="none" w:sz="0" w:space="0" w:color="auto"/>
        <w:bottom w:val="none" w:sz="0" w:space="0" w:color="auto"/>
        <w:right w:val="none" w:sz="0" w:space="0" w:color="auto"/>
      </w:divBdr>
    </w:div>
    <w:div w:id="1670786078">
      <w:bodyDiv w:val="1"/>
      <w:marLeft w:val="0"/>
      <w:marRight w:val="0"/>
      <w:marTop w:val="0"/>
      <w:marBottom w:val="0"/>
      <w:divBdr>
        <w:top w:val="none" w:sz="0" w:space="0" w:color="auto"/>
        <w:left w:val="none" w:sz="0" w:space="0" w:color="auto"/>
        <w:bottom w:val="none" w:sz="0" w:space="0" w:color="auto"/>
        <w:right w:val="none" w:sz="0" w:space="0" w:color="auto"/>
      </w:divBdr>
    </w:div>
    <w:div w:id="1682127788">
      <w:bodyDiv w:val="1"/>
      <w:marLeft w:val="0"/>
      <w:marRight w:val="0"/>
      <w:marTop w:val="0"/>
      <w:marBottom w:val="0"/>
      <w:divBdr>
        <w:top w:val="none" w:sz="0" w:space="0" w:color="auto"/>
        <w:left w:val="none" w:sz="0" w:space="0" w:color="auto"/>
        <w:bottom w:val="none" w:sz="0" w:space="0" w:color="auto"/>
        <w:right w:val="none" w:sz="0" w:space="0" w:color="auto"/>
      </w:divBdr>
    </w:div>
    <w:div w:id="1686439032">
      <w:bodyDiv w:val="1"/>
      <w:marLeft w:val="0"/>
      <w:marRight w:val="0"/>
      <w:marTop w:val="0"/>
      <w:marBottom w:val="0"/>
      <w:divBdr>
        <w:top w:val="none" w:sz="0" w:space="0" w:color="auto"/>
        <w:left w:val="none" w:sz="0" w:space="0" w:color="auto"/>
        <w:bottom w:val="none" w:sz="0" w:space="0" w:color="auto"/>
        <w:right w:val="none" w:sz="0" w:space="0" w:color="auto"/>
      </w:divBdr>
    </w:div>
    <w:div w:id="1707294003">
      <w:bodyDiv w:val="1"/>
      <w:marLeft w:val="0"/>
      <w:marRight w:val="0"/>
      <w:marTop w:val="0"/>
      <w:marBottom w:val="0"/>
      <w:divBdr>
        <w:top w:val="none" w:sz="0" w:space="0" w:color="auto"/>
        <w:left w:val="none" w:sz="0" w:space="0" w:color="auto"/>
        <w:bottom w:val="none" w:sz="0" w:space="0" w:color="auto"/>
        <w:right w:val="none" w:sz="0" w:space="0" w:color="auto"/>
      </w:divBdr>
    </w:div>
    <w:div w:id="1710101962">
      <w:bodyDiv w:val="1"/>
      <w:marLeft w:val="0"/>
      <w:marRight w:val="0"/>
      <w:marTop w:val="0"/>
      <w:marBottom w:val="0"/>
      <w:divBdr>
        <w:top w:val="none" w:sz="0" w:space="0" w:color="auto"/>
        <w:left w:val="none" w:sz="0" w:space="0" w:color="auto"/>
        <w:bottom w:val="none" w:sz="0" w:space="0" w:color="auto"/>
        <w:right w:val="none" w:sz="0" w:space="0" w:color="auto"/>
      </w:divBdr>
    </w:div>
    <w:div w:id="1717853116">
      <w:bodyDiv w:val="1"/>
      <w:marLeft w:val="0"/>
      <w:marRight w:val="0"/>
      <w:marTop w:val="0"/>
      <w:marBottom w:val="0"/>
      <w:divBdr>
        <w:top w:val="none" w:sz="0" w:space="0" w:color="auto"/>
        <w:left w:val="none" w:sz="0" w:space="0" w:color="auto"/>
        <w:bottom w:val="none" w:sz="0" w:space="0" w:color="auto"/>
        <w:right w:val="none" w:sz="0" w:space="0" w:color="auto"/>
      </w:divBdr>
    </w:div>
    <w:div w:id="1752966994">
      <w:bodyDiv w:val="1"/>
      <w:marLeft w:val="0"/>
      <w:marRight w:val="0"/>
      <w:marTop w:val="0"/>
      <w:marBottom w:val="0"/>
      <w:divBdr>
        <w:top w:val="none" w:sz="0" w:space="0" w:color="auto"/>
        <w:left w:val="none" w:sz="0" w:space="0" w:color="auto"/>
        <w:bottom w:val="none" w:sz="0" w:space="0" w:color="auto"/>
        <w:right w:val="none" w:sz="0" w:space="0" w:color="auto"/>
      </w:divBdr>
      <w:divsChild>
        <w:div w:id="1250233891">
          <w:marLeft w:val="0"/>
          <w:marRight w:val="0"/>
          <w:marTop w:val="0"/>
          <w:marBottom w:val="0"/>
          <w:divBdr>
            <w:top w:val="none" w:sz="0" w:space="0" w:color="auto"/>
            <w:left w:val="none" w:sz="0" w:space="0" w:color="auto"/>
            <w:bottom w:val="none" w:sz="0" w:space="0" w:color="auto"/>
            <w:right w:val="none" w:sz="0" w:space="0" w:color="auto"/>
          </w:divBdr>
          <w:divsChild>
            <w:div w:id="1247963282">
              <w:marLeft w:val="0"/>
              <w:marRight w:val="0"/>
              <w:marTop w:val="0"/>
              <w:marBottom w:val="0"/>
              <w:divBdr>
                <w:top w:val="none" w:sz="0" w:space="0" w:color="auto"/>
                <w:left w:val="none" w:sz="0" w:space="0" w:color="auto"/>
                <w:bottom w:val="none" w:sz="0" w:space="0" w:color="auto"/>
                <w:right w:val="none" w:sz="0" w:space="0" w:color="auto"/>
              </w:divBdr>
              <w:divsChild>
                <w:div w:id="1306082310">
                  <w:marLeft w:val="0"/>
                  <w:marRight w:val="0"/>
                  <w:marTop w:val="0"/>
                  <w:marBottom w:val="0"/>
                  <w:divBdr>
                    <w:top w:val="none" w:sz="0" w:space="0" w:color="auto"/>
                    <w:left w:val="none" w:sz="0" w:space="0" w:color="auto"/>
                    <w:bottom w:val="none" w:sz="0" w:space="0" w:color="auto"/>
                    <w:right w:val="none" w:sz="0" w:space="0" w:color="auto"/>
                  </w:divBdr>
                  <w:divsChild>
                    <w:div w:id="1881626872">
                      <w:marLeft w:val="2"/>
                      <w:marRight w:val="0"/>
                      <w:marTop w:val="0"/>
                      <w:marBottom w:val="0"/>
                      <w:divBdr>
                        <w:top w:val="none" w:sz="0" w:space="0" w:color="auto"/>
                        <w:left w:val="none" w:sz="0" w:space="0" w:color="auto"/>
                        <w:bottom w:val="none" w:sz="0" w:space="0" w:color="auto"/>
                        <w:right w:val="none" w:sz="0" w:space="0" w:color="auto"/>
                      </w:divBdr>
                      <w:divsChild>
                        <w:div w:id="1341007711">
                          <w:marLeft w:val="0"/>
                          <w:marRight w:val="0"/>
                          <w:marTop w:val="0"/>
                          <w:marBottom w:val="0"/>
                          <w:divBdr>
                            <w:top w:val="none" w:sz="0" w:space="0" w:color="auto"/>
                            <w:left w:val="none" w:sz="0" w:space="0" w:color="auto"/>
                            <w:bottom w:val="none" w:sz="0" w:space="0" w:color="auto"/>
                            <w:right w:val="none" w:sz="0" w:space="0" w:color="auto"/>
                          </w:divBdr>
                          <w:divsChild>
                            <w:div w:id="856696213">
                              <w:marLeft w:val="2"/>
                              <w:marRight w:val="0"/>
                              <w:marTop w:val="0"/>
                              <w:marBottom w:val="0"/>
                              <w:divBdr>
                                <w:top w:val="none" w:sz="0" w:space="0" w:color="auto"/>
                                <w:left w:val="none" w:sz="0" w:space="0" w:color="auto"/>
                                <w:bottom w:val="none" w:sz="0" w:space="0" w:color="auto"/>
                                <w:right w:val="none" w:sz="0" w:space="0" w:color="auto"/>
                              </w:divBdr>
                              <w:divsChild>
                                <w:div w:id="2715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940777">
      <w:bodyDiv w:val="1"/>
      <w:marLeft w:val="0"/>
      <w:marRight w:val="0"/>
      <w:marTop w:val="0"/>
      <w:marBottom w:val="0"/>
      <w:divBdr>
        <w:top w:val="none" w:sz="0" w:space="0" w:color="auto"/>
        <w:left w:val="none" w:sz="0" w:space="0" w:color="auto"/>
        <w:bottom w:val="none" w:sz="0" w:space="0" w:color="auto"/>
        <w:right w:val="none" w:sz="0" w:space="0" w:color="auto"/>
      </w:divBdr>
    </w:div>
    <w:div w:id="1813136843">
      <w:bodyDiv w:val="1"/>
      <w:marLeft w:val="0"/>
      <w:marRight w:val="0"/>
      <w:marTop w:val="0"/>
      <w:marBottom w:val="0"/>
      <w:divBdr>
        <w:top w:val="none" w:sz="0" w:space="0" w:color="auto"/>
        <w:left w:val="none" w:sz="0" w:space="0" w:color="auto"/>
        <w:bottom w:val="none" w:sz="0" w:space="0" w:color="auto"/>
        <w:right w:val="none" w:sz="0" w:space="0" w:color="auto"/>
      </w:divBdr>
    </w:div>
    <w:div w:id="1816872900">
      <w:bodyDiv w:val="1"/>
      <w:marLeft w:val="0"/>
      <w:marRight w:val="0"/>
      <w:marTop w:val="0"/>
      <w:marBottom w:val="0"/>
      <w:divBdr>
        <w:top w:val="none" w:sz="0" w:space="0" w:color="auto"/>
        <w:left w:val="none" w:sz="0" w:space="0" w:color="auto"/>
        <w:bottom w:val="none" w:sz="0" w:space="0" w:color="auto"/>
        <w:right w:val="none" w:sz="0" w:space="0" w:color="auto"/>
      </w:divBdr>
    </w:div>
    <w:div w:id="1819153926">
      <w:bodyDiv w:val="1"/>
      <w:marLeft w:val="0"/>
      <w:marRight w:val="0"/>
      <w:marTop w:val="0"/>
      <w:marBottom w:val="0"/>
      <w:divBdr>
        <w:top w:val="none" w:sz="0" w:space="0" w:color="auto"/>
        <w:left w:val="none" w:sz="0" w:space="0" w:color="auto"/>
        <w:bottom w:val="none" w:sz="0" w:space="0" w:color="auto"/>
        <w:right w:val="none" w:sz="0" w:space="0" w:color="auto"/>
      </w:divBdr>
    </w:div>
    <w:div w:id="1875536061">
      <w:bodyDiv w:val="1"/>
      <w:marLeft w:val="0"/>
      <w:marRight w:val="0"/>
      <w:marTop w:val="0"/>
      <w:marBottom w:val="0"/>
      <w:divBdr>
        <w:top w:val="none" w:sz="0" w:space="0" w:color="auto"/>
        <w:left w:val="none" w:sz="0" w:space="0" w:color="auto"/>
        <w:bottom w:val="none" w:sz="0" w:space="0" w:color="auto"/>
        <w:right w:val="none" w:sz="0" w:space="0" w:color="auto"/>
      </w:divBdr>
    </w:div>
    <w:div w:id="1932540813">
      <w:bodyDiv w:val="1"/>
      <w:marLeft w:val="0"/>
      <w:marRight w:val="0"/>
      <w:marTop w:val="0"/>
      <w:marBottom w:val="0"/>
      <w:divBdr>
        <w:top w:val="none" w:sz="0" w:space="0" w:color="auto"/>
        <w:left w:val="none" w:sz="0" w:space="0" w:color="auto"/>
        <w:bottom w:val="none" w:sz="0" w:space="0" w:color="auto"/>
        <w:right w:val="none" w:sz="0" w:space="0" w:color="auto"/>
      </w:divBdr>
    </w:div>
    <w:div w:id="1936547961">
      <w:bodyDiv w:val="1"/>
      <w:marLeft w:val="0"/>
      <w:marRight w:val="0"/>
      <w:marTop w:val="0"/>
      <w:marBottom w:val="0"/>
      <w:divBdr>
        <w:top w:val="none" w:sz="0" w:space="0" w:color="auto"/>
        <w:left w:val="none" w:sz="0" w:space="0" w:color="auto"/>
        <w:bottom w:val="none" w:sz="0" w:space="0" w:color="auto"/>
        <w:right w:val="none" w:sz="0" w:space="0" w:color="auto"/>
      </w:divBdr>
    </w:div>
    <w:div w:id="1952860233">
      <w:bodyDiv w:val="1"/>
      <w:marLeft w:val="0"/>
      <w:marRight w:val="0"/>
      <w:marTop w:val="0"/>
      <w:marBottom w:val="0"/>
      <w:divBdr>
        <w:top w:val="none" w:sz="0" w:space="0" w:color="auto"/>
        <w:left w:val="none" w:sz="0" w:space="0" w:color="auto"/>
        <w:bottom w:val="none" w:sz="0" w:space="0" w:color="auto"/>
        <w:right w:val="none" w:sz="0" w:space="0" w:color="auto"/>
      </w:divBdr>
    </w:div>
    <w:div w:id="1956057160">
      <w:bodyDiv w:val="1"/>
      <w:marLeft w:val="0"/>
      <w:marRight w:val="0"/>
      <w:marTop w:val="0"/>
      <w:marBottom w:val="0"/>
      <w:divBdr>
        <w:top w:val="none" w:sz="0" w:space="0" w:color="auto"/>
        <w:left w:val="none" w:sz="0" w:space="0" w:color="auto"/>
        <w:bottom w:val="none" w:sz="0" w:space="0" w:color="auto"/>
        <w:right w:val="none" w:sz="0" w:space="0" w:color="auto"/>
      </w:divBdr>
    </w:div>
    <w:div w:id="1964267138">
      <w:bodyDiv w:val="1"/>
      <w:marLeft w:val="0"/>
      <w:marRight w:val="0"/>
      <w:marTop w:val="0"/>
      <w:marBottom w:val="0"/>
      <w:divBdr>
        <w:top w:val="none" w:sz="0" w:space="0" w:color="auto"/>
        <w:left w:val="none" w:sz="0" w:space="0" w:color="auto"/>
        <w:bottom w:val="none" w:sz="0" w:space="0" w:color="auto"/>
        <w:right w:val="none" w:sz="0" w:space="0" w:color="auto"/>
      </w:divBdr>
    </w:div>
    <w:div w:id="1990741924">
      <w:bodyDiv w:val="1"/>
      <w:marLeft w:val="0"/>
      <w:marRight w:val="0"/>
      <w:marTop w:val="0"/>
      <w:marBottom w:val="0"/>
      <w:divBdr>
        <w:top w:val="none" w:sz="0" w:space="0" w:color="auto"/>
        <w:left w:val="none" w:sz="0" w:space="0" w:color="auto"/>
        <w:bottom w:val="none" w:sz="0" w:space="0" w:color="auto"/>
        <w:right w:val="none" w:sz="0" w:space="0" w:color="auto"/>
      </w:divBdr>
      <w:divsChild>
        <w:div w:id="938098569">
          <w:marLeft w:val="0"/>
          <w:marRight w:val="0"/>
          <w:marTop w:val="0"/>
          <w:marBottom w:val="0"/>
          <w:divBdr>
            <w:top w:val="none" w:sz="0" w:space="0" w:color="auto"/>
            <w:left w:val="none" w:sz="0" w:space="0" w:color="auto"/>
            <w:bottom w:val="none" w:sz="0" w:space="0" w:color="auto"/>
            <w:right w:val="none" w:sz="0" w:space="0" w:color="auto"/>
          </w:divBdr>
          <w:divsChild>
            <w:div w:id="138427791">
              <w:marLeft w:val="0"/>
              <w:marRight w:val="0"/>
              <w:marTop w:val="0"/>
              <w:marBottom w:val="0"/>
              <w:divBdr>
                <w:top w:val="none" w:sz="0" w:space="0" w:color="auto"/>
                <w:left w:val="none" w:sz="0" w:space="0" w:color="auto"/>
                <w:bottom w:val="none" w:sz="0" w:space="0" w:color="auto"/>
                <w:right w:val="none" w:sz="0" w:space="0" w:color="auto"/>
              </w:divBdr>
              <w:divsChild>
                <w:div w:id="1417169625">
                  <w:marLeft w:val="0"/>
                  <w:marRight w:val="0"/>
                  <w:marTop w:val="0"/>
                  <w:marBottom w:val="0"/>
                  <w:divBdr>
                    <w:top w:val="none" w:sz="0" w:space="0" w:color="auto"/>
                    <w:left w:val="none" w:sz="0" w:space="0" w:color="auto"/>
                    <w:bottom w:val="none" w:sz="0" w:space="0" w:color="auto"/>
                    <w:right w:val="none" w:sz="0" w:space="0" w:color="auto"/>
                  </w:divBdr>
                  <w:divsChild>
                    <w:div w:id="21123139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014455384">
      <w:bodyDiv w:val="1"/>
      <w:marLeft w:val="0"/>
      <w:marRight w:val="0"/>
      <w:marTop w:val="0"/>
      <w:marBottom w:val="0"/>
      <w:divBdr>
        <w:top w:val="none" w:sz="0" w:space="0" w:color="auto"/>
        <w:left w:val="none" w:sz="0" w:space="0" w:color="auto"/>
        <w:bottom w:val="none" w:sz="0" w:space="0" w:color="auto"/>
        <w:right w:val="none" w:sz="0" w:space="0" w:color="auto"/>
      </w:divBdr>
    </w:div>
    <w:div w:id="2033458203">
      <w:bodyDiv w:val="1"/>
      <w:marLeft w:val="0"/>
      <w:marRight w:val="0"/>
      <w:marTop w:val="0"/>
      <w:marBottom w:val="0"/>
      <w:divBdr>
        <w:top w:val="none" w:sz="0" w:space="0" w:color="auto"/>
        <w:left w:val="none" w:sz="0" w:space="0" w:color="auto"/>
        <w:bottom w:val="none" w:sz="0" w:space="0" w:color="auto"/>
        <w:right w:val="none" w:sz="0" w:space="0" w:color="auto"/>
      </w:divBdr>
    </w:div>
    <w:div w:id="2036300609">
      <w:bodyDiv w:val="1"/>
      <w:marLeft w:val="0"/>
      <w:marRight w:val="0"/>
      <w:marTop w:val="0"/>
      <w:marBottom w:val="0"/>
      <w:divBdr>
        <w:top w:val="none" w:sz="0" w:space="0" w:color="auto"/>
        <w:left w:val="none" w:sz="0" w:space="0" w:color="auto"/>
        <w:bottom w:val="none" w:sz="0" w:space="0" w:color="auto"/>
        <w:right w:val="none" w:sz="0" w:space="0" w:color="auto"/>
      </w:divBdr>
    </w:div>
    <w:div w:id="2046368144">
      <w:bodyDiv w:val="1"/>
      <w:marLeft w:val="0"/>
      <w:marRight w:val="0"/>
      <w:marTop w:val="0"/>
      <w:marBottom w:val="0"/>
      <w:divBdr>
        <w:top w:val="none" w:sz="0" w:space="0" w:color="auto"/>
        <w:left w:val="none" w:sz="0" w:space="0" w:color="auto"/>
        <w:bottom w:val="none" w:sz="0" w:space="0" w:color="auto"/>
        <w:right w:val="none" w:sz="0" w:space="0" w:color="auto"/>
      </w:divBdr>
    </w:div>
    <w:div w:id="2134248186">
      <w:bodyDiv w:val="1"/>
      <w:marLeft w:val="0"/>
      <w:marRight w:val="0"/>
      <w:marTop w:val="0"/>
      <w:marBottom w:val="0"/>
      <w:divBdr>
        <w:top w:val="none" w:sz="0" w:space="0" w:color="auto"/>
        <w:left w:val="none" w:sz="0" w:space="0" w:color="auto"/>
        <w:bottom w:val="none" w:sz="0" w:space="0" w:color="auto"/>
        <w:right w:val="none" w:sz="0" w:space="0" w:color="auto"/>
      </w:divBdr>
    </w:div>
    <w:div w:id="2137596954">
      <w:bodyDiv w:val="1"/>
      <w:marLeft w:val="0"/>
      <w:marRight w:val="0"/>
      <w:marTop w:val="0"/>
      <w:marBottom w:val="0"/>
      <w:divBdr>
        <w:top w:val="none" w:sz="0" w:space="0" w:color="auto"/>
        <w:left w:val="none" w:sz="0" w:space="0" w:color="auto"/>
        <w:bottom w:val="none" w:sz="0" w:space="0" w:color="auto"/>
        <w:right w:val="none" w:sz="0" w:space="0" w:color="auto"/>
      </w:divBdr>
    </w:div>
    <w:div w:id="214685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anf/docs/osd/sbpp/eo523.pdf" TargetMode="External"/><Relationship Id="rId18" Type="http://schemas.openxmlformats.org/officeDocument/2006/relationships/image" Target="media/image5.png"/><Relationship Id="rId26" Type="http://schemas.openxmlformats.org/officeDocument/2006/relationships/hyperlink" Target="http://www.mass.gov/sdo" TargetMode="External"/><Relationship Id="rId3" Type="http://schemas.openxmlformats.org/officeDocument/2006/relationships/styles" Target="styles.xml"/><Relationship Id="rId21" Type="http://schemas.openxmlformats.org/officeDocument/2006/relationships/hyperlink" Target="http://www.mass.gov/SDO" TargetMode="External"/><Relationship Id="rId7" Type="http://schemas.openxmlformats.org/officeDocument/2006/relationships/endnotes" Target="endnotes.xml"/><Relationship Id="rId12" Type="http://schemas.openxmlformats.org/officeDocument/2006/relationships/hyperlink" Target="http://www.mass.gov/governor/legislationeexecorder/executiveorder/executive-order-no-524.html" TargetMode="External"/><Relationship Id="rId17" Type="http://schemas.openxmlformats.org/officeDocument/2006/relationships/hyperlink" Target="http://www.mass.gov/SDO" TargetMode="External"/><Relationship Id="rId25" Type="http://schemas.openxmlformats.org/officeDocument/2006/relationships/hyperlink" Target="http://www.commbuys.com/" TargetMode="External"/><Relationship Id="rId2" Type="http://schemas.openxmlformats.org/officeDocument/2006/relationships/numbering" Target="numbering.xml"/><Relationship Id="rId16" Type="http://schemas.openxmlformats.org/officeDocument/2006/relationships/hyperlink" Target="http://www.mass.gov/anf/docs/osd/osd-2013-2015-strategic-plan.pdf" TargetMode="External"/><Relationship Id="rId20" Type="http://schemas.openxmlformats.org/officeDocument/2006/relationships/hyperlink" Target="http://www.somwba.state.ma.us/BusinessDirectory/BusinessDirectoryDownload.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anf/docs/osd/sdo/forms/fy2012sdo-annual-report.pdf" TargetMode="External"/><Relationship Id="rId24" Type="http://schemas.openxmlformats.org/officeDocument/2006/relationships/hyperlink" Target="file:///C:/Users/nassefa/AppData/Local/Microsoft/Windows/Temporary%20Internet%20Files/Content.Outlook/OA6G2637/www.mass.gov/sbpp" TargetMode="External"/><Relationship Id="rId5" Type="http://schemas.openxmlformats.org/officeDocument/2006/relationships/webSettings" Target="webSettings.xml"/><Relationship Id="rId15" Type="http://schemas.openxmlformats.org/officeDocument/2006/relationships/hyperlink" Target="http://www.mass.gov/governor/legislationeexecorder/executiveorder/executive-order-no-540.html" TargetMode="External"/><Relationship Id="rId23" Type="http://schemas.openxmlformats.org/officeDocument/2006/relationships/hyperlink" Target="http://www.commbuys.com/"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somwba.state.ma.us/BusinessDirectory/BusinessDirectory.asp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chart" Target="charts/chart1.xm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po.gov/fdsys/pkg/CFR-2010-title49-vol1/pdf/CFR-2010-title49-vol1-part26.pdf" TargetMode="External"/><Relationship Id="rId2" Type="http://schemas.openxmlformats.org/officeDocument/2006/relationships/hyperlink" Target="http://www.4dxbook.com/blog/category/the-4dx-book/" TargetMode="External"/><Relationship Id="rId1" Type="http://schemas.openxmlformats.org/officeDocument/2006/relationships/hyperlink" Target="http://www.mass.gov/governor/docs/legislation/2010article87.pdf" TargetMode="External"/><Relationship Id="rId5" Type="http://schemas.openxmlformats.org/officeDocument/2006/relationships/hyperlink" Target="http://www.mass.gov/anf/docs/dcam/dcam-disparity-study-executive-summary-8-11.pdf" TargetMode="External"/><Relationship Id="rId4" Type="http://schemas.openxmlformats.org/officeDocument/2006/relationships/hyperlink" Target="http://www.malegislature.gov/Laws/SessionLaws/Acts/2004/Chapter19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Combined M/WBE Goods &amp; Services Spending </a:t>
            </a:r>
          </a:p>
        </c:rich>
      </c:tx>
      <c:layout>
        <c:manualLayout>
          <c:xMode val="edge"/>
          <c:yMode val="edge"/>
          <c:x val="0.13570978491400887"/>
          <c:y val="3.8511152873262441E-2"/>
        </c:manualLayout>
      </c:layout>
      <c:overlay val="0"/>
    </c:title>
    <c:autoTitleDeleted val="0"/>
    <c:plotArea>
      <c:layout>
        <c:manualLayout>
          <c:layoutTarget val="inner"/>
          <c:xMode val="edge"/>
          <c:yMode val="edge"/>
          <c:x val="9.3699589259697208E-2"/>
          <c:y val="0.18678213334605487"/>
          <c:w val="0.88368405732852362"/>
          <c:h val="0.77299067492444251"/>
        </c:manualLayout>
      </c:layout>
      <c:barChart>
        <c:barDir val="bar"/>
        <c:grouping val="clustered"/>
        <c:varyColors val="0"/>
        <c:ser>
          <c:idx val="0"/>
          <c:order val="0"/>
          <c:spPr>
            <a:solidFill>
              <a:srgbClr val="FFCC00"/>
            </a:solidFill>
            <a:ln w="12700">
              <a:solidFill>
                <a:srgbClr val="000000"/>
              </a:solidFill>
              <a:prstDash val="solid"/>
            </a:ln>
          </c:spPr>
          <c:invertIfNegative val="0"/>
          <c:dPt>
            <c:idx val="0"/>
            <c:invertIfNegative val="0"/>
            <c:bubble3D val="0"/>
            <c:spPr>
              <a:solidFill>
                <a:srgbClr val="FF99CC"/>
              </a:solidFill>
              <a:ln w="12700">
                <a:solidFill>
                  <a:srgbClr val="000000"/>
                </a:solidFill>
                <a:prstDash val="solid"/>
              </a:ln>
            </c:spPr>
            <c:extLst>
              <c:ext xmlns:c16="http://schemas.microsoft.com/office/drawing/2014/chart" uri="{C3380CC4-5D6E-409C-BE32-E72D297353CC}">
                <c16:uniqueId val="{00000001-00D1-4431-BE43-ECF350ECAD47}"/>
              </c:ext>
            </c:extLst>
          </c:dPt>
          <c:dPt>
            <c:idx val="1"/>
            <c:invertIfNegative val="0"/>
            <c:bubble3D val="0"/>
            <c:spPr>
              <a:solidFill>
                <a:srgbClr val="FF00FF"/>
              </a:solidFill>
              <a:ln w="12700">
                <a:solidFill>
                  <a:srgbClr val="000000"/>
                </a:solidFill>
                <a:prstDash val="solid"/>
              </a:ln>
            </c:spPr>
            <c:extLst>
              <c:ext xmlns:c16="http://schemas.microsoft.com/office/drawing/2014/chart" uri="{C3380CC4-5D6E-409C-BE32-E72D297353CC}">
                <c16:uniqueId val="{00000003-00D1-4431-BE43-ECF350ECAD47}"/>
              </c:ext>
            </c:extLst>
          </c:dPt>
          <c:dPt>
            <c:idx val="2"/>
            <c:invertIfNegative val="0"/>
            <c:bubble3D val="0"/>
            <c:spPr>
              <a:solidFill>
                <a:srgbClr val="008080"/>
              </a:solidFill>
              <a:ln w="12700">
                <a:solidFill>
                  <a:srgbClr val="000000"/>
                </a:solidFill>
                <a:prstDash val="solid"/>
              </a:ln>
            </c:spPr>
            <c:extLst>
              <c:ext xmlns:c16="http://schemas.microsoft.com/office/drawing/2014/chart" uri="{C3380CC4-5D6E-409C-BE32-E72D297353CC}">
                <c16:uniqueId val="{00000005-00D1-4431-BE43-ECF350ECAD47}"/>
              </c:ext>
            </c:extLst>
          </c:dPt>
          <c:dPt>
            <c:idx val="3"/>
            <c:invertIfNegative val="0"/>
            <c:bubble3D val="0"/>
            <c:spPr>
              <a:solidFill>
                <a:srgbClr val="969696"/>
              </a:solidFill>
              <a:ln w="12700">
                <a:solidFill>
                  <a:srgbClr val="000000"/>
                </a:solidFill>
                <a:prstDash val="solid"/>
              </a:ln>
            </c:spPr>
            <c:extLst>
              <c:ext xmlns:c16="http://schemas.microsoft.com/office/drawing/2014/chart" uri="{C3380CC4-5D6E-409C-BE32-E72D297353CC}">
                <c16:uniqueId val="{00000007-00D1-4431-BE43-ECF350ECAD47}"/>
              </c:ext>
            </c:extLst>
          </c:dPt>
          <c:dPt>
            <c:idx val="4"/>
            <c:invertIfNegative val="0"/>
            <c:bubble3D val="0"/>
            <c:spPr>
              <a:solidFill>
                <a:srgbClr val="FF0000"/>
              </a:solidFill>
              <a:ln w="12700">
                <a:solidFill>
                  <a:srgbClr val="000000"/>
                </a:solidFill>
                <a:prstDash val="solid"/>
              </a:ln>
            </c:spPr>
            <c:extLst>
              <c:ext xmlns:c16="http://schemas.microsoft.com/office/drawing/2014/chart" uri="{C3380CC4-5D6E-409C-BE32-E72D297353CC}">
                <c16:uniqueId val="{00000009-00D1-4431-BE43-ECF350ECAD47}"/>
              </c:ext>
            </c:extLst>
          </c:dPt>
          <c:dPt>
            <c:idx val="5"/>
            <c:invertIfNegative val="0"/>
            <c:bubble3D val="0"/>
            <c:spPr>
              <a:solidFill>
                <a:srgbClr val="00CCFF"/>
              </a:solidFill>
              <a:ln w="12700">
                <a:solidFill>
                  <a:srgbClr val="000000"/>
                </a:solidFill>
                <a:prstDash val="solid"/>
              </a:ln>
            </c:spPr>
            <c:extLst>
              <c:ext xmlns:c16="http://schemas.microsoft.com/office/drawing/2014/chart" uri="{C3380CC4-5D6E-409C-BE32-E72D297353CC}">
                <c16:uniqueId val="{0000000B-00D1-4431-BE43-ECF350ECAD47}"/>
              </c:ext>
            </c:extLst>
          </c:dPt>
          <c:dPt>
            <c:idx val="6"/>
            <c:invertIfNegative val="0"/>
            <c:bubble3D val="0"/>
            <c:spPr>
              <a:solidFill>
                <a:srgbClr val="993366"/>
              </a:solidFill>
              <a:ln w="12700">
                <a:solidFill>
                  <a:srgbClr val="000000"/>
                </a:solidFill>
                <a:prstDash val="solid"/>
              </a:ln>
            </c:spPr>
            <c:extLst>
              <c:ext xmlns:c16="http://schemas.microsoft.com/office/drawing/2014/chart" uri="{C3380CC4-5D6E-409C-BE32-E72D297353CC}">
                <c16:uniqueId val="{0000000D-00D1-4431-BE43-ECF350ECAD47}"/>
              </c:ext>
            </c:extLst>
          </c:dPt>
          <c:dPt>
            <c:idx val="7"/>
            <c:invertIfNegative val="0"/>
            <c:bubble3D val="0"/>
            <c:spPr>
              <a:solidFill>
                <a:srgbClr val="FFFF00"/>
              </a:solidFill>
              <a:ln w="12700">
                <a:solidFill>
                  <a:srgbClr val="000000"/>
                </a:solidFill>
                <a:prstDash val="solid"/>
              </a:ln>
            </c:spPr>
            <c:extLst>
              <c:ext xmlns:c16="http://schemas.microsoft.com/office/drawing/2014/chart" uri="{C3380CC4-5D6E-409C-BE32-E72D297353CC}">
                <c16:uniqueId val="{0000000F-00D1-4431-BE43-ECF350ECAD47}"/>
              </c:ext>
            </c:extLst>
          </c:dPt>
          <c:dPt>
            <c:idx val="8"/>
            <c:invertIfNegative val="0"/>
            <c:bubble3D val="0"/>
            <c:spPr>
              <a:solidFill>
                <a:schemeClr val="accent1"/>
              </a:solidFill>
              <a:ln w="12700">
                <a:solidFill>
                  <a:srgbClr val="000000"/>
                </a:solidFill>
                <a:prstDash val="solid"/>
              </a:ln>
            </c:spPr>
            <c:extLst>
              <c:ext xmlns:c16="http://schemas.microsoft.com/office/drawing/2014/chart" uri="{C3380CC4-5D6E-409C-BE32-E72D297353CC}">
                <c16:uniqueId val="{00000011-00D1-4431-BE43-ECF350ECAD47}"/>
              </c:ext>
            </c:extLst>
          </c:dPt>
          <c:dPt>
            <c:idx val="9"/>
            <c:invertIfNegative val="0"/>
            <c:bubble3D val="0"/>
            <c:spPr>
              <a:solidFill>
                <a:srgbClr val="FF6600"/>
              </a:solidFill>
              <a:ln w="12700">
                <a:solidFill>
                  <a:srgbClr val="000000"/>
                </a:solidFill>
                <a:prstDash val="solid"/>
              </a:ln>
            </c:spPr>
            <c:extLst>
              <c:ext xmlns:c16="http://schemas.microsoft.com/office/drawing/2014/chart" uri="{C3380CC4-5D6E-409C-BE32-E72D297353CC}">
                <c16:uniqueId val="{00000013-00D1-4431-BE43-ECF350ECAD47}"/>
              </c:ext>
            </c:extLst>
          </c:dPt>
          <c:dPt>
            <c:idx val="10"/>
            <c:invertIfNegative val="0"/>
            <c:bubble3D val="0"/>
            <c:spPr>
              <a:solidFill>
                <a:srgbClr val="0101FF"/>
              </a:solidFill>
              <a:ln w="12700">
                <a:solidFill>
                  <a:srgbClr val="000000"/>
                </a:solidFill>
                <a:prstDash val="solid"/>
              </a:ln>
            </c:spPr>
            <c:extLst>
              <c:ext xmlns:c16="http://schemas.microsoft.com/office/drawing/2014/chart" uri="{C3380CC4-5D6E-409C-BE32-E72D297353CC}">
                <c16:uniqueId val="{00000015-00D1-4431-BE43-ECF350ECAD47}"/>
              </c:ext>
            </c:extLst>
          </c:dPt>
          <c:dPt>
            <c:idx val="11"/>
            <c:invertIfNegative val="0"/>
            <c:bubble3D val="0"/>
            <c:spPr>
              <a:solidFill>
                <a:schemeClr val="accent2">
                  <a:lumMod val="75000"/>
                </a:schemeClr>
              </a:solidFill>
              <a:ln w="12700">
                <a:solidFill>
                  <a:srgbClr val="000000"/>
                </a:solidFill>
                <a:prstDash val="solid"/>
              </a:ln>
            </c:spPr>
            <c:extLst>
              <c:ext xmlns:c16="http://schemas.microsoft.com/office/drawing/2014/chart" uri="{C3380CC4-5D6E-409C-BE32-E72D297353CC}">
                <c16:uniqueId val="{00000017-00D1-4431-BE43-ECF350ECAD47}"/>
              </c:ext>
            </c:extLst>
          </c:dPt>
          <c:dLbls>
            <c:dLbl>
              <c:idx val="10"/>
              <c:tx>
                <c:rich>
                  <a:bodyPr/>
                  <a:lstStyle/>
                  <a:p>
                    <a:r>
                      <a:rPr lang="en-US"/>
                      <a:t>$821,968,966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00D1-4431-BE43-ECF350ECAD47}"/>
                </c:ext>
              </c:extLst>
            </c:dLbl>
            <c:numFmt formatCode="&quot;$&quot;#,##0" sourceLinked="0"/>
            <c:spPr>
              <a:noFill/>
              <a:ln w="25400">
                <a:noFill/>
              </a:ln>
            </c:spPr>
            <c:txPr>
              <a:bodyPr/>
              <a:lstStyle/>
              <a:p>
                <a:pPr>
                  <a:defRPr sz="95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'[FY Final Report Chart _ GRAPH.xlsx]FY04 - FY14'!$B$7:$B$17</c:f>
              <c:strCache>
                <c:ptCount val="11"/>
                <c:pt idx="0">
                  <c:v>FY04</c:v>
                </c:pt>
                <c:pt idx="1">
                  <c:v>FY05</c:v>
                </c:pt>
                <c:pt idx="2">
                  <c:v>FY06</c:v>
                </c:pt>
                <c:pt idx="3">
                  <c:v>FY07</c:v>
                </c:pt>
                <c:pt idx="4">
                  <c:v>FY08</c:v>
                </c:pt>
                <c:pt idx="5">
                  <c:v>FY09</c:v>
                </c:pt>
                <c:pt idx="6">
                  <c:v>FY10</c:v>
                </c:pt>
                <c:pt idx="7">
                  <c:v>FY11</c:v>
                </c:pt>
                <c:pt idx="8">
                  <c:v>FY12</c:v>
                </c:pt>
                <c:pt idx="9">
                  <c:v>FY13</c:v>
                </c:pt>
                <c:pt idx="10">
                  <c:v>FY14</c:v>
                </c:pt>
              </c:strCache>
            </c:strRef>
          </c:cat>
          <c:val>
            <c:numRef>
              <c:f>'[FY Final Report Chart _ GRAPH.xlsx]FY04 - FY14'!$C$7:$C$17</c:f>
              <c:numCache>
                <c:formatCode>"$"#,##0</c:formatCode>
                <c:ptCount val="11"/>
                <c:pt idx="0">
                  <c:v>367725700</c:v>
                </c:pt>
                <c:pt idx="1">
                  <c:v>391672667</c:v>
                </c:pt>
                <c:pt idx="2">
                  <c:v>426256135</c:v>
                </c:pt>
                <c:pt idx="3">
                  <c:v>488672661</c:v>
                </c:pt>
                <c:pt idx="4">
                  <c:v>548937703</c:v>
                </c:pt>
                <c:pt idx="5">
                  <c:v>583508843</c:v>
                </c:pt>
                <c:pt idx="6">
                  <c:v>757117964.00869608</c:v>
                </c:pt>
                <c:pt idx="7">
                  <c:v>768029358</c:v>
                </c:pt>
                <c:pt idx="8">
                  <c:v>822193350</c:v>
                </c:pt>
                <c:pt idx="9">
                  <c:v>783346741.88000011</c:v>
                </c:pt>
                <c:pt idx="10">
                  <c:v>821968966</c:v>
                </c:pt>
              </c:numCache>
            </c:numRef>
          </c:val>
          <c:extLst>
            <c:ext xmlns:c16="http://schemas.microsoft.com/office/drawing/2014/chart" uri="{C3380CC4-5D6E-409C-BE32-E72D297353CC}">
              <c16:uniqueId val="{00000018-00D1-4431-BE43-ECF350ECAD47}"/>
            </c:ext>
          </c:extLst>
        </c:ser>
        <c:dLbls>
          <c:showLegendKey val="0"/>
          <c:showVal val="1"/>
          <c:showCatName val="0"/>
          <c:showSerName val="0"/>
          <c:showPercent val="0"/>
          <c:showBubbleSize val="0"/>
        </c:dLbls>
        <c:gapWidth val="150"/>
        <c:axId val="154653824"/>
        <c:axId val="154739456"/>
      </c:barChart>
      <c:catAx>
        <c:axId val="154653824"/>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54739456"/>
        <c:crosses val="autoZero"/>
        <c:auto val="1"/>
        <c:lblAlgn val="ctr"/>
        <c:lblOffset val="100"/>
        <c:noMultiLvlLbl val="0"/>
      </c:catAx>
      <c:valAx>
        <c:axId val="154739456"/>
        <c:scaling>
          <c:orientation val="minMax"/>
        </c:scaling>
        <c:delete val="1"/>
        <c:axPos val="t"/>
        <c:majorGridlines>
          <c:spPr>
            <a:ln w="3175">
              <a:solidFill>
                <a:srgbClr val="C0C0C0"/>
              </a:solidFill>
              <a:prstDash val="solid"/>
            </a:ln>
          </c:spPr>
        </c:majorGridlines>
        <c:numFmt formatCode="&quot;$&quot;#,##0" sourceLinked="1"/>
        <c:majorTickMark val="out"/>
        <c:minorTickMark val="none"/>
        <c:tickLblPos val="nextTo"/>
        <c:crossAx val="154653824"/>
        <c:crosses val="max"/>
        <c:crossBetween val="between"/>
      </c:valAx>
      <c:spPr>
        <a:solidFill>
          <a:schemeClr val="accent1">
            <a:lumMod val="40000"/>
            <a:lumOff val="60000"/>
          </a:schemeClr>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F89DE-1DDD-4512-8B6A-D25F3F65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17699</Words>
  <Characters>100885</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Morin, Michelle (OSD)</dc:creator>
  <cp:lastModifiedBy>Assefa, Nani (SDO)</cp:lastModifiedBy>
  <cp:revision>2</cp:revision>
  <cp:lastPrinted>2015-01-12T19:18:00Z</cp:lastPrinted>
  <dcterms:created xsi:type="dcterms:W3CDTF">2025-09-12T19:00:00Z</dcterms:created>
  <dcterms:modified xsi:type="dcterms:W3CDTF">2025-09-12T19:00:00Z</dcterms:modified>
</cp:coreProperties>
</file>