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80" w:rsidRDefault="00192780" w:rsidP="00192780">
      <w:pPr>
        <w:pStyle w:val="Title"/>
      </w:pPr>
      <w:r>
        <w:t>COMMONWEALTH OF MASSACHUSETTS</w:t>
      </w:r>
    </w:p>
    <w:p w:rsidR="00192780" w:rsidRDefault="00192780" w:rsidP="00192780">
      <w:pPr>
        <w:pStyle w:val="Title"/>
      </w:pPr>
    </w:p>
    <w:p w:rsidR="00192780" w:rsidRDefault="00192780" w:rsidP="00192780">
      <w:pPr>
        <w:pStyle w:val="Title"/>
      </w:pPr>
      <w:r>
        <w:t>APPELLATE TAX BOARD</w:t>
      </w:r>
    </w:p>
    <w:p w:rsidR="00192780" w:rsidRDefault="00192780" w:rsidP="00192780">
      <w:pPr>
        <w:jc w:val="both"/>
        <w:rPr>
          <w:rFonts w:ascii="Courier New" w:hAnsi="Courier New" w:cs="Courier New"/>
          <w:b/>
          <w:bCs/>
          <w:sz w:val="24"/>
          <w:szCs w:val="24"/>
        </w:rPr>
      </w:pPr>
    </w:p>
    <w:p w:rsidR="00192780" w:rsidRDefault="00AB6F69" w:rsidP="00192780">
      <w:pPr>
        <w:pStyle w:val="Heading1"/>
        <w:tabs>
          <w:tab w:val="left" w:pos="4320"/>
        </w:tabs>
        <w:jc w:val="both"/>
      </w:pPr>
      <w:r>
        <w:t>SEARS, ROEBUCK &amp; CO.</w:t>
      </w:r>
      <w:r>
        <w:tab/>
      </w:r>
      <w:r w:rsidR="00CA3CD5">
        <w:t xml:space="preserve"> </w:t>
      </w:r>
      <w:r w:rsidR="00192780">
        <w:t>v.</w:t>
      </w:r>
      <w:r w:rsidR="00192780">
        <w:tab/>
      </w:r>
      <w:r w:rsidR="00192780">
        <w:tab/>
        <w:t>BOARD OF ASSESSORS OF</w:t>
      </w:r>
    </w:p>
    <w:p w:rsidR="00192780" w:rsidRDefault="00192780" w:rsidP="00192780">
      <w:pPr>
        <w:pStyle w:val="Heading1"/>
        <w:tabs>
          <w:tab w:val="left" w:pos="4320"/>
        </w:tabs>
        <w:jc w:val="both"/>
      </w:pPr>
      <w:r>
        <w:tab/>
        <w:t xml:space="preserve">      </w:t>
      </w:r>
      <w:r>
        <w:tab/>
        <w:t xml:space="preserve"> </w:t>
      </w:r>
      <w:r>
        <w:tab/>
      </w:r>
      <w:r>
        <w:tab/>
        <w:t>THE CITY OF CAMBRIDGE</w:t>
      </w:r>
      <w:r>
        <w:tab/>
      </w:r>
      <w:r>
        <w:tab/>
      </w:r>
      <w:r>
        <w:tab/>
        <w:t xml:space="preserve"> </w:t>
      </w:r>
      <w:r>
        <w:tab/>
      </w:r>
      <w:r>
        <w:tab/>
        <w:t xml:space="preserve">   </w:t>
      </w:r>
    </w:p>
    <w:p w:rsidR="0080426A" w:rsidRDefault="00AB6F69" w:rsidP="00192780">
      <w:pPr>
        <w:spacing w:after="0" w:line="240" w:lineRule="auto"/>
        <w:jc w:val="both"/>
        <w:rPr>
          <w:rFonts w:ascii="Courier New" w:hAnsi="Courier New" w:cs="Courier New"/>
          <w:sz w:val="24"/>
          <w:szCs w:val="24"/>
        </w:rPr>
      </w:pPr>
      <w:r>
        <w:rPr>
          <w:rFonts w:ascii="Courier New" w:hAnsi="Courier New" w:cs="Courier New"/>
          <w:sz w:val="24"/>
          <w:szCs w:val="24"/>
        </w:rPr>
        <w:t xml:space="preserve">Docket Nos. </w:t>
      </w:r>
      <w:r w:rsidR="0080426A">
        <w:rPr>
          <w:rFonts w:ascii="Courier New" w:hAnsi="Courier New" w:cs="Courier New"/>
          <w:sz w:val="24"/>
          <w:szCs w:val="24"/>
        </w:rPr>
        <w:t>F318546, F322093</w:t>
      </w:r>
      <w:r w:rsidR="00183708">
        <w:rPr>
          <w:rFonts w:ascii="Courier New" w:hAnsi="Courier New" w:cs="Courier New"/>
          <w:sz w:val="24"/>
          <w:szCs w:val="24"/>
        </w:rPr>
        <w:tab/>
      </w:r>
      <w:r w:rsidR="0080426A">
        <w:rPr>
          <w:rFonts w:ascii="Courier New" w:hAnsi="Courier New" w:cs="Courier New"/>
          <w:sz w:val="24"/>
          <w:szCs w:val="24"/>
        </w:rPr>
        <w:t xml:space="preserve"> </w:t>
      </w:r>
      <w:r w:rsidR="0080426A">
        <w:rPr>
          <w:rFonts w:ascii="Courier New" w:hAnsi="Courier New" w:cs="Courier New"/>
          <w:sz w:val="24"/>
          <w:szCs w:val="24"/>
        </w:rPr>
        <w:tab/>
      </w:r>
      <w:r w:rsidR="0080426A">
        <w:rPr>
          <w:rFonts w:ascii="Courier New" w:hAnsi="Courier New" w:cs="Courier New"/>
          <w:sz w:val="24"/>
          <w:szCs w:val="24"/>
        </w:rPr>
        <w:tab/>
        <w:t>Promulgated:</w:t>
      </w:r>
    </w:p>
    <w:p w:rsidR="00192780" w:rsidRDefault="00183708" w:rsidP="00192780">
      <w:pPr>
        <w:spacing w:after="0" w:line="240" w:lineRule="auto"/>
        <w:jc w:val="both"/>
        <w:rPr>
          <w:rFonts w:ascii="Courier New" w:hAnsi="Courier New" w:cs="Courier New"/>
          <w:sz w:val="24"/>
          <w:szCs w:val="24"/>
        </w:rPr>
      </w:pPr>
      <w:r>
        <w:rPr>
          <w:rFonts w:ascii="Courier New" w:hAnsi="Courier New" w:cs="Courier New"/>
          <w:sz w:val="24"/>
          <w:szCs w:val="24"/>
        </w:rPr>
        <w:t>            </w:t>
      </w:r>
      <w:r w:rsidR="0080426A">
        <w:rPr>
          <w:rFonts w:ascii="Courier New" w:hAnsi="Courier New" w:cs="Courier New"/>
          <w:sz w:val="24"/>
          <w:szCs w:val="24"/>
        </w:rPr>
        <w:t>F325592</w:t>
      </w:r>
      <w:r>
        <w:rPr>
          <w:rFonts w:ascii="Courier New" w:hAnsi="Courier New" w:cs="Courier New"/>
          <w:sz w:val="24"/>
          <w:szCs w:val="24"/>
        </w:rPr>
        <w:t>,</w:t>
      </w:r>
      <w:r w:rsidR="0080426A">
        <w:rPr>
          <w:rFonts w:ascii="Courier New" w:hAnsi="Courier New" w:cs="Courier New"/>
          <w:sz w:val="24"/>
          <w:szCs w:val="24"/>
        </w:rPr>
        <w:t xml:space="preserve"> F32</w:t>
      </w:r>
      <w:r w:rsidR="00A456E7">
        <w:rPr>
          <w:rFonts w:ascii="Courier New" w:hAnsi="Courier New" w:cs="Courier New"/>
          <w:sz w:val="24"/>
          <w:szCs w:val="24"/>
        </w:rPr>
        <w:t>9</w:t>
      </w:r>
      <w:r w:rsidR="0080426A">
        <w:rPr>
          <w:rFonts w:ascii="Courier New" w:hAnsi="Courier New" w:cs="Courier New"/>
          <w:sz w:val="24"/>
          <w:szCs w:val="24"/>
        </w:rPr>
        <w:t>131</w:t>
      </w:r>
      <w:r w:rsidR="00AB6F69">
        <w:rPr>
          <w:rFonts w:ascii="Courier New" w:hAnsi="Courier New" w:cs="Courier New"/>
          <w:sz w:val="24"/>
          <w:szCs w:val="24"/>
        </w:rPr>
        <w:tab/>
      </w:r>
      <w:r w:rsidR="00AB6F69">
        <w:rPr>
          <w:rFonts w:ascii="Courier New" w:hAnsi="Courier New" w:cs="Courier New"/>
          <w:sz w:val="24"/>
          <w:szCs w:val="24"/>
        </w:rPr>
        <w:tab/>
      </w:r>
      <w:r w:rsidR="00AB6F69">
        <w:rPr>
          <w:rFonts w:ascii="Courier New" w:hAnsi="Courier New" w:cs="Courier New"/>
          <w:sz w:val="24"/>
          <w:szCs w:val="24"/>
        </w:rPr>
        <w:tab/>
      </w:r>
      <w:r w:rsidR="000554BA">
        <w:rPr>
          <w:rFonts w:ascii="Courier New" w:hAnsi="Courier New" w:cs="Courier New"/>
          <w:sz w:val="24"/>
          <w:szCs w:val="24"/>
        </w:rPr>
        <w:t>February 8, 2019</w:t>
      </w:r>
      <w:bookmarkStart w:id="0" w:name="_GoBack"/>
      <w:bookmarkEnd w:id="0"/>
      <w:r w:rsidR="00192780">
        <w:rPr>
          <w:rFonts w:ascii="Courier New" w:hAnsi="Courier New" w:cs="Courier New"/>
          <w:sz w:val="24"/>
          <w:szCs w:val="24"/>
        </w:rPr>
        <w:tab/>
      </w:r>
      <w:r w:rsidR="00192780">
        <w:rPr>
          <w:rFonts w:ascii="Courier New" w:hAnsi="Courier New" w:cs="Courier New"/>
          <w:sz w:val="24"/>
          <w:szCs w:val="24"/>
        </w:rPr>
        <w:tab/>
      </w:r>
    </w:p>
    <w:p w:rsidR="00192780" w:rsidRDefault="00192780" w:rsidP="00192780">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192780" w:rsidRDefault="00192780" w:rsidP="00192780">
      <w:pPr>
        <w:spacing w:after="0" w:line="24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p>
    <w:p w:rsidR="00192780" w:rsidRDefault="00192780" w:rsidP="00192780">
      <w:pPr>
        <w:spacing w:after="0" w:line="480" w:lineRule="auto"/>
        <w:ind w:firstLine="720"/>
        <w:jc w:val="both"/>
        <w:rPr>
          <w:rFonts w:ascii="Courier New" w:hAnsi="Courier New" w:cs="Courier New"/>
          <w:sz w:val="24"/>
          <w:szCs w:val="24"/>
        </w:rPr>
      </w:pPr>
      <w:r>
        <w:rPr>
          <w:rFonts w:ascii="Courier New" w:hAnsi="Courier New" w:cs="Courier New"/>
          <w:sz w:val="24"/>
          <w:szCs w:val="24"/>
        </w:rPr>
        <w:t>These are appeals filed under the formal procedure pursuant to G.L. c. 58A, § 7 and G.L. c. 59, §§ 64 and 65 fr</w:t>
      </w:r>
      <w:r w:rsidR="00433FD5">
        <w:rPr>
          <w:rFonts w:ascii="Courier New" w:hAnsi="Courier New" w:cs="Courier New"/>
          <w:sz w:val="24"/>
          <w:szCs w:val="24"/>
        </w:rPr>
        <w:t xml:space="preserve">om the refusal of </w:t>
      </w:r>
      <w:r>
        <w:rPr>
          <w:rFonts w:ascii="Courier New" w:hAnsi="Courier New" w:cs="Courier New"/>
          <w:sz w:val="24"/>
          <w:szCs w:val="24"/>
        </w:rPr>
        <w:t>the Board of Assessors of the City of Cambridge (“assessors” or “appellee”), to grant an abatement of taxes as</w:t>
      </w:r>
      <w:r w:rsidR="005436BB">
        <w:rPr>
          <w:rFonts w:ascii="Courier New" w:hAnsi="Courier New" w:cs="Courier New"/>
          <w:sz w:val="24"/>
          <w:szCs w:val="24"/>
        </w:rPr>
        <w:t xml:space="preserve">sessed on real estate owned by </w:t>
      </w:r>
      <w:r w:rsidR="00E01CCB">
        <w:rPr>
          <w:rFonts w:ascii="Courier New" w:hAnsi="Courier New" w:cs="Courier New"/>
          <w:sz w:val="24"/>
          <w:szCs w:val="24"/>
        </w:rPr>
        <w:t>Sears, Roebuck &amp; Co.</w:t>
      </w:r>
      <w:r w:rsidR="00195A9F">
        <w:rPr>
          <w:rFonts w:ascii="Courier New" w:hAnsi="Courier New" w:cs="Courier New"/>
          <w:sz w:val="24"/>
          <w:szCs w:val="24"/>
        </w:rPr>
        <w:t xml:space="preserve"> (“Sears” </w:t>
      </w:r>
      <w:r>
        <w:rPr>
          <w:rFonts w:ascii="Courier New" w:hAnsi="Courier New" w:cs="Courier New"/>
          <w:sz w:val="24"/>
          <w:szCs w:val="24"/>
        </w:rPr>
        <w:t>or “appellant”) fo</w:t>
      </w:r>
      <w:r w:rsidR="00E01CCB">
        <w:rPr>
          <w:rFonts w:ascii="Courier New" w:hAnsi="Courier New" w:cs="Courier New"/>
          <w:sz w:val="24"/>
          <w:szCs w:val="24"/>
        </w:rPr>
        <w:t xml:space="preserve">r fiscal years 2013, 2014, 2015, and </w:t>
      </w:r>
      <w:r w:rsidR="00EC79AD">
        <w:rPr>
          <w:rFonts w:ascii="Courier New" w:hAnsi="Courier New" w:cs="Courier New"/>
          <w:sz w:val="24"/>
          <w:szCs w:val="24"/>
        </w:rPr>
        <w:t>2016</w:t>
      </w:r>
      <w:r>
        <w:rPr>
          <w:rFonts w:ascii="Courier New" w:hAnsi="Courier New" w:cs="Courier New"/>
          <w:sz w:val="24"/>
          <w:szCs w:val="24"/>
        </w:rPr>
        <w:t xml:space="preserve"> (“fiscal years at issue”).</w:t>
      </w:r>
    </w:p>
    <w:p w:rsidR="00192780" w:rsidRPr="002B4C70" w:rsidRDefault="00EC79AD" w:rsidP="002B4C7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Commissioner Good</w:t>
      </w:r>
      <w:r w:rsidR="00192780">
        <w:rPr>
          <w:rFonts w:ascii="Courier New" w:hAnsi="Courier New" w:cs="Courier New"/>
          <w:sz w:val="24"/>
          <w:szCs w:val="24"/>
        </w:rPr>
        <w:t xml:space="preserve"> heard these appeals.  Chairman Hammond an</w:t>
      </w:r>
      <w:r>
        <w:rPr>
          <w:rFonts w:ascii="Courier New" w:hAnsi="Courier New" w:cs="Courier New"/>
          <w:sz w:val="24"/>
          <w:szCs w:val="24"/>
        </w:rPr>
        <w:t>d Commissioners Scharaffa and Rose joined her</w:t>
      </w:r>
      <w:r w:rsidR="00192780">
        <w:rPr>
          <w:rFonts w:ascii="Courier New" w:hAnsi="Courier New" w:cs="Courier New"/>
          <w:sz w:val="24"/>
          <w:szCs w:val="24"/>
        </w:rPr>
        <w:t xml:space="preserve"> in</w:t>
      </w:r>
      <w:r w:rsidR="000933BA">
        <w:rPr>
          <w:rFonts w:ascii="Courier New" w:hAnsi="Courier New" w:cs="Courier New"/>
          <w:sz w:val="24"/>
          <w:szCs w:val="24"/>
        </w:rPr>
        <w:t xml:space="preserve"> the decision</w:t>
      </w:r>
      <w:r>
        <w:rPr>
          <w:rFonts w:ascii="Courier New" w:hAnsi="Courier New" w:cs="Courier New"/>
          <w:sz w:val="24"/>
          <w:szCs w:val="24"/>
        </w:rPr>
        <w:t xml:space="preserve"> for the </w:t>
      </w:r>
      <w:r w:rsidR="008F05A0">
        <w:rPr>
          <w:rFonts w:ascii="Courier New" w:hAnsi="Courier New" w:cs="Courier New"/>
          <w:sz w:val="24"/>
          <w:szCs w:val="24"/>
        </w:rPr>
        <w:t xml:space="preserve">appellee.  </w:t>
      </w:r>
      <w:r w:rsidR="002B4C70" w:rsidRPr="002B4C70">
        <w:rPr>
          <w:rFonts w:ascii="Courier New" w:hAnsi="Courier New"/>
          <w:sz w:val="24"/>
          <w:szCs w:val="24"/>
        </w:rPr>
        <w:t>Commissioner Elliott took no part i</w:t>
      </w:r>
      <w:r w:rsidR="00B5481A">
        <w:rPr>
          <w:rFonts w:ascii="Courier New" w:hAnsi="Courier New"/>
          <w:sz w:val="24"/>
          <w:szCs w:val="24"/>
        </w:rPr>
        <w:t>n the deliberations or decision</w:t>
      </w:r>
      <w:r w:rsidR="002B4C70" w:rsidRPr="002B4C70">
        <w:rPr>
          <w:rFonts w:ascii="Courier New" w:hAnsi="Courier New"/>
          <w:sz w:val="24"/>
          <w:szCs w:val="24"/>
        </w:rPr>
        <w:t xml:space="preserve"> of these appeals.</w:t>
      </w:r>
    </w:p>
    <w:p w:rsidR="00192780" w:rsidRDefault="00192780" w:rsidP="00192780">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These findings of fact a</w:t>
      </w:r>
      <w:r w:rsidR="00FB306B">
        <w:rPr>
          <w:rFonts w:ascii="Courier New" w:hAnsi="Courier New" w:cs="Courier New"/>
          <w:sz w:val="24"/>
          <w:szCs w:val="24"/>
        </w:rPr>
        <w:t xml:space="preserve">nd report are made pursuant </w:t>
      </w:r>
      <w:r w:rsidR="00BB574B">
        <w:rPr>
          <w:rFonts w:ascii="Courier New" w:hAnsi="Courier New" w:cs="Courier New"/>
          <w:sz w:val="24"/>
          <w:szCs w:val="24"/>
        </w:rPr>
        <w:t>to requests</w:t>
      </w:r>
      <w:r>
        <w:rPr>
          <w:rFonts w:ascii="Courier New" w:hAnsi="Courier New" w:cs="Courier New"/>
          <w:sz w:val="24"/>
          <w:szCs w:val="24"/>
        </w:rPr>
        <w:t xml:space="preserve"> by the appellant </w:t>
      </w:r>
      <w:r w:rsidR="00FB306B">
        <w:rPr>
          <w:rFonts w:ascii="Courier New" w:hAnsi="Courier New" w:cs="Courier New"/>
          <w:sz w:val="24"/>
          <w:szCs w:val="24"/>
        </w:rPr>
        <w:t xml:space="preserve">and the appellee </w:t>
      </w:r>
      <w:r>
        <w:rPr>
          <w:rFonts w:ascii="Courier New" w:hAnsi="Courier New" w:cs="Courier New"/>
          <w:sz w:val="24"/>
          <w:szCs w:val="24"/>
        </w:rPr>
        <w:t>under G.L. c. 58A, §</w:t>
      </w:r>
      <w:r w:rsidR="00183708">
        <w:rPr>
          <w:rFonts w:ascii="Courier New" w:hAnsi="Courier New" w:cs="Courier New"/>
          <w:sz w:val="24"/>
          <w:szCs w:val="24"/>
        </w:rPr>
        <w:t> </w:t>
      </w:r>
      <w:r>
        <w:rPr>
          <w:rFonts w:ascii="Courier New" w:hAnsi="Courier New" w:cs="Courier New"/>
          <w:sz w:val="24"/>
          <w:szCs w:val="24"/>
        </w:rPr>
        <w:t>13 and 831 CMR 1.32.</w:t>
      </w:r>
    </w:p>
    <w:p w:rsidR="00192780" w:rsidRDefault="00192780" w:rsidP="00192780">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192780" w:rsidRDefault="00AB6F69" w:rsidP="00192780">
      <w:pPr>
        <w:spacing w:after="0" w:line="240" w:lineRule="auto"/>
        <w:ind w:firstLine="720"/>
        <w:jc w:val="both"/>
        <w:rPr>
          <w:rFonts w:ascii="Courier New" w:hAnsi="Courier New" w:cs="Courier New"/>
          <w:sz w:val="24"/>
          <w:szCs w:val="24"/>
        </w:rPr>
      </w:pPr>
      <w:r>
        <w:rPr>
          <w:rFonts w:ascii="Courier New" w:hAnsi="Courier New" w:cs="Courier New"/>
          <w:i/>
          <w:sz w:val="24"/>
          <w:szCs w:val="24"/>
        </w:rPr>
        <w:t xml:space="preserve">David G. </w:t>
      </w:r>
      <w:proofErr w:type="spellStart"/>
      <w:r>
        <w:rPr>
          <w:rFonts w:ascii="Courier New" w:hAnsi="Courier New" w:cs="Courier New"/>
          <w:i/>
          <w:sz w:val="24"/>
          <w:szCs w:val="24"/>
        </w:rPr>
        <w:t>Saliba</w:t>
      </w:r>
      <w:proofErr w:type="spellEnd"/>
      <w:r>
        <w:rPr>
          <w:rFonts w:ascii="Courier New" w:hAnsi="Courier New" w:cs="Courier New"/>
          <w:i/>
          <w:sz w:val="24"/>
          <w:szCs w:val="24"/>
        </w:rPr>
        <w:t xml:space="preserve">, </w:t>
      </w:r>
      <w:r>
        <w:rPr>
          <w:rFonts w:ascii="Courier New" w:hAnsi="Courier New" w:cs="Courier New"/>
          <w:sz w:val="24"/>
          <w:szCs w:val="24"/>
        </w:rPr>
        <w:t>Esq</w:t>
      </w:r>
      <w:r w:rsidR="00192780">
        <w:rPr>
          <w:rFonts w:ascii="Courier New" w:hAnsi="Courier New" w:cs="Courier New"/>
          <w:sz w:val="24"/>
          <w:szCs w:val="24"/>
        </w:rPr>
        <w:t>.</w:t>
      </w:r>
      <w:r w:rsidR="00192780">
        <w:rPr>
          <w:rFonts w:ascii="Courier New" w:hAnsi="Courier New" w:cs="Courier New"/>
          <w:i/>
          <w:sz w:val="24"/>
          <w:szCs w:val="24"/>
        </w:rPr>
        <w:t xml:space="preserve"> </w:t>
      </w:r>
      <w:r w:rsidR="00192780">
        <w:rPr>
          <w:rFonts w:ascii="Courier New" w:hAnsi="Courier New" w:cs="Courier New"/>
          <w:sz w:val="24"/>
          <w:szCs w:val="24"/>
        </w:rPr>
        <w:t>for the appellant.</w:t>
      </w:r>
    </w:p>
    <w:p w:rsidR="00192780" w:rsidRDefault="00192780" w:rsidP="00192780">
      <w:pPr>
        <w:spacing w:after="0" w:line="240" w:lineRule="auto"/>
        <w:ind w:firstLine="720"/>
        <w:jc w:val="both"/>
        <w:rPr>
          <w:rFonts w:ascii="Courier New" w:hAnsi="Courier New" w:cs="Courier New"/>
          <w:sz w:val="24"/>
          <w:szCs w:val="24"/>
        </w:rPr>
      </w:pPr>
    </w:p>
    <w:p w:rsidR="00192780" w:rsidRDefault="00192780" w:rsidP="00192780">
      <w:pPr>
        <w:spacing w:after="0" w:line="240" w:lineRule="auto"/>
        <w:ind w:firstLine="720"/>
        <w:jc w:val="both"/>
        <w:rPr>
          <w:rFonts w:ascii="Courier New" w:hAnsi="Courier New" w:cs="Courier New"/>
          <w:sz w:val="24"/>
          <w:szCs w:val="24"/>
        </w:rPr>
      </w:pPr>
      <w:r>
        <w:rPr>
          <w:rFonts w:ascii="Courier New" w:hAnsi="Courier New" w:cs="Courier New"/>
          <w:i/>
          <w:sz w:val="24"/>
          <w:szCs w:val="24"/>
        </w:rPr>
        <w:t xml:space="preserve">Anthony M. </w:t>
      </w:r>
      <w:proofErr w:type="spellStart"/>
      <w:r>
        <w:rPr>
          <w:rFonts w:ascii="Courier New" w:hAnsi="Courier New" w:cs="Courier New"/>
          <w:i/>
          <w:sz w:val="24"/>
          <w:szCs w:val="24"/>
        </w:rPr>
        <w:t>Ambriano</w:t>
      </w:r>
      <w:proofErr w:type="spellEnd"/>
      <w:r>
        <w:rPr>
          <w:rFonts w:ascii="Courier New" w:hAnsi="Courier New" w:cs="Courier New"/>
          <w:i/>
          <w:sz w:val="24"/>
          <w:szCs w:val="24"/>
        </w:rPr>
        <w:t>,</w:t>
      </w:r>
      <w:r>
        <w:rPr>
          <w:rFonts w:ascii="Courier New" w:hAnsi="Courier New" w:cs="Courier New"/>
          <w:sz w:val="24"/>
          <w:szCs w:val="24"/>
        </w:rPr>
        <w:t xml:space="preserve"> Esq. for the appellee.</w:t>
      </w:r>
    </w:p>
    <w:p w:rsidR="00192780" w:rsidRDefault="00192780" w:rsidP="00192780">
      <w:pPr>
        <w:spacing w:after="0" w:line="240" w:lineRule="auto"/>
        <w:ind w:firstLine="720"/>
        <w:jc w:val="both"/>
        <w:rPr>
          <w:rFonts w:ascii="Courier New" w:hAnsi="Courier New" w:cs="Courier New"/>
          <w:sz w:val="24"/>
          <w:szCs w:val="24"/>
        </w:rPr>
      </w:pPr>
    </w:p>
    <w:p w:rsidR="00192780" w:rsidRDefault="00192780" w:rsidP="00192780">
      <w:pPr>
        <w:spacing w:after="0" w:line="240" w:lineRule="auto"/>
        <w:ind w:firstLine="720"/>
        <w:jc w:val="both"/>
        <w:rPr>
          <w:rFonts w:ascii="Courier New" w:hAnsi="Courier New" w:cs="Courier New"/>
          <w:sz w:val="24"/>
          <w:szCs w:val="24"/>
        </w:rPr>
      </w:pPr>
      <w:r>
        <w:rPr>
          <w:rFonts w:ascii="Courier New" w:hAnsi="Courier New" w:cs="Courier New"/>
          <w:sz w:val="24"/>
          <w:szCs w:val="24"/>
        </w:rPr>
        <w:tab/>
      </w:r>
    </w:p>
    <w:p w:rsidR="00192780" w:rsidRDefault="00192780" w:rsidP="00192780">
      <w:pPr>
        <w:pStyle w:val="Heading2"/>
        <w:spacing w:line="480" w:lineRule="auto"/>
      </w:pPr>
      <w:r>
        <w:lastRenderedPageBreak/>
        <w:t>FINDINGS OF FACT AND REPORT</w:t>
      </w:r>
    </w:p>
    <w:p w:rsidR="00192780" w:rsidRDefault="00192780" w:rsidP="00192780">
      <w:pPr>
        <w:spacing w:after="0" w:line="480" w:lineRule="auto"/>
        <w:ind w:firstLine="720"/>
        <w:jc w:val="both"/>
        <w:rPr>
          <w:rFonts w:ascii="Courier New" w:hAnsi="Courier New" w:cs="Courier New"/>
          <w:sz w:val="24"/>
          <w:szCs w:val="24"/>
        </w:rPr>
      </w:pPr>
      <w:r>
        <w:rPr>
          <w:rFonts w:ascii="Courier New" w:hAnsi="Courier New" w:cs="Courier New"/>
          <w:sz w:val="24"/>
          <w:szCs w:val="24"/>
        </w:rPr>
        <w:t>On the basis of testimony and exhibits offered into evidence at the hearing of these appeals, the Appellate Tax Board (“Board”) made the following findings of fact.</w:t>
      </w:r>
    </w:p>
    <w:p w:rsidR="000933BA" w:rsidRDefault="000933BA" w:rsidP="00584762">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On January 1, 2012, January 1, 2013, January 1, 2014, and </w:t>
      </w:r>
      <w:r w:rsidR="002C6682">
        <w:rPr>
          <w:rFonts w:ascii="Courier New" w:hAnsi="Courier New" w:cs="Courier New"/>
          <w:sz w:val="24"/>
          <w:szCs w:val="24"/>
        </w:rPr>
        <w:t xml:space="preserve">January 1, 2015, </w:t>
      </w:r>
      <w:r w:rsidR="00100958">
        <w:rPr>
          <w:rFonts w:ascii="Courier New" w:hAnsi="Courier New" w:cs="Courier New"/>
          <w:sz w:val="24"/>
          <w:szCs w:val="24"/>
        </w:rPr>
        <w:t xml:space="preserve">the relevant valuation dates for the fiscal years at issue, </w:t>
      </w:r>
      <w:r w:rsidR="002C6682">
        <w:rPr>
          <w:rFonts w:ascii="Courier New" w:hAnsi="Courier New" w:cs="Courier New"/>
          <w:sz w:val="24"/>
          <w:szCs w:val="24"/>
        </w:rPr>
        <w:t>the appellant was</w:t>
      </w:r>
      <w:r w:rsidR="005B3FFB">
        <w:rPr>
          <w:rFonts w:ascii="Courier New" w:hAnsi="Courier New" w:cs="Courier New"/>
          <w:sz w:val="24"/>
          <w:szCs w:val="24"/>
        </w:rPr>
        <w:t xml:space="preserve"> the assessed owner of a 42,561-</w:t>
      </w:r>
      <w:r w:rsidR="002C6682">
        <w:rPr>
          <w:rFonts w:ascii="Courier New" w:hAnsi="Courier New" w:cs="Courier New"/>
          <w:sz w:val="24"/>
          <w:szCs w:val="24"/>
        </w:rPr>
        <w:t>square-foot parcel of real estate, improved with a three-story retail building, located at 60-68</w:t>
      </w:r>
      <w:r w:rsidR="0093718D">
        <w:rPr>
          <w:rFonts w:ascii="Courier New" w:hAnsi="Courier New" w:cs="Courier New"/>
          <w:sz w:val="24"/>
          <w:szCs w:val="24"/>
        </w:rPr>
        <w:t xml:space="preserve"> First Street in Cambridge (</w:t>
      </w:r>
      <w:r w:rsidR="002C6682">
        <w:rPr>
          <w:rFonts w:ascii="Courier New" w:hAnsi="Courier New" w:cs="Courier New"/>
          <w:sz w:val="24"/>
          <w:szCs w:val="24"/>
        </w:rPr>
        <w:t xml:space="preserve">“subject property”).  </w:t>
      </w:r>
      <w:r w:rsidR="00B03EF8">
        <w:rPr>
          <w:rFonts w:ascii="Courier New" w:hAnsi="Courier New" w:cs="Courier New"/>
          <w:sz w:val="24"/>
          <w:szCs w:val="24"/>
        </w:rPr>
        <w:t>Relevant assessment information is set forth in the following table:</w:t>
      </w:r>
    </w:p>
    <w:p w:rsidR="00584762" w:rsidRDefault="00584762" w:rsidP="00584762">
      <w:pPr>
        <w:spacing w:after="0" w:line="240" w:lineRule="auto"/>
        <w:ind w:firstLine="720"/>
        <w:jc w:val="both"/>
        <w:rPr>
          <w:rFonts w:ascii="Courier New" w:hAnsi="Courier New" w:cs="Courier New"/>
          <w:sz w:val="24"/>
          <w:szCs w:val="24"/>
        </w:rPr>
      </w:pPr>
    </w:p>
    <w:tbl>
      <w:tblPr>
        <w:tblStyle w:val="TableGrid"/>
        <w:tblW w:w="0" w:type="auto"/>
        <w:jc w:val="center"/>
        <w:tblLook w:val="04A0" w:firstRow="1" w:lastRow="0" w:firstColumn="1" w:lastColumn="0" w:noHBand="0" w:noVBand="1"/>
      </w:tblPr>
      <w:tblGrid>
        <w:gridCol w:w="1746"/>
        <w:gridCol w:w="2394"/>
        <w:gridCol w:w="1980"/>
        <w:gridCol w:w="1980"/>
      </w:tblGrid>
      <w:tr w:rsidR="00A9724E" w:rsidRPr="00D80BF9" w:rsidTr="00CA3CD5">
        <w:trPr>
          <w:jc w:val="center"/>
        </w:trPr>
        <w:tc>
          <w:tcPr>
            <w:tcW w:w="1746" w:type="dxa"/>
          </w:tcPr>
          <w:p w:rsidR="00A9724E" w:rsidRPr="00D80BF9" w:rsidRDefault="00A9724E" w:rsidP="00584762">
            <w:pPr>
              <w:jc w:val="both"/>
              <w:rPr>
                <w:rFonts w:ascii="Courier New" w:hAnsi="Courier New" w:cs="Courier New"/>
                <w:b/>
                <w:sz w:val="20"/>
                <w:szCs w:val="20"/>
              </w:rPr>
            </w:pPr>
            <w:r w:rsidRPr="00D80BF9">
              <w:rPr>
                <w:rFonts w:ascii="Courier New" w:hAnsi="Courier New" w:cs="Courier New"/>
                <w:b/>
                <w:sz w:val="20"/>
                <w:szCs w:val="20"/>
              </w:rPr>
              <w:t>Fiscal Year</w:t>
            </w:r>
          </w:p>
        </w:tc>
        <w:tc>
          <w:tcPr>
            <w:tcW w:w="2394" w:type="dxa"/>
          </w:tcPr>
          <w:p w:rsidR="00A9724E" w:rsidRPr="00D80BF9" w:rsidRDefault="00A9724E" w:rsidP="00584762">
            <w:pPr>
              <w:jc w:val="both"/>
              <w:rPr>
                <w:rFonts w:ascii="Courier New" w:hAnsi="Courier New" w:cs="Courier New"/>
                <w:b/>
                <w:sz w:val="20"/>
                <w:szCs w:val="20"/>
              </w:rPr>
            </w:pPr>
            <w:r w:rsidRPr="00D80BF9">
              <w:rPr>
                <w:rFonts w:ascii="Courier New" w:hAnsi="Courier New" w:cs="Courier New"/>
                <w:b/>
                <w:sz w:val="20"/>
                <w:szCs w:val="20"/>
              </w:rPr>
              <w:t>Assessed Value</w:t>
            </w:r>
            <w:r w:rsidR="00D80BF9">
              <w:rPr>
                <w:rFonts w:ascii="Courier New" w:hAnsi="Courier New" w:cs="Courier New"/>
                <w:b/>
                <w:sz w:val="20"/>
                <w:szCs w:val="20"/>
              </w:rPr>
              <w:t xml:space="preserve"> ($)</w:t>
            </w:r>
          </w:p>
        </w:tc>
        <w:tc>
          <w:tcPr>
            <w:tcW w:w="1980" w:type="dxa"/>
          </w:tcPr>
          <w:p w:rsidR="00A9724E" w:rsidRPr="00D80BF9" w:rsidRDefault="00460C8A" w:rsidP="00584762">
            <w:pPr>
              <w:jc w:val="both"/>
              <w:rPr>
                <w:rFonts w:ascii="Courier New" w:hAnsi="Courier New" w:cs="Courier New"/>
                <w:b/>
                <w:sz w:val="20"/>
                <w:szCs w:val="20"/>
              </w:rPr>
            </w:pPr>
            <w:r>
              <w:rPr>
                <w:rFonts w:ascii="Courier New" w:hAnsi="Courier New" w:cs="Courier New"/>
                <w:b/>
                <w:sz w:val="20"/>
                <w:szCs w:val="20"/>
              </w:rPr>
              <w:t xml:space="preserve">  </w:t>
            </w:r>
            <w:r w:rsidR="00A9724E" w:rsidRPr="00D80BF9">
              <w:rPr>
                <w:rFonts w:ascii="Courier New" w:hAnsi="Courier New" w:cs="Courier New"/>
                <w:b/>
                <w:sz w:val="20"/>
                <w:szCs w:val="20"/>
              </w:rPr>
              <w:t>Tax/$1,000</w:t>
            </w:r>
          </w:p>
        </w:tc>
        <w:tc>
          <w:tcPr>
            <w:tcW w:w="1980" w:type="dxa"/>
          </w:tcPr>
          <w:p w:rsidR="00A9724E" w:rsidRPr="00D80BF9" w:rsidRDefault="00460C8A" w:rsidP="00584762">
            <w:pPr>
              <w:jc w:val="both"/>
              <w:rPr>
                <w:rFonts w:ascii="Courier New" w:hAnsi="Courier New" w:cs="Courier New"/>
                <w:b/>
                <w:sz w:val="20"/>
                <w:szCs w:val="20"/>
              </w:rPr>
            </w:pPr>
            <w:r>
              <w:rPr>
                <w:rFonts w:ascii="Courier New" w:hAnsi="Courier New" w:cs="Courier New"/>
                <w:b/>
                <w:sz w:val="20"/>
                <w:szCs w:val="20"/>
              </w:rPr>
              <w:t xml:space="preserve"> </w:t>
            </w:r>
            <w:r w:rsidR="00A9724E" w:rsidRPr="00D80BF9">
              <w:rPr>
                <w:rFonts w:ascii="Courier New" w:hAnsi="Courier New" w:cs="Courier New"/>
                <w:b/>
                <w:sz w:val="20"/>
                <w:szCs w:val="20"/>
              </w:rPr>
              <w:t>Total Tax</w:t>
            </w:r>
            <w:r w:rsidR="00D80BF9">
              <w:rPr>
                <w:rFonts w:ascii="Courier New" w:hAnsi="Courier New" w:cs="Courier New"/>
                <w:b/>
                <w:sz w:val="20"/>
                <w:szCs w:val="20"/>
              </w:rPr>
              <w:t xml:space="preserve"> ($)</w:t>
            </w:r>
          </w:p>
        </w:tc>
      </w:tr>
      <w:tr w:rsidR="00A9724E" w:rsidTr="00CA3CD5">
        <w:trPr>
          <w:jc w:val="center"/>
        </w:trPr>
        <w:tc>
          <w:tcPr>
            <w:tcW w:w="1746" w:type="dxa"/>
          </w:tcPr>
          <w:p w:rsidR="00A9724E" w:rsidRPr="00D80BF9" w:rsidRDefault="00D80BF9" w:rsidP="00460C8A">
            <w:pPr>
              <w:jc w:val="center"/>
              <w:rPr>
                <w:rFonts w:ascii="Courier New" w:hAnsi="Courier New" w:cs="Courier New"/>
                <w:sz w:val="20"/>
                <w:szCs w:val="20"/>
              </w:rPr>
            </w:pPr>
            <w:r w:rsidRPr="00D80BF9">
              <w:rPr>
                <w:rFonts w:ascii="Courier New" w:hAnsi="Courier New" w:cs="Courier New"/>
                <w:sz w:val="20"/>
                <w:szCs w:val="20"/>
              </w:rPr>
              <w:t>2013</w:t>
            </w:r>
          </w:p>
        </w:tc>
        <w:tc>
          <w:tcPr>
            <w:tcW w:w="2394"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13,077,000</w:t>
            </w:r>
          </w:p>
        </w:tc>
        <w:tc>
          <w:tcPr>
            <w:tcW w:w="1980"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21.50</w:t>
            </w:r>
          </w:p>
        </w:tc>
        <w:tc>
          <w:tcPr>
            <w:tcW w:w="1980" w:type="dxa"/>
          </w:tcPr>
          <w:p w:rsidR="00A9724E" w:rsidRPr="00D80BF9" w:rsidRDefault="00E71945" w:rsidP="00E71945">
            <w:pPr>
              <w:rPr>
                <w:rFonts w:ascii="Courier New" w:hAnsi="Courier New" w:cs="Courier New"/>
                <w:sz w:val="20"/>
                <w:szCs w:val="20"/>
              </w:rPr>
            </w:pPr>
            <w:r>
              <w:rPr>
                <w:rFonts w:ascii="Courier New" w:hAnsi="Courier New" w:cs="Courier New"/>
                <w:sz w:val="20"/>
                <w:szCs w:val="20"/>
              </w:rPr>
              <w:t xml:space="preserve">  </w:t>
            </w:r>
            <w:r w:rsidR="00100958">
              <w:rPr>
                <w:rFonts w:ascii="Courier New" w:hAnsi="Courier New" w:cs="Courier New"/>
                <w:sz w:val="20"/>
                <w:szCs w:val="20"/>
              </w:rPr>
              <w:t xml:space="preserve"> </w:t>
            </w:r>
            <w:r>
              <w:rPr>
                <w:rFonts w:ascii="Courier New" w:hAnsi="Courier New" w:cs="Courier New"/>
                <w:sz w:val="20"/>
                <w:szCs w:val="20"/>
              </w:rPr>
              <w:t>281,155.50</w:t>
            </w:r>
          </w:p>
        </w:tc>
      </w:tr>
      <w:tr w:rsidR="00A9724E" w:rsidTr="00CA3CD5">
        <w:trPr>
          <w:jc w:val="center"/>
        </w:trPr>
        <w:tc>
          <w:tcPr>
            <w:tcW w:w="1746" w:type="dxa"/>
          </w:tcPr>
          <w:p w:rsidR="00A9724E" w:rsidRPr="00D80BF9" w:rsidRDefault="00D80BF9" w:rsidP="00460C8A">
            <w:pPr>
              <w:jc w:val="center"/>
              <w:rPr>
                <w:rFonts w:ascii="Courier New" w:hAnsi="Courier New" w:cs="Courier New"/>
                <w:sz w:val="20"/>
                <w:szCs w:val="20"/>
              </w:rPr>
            </w:pPr>
            <w:r w:rsidRPr="00D80BF9">
              <w:rPr>
                <w:rFonts w:ascii="Courier New" w:hAnsi="Courier New" w:cs="Courier New"/>
                <w:sz w:val="20"/>
                <w:szCs w:val="20"/>
              </w:rPr>
              <w:t>2014</w:t>
            </w:r>
          </w:p>
        </w:tc>
        <w:tc>
          <w:tcPr>
            <w:tcW w:w="2394"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15,543,000</w:t>
            </w:r>
          </w:p>
        </w:tc>
        <w:tc>
          <w:tcPr>
            <w:tcW w:w="1980"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20.44</w:t>
            </w:r>
          </w:p>
        </w:tc>
        <w:tc>
          <w:tcPr>
            <w:tcW w:w="1980" w:type="dxa"/>
          </w:tcPr>
          <w:p w:rsidR="00A9724E" w:rsidRPr="00D80BF9" w:rsidRDefault="00100958" w:rsidP="00460C8A">
            <w:pPr>
              <w:jc w:val="center"/>
              <w:rPr>
                <w:rFonts w:ascii="Courier New" w:hAnsi="Courier New" w:cs="Courier New"/>
                <w:sz w:val="20"/>
                <w:szCs w:val="20"/>
              </w:rPr>
            </w:pPr>
            <w:r>
              <w:rPr>
                <w:rFonts w:ascii="Courier New" w:hAnsi="Courier New" w:cs="Courier New"/>
                <w:sz w:val="20"/>
                <w:szCs w:val="20"/>
              </w:rPr>
              <w:t xml:space="preserve"> </w:t>
            </w:r>
            <w:r w:rsidR="00E71945">
              <w:rPr>
                <w:rFonts w:ascii="Courier New" w:hAnsi="Courier New" w:cs="Courier New"/>
                <w:sz w:val="20"/>
                <w:szCs w:val="20"/>
              </w:rPr>
              <w:t>317,698.92</w:t>
            </w:r>
          </w:p>
        </w:tc>
      </w:tr>
      <w:tr w:rsidR="00A9724E" w:rsidTr="00CA3CD5">
        <w:trPr>
          <w:jc w:val="center"/>
        </w:trPr>
        <w:tc>
          <w:tcPr>
            <w:tcW w:w="1746" w:type="dxa"/>
          </w:tcPr>
          <w:p w:rsidR="00A9724E" w:rsidRPr="00D80BF9" w:rsidRDefault="00D80BF9" w:rsidP="00460C8A">
            <w:pPr>
              <w:jc w:val="center"/>
              <w:rPr>
                <w:rFonts w:ascii="Courier New" w:hAnsi="Courier New" w:cs="Courier New"/>
                <w:sz w:val="20"/>
                <w:szCs w:val="20"/>
              </w:rPr>
            </w:pPr>
            <w:r w:rsidRPr="00D80BF9">
              <w:rPr>
                <w:rFonts w:ascii="Courier New" w:hAnsi="Courier New" w:cs="Courier New"/>
                <w:sz w:val="20"/>
                <w:szCs w:val="20"/>
              </w:rPr>
              <w:t>2015</w:t>
            </w:r>
          </w:p>
        </w:tc>
        <w:tc>
          <w:tcPr>
            <w:tcW w:w="2394"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16,293,700</w:t>
            </w:r>
          </w:p>
        </w:tc>
        <w:tc>
          <w:tcPr>
            <w:tcW w:w="1980"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19.29</w:t>
            </w:r>
          </w:p>
        </w:tc>
        <w:tc>
          <w:tcPr>
            <w:tcW w:w="1980" w:type="dxa"/>
          </w:tcPr>
          <w:p w:rsidR="00A9724E" w:rsidRPr="00D80BF9" w:rsidRDefault="00100958" w:rsidP="00460C8A">
            <w:pPr>
              <w:jc w:val="center"/>
              <w:rPr>
                <w:rFonts w:ascii="Courier New" w:hAnsi="Courier New" w:cs="Courier New"/>
                <w:sz w:val="20"/>
                <w:szCs w:val="20"/>
              </w:rPr>
            </w:pPr>
            <w:r>
              <w:rPr>
                <w:rFonts w:ascii="Courier New" w:hAnsi="Courier New" w:cs="Courier New"/>
                <w:sz w:val="20"/>
                <w:szCs w:val="20"/>
              </w:rPr>
              <w:t xml:space="preserve"> </w:t>
            </w:r>
            <w:r w:rsidR="00E71945">
              <w:rPr>
                <w:rFonts w:ascii="Courier New" w:hAnsi="Courier New" w:cs="Courier New"/>
                <w:sz w:val="20"/>
                <w:szCs w:val="20"/>
              </w:rPr>
              <w:t>314,305.47</w:t>
            </w:r>
          </w:p>
        </w:tc>
      </w:tr>
      <w:tr w:rsidR="00A9724E" w:rsidTr="00CA3CD5">
        <w:trPr>
          <w:jc w:val="center"/>
        </w:trPr>
        <w:tc>
          <w:tcPr>
            <w:tcW w:w="1746" w:type="dxa"/>
          </w:tcPr>
          <w:p w:rsidR="00A9724E" w:rsidRPr="00D80BF9" w:rsidRDefault="00D80BF9" w:rsidP="00460C8A">
            <w:pPr>
              <w:jc w:val="center"/>
              <w:rPr>
                <w:rFonts w:ascii="Courier New" w:hAnsi="Courier New" w:cs="Courier New"/>
                <w:sz w:val="20"/>
                <w:szCs w:val="20"/>
              </w:rPr>
            </w:pPr>
            <w:r w:rsidRPr="00D80BF9">
              <w:rPr>
                <w:rFonts w:ascii="Courier New" w:hAnsi="Courier New" w:cs="Courier New"/>
                <w:sz w:val="20"/>
                <w:szCs w:val="20"/>
              </w:rPr>
              <w:t>2016</w:t>
            </w:r>
          </w:p>
        </w:tc>
        <w:tc>
          <w:tcPr>
            <w:tcW w:w="2394"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17,186,700</w:t>
            </w:r>
          </w:p>
        </w:tc>
        <w:tc>
          <w:tcPr>
            <w:tcW w:w="1980" w:type="dxa"/>
          </w:tcPr>
          <w:p w:rsidR="00A9724E" w:rsidRPr="00D80BF9" w:rsidRDefault="002349EF" w:rsidP="00460C8A">
            <w:pPr>
              <w:jc w:val="center"/>
              <w:rPr>
                <w:rFonts w:ascii="Courier New" w:hAnsi="Courier New" w:cs="Courier New"/>
                <w:sz w:val="20"/>
                <w:szCs w:val="20"/>
              </w:rPr>
            </w:pPr>
            <w:r>
              <w:rPr>
                <w:rFonts w:ascii="Courier New" w:hAnsi="Courier New" w:cs="Courier New"/>
                <w:sz w:val="20"/>
                <w:szCs w:val="20"/>
              </w:rPr>
              <w:t>17.71</w:t>
            </w:r>
          </w:p>
        </w:tc>
        <w:tc>
          <w:tcPr>
            <w:tcW w:w="1980" w:type="dxa"/>
          </w:tcPr>
          <w:p w:rsidR="00A9724E" w:rsidRPr="00D80BF9" w:rsidRDefault="00100958" w:rsidP="00460C8A">
            <w:pPr>
              <w:jc w:val="center"/>
              <w:rPr>
                <w:rFonts w:ascii="Courier New" w:hAnsi="Courier New" w:cs="Courier New"/>
                <w:sz w:val="20"/>
                <w:szCs w:val="20"/>
              </w:rPr>
            </w:pPr>
            <w:r>
              <w:rPr>
                <w:rFonts w:ascii="Courier New" w:hAnsi="Courier New" w:cs="Courier New"/>
                <w:sz w:val="20"/>
                <w:szCs w:val="20"/>
              </w:rPr>
              <w:t xml:space="preserve"> </w:t>
            </w:r>
            <w:r w:rsidR="00D94088">
              <w:rPr>
                <w:rFonts w:ascii="Courier New" w:hAnsi="Courier New" w:cs="Courier New"/>
                <w:sz w:val="20"/>
                <w:szCs w:val="20"/>
              </w:rPr>
              <w:t>304,376.46</w:t>
            </w:r>
          </w:p>
        </w:tc>
      </w:tr>
    </w:tbl>
    <w:p w:rsidR="00B03EF8" w:rsidRDefault="00B03EF8" w:rsidP="00192780">
      <w:pPr>
        <w:spacing w:after="0" w:line="480" w:lineRule="auto"/>
        <w:ind w:firstLine="720"/>
        <w:jc w:val="both"/>
        <w:rPr>
          <w:rFonts w:ascii="Courier New" w:hAnsi="Courier New" w:cs="Courier New"/>
          <w:sz w:val="24"/>
          <w:szCs w:val="24"/>
        </w:rPr>
      </w:pPr>
    </w:p>
    <w:p w:rsidR="007B490F" w:rsidRDefault="00C85382" w:rsidP="000966C4">
      <w:pPr>
        <w:spacing w:line="480" w:lineRule="auto"/>
        <w:jc w:val="both"/>
        <w:rPr>
          <w:rFonts w:ascii="Courier New" w:hAnsi="Courier New" w:cs="Courier New"/>
          <w:sz w:val="24"/>
          <w:szCs w:val="24"/>
        </w:rPr>
      </w:pPr>
      <w:r w:rsidRPr="00832201">
        <w:rPr>
          <w:sz w:val="24"/>
          <w:szCs w:val="24"/>
        </w:rPr>
        <w:tab/>
      </w:r>
      <w:r w:rsidR="00100958">
        <w:rPr>
          <w:rFonts w:ascii="Courier New" w:hAnsi="Courier New" w:cs="Courier New"/>
          <w:sz w:val="24"/>
          <w:szCs w:val="24"/>
        </w:rPr>
        <w:t xml:space="preserve">In accordance with G.L. c. 59, §§ 59, 64, and 65, </w:t>
      </w:r>
      <w:r w:rsidR="00C22E7A">
        <w:rPr>
          <w:rFonts w:ascii="Courier New" w:hAnsi="Courier New" w:cs="Courier New"/>
          <w:sz w:val="24"/>
          <w:szCs w:val="24"/>
        </w:rPr>
        <w:t>t</w:t>
      </w:r>
      <w:r w:rsidR="00832201">
        <w:rPr>
          <w:rFonts w:ascii="Courier New" w:hAnsi="Courier New" w:cs="Courier New"/>
          <w:sz w:val="24"/>
          <w:szCs w:val="24"/>
        </w:rPr>
        <w:t>he</w:t>
      </w:r>
      <w:r w:rsidR="006B5866">
        <w:rPr>
          <w:rFonts w:ascii="Courier New" w:hAnsi="Courier New" w:cs="Courier New"/>
          <w:sz w:val="24"/>
          <w:szCs w:val="24"/>
        </w:rPr>
        <w:t xml:space="preserve"> appellant timely paid the tax</w:t>
      </w:r>
      <w:r w:rsidR="00832201">
        <w:rPr>
          <w:rFonts w:ascii="Courier New" w:hAnsi="Courier New" w:cs="Courier New"/>
          <w:sz w:val="24"/>
          <w:szCs w:val="24"/>
        </w:rPr>
        <w:t xml:space="preserve"> due for each of the fiscal years at issue without</w:t>
      </w:r>
      <w:r w:rsidR="00787C68">
        <w:rPr>
          <w:rFonts w:ascii="Courier New" w:hAnsi="Courier New" w:cs="Courier New"/>
          <w:sz w:val="24"/>
          <w:szCs w:val="24"/>
        </w:rPr>
        <w:t xml:space="preserve"> incurring interest</w:t>
      </w:r>
      <w:r w:rsidR="00832201">
        <w:rPr>
          <w:rFonts w:ascii="Courier New" w:hAnsi="Courier New" w:cs="Courier New"/>
          <w:sz w:val="24"/>
          <w:szCs w:val="24"/>
        </w:rPr>
        <w:t xml:space="preserve">.  </w:t>
      </w:r>
      <w:r w:rsidR="005472E6">
        <w:rPr>
          <w:rFonts w:ascii="Courier New" w:hAnsi="Courier New" w:cs="Courier New"/>
          <w:sz w:val="24"/>
          <w:szCs w:val="24"/>
        </w:rPr>
        <w:t>Additional relevant jurisdictional information is set forth in the following table:</w:t>
      </w:r>
    </w:p>
    <w:tbl>
      <w:tblPr>
        <w:tblStyle w:val="TableGrid"/>
        <w:tblW w:w="0" w:type="auto"/>
        <w:jc w:val="center"/>
        <w:tblLook w:val="04A0" w:firstRow="1" w:lastRow="0" w:firstColumn="1" w:lastColumn="0" w:noHBand="0" w:noVBand="1"/>
      </w:tblPr>
      <w:tblGrid>
        <w:gridCol w:w="937"/>
        <w:gridCol w:w="2303"/>
        <w:gridCol w:w="3060"/>
        <w:gridCol w:w="2070"/>
      </w:tblGrid>
      <w:tr w:rsidR="005472E6" w:rsidTr="00CA3CD5">
        <w:trPr>
          <w:jc w:val="center"/>
        </w:trPr>
        <w:tc>
          <w:tcPr>
            <w:tcW w:w="937" w:type="dxa"/>
          </w:tcPr>
          <w:p w:rsidR="000966C4" w:rsidRDefault="005472E6" w:rsidP="00460C8A">
            <w:pPr>
              <w:jc w:val="center"/>
              <w:rPr>
                <w:rFonts w:ascii="Courier New" w:hAnsi="Courier New" w:cs="Courier New"/>
                <w:b/>
                <w:sz w:val="20"/>
                <w:szCs w:val="20"/>
              </w:rPr>
            </w:pPr>
            <w:r w:rsidRPr="000966C4">
              <w:rPr>
                <w:rFonts w:ascii="Courier New" w:hAnsi="Courier New" w:cs="Courier New"/>
                <w:b/>
                <w:sz w:val="20"/>
                <w:szCs w:val="20"/>
              </w:rPr>
              <w:t>Fiscal</w:t>
            </w:r>
          </w:p>
          <w:p w:rsidR="005472E6" w:rsidRPr="000966C4" w:rsidRDefault="005472E6" w:rsidP="00460C8A">
            <w:pPr>
              <w:jc w:val="center"/>
              <w:rPr>
                <w:rFonts w:ascii="Courier New" w:hAnsi="Courier New" w:cs="Courier New"/>
                <w:b/>
                <w:sz w:val="20"/>
                <w:szCs w:val="20"/>
              </w:rPr>
            </w:pPr>
            <w:r w:rsidRPr="000966C4">
              <w:rPr>
                <w:rFonts w:ascii="Courier New" w:hAnsi="Courier New" w:cs="Courier New"/>
                <w:b/>
                <w:sz w:val="20"/>
                <w:szCs w:val="20"/>
              </w:rPr>
              <w:t>Year</w:t>
            </w:r>
          </w:p>
        </w:tc>
        <w:tc>
          <w:tcPr>
            <w:tcW w:w="2303" w:type="dxa"/>
          </w:tcPr>
          <w:p w:rsidR="005472E6" w:rsidRPr="000966C4" w:rsidRDefault="005472E6" w:rsidP="00460C8A">
            <w:pPr>
              <w:jc w:val="center"/>
              <w:rPr>
                <w:rFonts w:ascii="Courier New" w:hAnsi="Courier New" w:cs="Courier New"/>
                <w:b/>
                <w:sz w:val="20"/>
                <w:szCs w:val="20"/>
              </w:rPr>
            </w:pPr>
            <w:r w:rsidRPr="000966C4">
              <w:rPr>
                <w:rFonts w:ascii="Courier New" w:hAnsi="Courier New" w:cs="Courier New"/>
                <w:b/>
                <w:sz w:val="20"/>
                <w:szCs w:val="20"/>
              </w:rPr>
              <w:t>Abatement Application Filed</w:t>
            </w:r>
          </w:p>
        </w:tc>
        <w:tc>
          <w:tcPr>
            <w:tcW w:w="3060" w:type="dxa"/>
          </w:tcPr>
          <w:p w:rsidR="005472E6" w:rsidRPr="000966C4" w:rsidRDefault="005472E6" w:rsidP="00460C8A">
            <w:pPr>
              <w:jc w:val="center"/>
              <w:rPr>
                <w:rFonts w:ascii="Courier New" w:hAnsi="Courier New" w:cs="Courier New"/>
                <w:b/>
                <w:sz w:val="20"/>
                <w:szCs w:val="20"/>
              </w:rPr>
            </w:pPr>
            <w:r w:rsidRPr="000966C4">
              <w:rPr>
                <w:rFonts w:ascii="Courier New" w:hAnsi="Courier New" w:cs="Courier New"/>
                <w:b/>
                <w:sz w:val="20"/>
                <w:szCs w:val="20"/>
              </w:rPr>
              <w:t>Abatement Application Denied</w:t>
            </w:r>
            <w:r w:rsidR="008B50EF">
              <w:rPr>
                <w:rFonts w:ascii="Courier New" w:hAnsi="Courier New" w:cs="Courier New"/>
                <w:b/>
                <w:sz w:val="20"/>
                <w:szCs w:val="20"/>
              </w:rPr>
              <w:t xml:space="preserve"> or Deemed Denied</w:t>
            </w:r>
          </w:p>
        </w:tc>
        <w:tc>
          <w:tcPr>
            <w:tcW w:w="2070" w:type="dxa"/>
          </w:tcPr>
          <w:p w:rsidR="005472E6" w:rsidRPr="000966C4" w:rsidRDefault="000966C4" w:rsidP="00460C8A">
            <w:pPr>
              <w:jc w:val="center"/>
              <w:rPr>
                <w:rFonts w:ascii="Courier New" w:hAnsi="Courier New" w:cs="Courier New"/>
                <w:b/>
                <w:sz w:val="20"/>
                <w:szCs w:val="20"/>
              </w:rPr>
            </w:pPr>
            <w:r>
              <w:rPr>
                <w:rFonts w:ascii="Courier New" w:hAnsi="Courier New" w:cs="Courier New"/>
                <w:b/>
                <w:sz w:val="20"/>
                <w:szCs w:val="20"/>
              </w:rPr>
              <w:t xml:space="preserve">Appeal </w:t>
            </w:r>
            <w:r w:rsidR="005472E6" w:rsidRPr="000966C4">
              <w:rPr>
                <w:rFonts w:ascii="Courier New" w:hAnsi="Courier New" w:cs="Courier New"/>
                <w:b/>
                <w:sz w:val="20"/>
                <w:szCs w:val="20"/>
              </w:rPr>
              <w:t>Filed with Board</w:t>
            </w:r>
          </w:p>
        </w:tc>
      </w:tr>
      <w:tr w:rsidR="005472E6" w:rsidTr="00CA3CD5">
        <w:trPr>
          <w:jc w:val="center"/>
        </w:trPr>
        <w:tc>
          <w:tcPr>
            <w:tcW w:w="937" w:type="dxa"/>
          </w:tcPr>
          <w:p w:rsidR="005472E6" w:rsidRPr="00ED5F3D" w:rsidRDefault="00ED5F3D" w:rsidP="007B490F">
            <w:pPr>
              <w:jc w:val="both"/>
              <w:rPr>
                <w:rFonts w:ascii="Courier New" w:hAnsi="Courier New" w:cs="Courier New"/>
                <w:sz w:val="20"/>
                <w:szCs w:val="20"/>
              </w:rPr>
            </w:pPr>
            <w:r w:rsidRPr="00ED5F3D">
              <w:rPr>
                <w:rFonts w:ascii="Courier New" w:hAnsi="Courier New" w:cs="Courier New"/>
                <w:sz w:val="20"/>
                <w:szCs w:val="20"/>
              </w:rPr>
              <w:t>2013</w:t>
            </w:r>
          </w:p>
        </w:tc>
        <w:tc>
          <w:tcPr>
            <w:tcW w:w="2303" w:type="dxa"/>
          </w:tcPr>
          <w:p w:rsidR="005472E6" w:rsidRPr="00ED5F3D" w:rsidRDefault="00361505" w:rsidP="00CA3CD5">
            <w:pPr>
              <w:rPr>
                <w:rFonts w:ascii="Courier New" w:hAnsi="Courier New" w:cs="Courier New"/>
                <w:sz w:val="20"/>
                <w:szCs w:val="20"/>
              </w:rPr>
            </w:pPr>
            <w:r>
              <w:rPr>
                <w:rFonts w:ascii="Courier New" w:hAnsi="Courier New" w:cs="Courier New"/>
                <w:sz w:val="20"/>
                <w:szCs w:val="20"/>
              </w:rPr>
              <w:t xml:space="preserve">     11/</w:t>
            </w:r>
            <w:r w:rsidR="00CA3CD5">
              <w:rPr>
                <w:rFonts w:ascii="Courier New" w:hAnsi="Courier New" w:cs="Courier New"/>
                <w:sz w:val="20"/>
                <w:szCs w:val="20"/>
              </w:rPr>
              <w:t>0</w:t>
            </w:r>
            <w:r>
              <w:rPr>
                <w:rFonts w:ascii="Courier New" w:hAnsi="Courier New" w:cs="Courier New"/>
                <w:sz w:val="20"/>
                <w:szCs w:val="20"/>
              </w:rPr>
              <w:t>1/12</w:t>
            </w:r>
          </w:p>
        </w:tc>
        <w:tc>
          <w:tcPr>
            <w:tcW w:w="3060" w:type="dxa"/>
          </w:tcPr>
          <w:p w:rsidR="005472E6" w:rsidRPr="00ED5F3D" w:rsidRDefault="00786287" w:rsidP="00460C8A">
            <w:pPr>
              <w:jc w:val="center"/>
              <w:rPr>
                <w:rFonts w:ascii="Courier New" w:hAnsi="Courier New" w:cs="Courier New"/>
                <w:sz w:val="20"/>
                <w:szCs w:val="20"/>
              </w:rPr>
            </w:pPr>
            <w:r>
              <w:rPr>
                <w:rFonts w:ascii="Courier New" w:hAnsi="Courier New" w:cs="Courier New"/>
                <w:sz w:val="20"/>
                <w:szCs w:val="20"/>
              </w:rPr>
              <w:t>11/15/12</w:t>
            </w:r>
          </w:p>
        </w:tc>
        <w:tc>
          <w:tcPr>
            <w:tcW w:w="2070" w:type="dxa"/>
          </w:tcPr>
          <w:p w:rsidR="005472E6" w:rsidRPr="00ED5F3D" w:rsidRDefault="00D85D3E" w:rsidP="00CA3CD5">
            <w:pPr>
              <w:jc w:val="center"/>
              <w:rPr>
                <w:rFonts w:ascii="Courier New" w:hAnsi="Courier New" w:cs="Courier New"/>
                <w:sz w:val="20"/>
                <w:szCs w:val="20"/>
              </w:rPr>
            </w:pPr>
            <w:r>
              <w:rPr>
                <w:rFonts w:ascii="Courier New" w:hAnsi="Courier New" w:cs="Courier New"/>
                <w:sz w:val="20"/>
                <w:szCs w:val="20"/>
              </w:rPr>
              <w:t xml:space="preserve">  </w:t>
            </w:r>
            <w:r w:rsidR="00CA3CD5">
              <w:rPr>
                <w:rFonts w:ascii="Courier New" w:hAnsi="Courier New" w:cs="Courier New"/>
                <w:sz w:val="20"/>
                <w:szCs w:val="20"/>
              </w:rPr>
              <w:t>0</w:t>
            </w:r>
            <w:r w:rsidR="00786287">
              <w:rPr>
                <w:rFonts w:ascii="Courier New" w:hAnsi="Courier New" w:cs="Courier New"/>
                <w:sz w:val="20"/>
                <w:szCs w:val="20"/>
              </w:rPr>
              <w:t>2/</w:t>
            </w:r>
            <w:r w:rsidR="00CA3CD5">
              <w:rPr>
                <w:rFonts w:ascii="Courier New" w:hAnsi="Courier New" w:cs="Courier New"/>
                <w:sz w:val="20"/>
                <w:szCs w:val="20"/>
              </w:rPr>
              <w:t>0</w:t>
            </w:r>
            <w:r w:rsidR="00786287">
              <w:rPr>
                <w:rFonts w:ascii="Courier New" w:hAnsi="Courier New" w:cs="Courier New"/>
                <w:sz w:val="20"/>
                <w:szCs w:val="20"/>
              </w:rPr>
              <w:t>6/13</w:t>
            </w:r>
          </w:p>
        </w:tc>
      </w:tr>
      <w:tr w:rsidR="005472E6" w:rsidTr="00CA3CD5">
        <w:trPr>
          <w:jc w:val="center"/>
        </w:trPr>
        <w:tc>
          <w:tcPr>
            <w:tcW w:w="937" w:type="dxa"/>
          </w:tcPr>
          <w:p w:rsidR="005472E6" w:rsidRPr="00ED5F3D" w:rsidRDefault="00ED5F3D" w:rsidP="007B490F">
            <w:pPr>
              <w:jc w:val="both"/>
              <w:rPr>
                <w:rFonts w:ascii="Courier New" w:hAnsi="Courier New" w:cs="Courier New"/>
                <w:sz w:val="20"/>
                <w:szCs w:val="20"/>
              </w:rPr>
            </w:pPr>
            <w:r w:rsidRPr="00ED5F3D">
              <w:rPr>
                <w:rFonts w:ascii="Courier New" w:hAnsi="Courier New" w:cs="Courier New"/>
                <w:sz w:val="20"/>
                <w:szCs w:val="20"/>
              </w:rPr>
              <w:t>2014</w:t>
            </w:r>
          </w:p>
        </w:tc>
        <w:tc>
          <w:tcPr>
            <w:tcW w:w="2303" w:type="dxa"/>
          </w:tcPr>
          <w:p w:rsidR="005472E6" w:rsidRPr="00ED5F3D" w:rsidRDefault="00D85D3E" w:rsidP="00460C8A">
            <w:pPr>
              <w:jc w:val="center"/>
              <w:rPr>
                <w:rFonts w:ascii="Courier New" w:hAnsi="Courier New" w:cs="Courier New"/>
                <w:sz w:val="20"/>
                <w:szCs w:val="20"/>
              </w:rPr>
            </w:pPr>
            <w:r>
              <w:rPr>
                <w:rFonts w:ascii="Courier New" w:hAnsi="Courier New" w:cs="Courier New"/>
                <w:sz w:val="20"/>
                <w:szCs w:val="20"/>
              </w:rPr>
              <w:t xml:space="preserve"> </w:t>
            </w:r>
            <w:r w:rsidR="00361505">
              <w:rPr>
                <w:rFonts w:ascii="Courier New" w:hAnsi="Courier New" w:cs="Courier New"/>
                <w:sz w:val="20"/>
                <w:szCs w:val="20"/>
              </w:rPr>
              <w:t>11/15</w:t>
            </w:r>
            <w:r w:rsidR="00786287">
              <w:rPr>
                <w:rFonts w:ascii="Courier New" w:hAnsi="Courier New" w:cs="Courier New"/>
                <w:sz w:val="20"/>
                <w:szCs w:val="20"/>
              </w:rPr>
              <w:t>/13</w:t>
            </w:r>
          </w:p>
        </w:tc>
        <w:tc>
          <w:tcPr>
            <w:tcW w:w="3060" w:type="dxa"/>
          </w:tcPr>
          <w:p w:rsidR="005472E6" w:rsidRPr="00ED5F3D" w:rsidRDefault="00786287" w:rsidP="00460C8A">
            <w:pPr>
              <w:jc w:val="center"/>
              <w:rPr>
                <w:rFonts w:ascii="Courier New" w:hAnsi="Courier New" w:cs="Courier New"/>
                <w:sz w:val="20"/>
                <w:szCs w:val="20"/>
              </w:rPr>
            </w:pPr>
            <w:r>
              <w:rPr>
                <w:rFonts w:ascii="Courier New" w:hAnsi="Courier New" w:cs="Courier New"/>
                <w:sz w:val="20"/>
                <w:szCs w:val="20"/>
              </w:rPr>
              <w:t>11/26/13</w:t>
            </w:r>
          </w:p>
        </w:tc>
        <w:tc>
          <w:tcPr>
            <w:tcW w:w="2070" w:type="dxa"/>
          </w:tcPr>
          <w:p w:rsidR="00786287" w:rsidRPr="00ED5F3D" w:rsidRDefault="00D85D3E" w:rsidP="00460C8A">
            <w:pPr>
              <w:jc w:val="center"/>
              <w:rPr>
                <w:rFonts w:ascii="Courier New" w:hAnsi="Courier New" w:cs="Courier New"/>
                <w:sz w:val="20"/>
                <w:szCs w:val="20"/>
              </w:rPr>
            </w:pPr>
            <w:r>
              <w:rPr>
                <w:rFonts w:ascii="Courier New" w:hAnsi="Courier New" w:cs="Courier New"/>
                <w:sz w:val="20"/>
                <w:szCs w:val="20"/>
              </w:rPr>
              <w:t xml:space="preserve">  </w:t>
            </w:r>
            <w:r w:rsidR="00CA3CD5">
              <w:rPr>
                <w:rFonts w:ascii="Courier New" w:hAnsi="Courier New" w:cs="Courier New"/>
                <w:sz w:val="20"/>
                <w:szCs w:val="20"/>
              </w:rPr>
              <w:t>0</w:t>
            </w:r>
            <w:r w:rsidR="00786287">
              <w:rPr>
                <w:rFonts w:ascii="Courier New" w:hAnsi="Courier New" w:cs="Courier New"/>
                <w:sz w:val="20"/>
                <w:szCs w:val="20"/>
              </w:rPr>
              <w:t>2/21/14</w:t>
            </w:r>
          </w:p>
        </w:tc>
      </w:tr>
      <w:tr w:rsidR="005472E6" w:rsidTr="00CA3CD5">
        <w:trPr>
          <w:jc w:val="center"/>
        </w:trPr>
        <w:tc>
          <w:tcPr>
            <w:tcW w:w="937" w:type="dxa"/>
          </w:tcPr>
          <w:p w:rsidR="005472E6" w:rsidRPr="00ED5F3D" w:rsidRDefault="00ED5F3D" w:rsidP="007B490F">
            <w:pPr>
              <w:jc w:val="both"/>
              <w:rPr>
                <w:rFonts w:ascii="Courier New" w:hAnsi="Courier New" w:cs="Courier New"/>
                <w:sz w:val="20"/>
                <w:szCs w:val="20"/>
              </w:rPr>
            </w:pPr>
            <w:r w:rsidRPr="00ED5F3D">
              <w:rPr>
                <w:rFonts w:ascii="Courier New" w:hAnsi="Courier New" w:cs="Courier New"/>
                <w:sz w:val="20"/>
                <w:szCs w:val="20"/>
              </w:rPr>
              <w:t>2015</w:t>
            </w:r>
          </w:p>
        </w:tc>
        <w:tc>
          <w:tcPr>
            <w:tcW w:w="2303" w:type="dxa"/>
          </w:tcPr>
          <w:p w:rsidR="005472E6" w:rsidRPr="00ED5F3D" w:rsidRDefault="00361505" w:rsidP="00CA3CD5">
            <w:pPr>
              <w:rPr>
                <w:rFonts w:ascii="Courier New" w:hAnsi="Courier New" w:cs="Courier New"/>
                <w:sz w:val="20"/>
                <w:szCs w:val="20"/>
              </w:rPr>
            </w:pPr>
            <w:r>
              <w:rPr>
                <w:rFonts w:ascii="Courier New" w:hAnsi="Courier New" w:cs="Courier New"/>
                <w:sz w:val="20"/>
                <w:szCs w:val="20"/>
              </w:rPr>
              <w:t xml:space="preserve">     11/</w:t>
            </w:r>
            <w:r w:rsidR="00CA3CD5">
              <w:rPr>
                <w:rFonts w:ascii="Courier New" w:hAnsi="Courier New" w:cs="Courier New"/>
                <w:sz w:val="20"/>
                <w:szCs w:val="20"/>
              </w:rPr>
              <w:t>0</w:t>
            </w:r>
            <w:r>
              <w:rPr>
                <w:rFonts w:ascii="Courier New" w:hAnsi="Courier New" w:cs="Courier New"/>
                <w:sz w:val="20"/>
                <w:szCs w:val="20"/>
              </w:rPr>
              <w:t>4</w:t>
            </w:r>
            <w:r w:rsidR="00786287">
              <w:rPr>
                <w:rFonts w:ascii="Courier New" w:hAnsi="Courier New" w:cs="Courier New"/>
                <w:sz w:val="20"/>
                <w:szCs w:val="20"/>
              </w:rPr>
              <w:t>/14</w:t>
            </w:r>
          </w:p>
        </w:tc>
        <w:tc>
          <w:tcPr>
            <w:tcW w:w="3060" w:type="dxa"/>
          </w:tcPr>
          <w:p w:rsidR="005472E6" w:rsidRPr="00ED5F3D" w:rsidRDefault="00786287" w:rsidP="00460C8A">
            <w:pPr>
              <w:jc w:val="center"/>
              <w:rPr>
                <w:rFonts w:ascii="Courier New" w:hAnsi="Courier New" w:cs="Courier New"/>
                <w:sz w:val="20"/>
                <w:szCs w:val="20"/>
              </w:rPr>
            </w:pPr>
            <w:r>
              <w:rPr>
                <w:rFonts w:ascii="Courier New" w:hAnsi="Courier New" w:cs="Courier New"/>
                <w:sz w:val="20"/>
                <w:szCs w:val="20"/>
              </w:rPr>
              <w:t>11/20/14</w:t>
            </w:r>
          </w:p>
        </w:tc>
        <w:tc>
          <w:tcPr>
            <w:tcW w:w="2070" w:type="dxa"/>
          </w:tcPr>
          <w:p w:rsidR="005472E6" w:rsidRPr="00ED5F3D" w:rsidRDefault="00D85D3E" w:rsidP="00460C8A">
            <w:pPr>
              <w:jc w:val="center"/>
              <w:rPr>
                <w:rFonts w:ascii="Courier New" w:hAnsi="Courier New" w:cs="Courier New"/>
                <w:sz w:val="20"/>
                <w:szCs w:val="20"/>
              </w:rPr>
            </w:pPr>
            <w:r>
              <w:rPr>
                <w:rFonts w:ascii="Courier New" w:hAnsi="Courier New" w:cs="Courier New"/>
                <w:sz w:val="20"/>
                <w:szCs w:val="20"/>
              </w:rPr>
              <w:t xml:space="preserve"> </w:t>
            </w:r>
            <w:r w:rsidR="00CA3CD5">
              <w:rPr>
                <w:rFonts w:ascii="Courier New" w:hAnsi="Courier New" w:cs="Courier New"/>
                <w:sz w:val="20"/>
                <w:szCs w:val="20"/>
              </w:rPr>
              <w:t xml:space="preserve"> </w:t>
            </w:r>
            <w:r w:rsidR="00786287">
              <w:rPr>
                <w:rFonts w:ascii="Courier New" w:hAnsi="Courier New" w:cs="Courier New"/>
                <w:sz w:val="20"/>
                <w:szCs w:val="20"/>
              </w:rPr>
              <w:t>12/29/14</w:t>
            </w:r>
          </w:p>
        </w:tc>
      </w:tr>
      <w:tr w:rsidR="000966C4" w:rsidTr="00CA3CD5">
        <w:trPr>
          <w:jc w:val="center"/>
        </w:trPr>
        <w:tc>
          <w:tcPr>
            <w:tcW w:w="937" w:type="dxa"/>
          </w:tcPr>
          <w:p w:rsidR="000966C4" w:rsidRPr="00ED5F3D" w:rsidRDefault="00ED5F3D" w:rsidP="007B490F">
            <w:pPr>
              <w:jc w:val="both"/>
              <w:rPr>
                <w:rFonts w:ascii="Courier New" w:hAnsi="Courier New" w:cs="Courier New"/>
                <w:sz w:val="20"/>
                <w:szCs w:val="20"/>
              </w:rPr>
            </w:pPr>
            <w:r w:rsidRPr="00ED5F3D">
              <w:rPr>
                <w:rFonts w:ascii="Courier New" w:hAnsi="Courier New" w:cs="Courier New"/>
                <w:sz w:val="20"/>
                <w:szCs w:val="20"/>
              </w:rPr>
              <w:t>2016</w:t>
            </w:r>
          </w:p>
        </w:tc>
        <w:tc>
          <w:tcPr>
            <w:tcW w:w="2303" w:type="dxa"/>
          </w:tcPr>
          <w:p w:rsidR="000966C4" w:rsidRPr="00ED5F3D" w:rsidRDefault="00D85D3E" w:rsidP="00CA3CD5">
            <w:pPr>
              <w:jc w:val="center"/>
              <w:rPr>
                <w:rFonts w:ascii="Courier New" w:hAnsi="Courier New" w:cs="Courier New"/>
                <w:sz w:val="20"/>
                <w:szCs w:val="20"/>
              </w:rPr>
            </w:pPr>
            <w:r>
              <w:rPr>
                <w:rFonts w:ascii="Courier New" w:hAnsi="Courier New" w:cs="Courier New"/>
                <w:sz w:val="20"/>
                <w:szCs w:val="20"/>
              </w:rPr>
              <w:t xml:space="preserve"> </w:t>
            </w:r>
            <w:r w:rsidR="00361505">
              <w:rPr>
                <w:rFonts w:ascii="Courier New" w:hAnsi="Courier New" w:cs="Courier New"/>
                <w:sz w:val="20"/>
                <w:szCs w:val="20"/>
              </w:rPr>
              <w:t>11/</w:t>
            </w:r>
            <w:r w:rsidR="00CA3CD5">
              <w:rPr>
                <w:rFonts w:ascii="Courier New" w:hAnsi="Courier New" w:cs="Courier New"/>
                <w:sz w:val="20"/>
                <w:szCs w:val="20"/>
              </w:rPr>
              <w:t>0</w:t>
            </w:r>
            <w:r w:rsidR="00361505">
              <w:rPr>
                <w:rFonts w:ascii="Courier New" w:hAnsi="Courier New" w:cs="Courier New"/>
                <w:sz w:val="20"/>
                <w:szCs w:val="20"/>
              </w:rPr>
              <w:t>2</w:t>
            </w:r>
            <w:r w:rsidR="008B50EF">
              <w:rPr>
                <w:rFonts w:ascii="Courier New" w:hAnsi="Courier New" w:cs="Courier New"/>
                <w:sz w:val="20"/>
                <w:szCs w:val="20"/>
              </w:rPr>
              <w:t>/15</w:t>
            </w:r>
          </w:p>
        </w:tc>
        <w:tc>
          <w:tcPr>
            <w:tcW w:w="3060" w:type="dxa"/>
          </w:tcPr>
          <w:p w:rsidR="000966C4" w:rsidRPr="00ED5F3D" w:rsidRDefault="00361505" w:rsidP="00CA3CD5">
            <w:pPr>
              <w:rPr>
                <w:rFonts w:ascii="Courier New" w:hAnsi="Courier New" w:cs="Courier New"/>
                <w:sz w:val="20"/>
                <w:szCs w:val="20"/>
              </w:rPr>
            </w:pPr>
            <w:r>
              <w:rPr>
                <w:rFonts w:ascii="Courier New" w:hAnsi="Courier New" w:cs="Courier New"/>
                <w:sz w:val="20"/>
                <w:szCs w:val="20"/>
              </w:rPr>
              <w:t xml:space="preserve">        </w:t>
            </w:r>
            <w:r w:rsidR="00CA3CD5">
              <w:rPr>
                <w:rFonts w:ascii="Courier New" w:hAnsi="Courier New" w:cs="Courier New"/>
                <w:sz w:val="20"/>
                <w:szCs w:val="20"/>
              </w:rPr>
              <w:t>0</w:t>
            </w:r>
            <w:r>
              <w:rPr>
                <w:rFonts w:ascii="Courier New" w:hAnsi="Courier New" w:cs="Courier New"/>
                <w:sz w:val="20"/>
                <w:szCs w:val="20"/>
              </w:rPr>
              <w:t>2/</w:t>
            </w:r>
            <w:r w:rsidR="00CA3CD5">
              <w:rPr>
                <w:rFonts w:ascii="Courier New" w:hAnsi="Courier New" w:cs="Courier New"/>
                <w:sz w:val="20"/>
                <w:szCs w:val="20"/>
              </w:rPr>
              <w:t>0</w:t>
            </w:r>
            <w:r>
              <w:rPr>
                <w:rFonts w:ascii="Courier New" w:hAnsi="Courier New" w:cs="Courier New"/>
                <w:sz w:val="20"/>
                <w:szCs w:val="20"/>
              </w:rPr>
              <w:t>2/16</w:t>
            </w:r>
          </w:p>
        </w:tc>
        <w:tc>
          <w:tcPr>
            <w:tcW w:w="2070" w:type="dxa"/>
          </w:tcPr>
          <w:p w:rsidR="000966C4" w:rsidRPr="00ED5F3D" w:rsidRDefault="00D85D3E" w:rsidP="00460C8A">
            <w:pPr>
              <w:jc w:val="center"/>
              <w:rPr>
                <w:rFonts w:ascii="Courier New" w:hAnsi="Courier New" w:cs="Courier New"/>
                <w:sz w:val="20"/>
                <w:szCs w:val="20"/>
              </w:rPr>
            </w:pPr>
            <w:r>
              <w:rPr>
                <w:rFonts w:ascii="Courier New" w:hAnsi="Courier New" w:cs="Courier New"/>
                <w:sz w:val="20"/>
                <w:szCs w:val="20"/>
              </w:rPr>
              <w:t xml:space="preserve">  </w:t>
            </w:r>
            <w:r w:rsidR="00CA3CD5">
              <w:rPr>
                <w:rFonts w:ascii="Courier New" w:hAnsi="Courier New" w:cs="Courier New"/>
                <w:sz w:val="20"/>
                <w:szCs w:val="20"/>
              </w:rPr>
              <w:t>0</w:t>
            </w:r>
            <w:r w:rsidR="008B50EF">
              <w:rPr>
                <w:rFonts w:ascii="Courier New" w:hAnsi="Courier New" w:cs="Courier New"/>
                <w:sz w:val="20"/>
                <w:szCs w:val="20"/>
              </w:rPr>
              <w:t>4/14/16</w:t>
            </w:r>
          </w:p>
        </w:tc>
      </w:tr>
    </w:tbl>
    <w:p w:rsidR="005472E6" w:rsidRDefault="005472E6" w:rsidP="007B490F">
      <w:pPr>
        <w:spacing w:line="240" w:lineRule="auto"/>
        <w:jc w:val="both"/>
        <w:rPr>
          <w:rFonts w:ascii="Courier New" w:hAnsi="Courier New" w:cs="Courier New"/>
          <w:sz w:val="24"/>
          <w:szCs w:val="24"/>
        </w:rPr>
      </w:pPr>
    </w:p>
    <w:p w:rsidR="007C6097" w:rsidRDefault="007C6097" w:rsidP="00CA3CD5">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t xml:space="preserve">On the basis of the foregoing facts, the Board found and ruled that it had jurisdiction to hear and decide these appeals. </w:t>
      </w:r>
    </w:p>
    <w:p w:rsidR="007C6097" w:rsidRDefault="007C6097" w:rsidP="00CA3CD5">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The issue in these appeals was whether the subject property’s assessed value exceeded its fair cash value for the fiscal years at issue. </w:t>
      </w:r>
      <w:r w:rsidR="007F548C">
        <w:rPr>
          <w:rFonts w:ascii="Courier New" w:hAnsi="Courier New" w:cs="Courier New"/>
          <w:sz w:val="24"/>
          <w:szCs w:val="24"/>
        </w:rPr>
        <w:t xml:space="preserve">Three real estate appraisers testified during the course of the hearing, which lasted four days and was </w:t>
      </w:r>
      <w:proofErr w:type="spellStart"/>
      <w:r w:rsidR="007F548C">
        <w:rPr>
          <w:rFonts w:ascii="Courier New" w:hAnsi="Courier New" w:cs="Courier New"/>
          <w:sz w:val="24"/>
          <w:szCs w:val="24"/>
        </w:rPr>
        <w:t>stenographically</w:t>
      </w:r>
      <w:proofErr w:type="spellEnd"/>
      <w:r w:rsidR="007F548C">
        <w:rPr>
          <w:rFonts w:ascii="Courier New" w:hAnsi="Courier New" w:cs="Courier New"/>
          <w:sz w:val="24"/>
          <w:szCs w:val="24"/>
        </w:rPr>
        <w:t xml:space="preserve"> recorded.  The following is a description of the subject property and the valuation evidence presented by both parties, along with the Board’s ultimate conclusions.  </w:t>
      </w:r>
    </w:p>
    <w:p w:rsidR="00782765" w:rsidRDefault="007F548C" w:rsidP="00CA3CD5">
      <w:pPr>
        <w:pStyle w:val="ListParagraph"/>
        <w:numPr>
          <w:ilvl w:val="0"/>
          <w:numId w:val="2"/>
        </w:numPr>
        <w:spacing w:after="0" w:line="480" w:lineRule="auto"/>
        <w:jc w:val="both"/>
        <w:rPr>
          <w:rFonts w:ascii="Courier New" w:hAnsi="Courier New" w:cs="Courier New"/>
          <w:b/>
          <w:sz w:val="24"/>
          <w:szCs w:val="24"/>
        </w:rPr>
      </w:pPr>
      <w:r w:rsidRPr="00693346">
        <w:rPr>
          <w:rFonts w:ascii="Courier New" w:hAnsi="Courier New" w:cs="Courier New"/>
          <w:b/>
          <w:sz w:val="24"/>
          <w:szCs w:val="24"/>
        </w:rPr>
        <w:t>The Subject Property</w:t>
      </w:r>
    </w:p>
    <w:p w:rsidR="0078596B" w:rsidRDefault="0078596B" w:rsidP="00CA3CD5">
      <w:pPr>
        <w:spacing w:after="0" w:line="480" w:lineRule="auto"/>
        <w:ind w:firstLine="720"/>
        <w:contextualSpacing/>
        <w:jc w:val="both"/>
        <w:rPr>
          <w:rFonts w:ascii="Courier New" w:hAnsi="Courier New" w:cs="Courier New"/>
          <w:sz w:val="24"/>
          <w:szCs w:val="24"/>
        </w:rPr>
      </w:pPr>
      <w:r w:rsidRPr="00782765">
        <w:rPr>
          <w:rFonts w:ascii="Courier New" w:hAnsi="Courier New" w:cs="Courier New"/>
          <w:sz w:val="24"/>
          <w:szCs w:val="24"/>
        </w:rPr>
        <w:t>The subject property is improved with a three-story Sears</w:t>
      </w:r>
      <w:r w:rsidR="00782765">
        <w:rPr>
          <w:rFonts w:ascii="Courier New" w:hAnsi="Courier New" w:cs="Courier New"/>
          <w:sz w:val="24"/>
          <w:szCs w:val="24"/>
        </w:rPr>
        <w:t xml:space="preserve"> department store building containing </w:t>
      </w:r>
      <w:r w:rsidRPr="00782765">
        <w:rPr>
          <w:rFonts w:ascii="Courier New" w:hAnsi="Courier New" w:cs="Courier New"/>
          <w:sz w:val="24"/>
          <w:szCs w:val="24"/>
        </w:rPr>
        <w:t xml:space="preserve">120,570 square feet of gross leasable area.  Built in 1990, the building is attached to the </w:t>
      </w:r>
      <w:proofErr w:type="spellStart"/>
      <w:r w:rsidRPr="00782765">
        <w:rPr>
          <w:rFonts w:ascii="Courier New" w:hAnsi="Courier New" w:cs="Courier New"/>
          <w:sz w:val="24"/>
          <w:szCs w:val="24"/>
        </w:rPr>
        <w:t>C</w:t>
      </w:r>
      <w:r w:rsidR="0093718D">
        <w:rPr>
          <w:rFonts w:ascii="Courier New" w:hAnsi="Courier New" w:cs="Courier New"/>
          <w:sz w:val="24"/>
          <w:szCs w:val="24"/>
        </w:rPr>
        <w:t>ambridgeside</w:t>
      </w:r>
      <w:proofErr w:type="spellEnd"/>
      <w:r w:rsidR="0093718D">
        <w:rPr>
          <w:rFonts w:ascii="Courier New" w:hAnsi="Courier New" w:cs="Courier New"/>
          <w:sz w:val="24"/>
          <w:szCs w:val="24"/>
        </w:rPr>
        <w:t xml:space="preserve"> Galleria Mall (</w:t>
      </w:r>
      <w:r w:rsidRPr="00782765">
        <w:rPr>
          <w:rFonts w:ascii="Courier New" w:hAnsi="Courier New" w:cs="Courier New"/>
          <w:sz w:val="24"/>
          <w:szCs w:val="24"/>
        </w:rPr>
        <w:t>“Galleria”</w:t>
      </w:r>
      <w:r w:rsidR="00782765">
        <w:rPr>
          <w:rFonts w:ascii="Courier New" w:hAnsi="Courier New" w:cs="Courier New"/>
          <w:sz w:val="24"/>
          <w:szCs w:val="24"/>
        </w:rPr>
        <w:t>), and has direct access to the Galleria and the attached parking garage.  The subject property is in overall good condition, with a steel, masonry, and concrete frame, a rubber membrane roof, and brick and decorative block exterior.  Interior finishes include acoustical tile ceilings, and tile and carpet flooring in non-warehouse areas.  The subject property is serviced by a freight elevator, two passenger elevators, and double escalators connecting each of the floors.  All systems, includi</w:t>
      </w:r>
      <w:r w:rsidR="00D31C48">
        <w:rPr>
          <w:rFonts w:ascii="Courier New" w:hAnsi="Courier New" w:cs="Courier New"/>
          <w:sz w:val="24"/>
          <w:szCs w:val="24"/>
        </w:rPr>
        <w:t>ng heating, cooling, electrical</w:t>
      </w:r>
      <w:r w:rsidR="006948DB">
        <w:rPr>
          <w:rFonts w:ascii="Courier New" w:hAnsi="Courier New" w:cs="Courier New"/>
          <w:sz w:val="24"/>
          <w:szCs w:val="24"/>
        </w:rPr>
        <w:t>, and fire protection</w:t>
      </w:r>
      <w:r w:rsidR="00D31C48">
        <w:rPr>
          <w:rFonts w:ascii="Courier New" w:hAnsi="Courier New" w:cs="Courier New"/>
          <w:sz w:val="24"/>
          <w:szCs w:val="24"/>
        </w:rPr>
        <w:t xml:space="preserve"> are adequate.  </w:t>
      </w:r>
    </w:p>
    <w:p w:rsidR="0065013A" w:rsidRDefault="006948DB" w:rsidP="0065013A">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The Galleria is a 922,766-square-foot mall situated on 9.22 acres.  It has 65</w:t>
      </w:r>
      <w:r w:rsidR="0065013A">
        <w:rPr>
          <w:rFonts w:ascii="Courier New" w:hAnsi="Courier New" w:cs="Courier New"/>
          <w:sz w:val="24"/>
          <w:szCs w:val="24"/>
        </w:rPr>
        <w:t>1,554 square feet of gross leas</w:t>
      </w:r>
      <w:r>
        <w:rPr>
          <w:rFonts w:ascii="Courier New" w:hAnsi="Courier New" w:cs="Courier New"/>
          <w:sz w:val="24"/>
          <w:szCs w:val="24"/>
        </w:rPr>
        <w:t xml:space="preserve">able retail </w:t>
      </w:r>
      <w:r w:rsidR="0093718D">
        <w:rPr>
          <w:rFonts w:ascii="Courier New" w:hAnsi="Courier New" w:cs="Courier New"/>
          <w:sz w:val="24"/>
          <w:szCs w:val="24"/>
        </w:rPr>
        <w:t>area</w:t>
      </w:r>
      <w:r>
        <w:rPr>
          <w:rFonts w:ascii="Courier New" w:hAnsi="Courier New" w:cs="Courier New"/>
          <w:sz w:val="24"/>
          <w:szCs w:val="24"/>
        </w:rPr>
        <w:t>, with an additional 271,212 square feet of office and hotel space. There are 119 retail tenant spaces at the Galleria.  This includes the subject property as an anchor space and three other anchor stores – Macy’s, Best Buy, and</w:t>
      </w:r>
      <w:r w:rsidR="0093718D">
        <w:rPr>
          <w:rFonts w:ascii="Courier New" w:hAnsi="Courier New" w:cs="Courier New"/>
          <w:sz w:val="24"/>
          <w:szCs w:val="24"/>
        </w:rPr>
        <w:t xml:space="preserve"> T.J. Maxx – along with 115</w:t>
      </w:r>
      <w:r>
        <w:rPr>
          <w:rFonts w:ascii="Courier New" w:hAnsi="Courier New" w:cs="Courier New"/>
          <w:sz w:val="24"/>
          <w:szCs w:val="24"/>
        </w:rPr>
        <w:t xml:space="preserve"> in-line tenants.  </w:t>
      </w:r>
    </w:p>
    <w:p w:rsidR="003C5895" w:rsidRDefault="0065013A" w:rsidP="0065013A">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Galleria is located in East Cambridge, a dense urban area situated along the Charles River.  The Galleria has good frontage, visibility, and access along First Street and proximity to several major thoroughfares</w:t>
      </w:r>
      <w:r w:rsidR="00A410AC">
        <w:rPr>
          <w:rFonts w:ascii="Courier New" w:hAnsi="Courier New" w:cs="Courier New"/>
          <w:sz w:val="24"/>
          <w:szCs w:val="24"/>
        </w:rPr>
        <w:t>,</w:t>
      </w:r>
      <w:r>
        <w:rPr>
          <w:rFonts w:ascii="Courier New" w:hAnsi="Courier New" w:cs="Courier New"/>
          <w:sz w:val="24"/>
          <w:szCs w:val="24"/>
        </w:rPr>
        <w:t xml:space="preserve"> as well as the Lechmere MBTA stop.  The immediate vicinity features a mix of residential dwelling units, primarily cond</w:t>
      </w:r>
      <w:r w:rsidR="0093718D">
        <w:rPr>
          <w:rFonts w:ascii="Courier New" w:hAnsi="Courier New" w:cs="Courier New"/>
          <w:sz w:val="24"/>
          <w:szCs w:val="24"/>
        </w:rPr>
        <w:t>ominiums, multi-family homes</w:t>
      </w:r>
      <w:r w:rsidR="00A410AC">
        <w:rPr>
          <w:rFonts w:ascii="Courier New" w:hAnsi="Courier New" w:cs="Courier New"/>
          <w:sz w:val="24"/>
          <w:szCs w:val="24"/>
        </w:rPr>
        <w:t>,</w:t>
      </w:r>
      <w:r>
        <w:rPr>
          <w:rFonts w:ascii="Courier New" w:hAnsi="Courier New" w:cs="Courier New"/>
          <w:sz w:val="24"/>
          <w:szCs w:val="24"/>
        </w:rPr>
        <w:t xml:space="preserve"> and large apartment buildings, along with office, </w:t>
      </w:r>
      <w:r w:rsidR="00A53D4D">
        <w:rPr>
          <w:rFonts w:ascii="Courier New" w:hAnsi="Courier New" w:cs="Courier New"/>
          <w:sz w:val="24"/>
          <w:szCs w:val="24"/>
        </w:rPr>
        <w:t xml:space="preserve">hotel, </w:t>
      </w:r>
      <w:r>
        <w:rPr>
          <w:rFonts w:ascii="Courier New" w:hAnsi="Courier New" w:cs="Courier New"/>
          <w:sz w:val="24"/>
          <w:szCs w:val="24"/>
        </w:rPr>
        <w:t>retail</w:t>
      </w:r>
      <w:r w:rsidR="00A410AC">
        <w:rPr>
          <w:rFonts w:ascii="Courier New" w:hAnsi="Courier New" w:cs="Courier New"/>
          <w:sz w:val="24"/>
          <w:szCs w:val="24"/>
        </w:rPr>
        <w:t>,</w:t>
      </w:r>
      <w:r>
        <w:rPr>
          <w:rFonts w:ascii="Courier New" w:hAnsi="Courier New" w:cs="Courier New"/>
          <w:sz w:val="24"/>
          <w:szCs w:val="24"/>
        </w:rPr>
        <w:t xml:space="preserve"> and commercial properties. </w:t>
      </w:r>
    </w:p>
    <w:p w:rsidR="00DB643A" w:rsidRDefault="004B3364" w:rsidP="00DB643A">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The Galleria is located</w:t>
      </w:r>
      <w:r w:rsidR="005436BB">
        <w:rPr>
          <w:rFonts w:ascii="Courier New" w:hAnsi="Courier New" w:cs="Courier New"/>
          <w:sz w:val="24"/>
          <w:szCs w:val="24"/>
        </w:rPr>
        <w:t xml:space="preserve"> approximately one mile from </w:t>
      </w:r>
      <w:r>
        <w:rPr>
          <w:rFonts w:ascii="Courier New" w:hAnsi="Courier New" w:cs="Courier New"/>
          <w:sz w:val="24"/>
          <w:szCs w:val="24"/>
        </w:rPr>
        <w:t>Boston</w:t>
      </w:r>
      <w:r w:rsidR="005436BB">
        <w:rPr>
          <w:rFonts w:ascii="Courier New" w:hAnsi="Courier New" w:cs="Courier New"/>
          <w:sz w:val="24"/>
          <w:szCs w:val="24"/>
        </w:rPr>
        <w:t>’s</w:t>
      </w:r>
      <w:r>
        <w:rPr>
          <w:rFonts w:ascii="Courier New" w:hAnsi="Courier New" w:cs="Courier New"/>
          <w:sz w:val="24"/>
          <w:szCs w:val="24"/>
        </w:rPr>
        <w:t xml:space="preserve"> central business dis</w:t>
      </w:r>
      <w:r w:rsidR="00A53D4D">
        <w:rPr>
          <w:rFonts w:ascii="Courier New" w:hAnsi="Courier New" w:cs="Courier New"/>
          <w:sz w:val="24"/>
          <w:szCs w:val="24"/>
        </w:rPr>
        <w:t>trict and is also proximate</w:t>
      </w:r>
      <w:r w:rsidR="00CA3CD5">
        <w:rPr>
          <w:rFonts w:ascii="Courier New" w:hAnsi="Courier New" w:cs="Courier New"/>
          <w:sz w:val="24"/>
          <w:szCs w:val="24"/>
        </w:rPr>
        <w:t xml:space="preserve"> to </w:t>
      </w:r>
      <w:r>
        <w:rPr>
          <w:rFonts w:ascii="Courier New" w:hAnsi="Courier New" w:cs="Courier New"/>
          <w:sz w:val="24"/>
          <w:szCs w:val="24"/>
        </w:rPr>
        <w:t>Cambridge’s many business districts, which include Porter Square, Harvard Square, Central Square, and Kendall Square.  Those districts are home to major universities such as Harvard</w:t>
      </w:r>
      <w:r w:rsidR="0093718D">
        <w:rPr>
          <w:rFonts w:ascii="Courier New" w:hAnsi="Courier New" w:cs="Courier New"/>
          <w:sz w:val="24"/>
          <w:szCs w:val="24"/>
        </w:rPr>
        <w:t xml:space="preserve"> University</w:t>
      </w:r>
      <w:r>
        <w:rPr>
          <w:rFonts w:ascii="Courier New" w:hAnsi="Courier New" w:cs="Courier New"/>
          <w:sz w:val="24"/>
          <w:szCs w:val="24"/>
        </w:rPr>
        <w:t xml:space="preserve"> and the Massach</w:t>
      </w:r>
      <w:r w:rsidR="003C5895">
        <w:rPr>
          <w:rFonts w:ascii="Courier New" w:hAnsi="Courier New" w:cs="Courier New"/>
          <w:sz w:val="24"/>
          <w:szCs w:val="24"/>
        </w:rPr>
        <w:t xml:space="preserve">usetts Institute of Technology.  Kendall Square is also host to a thriving sector of technology, biotechnology, research, and pharmaceutical businesses.  </w:t>
      </w:r>
    </w:p>
    <w:p w:rsidR="007B6AE9" w:rsidRDefault="007B6AE9" w:rsidP="00DB643A">
      <w:pPr>
        <w:spacing w:line="480" w:lineRule="auto"/>
        <w:ind w:firstLine="720"/>
        <w:jc w:val="both"/>
        <w:rPr>
          <w:rFonts w:ascii="Courier New" w:hAnsi="Courier New" w:cs="Courier New"/>
          <w:sz w:val="24"/>
          <w:szCs w:val="24"/>
        </w:rPr>
      </w:pPr>
    </w:p>
    <w:p w:rsidR="007B6AE9" w:rsidRDefault="00AB506C" w:rsidP="00CA3CD5">
      <w:pPr>
        <w:pStyle w:val="ListParagraph"/>
        <w:numPr>
          <w:ilvl w:val="0"/>
          <w:numId w:val="2"/>
        </w:numPr>
        <w:spacing w:after="0" w:line="480" w:lineRule="auto"/>
        <w:jc w:val="both"/>
        <w:rPr>
          <w:rFonts w:ascii="Courier New" w:hAnsi="Courier New" w:cs="Courier New"/>
          <w:b/>
          <w:sz w:val="24"/>
          <w:szCs w:val="24"/>
        </w:rPr>
      </w:pPr>
      <w:r>
        <w:rPr>
          <w:rFonts w:ascii="Courier New" w:hAnsi="Courier New" w:cs="Courier New"/>
          <w:b/>
          <w:sz w:val="24"/>
          <w:szCs w:val="24"/>
        </w:rPr>
        <w:lastRenderedPageBreak/>
        <w:t>The Appellant’s Case</w:t>
      </w:r>
    </w:p>
    <w:p w:rsidR="00F91F66" w:rsidRDefault="007B6AE9" w:rsidP="00CA3CD5">
      <w:pPr>
        <w:spacing w:after="0" w:line="480" w:lineRule="auto"/>
        <w:ind w:firstLine="720"/>
        <w:contextualSpacing/>
        <w:jc w:val="both"/>
        <w:rPr>
          <w:rFonts w:ascii="Courier New" w:hAnsi="Courier New" w:cs="Courier New"/>
          <w:sz w:val="24"/>
          <w:szCs w:val="24"/>
        </w:rPr>
      </w:pPr>
      <w:r w:rsidRPr="000051C9">
        <w:rPr>
          <w:rFonts w:ascii="Courier New" w:hAnsi="Courier New" w:cs="Courier New"/>
          <w:sz w:val="24"/>
          <w:szCs w:val="24"/>
        </w:rPr>
        <w:t>The appell</w:t>
      </w:r>
      <w:r w:rsidR="0085352A">
        <w:rPr>
          <w:rFonts w:ascii="Courier New" w:hAnsi="Courier New" w:cs="Courier New"/>
          <w:sz w:val="24"/>
          <w:szCs w:val="24"/>
        </w:rPr>
        <w:t xml:space="preserve">ant presented its case </w:t>
      </w:r>
      <w:r w:rsidRPr="000051C9">
        <w:rPr>
          <w:rFonts w:ascii="Courier New" w:hAnsi="Courier New" w:cs="Courier New"/>
          <w:sz w:val="24"/>
          <w:szCs w:val="24"/>
        </w:rPr>
        <w:t>through the testimony and appr</w:t>
      </w:r>
      <w:r w:rsidR="00D708DC">
        <w:rPr>
          <w:rFonts w:ascii="Courier New" w:hAnsi="Courier New" w:cs="Courier New"/>
          <w:sz w:val="24"/>
          <w:szCs w:val="24"/>
        </w:rPr>
        <w:t xml:space="preserve">aisal report of Emmet T. Logue.  Mr. Logue </w:t>
      </w:r>
      <w:r w:rsidRPr="000051C9">
        <w:rPr>
          <w:rFonts w:ascii="Courier New" w:hAnsi="Courier New" w:cs="Courier New"/>
          <w:sz w:val="24"/>
          <w:szCs w:val="24"/>
        </w:rPr>
        <w:t xml:space="preserve">is a </w:t>
      </w:r>
      <w:r w:rsidR="000051C9">
        <w:rPr>
          <w:rFonts w:ascii="Courier New" w:hAnsi="Courier New" w:cs="Courier New"/>
          <w:sz w:val="24"/>
          <w:szCs w:val="24"/>
        </w:rPr>
        <w:t xml:space="preserve">licensed real estate appraiser </w:t>
      </w:r>
      <w:r w:rsidR="00D708DC">
        <w:rPr>
          <w:rFonts w:ascii="Courier New" w:hAnsi="Courier New" w:cs="Courier New"/>
          <w:sz w:val="24"/>
          <w:szCs w:val="24"/>
        </w:rPr>
        <w:t>with decade</w:t>
      </w:r>
      <w:r w:rsidR="00B53DBA">
        <w:rPr>
          <w:rFonts w:ascii="Courier New" w:hAnsi="Courier New" w:cs="Courier New"/>
          <w:sz w:val="24"/>
          <w:szCs w:val="24"/>
        </w:rPr>
        <w:t xml:space="preserve">s of appraisal experience and has an MAI designation (“MAI”) from the Appraisal Institute.  </w:t>
      </w:r>
      <w:r w:rsidR="00D708DC">
        <w:rPr>
          <w:rFonts w:ascii="Courier New" w:hAnsi="Courier New" w:cs="Courier New"/>
          <w:sz w:val="24"/>
          <w:szCs w:val="24"/>
        </w:rPr>
        <w:t xml:space="preserve">He </w:t>
      </w:r>
      <w:r w:rsidR="000051C9">
        <w:rPr>
          <w:rFonts w:ascii="Courier New" w:hAnsi="Courier New" w:cs="Courier New"/>
          <w:sz w:val="24"/>
          <w:szCs w:val="24"/>
        </w:rPr>
        <w:t>has testified as an expert witness be</w:t>
      </w:r>
      <w:r w:rsidR="00AF1146">
        <w:rPr>
          <w:rFonts w:ascii="Courier New" w:hAnsi="Courier New" w:cs="Courier New"/>
          <w:sz w:val="24"/>
          <w:szCs w:val="24"/>
        </w:rPr>
        <w:t xml:space="preserve">fore courts and the Board </w:t>
      </w:r>
      <w:r w:rsidR="000051C9">
        <w:rPr>
          <w:rFonts w:ascii="Courier New" w:hAnsi="Courier New" w:cs="Courier New"/>
          <w:sz w:val="24"/>
          <w:szCs w:val="24"/>
        </w:rPr>
        <w:t xml:space="preserve">on numerous occasions.  The </w:t>
      </w:r>
      <w:r w:rsidRPr="000051C9">
        <w:rPr>
          <w:rFonts w:ascii="Courier New" w:hAnsi="Courier New" w:cs="Courier New"/>
          <w:sz w:val="24"/>
          <w:szCs w:val="24"/>
        </w:rPr>
        <w:t xml:space="preserve">Board qualified </w:t>
      </w:r>
      <w:r w:rsidR="001D1D34">
        <w:rPr>
          <w:rFonts w:ascii="Courier New" w:hAnsi="Courier New" w:cs="Courier New"/>
          <w:sz w:val="24"/>
          <w:szCs w:val="24"/>
        </w:rPr>
        <w:t xml:space="preserve">Mr. Logue </w:t>
      </w:r>
      <w:r w:rsidRPr="000051C9">
        <w:rPr>
          <w:rFonts w:ascii="Courier New" w:hAnsi="Courier New" w:cs="Courier New"/>
          <w:sz w:val="24"/>
          <w:szCs w:val="24"/>
        </w:rPr>
        <w:t xml:space="preserve">as an expert in </w:t>
      </w:r>
      <w:r w:rsidR="000051C9">
        <w:rPr>
          <w:rFonts w:ascii="Courier New" w:hAnsi="Courier New" w:cs="Courier New"/>
          <w:sz w:val="24"/>
          <w:szCs w:val="24"/>
        </w:rPr>
        <w:t>commercial real e</w:t>
      </w:r>
      <w:r w:rsidR="001D1D34">
        <w:rPr>
          <w:rFonts w:ascii="Courier New" w:hAnsi="Courier New" w:cs="Courier New"/>
          <w:sz w:val="24"/>
          <w:szCs w:val="24"/>
        </w:rPr>
        <w:t>state valuation</w:t>
      </w:r>
      <w:r w:rsidR="000051C9">
        <w:rPr>
          <w:rFonts w:ascii="Courier New" w:hAnsi="Courier New" w:cs="Courier New"/>
          <w:sz w:val="24"/>
          <w:szCs w:val="24"/>
        </w:rPr>
        <w:t xml:space="preserve">.  </w:t>
      </w:r>
    </w:p>
    <w:p w:rsidR="00D708DC" w:rsidRDefault="00A53D4D" w:rsidP="00F91F66">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T</w:t>
      </w:r>
      <w:r w:rsidR="007F3477">
        <w:rPr>
          <w:rFonts w:ascii="Courier New" w:hAnsi="Courier New" w:cs="Courier New"/>
          <w:sz w:val="24"/>
          <w:szCs w:val="24"/>
        </w:rPr>
        <w:t>o prepare for his appraisal, Mr. Logue insp</w:t>
      </w:r>
      <w:r w:rsidR="001D1D34">
        <w:rPr>
          <w:rFonts w:ascii="Courier New" w:hAnsi="Courier New" w:cs="Courier New"/>
          <w:sz w:val="24"/>
          <w:szCs w:val="24"/>
        </w:rPr>
        <w:t>ected the subject property.  To</w:t>
      </w:r>
      <w:r w:rsidR="007F3477">
        <w:rPr>
          <w:rFonts w:ascii="Courier New" w:hAnsi="Courier New" w:cs="Courier New"/>
          <w:sz w:val="24"/>
          <w:szCs w:val="24"/>
        </w:rPr>
        <w:t xml:space="preserve"> begin his appraisal, Mr. Logue first ascertained the subject property’s highest and best use.  It was his conclusion that the improvements </w:t>
      </w:r>
      <w:r w:rsidR="007918C9">
        <w:rPr>
          <w:rFonts w:ascii="Courier New" w:hAnsi="Courier New" w:cs="Courier New"/>
          <w:sz w:val="24"/>
          <w:szCs w:val="24"/>
        </w:rPr>
        <w:t xml:space="preserve">on the subject property contribute significant </w:t>
      </w:r>
      <w:r w:rsidR="007F3477">
        <w:rPr>
          <w:rFonts w:ascii="Courier New" w:hAnsi="Courier New" w:cs="Courier New"/>
          <w:sz w:val="24"/>
          <w:szCs w:val="24"/>
        </w:rPr>
        <w:t>value, and that it was therefore more valuable as improved than as vacant.  Ultimately, Mr. Lo</w:t>
      </w:r>
      <w:r>
        <w:rPr>
          <w:rFonts w:ascii="Courier New" w:hAnsi="Courier New" w:cs="Courier New"/>
          <w:sz w:val="24"/>
          <w:szCs w:val="24"/>
        </w:rPr>
        <w:t>gue concluded that the current</w:t>
      </w:r>
      <w:r w:rsidR="007F3477">
        <w:rPr>
          <w:rFonts w:ascii="Courier New" w:hAnsi="Courier New" w:cs="Courier New"/>
          <w:sz w:val="24"/>
          <w:szCs w:val="24"/>
        </w:rPr>
        <w:t xml:space="preserve"> use of the subject propert</w:t>
      </w:r>
      <w:r w:rsidR="007918C9">
        <w:rPr>
          <w:rFonts w:ascii="Courier New" w:hAnsi="Courier New" w:cs="Courier New"/>
          <w:sz w:val="24"/>
          <w:szCs w:val="24"/>
        </w:rPr>
        <w:t>y as an anchor store</w:t>
      </w:r>
      <w:r>
        <w:rPr>
          <w:rFonts w:ascii="Courier New" w:hAnsi="Courier New" w:cs="Courier New"/>
          <w:sz w:val="24"/>
          <w:szCs w:val="24"/>
        </w:rPr>
        <w:t xml:space="preserve"> </w:t>
      </w:r>
      <w:r w:rsidR="007F3477">
        <w:rPr>
          <w:rFonts w:ascii="Courier New" w:hAnsi="Courier New" w:cs="Courier New"/>
          <w:sz w:val="24"/>
          <w:szCs w:val="24"/>
        </w:rPr>
        <w:t xml:space="preserve">was its highest and best use.  </w:t>
      </w:r>
    </w:p>
    <w:p w:rsidR="007918C9" w:rsidRDefault="007918C9" w:rsidP="000051C9">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Logue next considered appropriate valuation methodologies.  Because of the age of the subject pro</w:t>
      </w:r>
      <w:r w:rsidR="0085352A">
        <w:rPr>
          <w:rFonts w:ascii="Courier New" w:hAnsi="Courier New" w:cs="Courier New"/>
          <w:sz w:val="24"/>
          <w:szCs w:val="24"/>
        </w:rPr>
        <w:t xml:space="preserve">perty, he </w:t>
      </w:r>
      <w:r>
        <w:rPr>
          <w:rFonts w:ascii="Courier New" w:hAnsi="Courier New" w:cs="Courier New"/>
          <w:sz w:val="24"/>
          <w:szCs w:val="24"/>
        </w:rPr>
        <w:t>did not consider the cost approach to be a useful methodology with which to determine the</w:t>
      </w:r>
      <w:r w:rsidR="00AC4373">
        <w:rPr>
          <w:rFonts w:ascii="Courier New" w:hAnsi="Courier New" w:cs="Courier New"/>
          <w:sz w:val="24"/>
          <w:szCs w:val="24"/>
        </w:rPr>
        <w:t xml:space="preserve"> subject property’s fair cash </w:t>
      </w:r>
      <w:r>
        <w:rPr>
          <w:rFonts w:ascii="Courier New" w:hAnsi="Courier New" w:cs="Courier New"/>
          <w:sz w:val="24"/>
          <w:szCs w:val="24"/>
        </w:rPr>
        <w:t xml:space="preserve">value.  In addition, Mr. Logue declined to use the sales-comparison approach because of the lack of sufficient, arm’s-length sales of comparable properties within the timeframe relevant to these </w:t>
      </w:r>
      <w:r>
        <w:rPr>
          <w:rFonts w:ascii="Courier New" w:hAnsi="Courier New" w:cs="Courier New"/>
          <w:sz w:val="24"/>
          <w:szCs w:val="24"/>
        </w:rPr>
        <w:lastRenderedPageBreak/>
        <w:t>appeals.</w:t>
      </w:r>
      <w:r w:rsidR="002D5620">
        <w:rPr>
          <w:rStyle w:val="FootnoteReference"/>
          <w:rFonts w:ascii="Courier New" w:hAnsi="Courier New" w:cs="Courier New"/>
          <w:sz w:val="24"/>
          <w:szCs w:val="24"/>
        </w:rPr>
        <w:footnoteReference w:id="1"/>
      </w:r>
      <w:r>
        <w:rPr>
          <w:rFonts w:ascii="Courier New" w:hAnsi="Courier New" w:cs="Courier New"/>
          <w:sz w:val="24"/>
          <w:szCs w:val="24"/>
        </w:rPr>
        <w:t xml:space="preserve"> Mr. Logue therefore relied exclusively upon the income-capitalization approach, which he considered reliable because the subject property is an income-producing property and because he believed there was sufficient available market evidence to use in that approach. </w:t>
      </w:r>
    </w:p>
    <w:p w:rsidR="00FB4B23" w:rsidRDefault="00FB4B23" w:rsidP="00FB4B2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Before selecting lease </w:t>
      </w:r>
      <w:proofErr w:type="spellStart"/>
      <w:r>
        <w:rPr>
          <w:rFonts w:ascii="Courier New" w:hAnsi="Courier New" w:cs="Courier New"/>
          <w:sz w:val="24"/>
          <w:szCs w:val="24"/>
        </w:rPr>
        <w:t>comparables</w:t>
      </w:r>
      <w:proofErr w:type="spellEnd"/>
      <w:r>
        <w:rPr>
          <w:rFonts w:ascii="Courier New" w:hAnsi="Courier New" w:cs="Courier New"/>
          <w:sz w:val="24"/>
          <w:szCs w:val="24"/>
        </w:rPr>
        <w:t xml:space="preserve">, Mr. Logue discussed general </w:t>
      </w:r>
      <w:r w:rsidR="002D0680">
        <w:rPr>
          <w:rFonts w:ascii="Courier New" w:hAnsi="Courier New" w:cs="Courier New"/>
          <w:sz w:val="24"/>
          <w:szCs w:val="24"/>
        </w:rPr>
        <w:t>market trends for anchor retail</w:t>
      </w:r>
      <w:r>
        <w:rPr>
          <w:rFonts w:ascii="Courier New" w:hAnsi="Courier New" w:cs="Courier New"/>
          <w:sz w:val="24"/>
          <w:szCs w:val="24"/>
        </w:rPr>
        <w:t xml:space="preserve"> stores like the subject property.  Mr. Logue noted that with the rise in popularity of on-line sales, particularly via e-commerce giant Amazon, anchor stores have seen a downward trend in store sales.  Mr. Logue cite</w:t>
      </w:r>
      <w:r w:rsidR="007B3DA2">
        <w:rPr>
          <w:rFonts w:ascii="Courier New" w:hAnsi="Courier New" w:cs="Courier New"/>
          <w:sz w:val="24"/>
          <w:szCs w:val="24"/>
        </w:rPr>
        <w:t xml:space="preserve">d industry reports stating </w:t>
      </w:r>
      <w:r>
        <w:rPr>
          <w:rFonts w:ascii="Courier New" w:hAnsi="Courier New" w:cs="Courier New"/>
          <w:sz w:val="24"/>
          <w:szCs w:val="24"/>
        </w:rPr>
        <w:t xml:space="preserve">that since 2006, department stores nationwide have seen a 20% decline in store sales.  He noted that this trend is expected to continue and result in the closure of hundreds of department stores nationwide. </w:t>
      </w:r>
    </w:p>
    <w:p w:rsidR="00FB4B23" w:rsidRDefault="00FB4B23" w:rsidP="00FB4B2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More specifically, Mr. Logue anal</w:t>
      </w:r>
      <w:r w:rsidR="00AC4373">
        <w:rPr>
          <w:rFonts w:ascii="Courier New" w:hAnsi="Courier New" w:cs="Courier New"/>
          <w:sz w:val="24"/>
          <w:szCs w:val="24"/>
        </w:rPr>
        <w:t>yzed store sale trends at the subject property</w:t>
      </w:r>
      <w:r>
        <w:rPr>
          <w:rFonts w:ascii="Courier New" w:hAnsi="Courier New" w:cs="Courier New"/>
          <w:sz w:val="24"/>
          <w:szCs w:val="24"/>
        </w:rPr>
        <w:t xml:space="preserve">.  He compiled data showing that in-store sales have dropped consistently at the subject property in the years leading up to and into the fiscal years at issue, from a sales-per-square-foot rate of $167.42 in 2008 down to a rate of </w:t>
      </w:r>
      <w:r w:rsidR="006B5866">
        <w:rPr>
          <w:rFonts w:ascii="Courier New" w:hAnsi="Courier New" w:cs="Courier New"/>
          <w:sz w:val="24"/>
          <w:szCs w:val="24"/>
        </w:rPr>
        <w:t xml:space="preserve">$99.39 per square </w:t>
      </w:r>
      <w:r>
        <w:rPr>
          <w:rFonts w:ascii="Courier New" w:hAnsi="Courier New" w:cs="Courier New"/>
          <w:sz w:val="24"/>
          <w:szCs w:val="24"/>
        </w:rPr>
        <w:t xml:space="preserve">foot in 2015.  </w:t>
      </w:r>
    </w:p>
    <w:p w:rsidR="00E94AA3" w:rsidRDefault="006F1F0A" w:rsidP="00CA3CD5">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As the first step in the income-capitalization approach is the determination of net operating income, Mr. Logue attempted </w:t>
      </w:r>
      <w:r>
        <w:rPr>
          <w:rFonts w:ascii="Courier New" w:hAnsi="Courier New" w:cs="Courier New"/>
          <w:sz w:val="24"/>
          <w:szCs w:val="24"/>
        </w:rPr>
        <w:lastRenderedPageBreak/>
        <w:t xml:space="preserve">to secure lease </w:t>
      </w:r>
      <w:proofErr w:type="spellStart"/>
      <w:r>
        <w:rPr>
          <w:rFonts w:ascii="Courier New" w:hAnsi="Courier New" w:cs="Courier New"/>
          <w:sz w:val="24"/>
          <w:szCs w:val="24"/>
        </w:rPr>
        <w:t>comparables</w:t>
      </w:r>
      <w:proofErr w:type="spellEnd"/>
      <w:r>
        <w:rPr>
          <w:rFonts w:ascii="Courier New" w:hAnsi="Courier New" w:cs="Courier New"/>
          <w:sz w:val="24"/>
          <w:szCs w:val="24"/>
        </w:rPr>
        <w:t xml:space="preserve"> from which to determine a fair market rent for the subject property. He ultimately selected six lease </w:t>
      </w:r>
      <w:proofErr w:type="spellStart"/>
      <w:r>
        <w:rPr>
          <w:rFonts w:ascii="Courier New" w:hAnsi="Courier New" w:cs="Courier New"/>
          <w:sz w:val="24"/>
          <w:szCs w:val="24"/>
        </w:rPr>
        <w:t>comparable</w:t>
      </w:r>
      <w:r w:rsidR="00FB499D">
        <w:rPr>
          <w:rFonts w:ascii="Courier New" w:hAnsi="Courier New" w:cs="Courier New"/>
          <w:sz w:val="24"/>
          <w:szCs w:val="24"/>
        </w:rPr>
        <w:t>s</w:t>
      </w:r>
      <w:proofErr w:type="spellEnd"/>
      <w:r>
        <w:rPr>
          <w:rFonts w:ascii="Courier New" w:hAnsi="Courier New" w:cs="Courier New"/>
          <w:sz w:val="24"/>
          <w:szCs w:val="24"/>
        </w:rPr>
        <w:t>, and a summary of relevant information about those leases is c</w:t>
      </w:r>
      <w:r w:rsidR="00E94AA3">
        <w:rPr>
          <w:rFonts w:ascii="Courier New" w:hAnsi="Courier New" w:cs="Courier New"/>
          <w:sz w:val="24"/>
          <w:szCs w:val="24"/>
        </w:rPr>
        <w:t>ontained in the following table:</w:t>
      </w:r>
    </w:p>
    <w:tbl>
      <w:tblPr>
        <w:tblStyle w:val="TableGrid"/>
        <w:tblpPr w:leftFromText="180" w:rightFromText="180" w:vertAnchor="text" w:horzAnchor="margin" w:tblpXSpec="center" w:tblpY="357"/>
        <w:tblW w:w="0" w:type="auto"/>
        <w:tblLook w:val="04A0" w:firstRow="1" w:lastRow="0" w:firstColumn="1" w:lastColumn="0" w:noHBand="0" w:noVBand="1"/>
      </w:tblPr>
      <w:tblGrid>
        <w:gridCol w:w="829"/>
        <w:gridCol w:w="1601"/>
        <w:gridCol w:w="1312"/>
        <w:gridCol w:w="1657"/>
        <w:gridCol w:w="1549"/>
        <w:gridCol w:w="2070"/>
      </w:tblGrid>
      <w:tr w:rsidR="009759C7" w:rsidTr="00693F9A">
        <w:tc>
          <w:tcPr>
            <w:tcW w:w="829" w:type="dxa"/>
          </w:tcPr>
          <w:p w:rsidR="009759C7" w:rsidRPr="00EF5319" w:rsidRDefault="009759C7" w:rsidP="00F224FE">
            <w:pPr>
              <w:jc w:val="center"/>
              <w:rPr>
                <w:rFonts w:ascii="Courier New" w:hAnsi="Courier New" w:cs="Courier New"/>
                <w:b/>
                <w:sz w:val="20"/>
                <w:szCs w:val="20"/>
              </w:rPr>
            </w:pPr>
            <w:r>
              <w:rPr>
                <w:rFonts w:ascii="Courier New" w:hAnsi="Courier New" w:cs="Courier New"/>
                <w:b/>
                <w:sz w:val="20"/>
                <w:szCs w:val="20"/>
              </w:rPr>
              <w:t>No.</w:t>
            </w:r>
          </w:p>
        </w:tc>
        <w:tc>
          <w:tcPr>
            <w:tcW w:w="1601" w:type="dxa"/>
          </w:tcPr>
          <w:p w:rsidR="009759C7" w:rsidRPr="00EF5319" w:rsidRDefault="009759C7" w:rsidP="00F224FE">
            <w:pPr>
              <w:jc w:val="center"/>
              <w:rPr>
                <w:rFonts w:ascii="Courier New" w:hAnsi="Courier New" w:cs="Courier New"/>
                <w:b/>
                <w:sz w:val="20"/>
                <w:szCs w:val="20"/>
              </w:rPr>
            </w:pPr>
            <w:r w:rsidRPr="00EF5319">
              <w:rPr>
                <w:rFonts w:ascii="Courier New" w:hAnsi="Courier New" w:cs="Courier New"/>
                <w:b/>
                <w:sz w:val="20"/>
                <w:szCs w:val="20"/>
              </w:rPr>
              <w:t>Property/</w:t>
            </w:r>
          </w:p>
          <w:p w:rsidR="009759C7" w:rsidRPr="00EF5319" w:rsidRDefault="009759C7" w:rsidP="00F224FE">
            <w:pPr>
              <w:jc w:val="center"/>
              <w:rPr>
                <w:rFonts w:ascii="Courier New" w:hAnsi="Courier New" w:cs="Courier New"/>
                <w:b/>
                <w:sz w:val="20"/>
                <w:szCs w:val="20"/>
              </w:rPr>
            </w:pPr>
            <w:r w:rsidRPr="00EF5319">
              <w:rPr>
                <w:rFonts w:ascii="Courier New" w:hAnsi="Courier New" w:cs="Courier New"/>
                <w:b/>
                <w:sz w:val="20"/>
                <w:szCs w:val="20"/>
              </w:rPr>
              <w:t>Location</w:t>
            </w:r>
          </w:p>
        </w:tc>
        <w:tc>
          <w:tcPr>
            <w:tcW w:w="1312" w:type="dxa"/>
          </w:tcPr>
          <w:p w:rsidR="009759C7" w:rsidRPr="00EF5319" w:rsidRDefault="009759C7" w:rsidP="00F224FE">
            <w:pPr>
              <w:jc w:val="center"/>
              <w:rPr>
                <w:rFonts w:ascii="Courier New" w:hAnsi="Courier New" w:cs="Courier New"/>
                <w:b/>
                <w:sz w:val="20"/>
                <w:szCs w:val="20"/>
              </w:rPr>
            </w:pPr>
            <w:r w:rsidRPr="00EF5319">
              <w:rPr>
                <w:rFonts w:ascii="Courier New" w:hAnsi="Courier New" w:cs="Courier New"/>
                <w:b/>
                <w:sz w:val="20"/>
                <w:szCs w:val="20"/>
              </w:rPr>
              <w:t>Tenant</w:t>
            </w:r>
          </w:p>
        </w:tc>
        <w:tc>
          <w:tcPr>
            <w:tcW w:w="1657" w:type="dxa"/>
          </w:tcPr>
          <w:p w:rsidR="009759C7" w:rsidRPr="00EF5319" w:rsidRDefault="00A53D4D" w:rsidP="00F224FE">
            <w:pPr>
              <w:jc w:val="center"/>
              <w:rPr>
                <w:rFonts w:ascii="Courier New" w:hAnsi="Courier New" w:cs="Courier New"/>
                <w:b/>
                <w:sz w:val="20"/>
                <w:szCs w:val="20"/>
              </w:rPr>
            </w:pPr>
            <w:r>
              <w:rPr>
                <w:rFonts w:ascii="Courier New" w:hAnsi="Courier New" w:cs="Courier New"/>
                <w:b/>
                <w:sz w:val="20"/>
                <w:szCs w:val="20"/>
              </w:rPr>
              <w:t xml:space="preserve">Commencement Date/Term </w:t>
            </w:r>
          </w:p>
        </w:tc>
        <w:tc>
          <w:tcPr>
            <w:tcW w:w="1549" w:type="dxa"/>
          </w:tcPr>
          <w:p w:rsidR="009759C7" w:rsidRPr="00EF5319" w:rsidRDefault="009759C7" w:rsidP="00F224FE">
            <w:pPr>
              <w:jc w:val="center"/>
              <w:rPr>
                <w:rFonts w:ascii="Courier New" w:hAnsi="Courier New" w:cs="Courier New"/>
                <w:b/>
                <w:sz w:val="20"/>
                <w:szCs w:val="20"/>
              </w:rPr>
            </w:pPr>
            <w:r w:rsidRPr="00EF5319">
              <w:rPr>
                <w:rFonts w:ascii="Courier New" w:hAnsi="Courier New" w:cs="Courier New"/>
                <w:b/>
                <w:sz w:val="20"/>
                <w:szCs w:val="20"/>
              </w:rPr>
              <w:t>Leased Area</w:t>
            </w:r>
            <w:r w:rsidR="00CC2156">
              <w:rPr>
                <w:rFonts w:ascii="Courier New" w:hAnsi="Courier New" w:cs="Courier New"/>
                <w:b/>
                <w:sz w:val="20"/>
                <w:szCs w:val="20"/>
              </w:rPr>
              <w:t xml:space="preserve"> (</w:t>
            </w:r>
            <w:r w:rsidR="006B5866">
              <w:rPr>
                <w:rFonts w:ascii="Courier New" w:hAnsi="Courier New" w:cs="Courier New"/>
                <w:b/>
                <w:sz w:val="20"/>
                <w:szCs w:val="20"/>
              </w:rPr>
              <w:t>Sq. F</w:t>
            </w:r>
            <w:r w:rsidR="00CC2156">
              <w:rPr>
                <w:rFonts w:ascii="Courier New" w:hAnsi="Courier New" w:cs="Courier New"/>
                <w:b/>
                <w:sz w:val="20"/>
                <w:szCs w:val="20"/>
              </w:rPr>
              <w:t>t.)</w:t>
            </w:r>
          </w:p>
        </w:tc>
        <w:tc>
          <w:tcPr>
            <w:tcW w:w="2070" w:type="dxa"/>
          </w:tcPr>
          <w:p w:rsidR="009759C7" w:rsidRPr="00EF5319" w:rsidRDefault="009759C7" w:rsidP="00F224FE">
            <w:pPr>
              <w:jc w:val="center"/>
              <w:rPr>
                <w:rFonts w:ascii="Courier New" w:hAnsi="Courier New" w:cs="Courier New"/>
                <w:b/>
                <w:sz w:val="20"/>
                <w:szCs w:val="20"/>
              </w:rPr>
            </w:pPr>
            <w:r>
              <w:rPr>
                <w:rFonts w:ascii="Courier New" w:hAnsi="Courier New" w:cs="Courier New"/>
                <w:b/>
                <w:sz w:val="20"/>
                <w:szCs w:val="20"/>
              </w:rPr>
              <w:t>Initial Rent($)/Terms</w:t>
            </w:r>
          </w:p>
        </w:tc>
      </w:tr>
      <w:tr w:rsidR="009759C7" w:rsidTr="00693F9A">
        <w:tc>
          <w:tcPr>
            <w:tcW w:w="829" w:type="dxa"/>
          </w:tcPr>
          <w:p w:rsidR="009759C7" w:rsidRPr="002C11BC" w:rsidRDefault="006B5866" w:rsidP="006B5866">
            <w:pPr>
              <w:rPr>
                <w:rFonts w:ascii="Courier New" w:hAnsi="Courier New" w:cs="Courier New"/>
                <w:sz w:val="20"/>
                <w:szCs w:val="20"/>
              </w:rPr>
            </w:pPr>
            <w:r>
              <w:rPr>
                <w:rFonts w:ascii="Courier New" w:hAnsi="Courier New" w:cs="Courier New"/>
                <w:sz w:val="20"/>
                <w:szCs w:val="20"/>
              </w:rPr>
              <w:t xml:space="preserve"> </w:t>
            </w:r>
            <w:r w:rsidR="00CA3CD5">
              <w:rPr>
                <w:rFonts w:ascii="Courier New" w:hAnsi="Courier New" w:cs="Courier New"/>
                <w:sz w:val="20"/>
                <w:szCs w:val="20"/>
              </w:rPr>
              <w:t xml:space="preserve"> </w:t>
            </w:r>
            <w:r>
              <w:rPr>
                <w:rFonts w:ascii="Courier New" w:hAnsi="Courier New" w:cs="Courier New"/>
                <w:sz w:val="20"/>
                <w:szCs w:val="20"/>
              </w:rPr>
              <w:t>1</w:t>
            </w:r>
          </w:p>
        </w:tc>
        <w:tc>
          <w:tcPr>
            <w:tcW w:w="1601" w:type="dxa"/>
          </w:tcPr>
          <w:p w:rsidR="009759C7" w:rsidRDefault="009759C7" w:rsidP="00F224FE">
            <w:pPr>
              <w:jc w:val="center"/>
              <w:rPr>
                <w:rFonts w:ascii="Courier New" w:hAnsi="Courier New" w:cs="Courier New"/>
                <w:sz w:val="20"/>
                <w:szCs w:val="20"/>
              </w:rPr>
            </w:pPr>
            <w:r w:rsidRPr="002C11BC">
              <w:rPr>
                <w:rFonts w:ascii="Courier New" w:hAnsi="Courier New" w:cs="Courier New"/>
                <w:sz w:val="20"/>
                <w:szCs w:val="20"/>
              </w:rPr>
              <w:t>Natick Mall/</w:t>
            </w:r>
          </w:p>
          <w:p w:rsidR="009759C7" w:rsidRPr="002C11BC" w:rsidRDefault="009759C7" w:rsidP="00F224FE">
            <w:pPr>
              <w:jc w:val="center"/>
              <w:rPr>
                <w:rFonts w:ascii="Courier New" w:hAnsi="Courier New" w:cs="Courier New"/>
                <w:sz w:val="20"/>
                <w:szCs w:val="20"/>
              </w:rPr>
            </w:pPr>
            <w:r w:rsidRPr="002C11BC">
              <w:rPr>
                <w:rFonts w:ascii="Courier New" w:hAnsi="Courier New" w:cs="Courier New"/>
                <w:sz w:val="20"/>
                <w:szCs w:val="20"/>
              </w:rPr>
              <w:t>Natick, MA</w:t>
            </w:r>
          </w:p>
        </w:tc>
        <w:tc>
          <w:tcPr>
            <w:tcW w:w="1312"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J.C. Penney</w:t>
            </w:r>
          </w:p>
        </w:tc>
        <w:tc>
          <w:tcPr>
            <w:tcW w:w="1657"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12/06</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20 years + options</w:t>
            </w:r>
          </w:p>
        </w:tc>
        <w:tc>
          <w:tcPr>
            <w:tcW w:w="1549"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199,961</w:t>
            </w:r>
          </w:p>
        </w:tc>
        <w:tc>
          <w:tcPr>
            <w:tcW w:w="2070"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8.31</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Modified net</w:t>
            </w:r>
          </w:p>
        </w:tc>
      </w:tr>
      <w:tr w:rsidR="009759C7" w:rsidTr="00693F9A">
        <w:tc>
          <w:tcPr>
            <w:tcW w:w="829" w:type="dxa"/>
          </w:tcPr>
          <w:p w:rsidR="009759C7" w:rsidRDefault="006B5866" w:rsidP="00F224FE">
            <w:pPr>
              <w:jc w:val="center"/>
              <w:rPr>
                <w:rFonts w:ascii="Courier New" w:hAnsi="Courier New" w:cs="Courier New"/>
                <w:sz w:val="20"/>
                <w:szCs w:val="20"/>
              </w:rPr>
            </w:pPr>
            <w:r>
              <w:rPr>
                <w:rFonts w:ascii="Courier New" w:hAnsi="Courier New" w:cs="Courier New"/>
                <w:sz w:val="20"/>
                <w:szCs w:val="20"/>
              </w:rPr>
              <w:t>2</w:t>
            </w:r>
          </w:p>
        </w:tc>
        <w:tc>
          <w:tcPr>
            <w:tcW w:w="1601"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Woodbridge Center/</w:t>
            </w:r>
            <w:r w:rsidRPr="002C11BC">
              <w:rPr>
                <w:rFonts w:ascii="Courier New" w:hAnsi="Courier New" w:cs="Courier New"/>
                <w:sz w:val="20"/>
                <w:szCs w:val="20"/>
              </w:rPr>
              <w:t xml:space="preserve"> Woodbridge, NJ</w:t>
            </w:r>
          </w:p>
        </w:tc>
        <w:tc>
          <w:tcPr>
            <w:tcW w:w="1312"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Boscov’s</w:t>
            </w:r>
          </w:p>
        </w:tc>
        <w:tc>
          <w:tcPr>
            <w:tcW w:w="1657"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4/12</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15 years</w:t>
            </w:r>
          </w:p>
        </w:tc>
        <w:tc>
          <w:tcPr>
            <w:tcW w:w="1549"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150,938</w:t>
            </w:r>
          </w:p>
          <w:p w:rsidR="009759C7" w:rsidRPr="002C11BC" w:rsidRDefault="009759C7" w:rsidP="00F224FE">
            <w:pPr>
              <w:jc w:val="center"/>
              <w:rPr>
                <w:rFonts w:ascii="Courier New" w:hAnsi="Courier New" w:cs="Courier New"/>
                <w:sz w:val="20"/>
                <w:szCs w:val="20"/>
              </w:rPr>
            </w:pPr>
          </w:p>
        </w:tc>
        <w:tc>
          <w:tcPr>
            <w:tcW w:w="2070"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5.30</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Modified net</w:t>
            </w:r>
          </w:p>
        </w:tc>
      </w:tr>
      <w:tr w:rsidR="009759C7" w:rsidTr="00693F9A">
        <w:tc>
          <w:tcPr>
            <w:tcW w:w="829" w:type="dxa"/>
          </w:tcPr>
          <w:p w:rsidR="009759C7" w:rsidRDefault="006B5866" w:rsidP="00F224FE">
            <w:pPr>
              <w:jc w:val="center"/>
              <w:rPr>
                <w:rFonts w:ascii="Courier New" w:hAnsi="Courier New" w:cs="Courier New"/>
                <w:sz w:val="20"/>
                <w:szCs w:val="20"/>
              </w:rPr>
            </w:pPr>
            <w:r>
              <w:rPr>
                <w:rFonts w:ascii="Courier New" w:hAnsi="Courier New" w:cs="Courier New"/>
                <w:sz w:val="20"/>
                <w:szCs w:val="20"/>
              </w:rPr>
              <w:t>3</w:t>
            </w:r>
          </w:p>
        </w:tc>
        <w:tc>
          <w:tcPr>
            <w:tcW w:w="1601" w:type="dxa"/>
          </w:tcPr>
          <w:p w:rsidR="009759C7" w:rsidRDefault="009759C7" w:rsidP="00F224FE">
            <w:pPr>
              <w:jc w:val="center"/>
              <w:rPr>
                <w:rFonts w:ascii="Courier New" w:hAnsi="Courier New" w:cs="Courier New"/>
                <w:sz w:val="20"/>
                <w:szCs w:val="20"/>
              </w:rPr>
            </w:pPr>
            <w:proofErr w:type="spellStart"/>
            <w:r>
              <w:rPr>
                <w:rFonts w:ascii="Courier New" w:hAnsi="Courier New" w:cs="Courier New"/>
                <w:sz w:val="20"/>
                <w:szCs w:val="20"/>
              </w:rPr>
              <w:t>Steeplegate</w:t>
            </w:r>
            <w:proofErr w:type="spellEnd"/>
            <w:r>
              <w:rPr>
                <w:rFonts w:ascii="Courier New" w:hAnsi="Courier New" w:cs="Courier New"/>
                <w:sz w:val="20"/>
                <w:szCs w:val="20"/>
              </w:rPr>
              <w:t xml:space="preserve"> Mall/</w:t>
            </w:r>
          </w:p>
          <w:p w:rsidR="009759C7" w:rsidRPr="002C11BC" w:rsidRDefault="009759C7" w:rsidP="00F224FE">
            <w:pPr>
              <w:jc w:val="center"/>
              <w:rPr>
                <w:rFonts w:ascii="Courier New" w:hAnsi="Courier New" w:cs="Courier New"/>
                <w:sz w:val="20"/>
                <w:szCs w:val="20"/>
              </w:rPr>
            </w:pPr>
            <w:r w:rsidRPr="002C11BC">
              <w:rPr>
                <w:rFonts w:ascii="Courier New" w:hAnsi="Courier New" w:cs="Courier New"/>
                <w:sz w:val="20"/>
                <w:szCs w:val="20"/>
              </w:rPr>
              <w:t>Concord, NH</w:t>
            </w:r>
          </w:p>
        </w:tc>
        <w:tc>
          <w:tcPr>
            <w:tcW w:w="1312"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The Bon-Ton</w:t>
            </w:r>
          </w:p>
        </w:tc>
        <w:tc>
          <w:tcPr>
            <w:tcW w:w="1657"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1/10</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5 years</w:t>
            </w:r>
          </w:p>
        </w:tc>
        <w:tc>
          <w:tcPr>
            <w:tcW w:w="1549"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87,736</w:t>
            </w:r>
          </w:p>
        </w:tc>
        <w:tc>
          <w:tcPr>
            <w:tcW w:w="2070"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4.56</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Modified gross</w:t>
            </w:r>
          </w:p>
        </w:tc>
      </w:tr>
      <w:tr w:rsidR="009759C7" w:rsidTr="00693F9A">
        <w:tc>
          <w:tcPr>
            <w:tcW w:w="829" w:type="dxa"/>
          </w:tcPr>
          <w:p w:rsidR="009759C7" w:rsidRDefault="006B5866" w:rsidP="00F224FE">
            <w:pPr>
              <w:jc w:val="center"/>
              <w:rPr>
                <w:rFonts w:ascii="Courier New" w:hAnsi="Courier New" w:cs="Courier New"/>
                <w:sz w:val="20"/>
                <w:szCs w:val="20"/>
              </w:rPr>
            </w:pPr>
            <w:r>
              <w:rPr>
                <w:rFonts w:ascii="Courier New" w:hAnsi="Courier New" w:cs="Courier New"/>
                <w:sz w:val="20"/>
                <w:szCs w:val="20"/>
              </w:rPr>
              <w:t>4</w:t>
            </w:r>
          </w:p>
        </w:tc>
        <w:tc>
          <w:tcPr>
            <w:tcW w:w="1601"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The Mall at Rockingham Park/</w:t>
            </w:r>
            <w:r w:rsidRPr="002C11BC">
              <w:rPr>
                <w:rFonts w:ascii="Courier New" w:hAnsi="Courier New" w:cs="Courier New"/>
                <w:sz w:val="20"/>
                <w:szCs w:val="20"/>
              </w:rPr>
              <w:t xml:space="preserve"> Salem, NH</w:t>
            </w:r>
          </w:p>
        </w:tc>
        <w:tc>
          <w:tcPr>
            <w:tcW w:w="1312"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Lord &amp; Taylor</w:t>
            </w:r>
          </w:p>
        </w:tc>
        <w:tc>
          <w:tcPr>
            <w:tcW w:w="1657"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4/11</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15 years</w:t>
            </w:r>
          </w:p>
        </w:tc>
        <w:tc>
          <w:tcPr>
            <w:tcW w:w="1549"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151,594 – effective 121,341</w:t>
            </w:r>
          </w:p>
        </w:tc>
        <w:tc>
          <w:tcPr>
            <w:tcW w:w="2070" w:type="dxa"/>
          </w:tcPr>
          <w:p w:rsidR="00693F9A" w:rsidRDefault="009759C7" w:rsidP="00F224FE">
            <w:pPr>
              <w:jc w:val="center"/>
              <w:rPr>
                <w:rFonts w:ascii="Courier New" w:hAnsi="Courier New" w:cs="Courier New"/>
                <w:sz w:val="20"/>
                <w:szCs w:val="20"/>
              </w:rPr>
            </w:pPr>
            <w:r>
              <w:rPr>
                <w:rFonts w:ascii="Courier New" w:hAnsi="Courier New" w:cs="Courier New"/>
                <w:sz w:val="20"/>
                <w:szCs w:val="20"/>
              </w:rPr>
              <w:t xml:space="preserve">4.73 </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Modified gross</w:t>
            </w:r>
          </w:p>
        </w:tc>
      </w:tr>
      <w:tr w:rsidR="009759C7" w:rsidTr="00693F9A">
        <w:tc>
          <w:tcPr>
            <w:tcW w:w="829" w:type="dxa"/>
          </w:tcPr>
          <w:p w:rsidR="009759C7" w:rsidRDefault="006B5866" w:rsidP="00F224FE">
            <w:pPr>
              <w:jc w:val="center"/>
              <w:rPr>
                <w:rFonts w:ascii="Courier New" w:hAnsi="Courier New" w:cs="Courier New"/>
                <w:sz w:val="20"/>
                <w:szCs w:val="20"/>
              </w:rPr>
            </w:pPr>
            <w:r>
              <w:rPr>
                <w:rFonts w:ascii="Courier New" w:hAnsi="Courier New" w:cs="Courier New"/>
                <w:sz w:val="20"/>
                <w:szCs w:val="20"/>
              </w:rPr>
              <w:t>5</w:t>
            </w:r>
          </w:p>
        </w:tc>
        <w:tc>
          <w:tcPr>
            <w:tcW w:w="1601"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Maine Mall/</w:t>
            </w:r>
          </w:p>
          <w:p w:rsidR="009759C7" w:rsidRPr="002C11BC" w:rsidRDefault="009759C7" w:rsidP="00F224FE">
            <w:pPr>
              <w:jc w:val="center"/>
              <w:rPr>
                <w:rFonts w:ascii="Courier New" w:hAnsi="Courier New" w:cs="Courier New"/>
                <w:sz w:val="20"/>
                <w:szCs w:val="20"/>
              </w:rPr>
            </w:pPr>
            <w:r w:rsidRPr="002C11BC">
              <w:rPr>
                <w:rFonts w:ascii="Courier New" w:hAnsi="Courier New" w:cs="Courier New"/>
                <w:sz w:val="20"/>
                <w:szCs w:val="20"/>
              </w:rPr>
              <w:t>S. Portland, ME</w:t>
            </w:r>
          </w:p>
        </w:tc>
        <w:tc>
          <w:tcPr>
            <w:tcW w:w="1312"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The Bon-Ton</w:t>
            </w:r>
          </w:p>
        </w:tc>
        <w:tc>
          <w:tcPr>
            <w:tcW w:w="1657"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9/13</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15 years</w:t>
            </w:r>
          </w:p>
        </w:tc>
        <w:tc>
          <w:tcPr>
            <w:tcW w:w="1549" w:type="dxa"/>
          </w:tcPr>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120,844</w:t>
            </w:r>
          </w:p>
        </w:tc>
        <w:tc>
          <w:tcPr>
            <w:tcW w:w="2070" w:type="dxa"/>
          </w:tcPr>
          <w:p w:rsidR="00693F9A" w:rsidRDefault="009759C7" w:rsidP="00F224FE">
            <w:pPr>
              <w:jc w:val="center"/>
              <w:rPr>
                <w:rFonts w:ascii="Courier New" w:hAnsi="Courier New" w:cs="Courier New"/>
                <w:sz w:val="20"/>
                <w:szCs w:val="20"/>
              </w:rPr>
            </w:pPr>
            <w:r>
              <w:rPr>
                <w:rFonts w:ascii="Courier New" w:hAnsi="Courier New" w:cs="Courier New"/>
                <w:sz w:val="20"/>
                <w:szCs w:val="20"/>
              </w:rPr>
              <w:t xml:space="preserve">6.15 </w:t>
            </w:r>
          </w:p>
          <w:p w:rsidR="009759C7" w:rsidRPr="002C11BC" w:rsidRDefault="009759C7" w:rsidP="00F224FE">
            <w:pPr>
              <w:jc w:val="center"/>
              <w:rPr>
                <w:rFonts w:ascii="Courier New" w:hAnsi="Courier New" w:cs="Courier New"/>
                <w:sz w:val="20"/>
                <w:szCs w:val="20"/>
              </w:rPr>
            </w:pPr>
            <w:r>
              <w:rPr>
                <w:rFonts w:ascii="Courier New" w:hAnsi="Courier New" w:cs="Courier New"/>
                <w:sz w:val="20"/>
                <w:szCs w:val="20"/>
              </w:rPr>
              <w:t>Modified gross</w:t>
            </w:r>
          </w:p>
        </w:tc>
      </w:tr>
      <w:tr w:rsidR="009759C7" w:rsidTr="00693F9A">
        <w:tc>
          <w:tcPr>
            <w:tcW w:w="829" w:type="dxa"/>
          </w:tcPr>
          <w:p w:rsidR="009759C7" w:rsidRDefault="006B5866" w:rsidP="00F224FE">
            <w:pPr>
              <w:jc w:val="center"/>
              <w:rPr>
                <w:rFonts w:ascii="Courier New" w:hAnsi="Courier New" w:cs="Courier New"/>
                <w:sz w:val="20"/>
                <w:szCs w:val="20"/>
              </w:rPr>
            </w:pPr>
            <w:r>
              <w:rPr>
                <w:rFonts w:ascii="Courier New" w:hAnsi="Courier New" w:cs="Courier New"/>
                <w:sz w:val="20"/>
                <w:szCs w:val="20"/>
              </w:rPr>
              <w:t>6</w:t>
            </w:r>
          </w:p>
        </w:tc>
        <w:tc>
          <w:tcPr>
            <w:tcW w:w="1601" w:type="dxa"/>
          </w:tcPr>
          <w:p w:rsidR="009759C7" w:rsidRPr="005E27F6" w:rsidRDefault="009759C7" w:rsidP="00F224FE">
            <w:pPr>
              <w:jc w:val="center"/>
              <w:rPr>
                <w:rFonts w:ascii="Courier New" w:hAnsi="Courier New" w:cs="Courier New"/>
                <w:sz w:val="20"/>
                <w:szCs w:val="20"/>
              </w:rPr>
            </w:pPr>
            <w:r>
              <w:rPr>
                <w:rFonts w:ascii="Courier New" w:hAnsi="Courier New" w:cs="Courier New"/>
                <w:sz w:val="20"/>
                <w:szCs w:val="20"/>
              </w:rPr>
              <w:t>Warwick Mall/</w:t>
            </w:r>
            <w:r w:rsidRPr="005E27F6">
              <w:rPr>
                <w:rFonts w:ascii="Courier New" w:hAnsi="Courier New" w:cs="Courier New"/>
                <w:sz w:val="20"/>
                <w:szCs w:val="20"/>
              </w:rPr>
              <w:t xml:space="preserve"> Warwick, RI</w:t>
            </w:r>
          </w:p>
        </w:tc>
        <w:tc>
          <w:tcPr>
            <w:tcW w:w="1312" w:type="dxa"/>
          </w:tcPr>
          <w:p w:rsidR="009759C7" w:rsidRPr="005E27F6" w:rsidRDefault="009759C7" w:rsidP="00F224FE">
            <w:pPr>
              <w:jc w:val="center"/>
              <w:rPr>
                <w:rFonts w:ascii="Courier New" w:hAnsi="Courier New" w:cs="Courier New"/>
                <w:sz w:val="20"/>
                <w:szCs w:val="20"/>
              </w:rPr>
            </w:pPr>
            <w:r>
              <w:rPr>
                <w:rFonts w:ascii="Courier New" w:hAnsi="Courier New" w:cs="Courier New"/>
                <w:sz w:val="20"/>
                <w:szCs w:val="20"/>
              </w:rPr>
              <w:t>Jordan’s Furniture</w:t>
            </w:r>
          </w:p>
        </w:tc>
        <w:tc>
          <w:tcPr>
            <w:tcW w:w="1657" w:type="dxa"/>
          </w:tcPr>
          <w:p w:rsidR="009759C7" w:rsidRDefault="009759C7" w:rsidP="00F224FE">
            <w:pPr>
              <w:jc w:val="center"/>
              <w:rPr>
                <w:rFonts w:ascii="Courier New" w:hAnsi="Courier New" w:cs="Courier New"/>
                <w:sz w:val="20"/>
                <w:szCs w:val="20"/>
              </w:rPr>
            </w:pPr>
            <w:r>
              <w:rPr>
                <w:rFonts w:ascii="Courier New" w:hAnsi="Courier New" w:cs="Courier New"/>
                <w:sz w:val="20"/>
                <w:szCs w:val="20"/>
              </w:rPr>
              <w:t>12/11</w:t>
            </w:r>
          </w:p>
          <w:p w:rsidR="009759C7" w:rsidRPr="005E27F6" w:rsidRDefault="009759C7" w:rsidP="00F224FE">
            <w:pPr>
              <w:jc w:val="center"/>
              <w:rPr>
                <w:rFonts w:ascii="Courier New" w:hAnsi="Courier New" w:cs="Courier New"/>
                <w:sz w:val="20"/>
                <w:szCs w:val="20"/>
              </w:rPr>
            </w:pPr>
            <w:r>
              <w:rPr>
                <w:rFonts w:ascii="Courier New" w:hAnsi="Courier New" w:cs="Courier New"/>
                <w:sz w:val="20"/>
                <w:szCs w:val="20"/>
              </w:rPr>
              <w:t>10 years</w:t>
            </w:r>
          </w:p>
        </w:tc>
        <w:tc>
          <w:tcPr>
            <w:tcW w:w="1549" w:type="dxa"/>
          </w:tcPr>
          <w:p w:rsidR="009759C7" w:rsidRPr="005E27F6" w:rsidRDefault="009759C7" w:rsidP="00F224FE">
            <w:pPr>
              <w:jc w:val="center"/>
              <w:rPr>
                <w:rFonts w:ascii="Courier New" w:hAnsi="Courier New" w:cs="Courier New"/>
                <w:sz w:val="20"/>
                <w:szCs w:val="20"/>
              </w:rPr>
            </w:pPr>
            <w:r>
              <w:rPr>
                <w:rFonts w:ascii="Courier New" w:hAnsi="Courier New" w:cs="Courier New"/>
                <w:sz w:val="20"/>
                <w:szCs w:val="20"/>
              </w:rPr>
              <w:t>100,000</w:t>
            </w:r>
          </w:p>
        </w:tc>
        <w:tc>
          <w:tcPr>
            <w:tcW w:w="2070" w:type="dxa"/>
          </w:tcPr>
          <w:p w:rsidR="009759C7" w:rsidRPr="005E27F6" w:rsidRDefault="009759C7" w:rsidP="00F224FE">
            <w:pPr>
              <w:jc w:val="center"/>
              <w:rPr>
                <w:rFonts w:ascii="Courier New" w:hAnsi="Courier New" w:cs="Courier New"/>
                <w:sz w:val="20"/>
                <w:szCs w:val="20"/>
              </w:rPr>
            </w:pPr>
            <w:r>
              <w:rPr>
                <w:rFonts w:ascii="Courier New" w:hAnsi="Courier New" w:cs="Courier New"/>
                <w:sz w:val="20"/>
                <w:szCs w:val="20"/>
              </w:rPr>
              <w:t>7.50 gross</w:t>
            </w:r>
          </w:p>
        </w:tc>
      </w:tr>
    </w:tbl>
    <w:p w:rsidR="007918C9" w:rsidRDefault="007918C9" w:rsidP="00CA3CD5">
      <w:pPr>
        <w:spacing w:after="0" w:line="480" w:lineRule="auto"/>
        <w:jc w:val="both"/>
        <w:rPr>
          <w:rFonts w:ascii="Courier New" w:hAnsi="Courier New" w:cs="Courier New"/>
          <w:sz w:val="24"/>
          <w:szCs w:val="24"/>
        </w:rPr>
      </w:pPr>
    </w:p>
    <w:p w:rsidR="00F373BD" w:rsidRDefault="009759C7" w:rsidP="00CA3CD5">
      <w:pPr>
        <w:spacing w:after="0" w:line="480" w:lineRule="auto"/>
        <w:jc w:val="both"/>
        <w:rPr>
          <w:rFonts w:ascii="Courier New" w:hAnsi="Courier New" w:cs="Courier New"/>
          <w:sz w:val="24"/>
          <w:szCs w:val="24"/>
        </w:rPr>
      </w:pPr>
      <w:r>
        <w:rPr>
          <w:rFonts w:ascii="Courier New" w:hAnsi="Courier New" w:cs="Courier New"/>
          <w:sz w:val="24"/>
          <w:szCs w:val="24"/>
        </w:rPr>
        <w:tab/>
      </w:r>
      <w:r w:rsidR="00850C8F" w:rsidRPr="00172577">
        <w:rPr>
          <w:rFonts w:ascii="Courier New" w:hAnsi="Courier New" w:cs="Courier New"/>
          <w:sz w:val="24"/>
          <w:szCs w:val="24"/>
        </w:rPr>
        <w:t xml:space="preserve">Mr. Logue noted that while the lease periods varied for these </w:t>
      </w:r>
      <w:proofErr w:type="spellStart"/>
      <w:r w:rsidR="00850C8F" w:rsidRPr="00172577">
        <w:rPr>
          <w:rFonts w:ascii="Courier New" w:hAnsi="Courier New" w:cs="Courier New"/>
          <w:sz w:val="24"/>
          <w:szCs w:val="24"/>
        </w:rPr>
        <w:t>comparables</w:t>
      </w:r>
      <w:proofErr w:type="spellEnd"/>
      <w:r w:rsidR="00850C8F" w:rsidRPr="00172577">
        <w:rPr>
          <w:rFonts w:ascii="Courier New" w:hAnsi="Courier New" w:cs="Courier New"/>
          <w:sz w:val="24"/>
          <w:szCs w:val="24"/>
        </w:rPr>
        <w:t xml:space="preserve">, most of them had rent increases of approximately 10% </w:t>
      </w:r>
      <w:r w:rsidR="00907A5A">
        <w:rPr>
          <w:rFonts w:ascii="Courier New" w:hAnsi="Courier New" w:cs="Courier New"/>
          <w:sz w:val="24"/>
          <w:szCs w:val="24"/>
        </w:rPr>
        <w:t xml:space="preserve">after the first five years.  He further noted that most of the leases were on a modified gross basis, with the tenant paying real estate taxes and a share of the common-area maintenance (“CAM”) charges.  </w:t>
      </w:r>
    </w:p>
    <w:p w:rsidR="008A4F4C" w:rsidRDefault="008A4F4C" w:rsidP="00C57F54">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With respect to </w:t>
      </w:r>
      <w:proofErr w:type="spellStart"/>
      <w:r>
        <w:rPr>
          <w:rFonts w:ascii="Courier New" w:hAnsi="Courier New" w:cs="Courier New"/>
          <w:sz w:val="24"/>
          <w:szCs w:val="24"/>
        </w:rPr>
        <w:t>comparables</w:t>
      </w:r>
      <w:proofErr w:type="spellEnd"/>
      <w:r>
        <w:rPr>
          <w:rFonts w:ascii="Courier New" w:hAnsi="Courier New" w:cs="Courier New"/>
          <w:sz w:val="24"/>
          <w:szCs w:val="24"/>
        </w:rPr>
        <w:t xml:space="preserve"> three through six, Mr. Logue noted that they were in locations with less population density </w:t>
      </w:r>
      <w:r>
        <w:rPr>
          <w:rFonts w:ascii="Courier New" w:hAnsi="Courier New" w:cs="Courier New"/>
          <w:sz w:val="24"/>
          <w:szCs w:val="24"/>
        </w:rPr>
        <w:lastRenderedPageBreak/>
        <w:t xml:space="preserve">and less favorable demographics than the subject property, such that they required an upward adjustment in comparison to the subject property.  </w:t>
      </w:r>
      <w:r w:rsidR="00C57F54">
        <w:rPr>
          <w:rFonts w:ascii="Courier New" w:hAnsi="Courier New" w:cs="Courier New"/>
          <w:sz w:val="24"/>
          <w:szCs w:val="24"/>
        </w:rPr>
        <w:t xml:space="preserve">With respect to comparable one, </w:t>
      </w:r>
      <w:r w:rsidR="00CA3CD5">
        <w:rPr>
          <w:rFonts w:ascii="Courier New" w:hAnsi="Courier New" w:cs="Courier New"/>
          <w:sz w:val="24"/>
          <w:szCs w:val="24"/>
        </w:rPr>
        <w:t xml:space="preserve">J.C. Penney located in </w:t>
      </w:r>
      <w:r w:rsidR="00C57F54">
        <w:rPr>
          <w:rFonts w:ascii="Courier New" w:hAnsi="Courier New" w:cs="Courier New"/>
          <w:sz w:val="24"/>
          <w:szCs w:val="24"/>
        </w:rPr>
        <w:t xml:space="preserve">the Natick Mall, Mr. Logue noted that it was similar to the subject property in that it was </w:t>
      </w:r>
      <w:r w:rsidR="000C677C">
        <w:rPr>
          <w:rFonts w:ascii="Courier New" w:hAnsi="Courier New" w:cs="Courier New"/>
          <w:sz w:val="24"/>
          <w:szCs w:val="24"/>
        </w:rPr>
        <w:t>a multi-</w:t>
      </w:r>
      <w:r w:rsidR="00AF1146">
        <w:rPr>
          <w:rFonts w:ascii="Courier New" w:hAnsi="Courier New" w:cs="Courier New"/>
          <w:sz w:val="24"/>
          <w:szCs w:val="24"/>
        </w:rPr>
        <w:t xml:space="preserve">story anchor store in a </w:t>
      </w:r>
      <w:r w:rsidR="00C57F54">
        <w:rPr>
          <w:rFonts w:ascii="Courier New" w:hAnsi="Courier New" w:cs="Courier New"/>
          <w:sz w:val="24"/>
          <w:szCs w:val="24"/>
        </w:rPr>
        <w:t>super-regional mall.  In addition, although he noted that the lease had been signed years prior to the relevant dates of valuation for the fiscal years at issue, rents for anchor stores had generally declined or remained stable during the intervening period, such tha</w:t>
      </w:r>
      <w:r w:rsidR="007164E0">
        <w:rPr>
          <w:rFonts w:ascii="Courier New" w:hAnsi="Courier New" w:cs="Courier New"/>
          <w:sz w:val="24"/>
          <w:szCs w:val="24"/>
        </w:rPr>
        <w:t xml:space="preserve">t he considered the rent to be </w:t>
      </w:r>
      <w:r w:rsidR="00C57F54">
        <w:rPr>
          <w:rFonts w:ascii="Courier New" w:hAnsi="Courier New" w:cs="Courier New"/>
          <w:sz w:val="24"/>
          <w:szCs w:val="24"/>
        </w:rPr>
        <w:t>reasonably indicative of market rent for the subject</w:t>
      </w:r>
      <w:r w:rsidR="007B3DA2">
        <w:rPr>
          <w:rFonts w:ascii="Courier New" w:hAnsi="Courier New" w:cs="Courier New"/>
          <w:sz w:val="24"/>
          <w:szCs w:val="24"/>
        </w:rPr>
        <w:t xml:space="preserve"> property</w:t>
      </w:r>
      <w:r w:rsidR="00C57F54">
        <w:rPr>
          <w:rFonts w:ascii="Courier New" w:hAnsi="Courier New" w:cs="Courier New"/>
          <w:sz w:val="24"/>
          <w:szCs w:val="24"/>
        </w:rPr>
        <w:t xml:space="preserve">, with two caveats.  First, Mr. Logue noted that the lease was on a modified net basis with very low CAM charges, and he concluded that a triple-net rent for the subject property would be significantly lower. Second, it was Mr. Logue’s </w:t>
      </w:r>
      <w:r w:rsidR="0088417B">
        <w:rPr>
          <w:rFonts w:ascii="Courier New" w:hAnsi="Courier New" w:cs="Courier New"/>
          <w:sz w:val="24"/>
          <w:szCs w:val="24"/>
        </w:rPr>
        <w:t>opinion that the Natick Mall was superior to the subject property because it was located in a market with better</w:t>
      </w:r>
      <w:r w:rsidR="00C57F54">
        <w:rPr>
          <w:rFonts w:ascii="Courier New" w:hAnsi="Courier New" w:cs="Courier New"/>
          <w:sz w:val="24"/>
          <w:szCs w:val="24"/>
        </w:rPr>
        <w:t xml:space="preserve"> demographics, such that a downward adjustment to rent was necessary to account for this difference.  </w:t>
      </w:r>
      <w:r w:rsidR="0088417B">
        <w:rPr>
          <w:rFonts w:ascii="Courier New" w:hAnsi="Courier New" w:cs="Courier New"/>
          <w:sz w:val="24"/>
          <w:szCs w:val="24"/>
        </w:rPr>
        <w:t xml:space="preserve"> </w:t>
      </w:r>
    </w:p>
    <w:p w:rsidR="0004682C" w:rsidRDefault="0004682C" w:rsidP="009410E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Based on all of these leases, and after making the aforementioned adjustments, Mr. Logue ultimately concluded a fair market rent for the subject property of $7.00 per square foot, on a triple-net basis, for ea</w:t>
      </w:r>
      <w:r w:rsidR="009410E0">
        <w:rPr>
          <w:rFonts w:ascii="Courier New" w:hAnsi="Courier New" w:cs="Courier New"/>
          <w:sz w:val="24"/>
          <w:szCs w:val="24"/>
        </w:rPr>
        <w:t xml:space="preserve">ch of the fiscal years at issue.  Applied to the </w:t>
      </w:r>
      <w:r w:rsidR="003621B6">
        <w:rPr>
          <w:rFonts w:ascii="Courier New" w:hAnsi="Courier New" w:cs="Courier New"/>
          <w:sz w:val="24"/>
          <w:szCs w:val="24"/>
        </w:rPr>
        <w:t xml:space="preserve">subject property’s 120,570 square feet of </w:t>
      </w:r>
      <w:r w:rsidR="003621B6">
        <w:rPr>
          <w:rFonts w:ascii="Courier New" w:hAnsi="Courier New" w:cs="Courier New"/>
          <w:sz w:val="24"/>
          <w:szCs w:val="24"/>
        </w:rPr>
        <w:lastRenderedPageBreak/>
        <w:t xml:space="preserve">gross leasable area, this resulted in a potential gross income of $843,990.  </w:t>
      </w:r>
    </w:p>
    <w:p w:rsidR="003621B6" w:rsidRDefault="003621B6" w:rsidP="009410E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Logue next considered vacancy and credit loss.  </w:t>
      </w:r>
      <w:r w:rsidR="00E65346">
        <w:rPr>
          <w:rFonts w:ascii="Courier New" w:hAnsi="Courier New" w:cs="Courier New"/>
          <w:sz w:val="24"/>
          <w:szCs w:val="24"/>
        </w:rPr>
        <w:t>He noted that there has been very limited retail vacancy in the subject property’s immediate area, an</w:t>
      </w:r>
      <w:r w:rsidR="006724FE">
        <w:rPr>
          <w:rFonts w:ascii="Courier New" w:hAnsi="Courier New" w:cs="Courier New"/>
          <w:sz w:val="24"/>
          <w:szCs w:val="24"/>
        </w:rPr>
        <w:t>d at the Galleria itself</w:t>
      </w:r>
      <w:r w:rsidR="00E65346">
        <w:rPr>
          <w:rFonts w:ascii="Courier New" w:hAnsi="Courier New" w:cs="Courier New"/>
          <w:sz w:val="24"/>
          <w:szCs w:val="24"/>
        </w:rPr>
        <w:t xml:space="preserve">, which had just a single in-line vacancy at the time he inspected it in 2016.  </w:t>
      </w:r>
      <w:r w:rsidR="00384BB2">
        <w:rPr>
          <w:rFonts w:ascii="Courier New" w:hAnsi="Courier New" w:cs="Courier New"/>
          <w:sz w:val="24"/>
          <w:szCs w:val="24"/>
        </w:rPr>
        <w:t xml:space="preserve">Published retail vacancy levels in the inner suburbs of Boston, which is the subject property’s market area, for stores between 100,000 to 200,000 square feet were similarly low, ranging from 1.1% in 2013 to 2.3% in 2015.  </w:t>
      </w:r>
      <w:r w:rsidR="009C6266">
        <w:rPr>
          <w:rFonts w:ascii="Courier New" w:hAnsi="Courier New" w:cs="Courier New"/>
          <w:sz w:val="24"/>
          <w:szCs w:val="24"/>
        </w:rPr>
        <w:t xml:space="preserve">Nevertheless, Mr. Logue opined that a prudent buyer would factor in a moderate amount of vacancy and credit loss, so he ultimately selected a stabilized vacancy and credit loss amount of 3.0%.  </w:t>
      </w:r>
      <w:r w:rsidR="00612A75">
        <w:rPr>
          <w:rFonts w:ascii="Courier New" w:hAnsi="Courier New" w:cs="Courier New"/>
          <w:sz w:val="24"/>
          <w:szCs w:val="24"/>
        </w:rPr>
        <w:t xml:space="preserve">Applying that rate to the </w:t>
      </w:r>
      <w:r w:rsidR="00B46929">
        <w:rPr>
          <w:rFonts w:ascii="Courier New" w:hAnsi="Courier New" w:cs="Courier New"/>
          <w:sz w:val="24"/>
          <w:szCs w:val="24"/>
        </w:rPr>
        <w:t>potential</w:t>
      </w:r>
      <w:r w:rsidR="00266CDE">
        <w:rPr>
          <w:rFonts w:ascii="Courier New" w:hAnsi="Courier New" w:cs="Courier New"/>
          <w:sz w:val="24"/>
          <w:szCs w:val="24"/>
        </w:rPr>
        <w:t xml:space="preserve"> gross income resulted in an effective gross income</w:t>
      </w:r>
      <w:r w:rsidR="00B46929">
        <w:rPr>
          <w:rFonts w:ascii="Courier New" w:hAnsi="Courier New" w:cs="Courier New"/>
          <w:sz w:val="24"/>
          <w:szCs w:val="24"/>
        </w:rPr>
        <w:t xml:space="preserve"> for the subject property of </w:t>
      </w:r>
      <w:r w:rsidR="00266CDE">
        <w:rPr>
          <w:rFonts w:ascii="Courier New" w:hAnsi="Courier New" w:cs="Courier New"/>
          <w:sz w:val="24"/>
          <w:szCs w:val="24"/>
        </w:rPr>
        <w:t xml:space="preserve">$818,670. </w:t>
      </w:r>
    </w:p>
    <w:p w:rsidR="00836C0D" w:rsidRDefault="00C729F7" w:rsidP="00836C0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Because Mr. Logue assumed a triple-net lease for the subject property, he did not factor in operating expenses, other than a management fee and replacement reserves.  For a management fee, he used 3</w:t>
      </w:r>
      <w:r w:rsidR="00AE6D3D">
        <w:rPr>
          <w:rFonts w:ascii="Courier New" w:hAnsi="Courier New" w:cs="Courier New"/>
          <w:sz w:val="24"/>
          <w:szCs w:val="24"/>
        </w:rPr>
        <w:t>.0</w:t>
      </w:r>
      <w:r>
        <w:rPr>
          <w:rFonts w:ascii="Courier New" w:hAnsi="Courier New" w:cs="Courier New"/>
          <w:sz w:val="24"/>
          <w:szCs w:val="24"/>
        </w:rPr>
        <w:t xml:space="preserve">% of effective gross income, which was based on typical rates for comparable properties in the market.  </w:t>
      </w:r>
      <w:r w:rsidR="00E40F84">
        <w:rPr>
          <w:rFonts w:ascii="Courier New" w:hAnsi="Courier New" w:cs="Courier New"/>
          <w:sz w:val="24"/>
          <w:szCs w:val="24"/>
        </w:rPr>
        <w:t xml:space="preserve">For replacement reserves, Mr. Logue consulted market sources, such as the PWC Real Estate Investor Survey, which indicated a range of $0.20-$0.50 for replacement reserves nationally at regional malls.  After taking into consideration </w:t>
      </w:r>
      <w:r w:rsidR="00E40F84">
        <w:rPr>
          <w:rFonts w:ascii="Courier New" w:hAnsi="Courier New" w:cs="Courier New"/>
          <w:sz w:val="24"/>
          <w:szCs w:val="24"/>
        </w:rPr>
        <w:lastRenderedPageBreak/>
        <w:t xml:space="preserve">the age and condition of the subject </w:t>
      </w:r>
      <w:r w:rsidR="00836C0D">
        <w:rPr>
          <w:rFonts w:ascii="Courier New" w:hAnsi="Courier New" w:cs="Courier New"/>
          <w:sz w:val="24"/>
          <w:szCs w:val="24"/>
        </w:rPr>
        <w:t>property, Mr. Logue concluded that $0.40 per square foot was an appropriate rate for replacement reserves.  Deducting those expenses from his effective</w:t>
      </w:r>
      <w:r w:rsidR="00476362">
        <w:rPr>
          <w:rFonts w:ascii="Courier New" w:hAnsi="Courier New" w:cs="Courier New"/>
          <w:sz w:val="24"/>
          <w:szCs w:val="24"/>
        </w:rPr>
        <w:t xml:space="preserve"> gross income resulted in a net </w:t>
      </w:r>
      <w:r w:rsidR="00836C0D">
        <w:rPr>
          <w:rFonts w:ascii="Courier New" w:hAnsi="Courier New" w:cs="Courier New"/>
          <w:sz w:val="24"/>
          <w:szCs w:val="24"/>
        </w:rPr>
        <w:t>operating income of $745,882 for the subject property for each of the fiscal years at issue.</w:t>
      </w:r>
    </w:p>
    <w:p w:rsidR="00063EBD" w:rsidRDefault="00836C0D" w:rsidP="00063EB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last component to be determined in his income-capitalization analysis was an appropriate capitalization rate.  </w:t>
      </w:r>
      <w:r w:rsidR="00AF37C4">
        <w:rPr>
          <w:rFonts w:ascii="Courier New" w:hAnsi="Courier New" w:cs="Courier New"/>
          <w:sz w:val="24"/>
          <w:szCs w:val="24"/>
        </w:rPr>
        <w:t>Mr. Logue used</w:t>
      </w:r>
      <w:r w:rsidR="008D649B">
        <w:rPr>
          <w:rFonts w:ascii="Courier New" w:hAnsi="Courier New" w:cs="Courier New"/>
          <w:sz w:val="24"/>
          <w:szCs w:val="24"/>
        </w:rPr>
        <w:t xml:space="preserve"> various approaches and sources to determine appropriate rates, beginning with the b</w:t>
      </w:r>
      <w:r w:rsidR="00063EBD">
        <w:rPr>
          <w:rFonts w:ascii="Courier New" w:hAnsi="Courier New" w:cs="Courier New"/>
          <w:sz w:val="24"/>
          <w:szCs w:val="24"/>
        </w:rPr>
        <w:t>and-of-investment techniqu</w:t>
      </w:r>
      <w:r w:rsidR="0072043C">
        <w:rPr>
          <w:rFonts w:ascii="Courier New" w:hAnsi="Courier New" w:cs="Courier New"/>
          <w:sz w:val="24"/>
          <w:szCs w:val="24"/>
        </w:rPr>
        <w:t xml:space="preserve">e.  Mr. Logue consulted several </w:t>
      </w:r>
      <w:r w:rsidR="00063EBD">
        <w:rPr>
          <w:rFonts w:ascii="Courier New" w:hAnsi="Courier New" w:cs="Courier New"/>
          <w:sz w:val="24"/>
          <w:szCs w:val="24"/>
        </w:rPr>
        <w:t>sources, including industry surveys, capital markets firms, and large commercial lenders to determine appropriate inputs for the calculation of both his mortgage and equity components.  His band-of-investment technique ultimately yielded the following indicat</w:t>
      </w:r>
      <w:r w:rsidR="00A268B1">
        <w:rPr>
          <w:rFonts w:ascii="Courier New" w:hAnsi="Courier New" w:cs="Courier New"/>
          <w:sz w:val="24"/>
          <w:szCs w:val="24"/>
        </w:rPr>
        <w:t xml:space="preserve">ed capitalization rates for </w:t>
      </w:r>
      <w:r w:rsidR="00063EBD">
        <w:rPr>
          <w:rFonts w:ascii="Courier New" w:hAnsi="Courier New" w:cs="Courier New"/>
          <w:sz w:val="24"/>
          <w:szCs w:val="24"/>
        </w:rPr>
        <w:t>each of the fiscal years at issue: 7.0% for fiscal year 20</w:t>
      </w:r>
      <w:r w:rsidR="00A268B1">
        <w:rPr>
          <w:rFonts w:ascii="Courier New" w:hAnsi="Courier New" w:cs="Courier New"/>
          <w:sz w:val="24"/>
          <w:szCs w:val="24"/>
        </w:rPr>
        <w:t xml:space="preserve">13; </w:t>
      </w:r>
      <w:r w:rsidR="00476362">
        <w:rPr>
          <w:rFonts w:ascii="Courier New" w:hAnsi="Courier New" w:cs="Courier New"/>
          <w:sz w:val="24"/>
          <w:szCs w:val="24"/>
        </w:rPr>
        <w:t xml:space="preserve">6.75% for </w:t>
      </w:r>
      <w:r w:rsidR="00A268B1">
        <w:rPr>
          <w:rFonts w:ascii="Courier New" w:hAnsi="Courier New" w:cs="Courier New"/>
          <w:sz w:val="24"/>
          <w:szCs w:val="24"/>
        </w:rPr>
        <w:t>fiscal year 2014; 7.25% for fiscal year 2015</w:t>
      </w:r>
      <w:r w:rsidR="00CA3CD5">
        <w:rPr>
          <w:rFonts w:ascii="Courier New" w:hAnsi="Courier New" w:cs="Courier New"/>
          <w:sz w:val="24"/>
          <w:szCs w:val="24"/>
        </w:rPr>
        <w:t>;</w:t>
      </w:r>
      <w:r w:rsidR="00A268B1">
        <w:rPr>
          <w:rFonts w:ascii="Courier New" w:hAnsi="Courier New" w:cs="Courier New"/>
          <w:sz w:val="24"/>
          <w:szCs w:val="24"/>
        </w:rPr>
        <w:t xml:space="preserve"> and 6.75% for fiscal year 2016.</w:t>
      </w:r>
    </w:p>
    <w:p w:rsidR="001E27ED" w:rsidRDefault="0072043C" w:rsidP="004E1220">
      <w:pPr>
        <w:spacing w:line="480" w:lineRule="auto"/>
        <w:ind w:firstLine="720"/>
        <w:jc w:val="both"/>
        <w:rPr>
          <w:rFonts w:ascii="Courier New" w:hAnsi="Courier New" w:cs="Courier New"/>
          <w:sz w:val="24"/>
          <w:szCs w:val="24"/>
        </w:rPr>
      </w:pPr>
      <w:r>
        <w:rPr>
          <w:rFonts w:ascii="Courier New" w:hAnsi="Courier New" w:cs="Courier New"/>
          <w:sz w:val="24"/>
          <w:szCs w:val="24"/>
        </w:rPr>
        <w:t>Mr. Logue additionally consulted published investor surveys in considering appropriate capitalization rates.  The PWC Real Estate Investor Survey published average rates for institutio</w:t>
      </w:r>
      <w:r w:rsidR="00AF7288">
        <w:rPr>
          <w:rFonts w:ascii="Courier New" w:hAnsi="Courier New" w:cs="Courier New"/>
          <w:sz w:val="24"/>
          <w:szCs w:val="24"/>
        </w:rPr>
        <w:t>nal-grade and non-institutional-</w:t>
      </w:r>
      <w:r>
        <w:rPr>
          <w:rFonts w:ascii="Courier New" w:hAnsi="Courier New" w:cs="Courier New"/>
          <w:sz w:val="24"/>
          <w:szCs w:val="24"/>
        </w:rPr>
        <w:t>grade regional malls for the first quarter of each year relevant to these appeals. Those average rates are contained in the following table:</w:t>
      </w:r>
    </w:p>
    <w:tbl>
      <w:tblPr>
        <w:tblStyle w:val="TableGrid"/>
        <w:tblW w:w="0" w:type="auto"/>
        <w:jc w:val="center"/>
        <w:tblLook w:val="04A0" w:firstRow="1" w:lastRow="0" w:firstColumn="1" w:lastColumn="0" w:noHBand="0" w:noVBand="1"/>
      </w:tblPr>
      <w:tblGrid>
        <w:gridCol w:w="1440"/>
        <w:gridCol w:w="2340"/>
        <w:gridCol w:w="2430"/>
      </w:tblGrid>
      <w:tr w:rsidR="001E27ED" w:rsidTr="00CA3CD5">
        <w:trPr>
          <w:jc w:val="center"/>
        </w:trPr>
        <w:tc>
          <w:tcPr>
            <w:tcW w:w="1440" w:type="dxa"/>
          </w:tcPr>
          <w:p w:rsidR="00CA3CD5" w:rsidRPr="001E27ED" w:rsidRDefault="00AD0E2E" w:rsidP="00CA3CD5">
            <w:pPr>
              <w:jc w:val="center"/>
              <w:rPr>
                <w:rFonts w:ascii="Courier New" w:hAnsi="Courier New" w:cs="Courier New"/>
                <w:b/>
                <w:sz w:val="20"/>
                <w:szCs w:val="20"/>
              </w:rPr>
            </w:pPr>
            <w:r>
              <w:rPr>
                <w:rFonts w:ascii="Courier New" w:hAnsi="Courier New" w:cs="Courier New"/>
                <w:b/>
                <w:sz w:val="20"/>
                <w:szCs w:val="20"/>
              </w:rPr>
              <w:lastRenderedPageBreak/>
              <w:t>Year</w:t>
            </w:r>
          </w:p>
          <w:p w:rsidR="001E27ED" w:rsidRPr="001E27ED" w:rsidRDefault="001E27ED" w:rsidP="00CB0950">
            <w:pPr>
              <w:jc w:val="center"/>
              <w:rPr>
                <w:rFonts w:ascii="Courier New" w:hAnsi="Courier New" w:cs="Courier New"/>
                <w:b/>
                <w:sz w:val="20"/>
                <w:szCs w:val="20"/>
              </w:rPr>
            </w:pPr>
          </w:p>
        </w:tc>
        <w:tc>
          <w:tcPr>
            <w:tcW w:w="2340" w:type="dxa"/>
          </w:tcPr>
          <w:p w:rsidR="00C07C29" w:rsidRDefault="00C07C29" w:rsidP="00CB0950">
            <w:pPr>
              <w:jc w:val="center"/>
              <w:rPr>
                <w:rFonts w:ascii="Courier New" w:hAnsi="Courier New" w:cs="Courier New"/>
                <w:b/>
                <w:sz w:val="20"/>
                <w:szCs w:val="20"/>
              </w:rPr>
            </w:pPr>
            <w:r>
              <w:rPr>
                <w:rFonts w:ascii="Courier New" w:hAnsi="Courier New" w:cs="Courier New"/>
                <w:b/>
                <w:sz w:val="20"/>
                <w:szCs w:val="20"/>
              </w:rPr>
              <w:t xml:space="preserve">Institutional </w:t>
            </w:r>
          </w:p>
          <w:p w:rsidR="001E27ED" w:rsidRPr="001E27ED" w:rsidRDefault="00C07C29" w:rsidP="00CB0950">
            <w:pPr>
              <w:jc w:val="center"/>
              <w:rPr>
                <w:rFonts w:ascii="Courier New" w:hAnsi="Courier New" w:cs="Courier New"/>
                <w:b/>
                <w:sz w:val="20"/>
                <w:szCs w:val="20"/>
              </w:rPr>
            </w:pPr>
            <w:r>
              <w:rPr>
                <w:rFonts w:ascii="Courier New" w:hAnsi="Courier New" w:cs="Courier New"/>
                <w:b/>
                <w:sz w:val="20"/>
                <w:szCs w:val="20"/>
              </w:rPr>
              <w:t>Grade Avg.</w:t>
            </w:r>
            <w:r w:rsidR="001E27ED" w:rsidRPr="001E27ED">
              <w:rPr>
                <w:rFonts w:ascii="Courier New" w:hAnsi="Courier New" w:cs="Courier New"/>
                <w:b/>
                <w:sz w:val="20"/>
                <w:szCs w:val="20"/>
              </w:rPr>
              <w:t xml:space="preserve"> Rate</w:t>
            </w:r>
          </w:p>
        </w:tc>
        <w:tc>
          <w:tcPr>
            <w:tcW w:w="2430" w:type="dxa"/>
          </w:tcPr>
          <w:p w:rsidR="001E27ED" w:rsidRPr="001E27ED" w:rsidRDefault="00C07C29" w:rsidP="00CB0950">
            <w:pPr>
              <w:jc w:val="center"/>
              <w:rPr>
                <w:rFonts w:ascii="Courier New" w:hAnsi="Courier New" w:cs="Courier New"/>
                <w:b/>
                <w:sz w:val="20"/>
                <w:szCs w:val="20"/>
              </w:rPr>
            </w:pPr>
            <w:r>
              <w:rPr>
                <w:rFonts w:ascii="Courier New" w:hAnsi="Courier New" w:cs="Courier New"/>
                <w:b/>
                <w:sz w:val="20"/>
                <w:szCs w:val="20"/>
              </w:rPr>
              <w:t>Non-Institutional Grade Avg.</w:t>
            </w:r>
            <w:r w:rsidR="001E27ED" w:rsidRPr="001E27ED">
              <w:rPr>
                <w:rFonts w:ascii="Courier New" w:hAnsi="Courier New" w:cs="Courier New"/>
                <w:b/>
                <w:sz w:val="20"/>
                <w:szCs w:val="20"/>
              </w:rPr>
              <w:t xml:space="preserve"> Rate</w:t>
            </w:r>
          </w:p>
        </w:tc>
      </w:tr>
      <w:tr w:rsidR="001E27ED" w:rsidTr="00CA3CD5">
        <w:trPr>
          <w:jc w:val="center"/>
        </w:trPr>
        <w:tc>
          <w:tcPr>
            <w:tcW w:w="1440" w:type="dxa"/>
          </w:tcPr>
          <w:p w:rsidR="001E27ED" w:rsidRPr="00E22049" w:rsidRDefault="00CA3CD5" w:rsidP="00CB0950">
            <w:pPr>
              <w:jc w:val="center"/>
              <w:rPr>
                <w:rFonts w:ascii="Courier New" w:hAnsi="Courier New" w:cs="Courier New"/>
                <w:sz w:val="20"/>
                <w:szCs w:val="20"/>
              </w:rPr>
            </w:pPr>
            <w:r>
              <w:rPr>
                <w:rFonts w:ascii="Courier New" w:hAnsi="Courier New" w:cs="Courier New"/>
                <w:sz w:val="20"/>
                <w:szCs w:val="20"/>
              </w:rPr>
              <w:t>1</w:t>
            </w:r>
            <w:r w:rsidRPr="00CA3CD5">
              <w:rPr>
                <w:rFonts w:ascii="Courier New" w:hAnsi="Courier New" w:cs="Courier New"/>
                <w:sz w:val="20"/>
                <w:szCs w:val="20"/>
                <w:vertAlign w:val="superscript"/>
              </w:rPr>
              <w:t>st</w:t>
            </w:r>
            <w:r>
              <w:rPr>
                <w:rFonts w:ascii="Courier New" w:hAnsi="Courier New" w:cs="Courier New"/>
                <w:sz w:val="20"/>
                <w:szCs w:val="20"/>
              </w:rPr>
              <w:t xml:space="preserve"> Q </w:t>
            </w:r>
            <w:r w:rsidR="00AD0E2E" w:rsidRPr="00E22049">
              <w:rPr>
                <w:rFonts w:ascii="Courier New" w:hAnsi="Courier New" w:cs="Courier New"/>
                <w:sz w:val="20"/>
                <w:szCs w:val="20"/>
              </w:rPr>
              <w:t>2012</w:t>
            </w:r>
          </w:p>
        </w:tc>
        <w:tc>
          <w:tcPr>
            <w:tcW w:w="2340" w:type="dxa"/>
          </w:tcPr>
          <w:p w:rsidR="001E27ED" w:rsidRPr="00E22049" w:rsidRDefault="00AD0E2E" w:rsidP="00CB0950">
            <w:pPr>
              <w:jc w:val="center"/>
              <w:rPr>
                <w:rFonts w:ascii="Courier New" w:hAnsi="Courier New" w:cs="Courier New"/>
                <w:sz w:val="20"/>
                <w:szCs w:val="20"/>
              </w:rPr>
            </w:pPr>
            <w:r w:rsidRPr="00E22049">
              <w:rPr>
                <w:rFonts w:ascii="Courier New" w:hAnsi="Courier New" w:cs="Courier New"/>
                <w:sz w:val="20"/>
                <w:szCs w:val="20"/>
              </w:rPr>
              <w:t>7.23%</w:t>
            </w:r>
          </w:p>
        </w:tc>
        <w:tc>
          <w:tcPr>
            <w:tcW w:w="2430" w:type="dxa"/>
          </w:tcPr>
          <w:p w:rsidR="001E27ED" w:rsidRPr="00E22049" w:rsidRDefault="00AD0E2E" w:rsidP="00CB0950">
            <w:pPr>
              <w:jc w:val="center"/>
              <w:rPr>
                <w:rFonts w:ascii="Courier New" w:hAnsi="Courier New" w:cs="Courier New"/>
                <w:sz w:val="20"/>
                <w:szCs w:val="20"/>
              </w:rPr>
            </w:pPr>
            <w:r w:rsidRPr="00E22049">
              <w:rPr>
                <w:rFonts w:ascii="Courier New" w:hAnsi="Courier New" w:cs="Courier New"/>
                <w:sz w:val="20"/>
                <w:szCs w:val="20"/>
              </w:rPr>
              <w:t>10.02%</w:t>
            </w:r>
          </w:p>
        </w:tc>
      </w:tr>
      <w:tr w:rsidR="001E27ED" w:rsidTr="00CA3CD5">
        <w:trPr>
          <w:jc w:val="center"/>
        </w:trPr>
        <w:tc>
          <w:tcPr>
            <w:tcW w:w="1440" w:type="dxa"/>
          </w:tcPr>
          <w:p w:rsidR="001E27ED" w:rsidRPr="00E22049" w:rsidRDefault="00CA3CD5" w:rsidP="00CA3CD5">
            <w:pPr>
              <w:jc w:val="center"/>
              <w:rPr>
                <w:rFonts w:ascii="Courier New" w:hAnsi="Courier New" w:cs="Courier New"/>
                <w:sz w:val="20"/>
                <w:szCs w:val="20"/>
              </w:rPr>
            </w:pPr>
            <w:r>
              <w:rPr>
                <w:rFonts w:ascii="Courier New" w:hAnsi="Courier New" w:cs="Courier New"/>
                <w:sz w:val="20"/>
                <w:szCs w:val="20"/>
              </w:rPr>
              <w:t>1</w:t>
            </w:r>
            <w:r w:rsidRPr="00CA3CD5">
              <w:rPr>
                <w:rFonts w:ascii="Courier New" w:hAnsi="Courier New" w:cs="Courier New"/>
                <w:sz w:val="20"/>
                <w:szCs w:val="20"/>
                <w:vertAlign w:val="superscript"/>
              </w:rPr>
              <w:t>st</w:t>
            </w:r>
            <w:r>
              <w:rPr>
                <w:rFonts w:ascii="Courier New" w:hAnsi="Courier New" w:cs="Courier New"/>
                <w:sz w:val="20"/>
                <w:szCs w:val="20"/>
              </w:rPr>
              <w:t xml:space="preserve"> Q </w:t>
            </w:r>
            <w:r w:rsidR="00AD0E2E" w:rsidRPr="00E22049">
              <w:rPr>
                <w:rFonts w:ascii="Courier New" w:hAnsi="Courier New" w:cs="Courier New"/>
                <w:sz w:val="20"/>
                <w:szCs w:val="20"/>
              </w:rPr>
              <w:t>2013</w:t>
            </w:r>
          </w:p>
        </w:tc>
        <w:tc>
          <w:tcPr>
            <w:tcW w:w="2340" w:type="dxa"/>
          </w:tcPr>
          <w:p w:rsidR="001E27ED" w:rsidRPr="00E22049" w:rsidRDefault="00AD0E2E" w:rsidP="00CB0950">
            <w:pPr>
              <w:jc w:val="center"/>
              <w:rPr>
                <w:rFonts w:ascii="Courier New" w:hAnsi="Courier New" w:cs="Courier New"/>
                <w:sz w:val="20"/>
                <w:szCs w:val="20"/>
              </w:rPr>
            </w:pPr>
            <w:r w:rsidRPr="00E22049">
              <w:rPr>
                <w:rFonts w:ascii="Courier New" w:hAnsi="Courier New" w:cs="Courier New"/>
                <w:sz w:val="20"/>
                <w:szCs w:val="20"/>
              </w:rPr>
              <w:t>6.92%</w:t>
            </w:r>
          </w:p>
        </w:tc>
        <w:tc>
          <w:tcPr>
            <w:tcW w:w="2430" w:type="dxa"/>
          </w:tcPr>
          <w:p w:rsidR="001E27ED" w:rsidRPr="00E22049" w:rsidRDefault="006724FE" w:rsidP="00CB0950">
            <w:pPr>
              <w:jc w:val="center"/>
              <w:rPr>
                <w:rFonts w:ascii="Courier New" w:hAnsi="Courier New" w:cs="Courier New"/>
                <w:sz w:val="20"/>
                <w:szCs w:val="20"/>
              </w:rPr>
            </w:pPr>
            <w:r>
              <w:rPr>
                <w:rFonts w:ascii="Courier New" w:hAnsi="Courier New" w:cs="Courier New"/>
                <w:sz w:val="20"/>
                <w:szCs w:val="20"/>
              </w:rPr>
              <w:t xml:space="preserve"> </w:t>
            </w:r>
            <w:r w:rsidR="00AD0E2E" w:rsidRPr="00E22049">
              <w:rPr>
                <w:rFonts w:ascii="Courier New" w:hAnsi="Courier New" w:cs="Courier New"/>
                <w:sz w:val="20"/>
                <w:szCs w:val="20"/>
              </w:rPr>
              <w:t>9.33%</w:t>
            </w:r>
          </w:p>
        </w:tc>
      </w:tr>
      <w:tr w:rsidR="001E27ED" w:rsidTr="00CA3CD5">
        <w:trPr>
          <w:jc w:val="center"/>
        </w:trPr>
        <w:tc>
          <w:tcPr>
            <w:tcW w:w="1440" w:type="dxa"/>
          </w:tcPr>
          <w:p w:rsidR="001E27ED" w:rsidRPr="00E22049" w:rsidRDefault="00CA3CD5" w:rsidP="00CB0950">
            <w:pPr>
              <w:jc w:val="center"/>
              <w:rPr>
                <w:rFonts w:ascii="Courier New" w:hAnsi="Courier New" w:cs="Courier New"/>
                <w:sz w:val="20"/>
                <w:szCs w:val="20"/>
              </w:rPr>
            </w:pPr>
            <w:r>
              <w:rPr>
                <w:rFonts w:ascii="Courier New" w:hAnsi="Courier New" w:cs="Courier New"/>
                <w:sz w:val="20"/>
                <w:szCs w:val="20"/>
              </w:rPr>
              <w:t>1</w:t>
            </w:r>
            <w:r w:rsidRPr="00CA3CD5">
              <w:rPr>
                <w:rFonts w:ascii="Courier New" w:hAnsi="Courier New" w:cs="Courier New"/>
                <w:sz w:val="20"/>
                <w:szCs w:val="20"/>
                <w:vertAlign w:val="superscript"/>
              </w:rPr>
              <w:t>st</w:t>
            </w:r>
            <w:r>
              <w:rPr>
                <w:rFonts w:ascii="Courier New" w:hAnsi="Courier New" w:cs="Courier New"/>
                <w:sz w:val="20"/>
                <w:szCs w:val="20"/>
              </w:rPr>
              <w:t xml:space="preserve"> Q </w:t>
            </w:r>
            <w:r w:rsidR="00AD0E2E" w:rsidRPr="00E22049">
              <w:rPr>
                <w:rFonts w:ascii="Courier New" w:hAnsi="Courier New" w:cs="Courier New"/>
                <w:sz w:val="20"/>
                <w:szCs w:val="20"/>
              </w:rPr>
              <w:t>2014</w:t>
            </w:r>
          </w:p>
        </w:tc>
        <w:tc>
          <w:tcPr>
            <w:tcW w:w="2340" w:type="dxa"/>
          </w:tcPr>
          <w:p w:rsidR="001E27ED" w:rsidRPr="00E22049" w:rsidRDefault="00AD0E2E" w:rsidP="00CB0950">
            <w:pPr>
              <w:jc w:val="center"/>
              <w:rPr>
                <w:rFonts w:ascii="Courier New" w:hAnsi="Courier New" w:cs="Courier New"/>
                <w:sz w:val="20"/>
                <w:szCs w:val="20"/>
              </w:rPr>
            </w:pPr>
            <w:r w:rsidRPr="00E22049">
              <w:rPr>
                <w:rFonts w:ascii="Courier New" w:hAnsi="Courier New" w:cs="Courier New"/>
                <w:sz w:val="20"/>
                <w:szCs w:val="20"/>
              </w:rPr>
              <w:t>6.56%</w:t>
            </w:r>
          </w:p>
        </w:tc>
        <w:tc>
          <w:tcPr>
            <w:tcW w:w="2430" w:type="dxa"/>
          </w:tcPr>
          <w:p w:rsidR="001E27ED" w:rsidRPr="00E22049" w:rsidRDefault="006724FE" w:rsidP="00CB0950">
            <w:pPr>
              <w:jc w:val="center"/>
              <w:rPr>
                <w:rFonts w:ascii="Courier New" w:hAnsi="Courier New" w:cs="Courier New"/>
                <w:sz w:val="20"/>
                <w:szCs w:val="20"/>
              </w:rPr>
            </w:pPr>
            <w:r>
              <w:rPr>
                <w:rFonts w:ascii="Courier New" w:hAnsi="Courier New" w:cs="Courier New"/>
                <w:sz w:val="20"/>
                <w:szCs w:val="20"/>
              </w:rPr>
              <w:t xml:space="preserve"> </w:t>
            </w:r>
            <w:r w:rsidR="00AD0E2E" w:rsidRPr="00E22049">
              <w:rPr>
                <w:rFonts w:ascii="Courier New" w:hAnsi="Courier New" w:cs="Courier New"/>
                <w:sz w:val="20"/>
                <w:szCs w:val="20"/>
              </w:rPr>
              <w:t>7.10%</w:t>
            </w:r>
          </w:p>
        </w:tc>
      </w:tr>
      <w:tr w:rsidR="001E27ED" w:rsidTr="00CA3CD5">
        <w:trPr>
          <w:trHeight w:val="152"/>
          <w:jc w:val="center"/>
        </w:trPr>
        <w:tc>
          <w:tcPr>
            <w:tcW w:w="1440" w:type="dxa"/>
          </w:tcPr>
          <w:p w:rsidR="001E27ED" w:rsidRPr="00E22049" w:rsidRDefault="00CA3CD5" w:rsidP="00CB0950">
            <w:pPr>
              <w:jc w:val="center"/>
              <w:rPr>
                <w:rFonts w:ascii="Courier New" w:hAnsi="Courier New" w:cs="Courier New"/>
                <w:sz w:val="20"/>
                <w:szCs w:val="20"/>
              </w:rPr>
            </w:pPr>
            <w:r>
              <w:rPr>
                <w:rFonts w:ascii="Courier New" w:hAnsi="Courier New" w:cs="Courier New"/>
                <w:sz w:val="20"/>
                <w:szCs w:val="20"/>
              </w:rPr>
              <w:t>1</w:t>
            </w:r>
            <w:r w:rsidRPr="00CA3CD5">
              <w:rPr>
                <w:rFonts w:ascii="Courier New" w:hAnsi="Courier New" w:cs="Courier New"/>
                <w:sz w:val="20"/>
                <w:szCs w:val="20"/>
                <w:vertAlign w:val="superscript"/>
              </w:rPr>
              <w:t>st</w:t>
            </w:r>
            <w:r>
              <w:rPr>
                <w:rFonts w:ascii="Courier New" w:hAnsi="Courier New" w:cs="Courier New"/>
                <w:sz w:val="20"/>
                <w:szCs w:val="20"/>
              </w:rPr>
              <w:t xml:space="preserve"> Q </w:t>
            </w:r>
            <w:r w:rsidR="00AD0E2E" w:rsidRPr="00E22049">
              <w:rPr>
                <w:rFonts w:ascii="Courier New" w:hAnsi="Courier New" w:cs="Courier New"/>
                <w:sz w:val="20"/>
                <w:szCs w:val="20"/>
              </w:rPr>
              <w:t>2015</w:t>
            </w:r>
          </w:p>
        </w:tc>
        <w:tc>
          <w:tcPr>
            <w:tcW w:w="2340" w:type="dxa"/>
          </w:tcPr>
          <w:p w:rsidR="001E27ED" w:rsidRPr="00E22049" w:rsidRDefault="00AD0E2E" w:rsidP="00CB0950">
            <w:pPr>
              <w:jc w:val="center"/>
              <w:rPr>
                <w:rFonts w:ascii="Courier New" w:hAnsi="Courier New" w:cs="Courier New"/>
                <w:sz w:val="20"/>
                <w:szCs w:val="20"/>
              </w:rPr>
            </w:pPr>
            <w:r w:rsidRPr="00E22049">
              <w:rPr>
                <w:rFonts w:ascii="Courier New" w:hAnsi="Courier New" w:cs="Courier New"/>
                <w:sz w:val="20"/>
                <w:szCs w:val="20"/>
              </w:rPr>
              <w:t>6.38%</w:t>
            </w:r>
          </w:p>
        </w:tc>
        <w:tc>
          <w:tcPr>
            <w:tcW w:w="2430" w:type="dxa"/>
          </w:tcPr>
          <w:p w:rsidR="001E27ED" w:rsidRPr="00E22049" w:rsidRDefault="006724FE" w:rsidP="00CB0950">
            <w:pPr>
              <w:jc w:val="center"/>
              <w:rPr>
                <w:rFonts w:ascii="Courier New" w:hAnsi="Courier New" w:cs="Courier New"/>
                <w:sz w:val="20"/>
                <w:szCs w:val="20"/>
              </w:rPr>
            </w:pPr>
            <w:r>
              <w:rPr>
                <w:rFonts w:ascii="Courier New" w:hAnsi="Courier New" w:cs="Courier New"/>
                <w:sz w:val="20"/>
                <w:szCs w:val="20"/>
              </w:rPr>
              <w:t xml:space="preserve"> </w:t>
            </w:r>
            <w:r w:rsidR="00AD0E2E" w:rsidRPr="00E22049">
              <w:rPr>
                <w:rFonts w:ascii="Courier New" w:hAnsi="Courier New" w:cs="Courier New"/>
                <w:sz w:val="20"/>
                <w:szCs w:val="20"/>
              </w:rPr>
              <w:t>9.01%</w:t>
            </w:r>
          </w:p>
        </w:tc>
      </w:tr>
    </w:tbl>
    <w:p w:rsidR="0072043C" w:rsidRDefault="0072043C" w:rsidP="001E27ED">
      <w:pPr>
        <w:spacing w:line="240" w:lineRule="auto"/>
        <w:ind w:firstLine="720"/>
        <w:jc w:val="both"/>
        <w:rPr>
          <w:rFonts w:ascii="Courier New" w:hAnsi="Courier New" w:cs="Courier New"/>
          <w:sz w:val="24"/>
          <w:szCs w:val="24"/>
        </w:rPr>
      </w:pPr>
    </w:p>
    <w:p w:rsidR="00CA3CD5" w:rsidRPr="00CB0950" w:rsidRDefault="009A05A7" w:rsidP="00CA3CD5">
      <w:pPr>
        <w:spacing w:after="0" w:line="480" w:lineRule="auto"/>
        <w:ind w:firstLine="720"/>
        <w:contextualSpacing/>
        <w:jc w:val="both"/>
        <w:rPr>
          <w:rFonts w:ascii="Courier New" w:hAnsi="Courier New" w:cs="Courier New"/>
          <w:sz w:val="24"/>
          <w:szCs w:val="24"/>
        </w:rPr>
      </w:pPr>
      <w:r>
        <w:rPr>
          <w:rFonts w:ascii="Courier New" w:hAnsi="Courier New" w:cs="Courier New"/>
          <w:sz w:val="24"/>
          <w:szCs w:val="24"/>
        </w:rPr>
        <w:t>Mr. Logue also reviewed information published in the PWC Real Estate Investor Survey</w:t>
      </w:r>
      <w:r w:rsidR="00D37E62">
        <w:rPr>
          <w:rFonts w:ascii="Courier New" w:hAnsi="Courier New" w:cs="Courier New"/>
          <w:sz w:val="24"/>
          <w:szCs w:val="24"/>
        </w:rPr>
        <w:t xml:space="preserve"> for national regional malls by mall grade. Those average capitalization rates, by grade and year, are set forth in the following table:</w:t>
      </w:r>
      <w:r w:rsidR="00CA3CD5" w:rsidRPr="00CB0950">
        <w:rPr>
          <w:rFonts w:ascii="Courier New" w:hAnsi="Courier New" w:cs="Courier New"/>
          <w:sz w:val="24"/>
          <w:szCs w:val="24"/>
        </w:rPr>
        <w:t xml:space="preserve"> </w:t>
      </w:r>
    </w:p>
    <w:tbl>
      <w:tblPr>
        <w:tblStyle w:val="TableGrid"/>
        <w:tblW w:w="0" w:type="auto"/>
        <w:tblInd w:w="828" w:type="dxa"/>
        <w:tblLook w:val="04A0" w:firstRow="1" w:lastRow="0" w:firstColumn="1" w:lastColumn="0" w:noHBand="0" w:noVBand="1"/>
      </w:tblPr>
      <w:tblGrid>
        <w:gridCol w:w="1013"/>
        <w:gridCol w:w="1687"/>
        <w:gridCol w:w="1800"/>
        <w:gridCol w:w="1863"/>
        <w:gridCol w:w="1512"/>
      </w:tblGrid>
      <w:tr w:rsidR="006A03DD" w:rsidRPr="001E27ED" w:rsidTr="00126DA3">
        <w:tc>
          <w:tcPr>
            <w:tcW w:w="1013" w:type="dxa"/>
          </w:tcPr>
          <w:p w:rsidR="006A03DD" w:rsidRPr="001E27ED" w:rsidRDefault="006A03DD" w:rsidP="00126DA3">
            <w:pPr>
              <w:contextualSpacing/>
              <w:jc w:val="center"/>
              <w:rPr>
                <w:rFonts w:ascii="Courier New" w:hAnsi="Courier New" w:cs="Courier New"/>
                <w:b/>
                <w:sz w:val="20"/>
                <w:szCs w:val="20"/>
              </w:rPr>
            </w:pPr>
            <w:r>
              <w:rPr>
                <w:rFonts w:ascii="Courier New" w:hAnsi="Courier New" w:cs="Courier New"/>
                <w:b/>
                <w:sz w:val="20"/>
                <w:szCs w:val="20"/>
              </w:rPr>
              <w:t>Mall Grade</w:t>
            </w:r>
          </w:p>
        </w:tc>
        <w:tc>
          <w:tcPr>
            <w:tcW w:w="1687" w:type="dxa"/>
          </w:tcPr>
          <w:p w:rsidR="006A03DD" w:rsidRPr="001E27ED" w:rsidRDefault="006A03DD" w:rsidP="00126DA3">
            <w:pPr>
              <w:contextualSpacing/>
              <w:jc w:val="center"/>
              <w:rPr>
                <w:rFonts w:ascii="Courier New" w:hAnsi="Courier New" w:cs="Courier New"/>
                <w:b/>
                <w:sz w:val="20"/>
                <w:szCs w:val="20"/>
              </w:rPr>
            </w:pPr>
            <w:r>
              <w:rPr>
                <w:rFonts w:ascii="Courier New" w:hAnsi="Courier New" w:cs="Courier New"/>
                <w:b/>
                <w:sz w:val="20"/>
                <w:szCs w:val="20"/>
              </w:rPr>
              <w:t>Avg. Rate- 1</w:t>
            </w:r>
            <w:r w:rsidRPr="006A03DD">
              <w:rPr>
                <w:rFonts w:ascii="Courier New" w:hAnsi="Courier New" w:cs="Courier New"/>
                <w:b/>
                <w:sz w:val="20"/>
                <w:szCs w:val="20"/>
                <w:vertAlign w:val="superscript"/>
              </w:rPr>
              <w:t>st</w:t>
            </w:r>
            <w:r>
              <w:rPr>
                <w:rFonts w:ascii="Courier New" w:hAnsi="Courier New" w:cs="Courier New"/>
                <w:b/>
                <w:sz w:val="20"/>
                <w:szCs w:val="20"/>
              </w:rPr>
              <w:t xml:space="preserve"> Q 2012</w:t>
            </w:r>
          </w:p>
        </w:tc>
        <w:tc>
          <w:tcPr>
            <w:tcW w:w="1800" w:type="dxa"/>
          </w:tcPr>
          <w:p w:rsidR="006A03DD" w:rsidRPr="001E27ED" w:rsidRDefault="006A03DD" w:rsidP="00126DA3">
            <w:pPr>
              <w:contextualSpacing/>
              <w:jc w:val="center"/>
              <w:rPr>
                <w:rFonts w:ascii="Courier New" w:hAnsi="Courier New" w:cs="Courier New"/>
                <w:b/>
                <w:sz w:val="20"/>
                <w:szCs w:val="20"/>
              </w:rPr>
            </w:pPr>
            <w:r>
              <w:rPr>
                <w:rFonts w:ascii="Courier New" w:hAnsi="Courier New" w:cs="Courier New"/>
                <w:b/>
                <w:sz w:val="20"/>
                <w:szCs w:val="20"/>
              </w:rPr>
              <w:t>Avg. Rate- 1</w:t>
            </w:r>
            <w:r w:rsidRPr="006A03DD">
              <w:rPr>
                <w:rFonts w:ascii="Courier New" w:hAnsi="Courier New" w:cs="Courier New"/>
                <w:b/>
                <w:sz w:val="20"/>
                <w:szCs w:val="20"/>
                <w:vertAlign w:val="superscript"/>
              </w:rPr>
              <w:t>st</w:t>
            </w:r>
            <w:r>
              <w:rPr>
                <w:rFonts w:ascii="Courier New" w:hAnsi="Courier New" w:cs="Courier New"/>
                <w:b/>
                <w:sz w:val="20"/>
                <w:szCs w:val="20"/>
              </w:rPr>
              <w:t xml:space="preserve"> Q 2013</w:t>
            </w:r>
          </w:p>
        </w:tc>
        <w:tc>
          <w:tcPr>
            <w:tcW w:w="1863" w:type="dxa"/>
          </w:tcPr>
          <w:p w:rsidR="00423CF5" w:rsidRDefault="006A03DD" w:rsidP="00126DA3">
            <w:pPr>
              <w:contextualSpacing/>
              <w:jc w:val="center"/>
              <w:rPr>
                <w:rFonts w:ascii="Courier New" w:hAnsi="Courier New" w:cs="Courier New"/>
                <w:b/>
                <w:sz w:val="20"/>
                <w:szCs w:val="20"/>
              </w:rPr>
            </w:pPr>
            <w:r>
              <w:rPr>
                <w:rFonts w:ascii="Courier New" w:hAnsi="Courier New" w:cs="Courier New"/>
                <w:b/>
                <w:sz w:val="20"/>
                <w:szCs w:val="20"/>
              </w:rPr>
              <w:t>Avg. Rate-</w:t>
            </w:r>
          </w:p>
          <w:p w:rsidR="006A03DD" w:rsidRDefault="006A03DD" w:rsidP="00126DA3">
            <w:pPr>
              <w:contextualSpacing/>
              <w:jc w:val="center"/>
              <w:rPr>
                <w:rFonts w:ascii="Courier New" w:hAnsi="Courier New" w:cs="Courier New"/>
                <w:b/>
                <w:sz w:val="20"/>
                <w:szCs w:val="20"/>
              </w:rPr>
            </w:pPr>
            <w:r>
              <w:rPr>
                <w:rFonts w:ascii="Courier New" w:hAnsi="Courier New" w:cs="Courier New"/>
                <w:b/>
                <w:sz w:val="20"/>
                <w:szCs w:val="20"/>
              </w:rPr>
              <w:t>1</w:t>
            </w:r>
            <w:r w:rsidRPr="006A03DD">
              <w:rPr>
                <w:rFonts w:ascii="Courier New" w:hAnsi="Courier New" w:cs="Courier New"/>
                <w:b/>
                <w:sz w:val="20"/>
                <w:szCs w:val="20"/>
                <w:vertAlign w:val="superscript"/>
              </w:rPr>
              <w:t>st</w:t>
            </w:r>
            <w:r>
              <w:rPr>
                <w:rFonts w:ascii="Courier New" w:hAnsi="Courier New" w:cs="Courier New"/>
                <w:b/>
                <w:sz w:val="20"/>
                <w:szCs w:val="20"/>
              </w:rPr>
              <w:t xml:space="preserve"> Q 2014</w:t>
            </w:r>
          </w:p>
        </w:tc>
        <w:tc>
          <w:tcPr>
            <w:tcW w:w="1512" w:type="dxa"/>
          </w:tcPr>
          <w:p w:rsidR="006A03DD" w:rsidRDefault="006A03DD" w:rsidP="00126DA3">
            <w:pPr>
              <w:contextualSpacing/>
              <w:jc w:val="center"/>
              <w:rPr>
                <w:rFonts w:ascii="Courier New" w:hAnsi="Courier New" w:cs="Courier New"/>
                <w:b/>
                <w:sz w:val="20"/>
                <w:szCs w:val="20"/>
              </w:rPr>
            </w:pPr>
            <w:r>
              <w:rPr>
                <w:rFonts w:ascii="Courier New" w:hAnsi="Courier New" w:cs="Courier New"/>
                <w:b/>
                <w:sz w:val="20"/>
                <w:szCs w:val="20"/>
              </w:rPr>
              <w:t>Avg. Rate- 1</w:t>
            </w:r>
            <w:r w:rsidRPr="006A03DD">
              <w:rPr>
                <w:rFonts w:ascii="Courier New" w:hAnsi="Courier New" w:cs="Courier New"/>
                <w:b/>
                <w:sz w:val="20"/>
                <w:szCs w:val="20"/>
                <w:vertAlign w:val="superscript"/>
              </w:rPr>
              <w:t>st</w:t>
            </w:r>
            <w:r>
              <w:rPr>
                <w:rFonts w:ascii="Courier New" w:hAnsi="Courier New" w:cs="Courier New"/>
                <w:b/>
                <w:sz w:val="20"/>
                <w:szCs w:val="20"/>
              </w:rPr>
              <w:t xml:space="preserve"> Q 2015</w:t>
            </w:r>
          </w:p>
        </w:tc>
      </w:tr>
      <w:tr w:rsidR="006A03DD" w:rsidRPr="00E22049" w:rsidTr="00126DA3">
        <w:tc>
          <w:tcPr>
            <w:tcW w:w="1013" w:type="dxa"/>
          </w:tcPr>
          <w:p w:rsidR="006A03DD" w:rsidRPr="00E22049" w:rsidRDefault="00AF7288" w:rsidP="00AF7288">
            <w:pPr>
              <w:contextualSpacing/>
              <w:rPr>
                <w:rFonts w:ascii="Courier New" w:hAnsi="Courier New" w:cs="Courier New"/>
                <w:sz w:val="20"/>
                <w:szCs w:val="20"/>
              </w:rPr>
            </w:pPr>
            <w:r>
              <w:rPr>
                <w:rFonts w:ascii="Courier New" w:hAnsi="Courier New" w:cs="Courier New"/>
                <w:sz w:val="20"/>
                <w:szCs w:val="20"/>
              </w:rPr>
              <w:t xml:space="preserve">  </w:t>
            </w:r>
            <w:r w:rsidR="00B00E1A">
              <w:rPr>
                <w:rFonts w:ascii="Courier New" w:hAnsi="Courier New" w:cs="Courier New"/>
                <w:sz w:val="20"/>
                <w:szCs w:val="20"/>
              </w:rPr>
              <w:t>A+</w:t>
            </w:r>
          </w:p>
        </w:tc>
        <w:tc>
          <w:tcPr>
            <w:tcW w:w="1687"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6.03</w:t>
            </w:r>
            <w:r w:rsidR="00CA3CD5">
              <w:rPr>
                <w:rFonts w:ascii="Courier New" w:hAnsi="Courier New" w:cs="Courier New"/>
                <w:sz w:val="20"/>
                <w:szCs w:val="20"/>
              </w:rPr>
              <w:t>%</w:t>
            </w:r>
          </w:p>
        </w:tc>
        <w:tc>
          <w:tcPr>
            <w:tcW w:w="1800"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5.58</w:t>
            </w:r>
            <w:r w:rsidR="00CA3CD5">
              <w:rPr>
                <w:rFonts w:ascii="Courier New" w:hAnsi="Courier New" w:cs="Courier New"/>
                <w:sz w:val="20"/>
                <w:szCs w:val="20"/>
              </w:rPr>
              <w:t>%</w:t>
            </w:r>
          </w:p>
        </w:tc>
        <w:tc>
          <w:tcPr>
            <w:tcW w:w="1863"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5.54</w:t>
            </w:r>
            <w:r w:rsidR="00CA3CD5">
              <w:rPr>
                <w:rFonts w:ascii="Courier New" w:hAnsi="Courier New" w:cs="Courier New"/>
                <w:sz w:val="20"/>
                <w:szCs w:val="20"/>
              </w:rPr>
              <w:t>%</w:t>
            </w:r>
          </w:p>
        </w:tc>
        <w:tc>
          <w:tcPr>
            <w:tcW w:w="1512"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4.88</w:t>
            </w:r>
            <w:r w:rsidR="00CA3CD5">
              <w:rPr>
                <w:rFonts w:ascii="Courier New" w:hAnsi="Courier New" w:cs="Courier New"/>
                <w:sz w:val="20"/>
                <w:szCs w:val="20"/>
              </w:rPr>
              <w:t>%</w:t>
            </w:r>
          </w:p>
        </w:tc>
      </w:tr>
      <w:tr w:rsidR="006A03DD" w:rsidRPr="00E22049" w:rsidTr="00126DA3">
        <w:tc>
          <w:tcPr>
            <w:tcW w:w="1013" w:type="dxa"/>
          </w:tcPr>
          <w:p w:rsidR="006A03DD" w:rsidRPr="00E22049" w:rsidRDefault="001A7128" w:rsidP="001A7128">
            <w:pPr>
              <w:contextualSpacing/>
              <w:rPr>
                <w:rFonts w:ascii="Courier New" w:hAnsi="Courier New" w:cs="Courier New"/>
                <w:sz w:val="20"/>
                <w:szCs w:val="20"/>
              </w:rPr>
            </w:pPr>
            <w:r>
              <w:rPr>
                <w:rFonts w:ascii="Courier New" w:hAnsi="Courier New" w:cs="Courier New"/>
                <w:sz w:val="20"/>
                <w:szCs w:val="20"/>
              </w:rPr>
              <w:t xml:space="preserve">  </w:t>
            </w:r>
            <w:r w:rsidR="00912A5B">
              <w:rPr>
                <w:rFonts w:ascii="Courier New" w:hAnsi="Courier New" w:cs="Courier New"/>
                <w:sz w:val="20"/>
                <w:szCs w:val="20"/>
              </w:rPr>
              <w:t>A</w:t>
            </w:r>
          </w:p>
        </w:tc>
        <w:tc>
          <w:tcPr>
            <w:tcW w:w="1687"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6.88</w:t>
            </w:r>
            <w:r w:rsidR="00CA3CD5">
              <w:rPr>
                <w:rFonts w:ascii="Courier New" w:hAnsi="Courier New" w:cs="Courier New"/>
                <w:sz w:val="20"/>
                <w:szCs w:val="20"/>
              </w:rPr>
              <w:t>%</w:t>
            </w:r>
          </w:p>
        </w:tc>
        <w:tc>
          <w:tcPr>
            <w:tcW w:w="1800"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6.27</w:t>
            </w:r>
            <w:r w:rsidR="00CA3CD5">
              <w:rPr>
                <w:rFonts w:ascii="Courier New" w:hAnsi="Courier New" w:cs="Courier New"/>
                <w:sz w:val="20"/>
                <w:szCs w:val="20"/>
              </w:rPr>
              <w:t>%</w:t>
            </w:r>
          </w:p>
        </w:tc>
        <w:tc>
          <w:tcPr>
            <w:tcW w:w="1863" w:type="dxa"/>
          </w:tcPr>
          <w:p w:rsidR="006A03DD" w:rsidRDefault="00423CF5" w:rsidP="00126DA3">
            <w:pPr>
              <w:contextualSpacing/>
              <w:jc w:val="center"/>
              <w:rPr>
                <w:rFonts w:ascii="Courier New" w:hAnsi="Courier New" w:cs="Courier New"/>
                <w:sz w:val="20"/>
                <w:szCs w:val="20"/>
              </w:rPr>
            </w:pPr>
            <w:r>
              <w:rPr>
                <w:rFonts w:ascii="Courier New" w:hAnsi="Courier New" w:cs="Courier New"/>
                <w:sz w:val="20"/>
                <w:szCs w:val="20"/>
              </w:rPr>
              <w:t>5.92</w:t>
            </w:r>
            <w:r w:rsidR="00CA3CD5">
              <w:rPr>
                <w:rFonts w:ascii="Courier New" w:hAnsi="Courier New" w:cs="Courier New"/>
                <w:sz w:val="20"/>
                <w:szCs w:val="20"/>
              </w:rPr>
              <w:t>%</w:t>
            </w:r>
          </w:p>
        </w:tc>
        <w:tc>
          <w:tcPr>
            <w:tcW w:w="1512" w:type="dxa"/>
          </w:tcPr>
          <w:p w:rsidR="006A03DD" w:rsidRDefault="00423CF5" w:rsidP="00126DA3">
            <w:pPr>
              <w:contextualSpacing/>
              <w:jc w:val="center"/>
              <w:rPr>
                <w:rFonts w:ascii="Courier New" w:hAnsi="Courier New" w:cs="Courier New"/>
                <w:sz w:val="20"/>
                <w:szCs w:val="20"/>
              </w:rPr>
            </w:pPr>
            <w:r>
              <w:rPr>
                <w:rFonts w:ascii="Courier New" w:hAnsi="Courier New" w:cs="Courier New"/>
                <w:sz w:val="20"/>
                <w:szCs w:val="20"/>
              </w:rPr>
              <w:t>5.40</w:t>
            </w:r>
            <w:r w:rsidR="00CA3CD5">
              <w:rPr>
                <w:rFonts w:ascii="Courier New" w:hAnsi="Courier New" w:cs="Courier New"/>
                <w:sz w:val="20"/>
                <w:szCs w:val="20"/>
              </w:rPr>
              <w:t>%</w:t>
            </w:r>
          </w:p>
        </w:tc>
      </w:tr>
      <w:tr w:rsidR="006A03DD" w:rsidRPr="00E22049" w:rsidTr="00126DA3">
        <w:tc>
          <w:tcPr>
            <w:tcW w:w="1013" w:type="dxa"/>
          </w:tcPr>
          <w:p w:rsidR="006A03DD" w:rsidRPr="00E22049" w:rsidRDefault="00AF7288" w:rsidP="00AF7288">
            <w:pPr>
              <w:contextualSpacing/>
              <w:rPr>
                <w:rFonts w:ascii="Courier New" w:hAnsi="Courier New" w:cs="Courier New"/>
                <w:sz w:val="20"/>
                <w:szCs w:val="20"/>
              </w:rPr>
            </w:pPr>
            <w:r>
              <w:rPr>
                <w:rFonts w:ascii="Courier New" w:hAnsi="Courier New" w:cs="Courier New"/>
                <w:sz w:val="20"/>
                <w:szCs w:val="20"/>
              </w:rPr>
              <w:t xml:space="preserve">  </w:t>
            </w:r>
            <w:r w:rsidR="00B00E1A">
              <w:rPr>
                <w:rFonts w:ascii="Courier New" w:hAnsi="Courier New" w:cs="Courier New"/>
                <w:sz w:val="20"/>
                <w:szCs w:val="20"/>
              </w:rPr>
              <w:t>B+</w:t>
            </w:r>
          </w:p>
        </w:tc>
        <w:tc>
          <w:tcPr>
            <w:tcW w:w="1687"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7.75</w:t>
            </w:r>
            <w:r w:rsidR="00CA3CD5">
              <w:rPr>
                <w:rFonts w:ascii="Courier New" w:hAnsi="Courier New" w:cs="Courier New"/>
                <w:sz w:val="20"/>
                <w:szCs w:val="20"/>
              </w:rPr>
              <w:t>%</w:t>
            </w:r>
          </w:p>
        </w:tc>
        <w:tc>
          <w:tcPr>
            <w:tcW w:w="1800"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7.08</w:t>
            </w:r>
            <w:r w:rsidR="00CA3CD5">
              <w:rPr>
                <w:rFonts w:ascii="Courier New" w:hAnsi="Courier New" w:cs="Courier New"/>
                <w:sz w:val="20"/>
                <w:szCs w:val="20"/>
              </w:rPr>
              <w:t>%</w:t>
            </w:r>
          </w:p>
        </w:tc>
        <w:tc>
          <w:tcPr>
            <w:tcW w:w="1863"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6.83</w:t>
            </w:r>
            <w:r w:rsidR="00CA3CD5">
              <w:rPr>
                <w:rFonts w:ascii="Courier New" w:hAnsi="Courier New" w:cs="Courier New"/>
                <w:sz w:val="20"/>
                <w:szCs w:val="20"/>
              </w:rPr>
              <w:t>%</w:t>
            </w:r>
          </w:p>
        </w:tc>
        <w:tc>
          <w:tcPr>
            <w:tcW w:w="1512" w:type="dxa"/>
          </w:tcPr>
          <w:p w:rsidR="006A03DD" w:rsidRPr="00E22049" w:rsidRDefault="00423CF5" w:rsidP="00126DA3">
            <w:pPr>
              <w:contextualSpacing/>
              <w:jc w:val="center"/>
              <w:rPr>
                <w:rFonts w:ascii="Courier New" w:hAnsi="Courier New" w:cs="Courier New"/>
                <w:sz w:val="20"/>
                <w:szCs w:val="20"/>
              </w:rPr>
            </w:pPr>
            <w:r>
              <w:rPr>
                <w:rFonts w:ascii="Courier New" w:hAnsi="Courier New" w:cs="Courier New"/>
                <w:sz w:val="20"/>
                <w:szCs w:val="20"/>
              </w:rPr>
              <w:t>6.33</w:t>
            </w:r>
            <w:r w:rsidR="00CA3CD5">
              <w:rPr>
                <w:rFonts w:ascii="Courier New" w:hAnsi="Courier New" w:cs="Courier New"/>
                <w:sz w:val="20"/>
                <w:szCs w:val="20"/>
              </w:rPr>
              <w:t>%</w:t>
            </w:r>
          </w:p>
        </w:tc>
      </w:tr>
    </w:tbl>
    <w:p w:rsidR="009B4EFA" w:rsidRDefault="009B4EFA" w:rsidP="009B4EFA">
      <w:pPr>
        <w:spacing w:line="480" w:lineRule="auto"/>
        <w:contextualSpacing/>
        <w:jc w:val="both"/>
        <w:rPr>
          <w:rFonts w:ascii="Courier New" w:hAnsi="Courier New" w:cs="Courier New"/>
          <w:sz w:val="24"/>
          <w:szCs w:val="24"/>
        </w:rPr>
      </w:pPr>
    </w:p>
    <w:p w:rsidR="009B4EFA" w:rsidRDefault="009B4EFA" w:rsidP="009B4EFA">
      <w:pPr>
        <w:spacing w:line="480" w:lineRule="auto"/>
        <w:contextualSpacing/>
        <w:jc w:val="both"/>
        <w:rPr>
          <w:rFonts w:ascii="Courier New" w:hAnsi="Courier New" w:cs="Courier New"/>
          <w:sz w:val="24"/>
          <w:szCs w:val="24"/>
        </w:rPr>
      </w:pPr>
      <w:r>
        <w:rPr>
          <w:rFonts w:ascii="Courier New" w:hAnsi="Courier New" w:cs="Courier New"/>
          <w:sz w:val="24"/>
          <w:szCs w:val="24"/>
        </w:rPr>
        <w:t>It was Mr. Logue’s opinion that the Galleria is a grade B+/A- mall, by virtue of its location, age, design, amenities</w:t>
      </w:r>
      <w:r w:rsidR="00AF7288">
        <w:rPr>
          <w:rFonts w:ascii="Courier New" w:hAnsi="Courier New" w:cs="Courier New"/>
          <w:sz w:val="24"/>
          <w:szCs w:val="24"/>
        </w:rPr>
        <w:t>,</w:t>
      </w:r>
      <w:r>
        <w:rPr>
          <w:rFonts w:ascii="Courier New" w:hAnsi="Courier New" w:cs="Courier New"/>
          <w:sz w:val="24"/>
          <w:szCs w:val="24"/>
        </w:rPr>
        <w:t xml:space="preserve"> and tenant mix.  </w:t>
      </w:r>
    </w:p>
    <w:p w:rsidR="00BE3A68" w:rsidRDefault="007746D0" w:rsidP="009B4EFA">
      <w:pPr>
        <w:spacing w:line="480" w:lineRule="auto"/>
        <w:contextualSpacing/>
        <w:jc w:val="both"/>
        <w:rPr>
          <w:rFonts w:ascii="Courier New" w:hAnsi="Courier New" w:cs="Courier New"/>
          <w:sz w:val="24"/>
          <w:szCs w:val="24"/>
        </w:rPr>
      </w:pPr>
      <w:r>
        <w:rPr>
          <w:rFonts w:ascii="Courier New" w:hAnsi="Courier New" w:cs="Courier New"/>
          <w:sz w:val="24"/>
          <w:szCs w:val="24"/>
        </w:rPr>
        <w:tab/>
        <w:t>After considering all of this information, including the published average capitalization rates and his band-of-investment technique, Mr. Logue ultimately determined the following capitalization rates for the fiscal years at issue: 7.0% for fiscal years 2013 and 2</w:t>
      </w:r>
      <w:r w:rsidR="00AF7288">
        <w:rPr>
          <w:rFonts w:ascii="Courier New" w:hAnsi="Courier New" w:cs="Courier New"/>
          <w:sz w:val="24"/>
          <w:szCs w:val="24"/>
        </w:rPr>
        <w:t>014; 6.75% for fiscal year 2015;</w:t>
      </w:r>
      <w:r>
        <w:rPr>
          <w:rFonts w:ascii="Courier New" w:hAnsi="Courier New" w:cs="Courier New"/>
          <w:sz w:val="24"/>
          <w:szCs w:val="24"/>
        </w:rPr>
        <w:t xml:space="preserve"> and 6.5% for fiscal year 2016.  </w:t>
      </w:r>
      <w:r w:rsidR="00BE3A68">
        <w:rPr>
          <w:rFonts w:ascii="Courier New" w:hAnsi="Courier New" w:cs="Courier New"/>
          <w:sz w:val="24"/>
          <w:szCs w:val="24"/>
        </w:rPr>
        <w:t xml:space="preserve">After </w:t>
      </w:r>
      <w:r w:rsidR="0072298C">
        <w:rPr>
          <w:rFonts w:ascii="Courier New" w:hAnsi="Courier New" w:cs="Courier New"/>
          <w:sz w:val="24"/>
          <w:szCs w:val="24"/>
        </w:rPr>
        <w:t xml:space="preserve">applying those rates to his net </w:t>
      </w:r>
      <w:r w:rsidR="00BE3A68">
        <w:rPr>
          <w:rFonts w:ascii="Courier New" w:hAnsi="Courier New" w:cs="Courier New"/>
          <w:sz w:val="24"/>
          <w:szCs w:val="24"/>
        </w:rPr>
        <w:t>operating inc</w:t>
      </w:r>
      <w:r w:rsidR="00C86AAC">
        <w:rPr>
          <w:rFonts w:ascii="Courier New" w:hAnsi="Courier New" w:cs="Courier New"/>
          <w:sz w:val="24"/>
          <w:szCs w:val="24"/>
        </w:rPr>
        <w:t xml:space="preserve">omes, Mr. Logue’s final estimates of the subject property’s </w:t>
      </w:r>
      <w:r w:rsidR="0072298C">
        <w:rPr>
          <w:rFonts w:ascii="Courier New" w:hAnsi="Courier New" w:cs="Courier New"/>
          <w:sz w:val="24"/>
          <w:szCs w:val="24"/>
        </w:rPr>
        <w:t xml:space="preserve">fair cash </w:t>
      </w:r>
      <w:r w:rsidR="00BE3A68">
        <w:rPr>
          <w:rFonts w:ascii="Courier New" w:hAnsi="Courier New" w:cs="Courier New"/>
          <w:sz w:val="24"/>
          <w:szCs w:val="24"/>
        </w:rPr>
        <w:t xml:space="preserve">value, rounded, were as follows: $10,700,000 for fiscal years 2013 and 2014; $11,100,000 for fiscal year 2015; and $11,500,000 for fiscal year 2016.  </w:t>
      </w:r>
    </w:p>
    <w:p w:rsidR="00C36D0F" w:rsidRDefault="00C36D0F" w:rsidP="00BB1530">
      <w:pPr>
        <w:spacing w:line="480" w:lineRule="auto"/>
        <w:ind w:firstLine="720"/>
        <w:contextualSpacing/>
        <w:jc w:val="both"/>
        <w:rPr>
          <w:rFonts w:ascii="Courier New" w:hAnsi="Courier New" w:cs="Courier New"/>
          <w:b/>
          <w:sz w:val="24"/>
          <w:szCs w:val="24"/>
        </w:rPr>
      </w:pPr>
      <w:r w:rsidRPr="00C36D0F">
        <w:rPr>
          <w:rFonts w:ascii="Courier New" w:hAnsi="Courier New" w:cs="Courier New"/>
          <w:b/>
          <w:sz w:val="24"/>
          <w:szCs w:val="24"/>
        </w:rPr>
        <w:lastRenderedPageBreak/>
        <w:t xml:space="preserve">III. The Assessors’ </w:t>
      </w:r>
      <w:r w:rsidR="00AF1146">
        <w:rPr>
          <w:rFonts w:ascii="Courier New" w:hAnsi="Courier New" w:cs="Courier New"/>
          <w:b/>
          <w:sz w:val="24"/>
          <w:szCs w:val="24"/>
        </w:rPr>
        <w:t>Case</w:t>
      </w:r>
    </w:p>
    <w:p w:rsidR="00FE0D84" w:rsidRDefault="00FE0D84" w:rsidP="009B4EFA">
      <w:pPr>
        <w:spacing w:line="480" w:lineRule="auto"/>
        <w:contextualSpacing/>
        <w:jc w:val="both"/>
        <w:rPr>
          <w:rFonts w:ascii="Courier New" w:hAnsi="Courier New" w:cs="Courier New"/>
          <w:sz w:val="24"/>
          <w:szCs w:val="24"/>
        </w:rPr>
      </w:pPr>
      <w:r>
        <w:rPr>
          <w:rFonts w:ascii="Courier New" w:hAnsi="Courier New" w:cs="Courier New"/>
          <w:b/>
          <w:sz w:val="24"/>
          <w:szCs w:val="24"/>
        </w:rPr>
        <w:tab/>
      </w:r>
      <w:r w:rsidR="00A354DF">
        <w:rPr>
          <w:rFonts w:ascii="Courier New" w:hAnsi="Courier New" w:cs="Courier New"/>
          <w:sz w:val="24"/>
          <w:szCs w:val="24"/>
        </w:rPr>
        <w:t xml:space="preserve">The assessors did not present affirmative valuation evidence of their own, but instead presented two witnesses to demonstrate the errors and shortcomings in Mr. Logue’s income-capitalization analysis.  The first witness was Ted </w:t>
      </w:r>
      <w:proofErr w:type="spellStart"/>
      <w:r w:rsidR="00A354DF">
        <w:rPr>
          <w:rFonts w:ascii="Courier New" w:hAnsi="Courier New" w:cs="Courier New"/>
          <w:sz w:val="24"/>
          <w:szCs w:val="24"/>
        </w:rPr>
        <w:t>Whitmer</w:t>
      </w:r>
      <w:proofErr w:type="spellEnd"/>
      <w:r w:rsidR="00A354DF">
        <w:rPr>
          <w:rFonts w:ascii="Courier New" w:hAnsi="Courier New" w:cs="Courier New"/>
          <w:sz w:val="24"/>
          <w:szCs w:val="24"/>
        </w:rPr>
        <w:t>, who is a licensed appraiser in seven sta</w:t>
      </w:r>
      <w:r w:rsidR="00B53DBA">
        <w:rPr>
          <w:rFonts w:ascii="Courier New" w:hAnsi="Courier New" w:cs="Courier New"/>
          <w:sz w:val="24"/>
          <w:szCs w:val="24"/>
        </w:rPr>
        <w:t>tes and an MAI</w:t>
      </w:r>
      <w:r w:rsidR="00A354DF">
        <w:rPr>
          <w:rFonts w:ascii="Courier New" w:hAnsi="Courier New" w:cs="Courier New"/>
          <w:sz w:val="24"/>
          <w:szCs w:val="24"/>
        </w:rPr>
        <w:t xml:space="preserve">.  Mr. </w:t>
      </w:r>
      <w:proofErr w:type="spellStart"/>
      <w:r w:rsidR="00A354DF">
        <w:rPr>
          <w:rFonts w:ascii="Courier New" w:hAnsi="Courier New" w:cs="Courier New"/>
          <w:sz w:val="24"/>
          <w:szCs w:val="24"/>
        </w:rPr>
        <w:t>Whitmer</w:t>
      </w:r>
      <w:proofErr w:type="spellEnd"/>
      <w:r w:rsidR="00A354DF">
        <w:rPr>
          <w:rFonts w:ascii="Courier New" w:hAnsi="Courier New" w:cs="Courier New"/>
          <w:sz w:val="24"/>
          <w:szCs w:val="24"/>
        </w:rPr>
        <w:t xml:space="preserve"> is certified by the Appraisal Institute to teach Uniform Standards of Professional Appraisal Practice (“USPAP”) and to perform review appraisals, and the Board qualified him as </w:t>
      </w:r>
      <w:r w:rsidR="00BB1530">
        <w:rPr>
          <w:rFonts w:ascii="Courier New" w:hAnsi="Courier New" w:cs="Courier New"/>
          <w:sz w:val="24"/>
          <w:szCs w:val="24"/>
        </w:rPr>
        <w:t xml:space="preserve">an </w:t>
      </w:r>
      <w:r w:rsidR="00A354DF">
        <w:rPr>
          <w:rFonts w:ascii="Courier New" w:hAnsi="Courier New" w:cs="Courier New"/>
          <w:sz w:val="24"/>
          <w:szCs w:val="24"/>
        </w:rPr>
        <w:t xml:space="preserve">expert in </w:t>
      </w:r>
      <w:r w:rsidR="00B53DBA">
        <w:rPr>
          <w:rFonts w:ascii="Courier New" w:hAnsi="Courier New" w:cs="Courier New"/>
          <w:sz w:val="24"/>
          <w:szCs w:val="24"/>
        </w:rPr>
        <w:t>appraisal and review appraisal.</w:t>
      </w:r>
    </w:p>
    <w:p w:rsidR="00AE7D5D" w:rsidRDefault="00063FFC" w:rsidP="00AE7D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w:t>
      </w:r>
      <w:proofErr w:type="spellStart"/>
      <w:r>
        <w:rPr>
          <w:rFonts w:ascii="Courier New" w:hAnsi="Courier New" w:cs="Courier New"/>
          <w:sz w:val="24"/>
          <w:szCs w:val="24"/>
        </w:rPr>
        <w:t>Whitmer</w:t>
      </w:r>
      <w:proofErr w:type="spellEnd"/>
      <w:r>
        <w:rPr>
          <w:rFonts w:ascii="Courier New" w:hAnsi="Courier New" w:cs="Courier New"/>
          <w:sz w:val="24"/>
          <w:szCs w:val="24"/>
        </w:rPr>
        <w:t xml:space="preserve"> conducted a review appraisal of </w:t>
      </w:r>
      <w:r w:rsidR="00D769E2">
        <w:rPr>
          <w:rFonts w:ascii="Courier New" w:hAnsi="Courier New" w:cs="Courier New"/>
          <w:sz w:val="24"/>
          <w:szCs w:val="24"/>
        </w:rPr>
        <w:t xml:space="preserve">Mr. Logue’s appraisal. A review appraisal does not </w:t>
      </w:r>
      <w:r w:rsidR="00E86227">
        <w:rPr>
          <w:rFonts w:ascii="Courier New" w:hAnsi="Courier New" w:cs="Courier New"/>
          <w:sz w:val="24"/>
          <w:szCs w:val="24"/>
        </w:rPr>
        <w:t xml:space="preserve">always </w:t>
      </w:r>
      <w:r w:rsidR="00D769E2">
        <w:rPr>
          <w:rFonts w:ascii="Courier New" w:hAnsi="Courier New" w:cs="Courier New"/>
          <w:sz w:val="24"/>
          <w:szCs w:val="24"/>
        </w:rPr>
        <w:t xml:space="preserve">culminate in an independent opinion of value, but instead </w:t>
      </w:r>
      <w:r w:rsidR="00DA20F7">
        <w:rPr>
          <w:rFonts w:ascii="Courier New" w:hAnsi="Courier New" w:cs="Courier New"/>
          <w:sz w:val="24"/>
          <w:szCs w:val="24"/>
        </w:rPr>
        <w:t xml:space="preserve">analyzes an appraisal to determine whether the opinions and conclusions therein are supported and credible. </w:t>
      </w:r>
      <w:r w:rsidR="00E86227">
        <w:rPr>
          <w:rFonts w:ascii="Courier New" w:hAnsi="Courier New" w:cs="Courier New"/>
          <w:sz w:val="24"/>
          <w:szCs w:val="24"/>
        </w:rPr>
        <w:t>To prepare for his review appraisal, Mr.</w:t>
      </w:r>
      <w:r w:rsidR="00183708">
        <w:rPr>
          <w:rFonts w:ascii="Courier New" w:hAnsi="Courier New" w:cs="Courier New"/>
          <w:sz w:val="24"/>
          <w:szCs w:val="24"/>
        </w:rPr>
        <w:t> </w:t>
      </w:r>
      <w:proofErr w:type="spellStart"/>
      <w:r w:rsidR="00E86227">
        <w:rPr>
          <w:rFonts w:ascii="Courier New" w:hAnsi="Courier New" w:cs="Courier New"/>
          <w:sz w:val="24"/>
          <w:szCs w:val="24"/>
        </w:rPr>
        <w:t>Whitmer</w:t>
      </w:r>
      <w:proofErr w:type="spellEnd"/>
      <w:r w:rsidR="00E86227">
        <w:rPr>
          <w:rFonts w:ascii="Courier New" w:hAnsi="Courier New" w:cs="Courier New"/>
          <w:sz w:val="24"/>
          <w:szCs w:val="24"/>
        </w:rPr>
        <w:t xml:space="preserve"> inspected the subjec</w:t>
      </w:r>
      <w:r w:rsidR="00F4228E">
        <w:rPr>
          <w:rFonts w:ascii="Courier New" w:hAnsi="Courier New" w:cs="Courier New"/>
          <w:sz w:val="24"/>
          <w:szCs w:val="24"/>
        </w:rPr>
        <w:t xml:space="preserve">t property </w:t>
      </w:r>
      <w:r w:rsidR="00E94E69">
        <w:rPr>
          <w:rFonts w:ascii="Courier New" w:hAnsi="Courier New" w:cs="Courier New"/>
          <w:sz w:val="24"/>
          <w:szCs w:val="24"/>
        </w:rPr>
        <w:t xml:space="preserve">as well as the comparison </w:t>
      </w:r>
      <w:r w:rsidR="00F4228E">
        <w:rPr>
          <w:rFonts w:ascii="Courier New" w:hAnsi="Courier New" w:cs="Courier New"/>
          <w:sz w:val="24"/>
          <w:szCs w:val="24"/>
        </w:rPr>
        <w:t xml:space="preserve">properties </w:t>
      </w:r>
      <w:r w:rsidR="00E86227">
        <w:rPr>
          <w:rFonts w:ascii="Courier New" w:hAnsi="Courier New" w:cs="Courier New"/>
          <w:sz w:val="24"/>
          <w:szCs w:val="24"/>
        </w:rPr>
        <w:t>used by Mr. Logue.</w:t>
      </w:r>
    </w:p>
    <w:p w:rsidR="00E86227" w:rsidRDefault="00426DFA" w:rsidP="00AE7D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w:t>
      </w:r>
      <w:proofErr w:type="spellStart"/>
      <w:r>
        <w:rPr>
          <w:rFonts w:ascii="Courier New" w:hAnsi="Courier New" w:cs="Courier New"/>
          <w:sz w:val="24"/>
          <w:szCs w:val="24"/>
        </w:rPr>
        <w:t>Whitme</w:t>
      </w:r>
      <w:r w:rsidR="00E94E69">
        <w:rPr>
          <w:rFonts w:ascii="Courier New" w:hAnsi="Courier New" w:cs="Courier New"/>
          <w:sz w:val="24"/>
          <w:szCs w:val="24"/>
        </w:rPr>
        <w:t>r</w:t>
      </w:r>
      <w:proofErr w:type="spellEnd"/>
      <w:r w:rsidR="00E94E69">
        <w:rPr>
          <w:rFonts w:ascii="Courier New" w:hAnsi="Courier New" w:cs="Courier New"/>
          <w:sz w:val="24"/>
          <w:szCs w:val="24"/>
        </w:rPr>
        <w:t xml:space="preserve"> found fault in several areas of Mr. Logue’s appraisal</w:t>
      </w:r>
      <w:r w:rsidR="00A076B4">
        <w:rPr>
          <w:rFonts w:ascii="Courier New" w:hAnsi="Courier New" w:cs="Courier New"/>
          <w:sz w:val="24"/>
          <w:szCs w:val="24"/>
        </w:rPr>
        <w:t xml:space="preserve">, most notably: Mr. Logue’s </w:t>
      </w:r>
      <w:r w:rsidR="00E94E69">
        <w:rPr>
          <w:rFonts w:ascii="Courier New" w:hAnsi="Courier New" w:cs="Courier New"/>
          <w:sz w:val="24"/>
          <w:szCs w:val="24"/>
        </w:rPr>
        <w:t xml:space="preserve">comparison properties </w:t>
      </w:r>
      <w:r>
        <w:rPr>
          <w:rFonts w:ascii="Courier New" w:hAnsi="Courier New" w:cs="Courier New"/>
          <w:sz w:val="24"/>
          <w:szCs w:val="24"/>
        </w:rPr>
        <w:t>were not comparable; his conclusion tha</w:t>
      </w:r>
      <w:r w:rsidR="001F11F3">
        <w:rPr>
          <w:rFonts w:ascii="Courier New" w:hAnsi="Courier New" w:cs="Courier New"/>
          <w:sz w:val="24"/>
          <w:szCs w:val="24"/>
        </w:rPr>
        <w:t xml:space="preserve">t the Galleria is not a Grade A </w:t>
      </w:r>
      <w:r w:rsidR="007164E0">
        <w:rPr>
          <w:rFonts w:ascii="Courier New" w:hAnsi="Courier New" w:cs="Courier New"/>
          <w:sz w:val="24"/>
          <w:szCs w:val="24"/>
        </w:rPr>
        <w:t>mall was</w:t>
      </w:r>
      <w:r w:rsidR="00E94E69">
        <w:rPr>
          <w:rFonts w:ascii="Courier New" w:hAnsi="Courier New" w:cs="Courier New"/>
          <w:sz w:val="24"/>
          <w:szCs w:val="24"/>
        </w:rPr>
        <w:t xml:space="preserve"> not accurate; </w:t>
      </w:r>
      <w:r>
        <w:rPr>
          <w:rFonts w:ascii="Courier New" w:hAnsi="Courier New" w:cs="Courier New"/>
          <w:sz w:val="24"/>
          <w:szCs w:val="24"/>
        </w:rPr>
        <w:t>his use of a 3</w:t>
      </w:r>
      <w:r w:rsidR="00A076B4">
        <w:rPr>
          <w:rFonts w:ascii="Courier New" w:hAnsi="Courier New" w:cs="Courier New"/>
          <w:sz w:val="24"/>
          <w:szCs w:val="24"/>
        </w:rPr>
        <w:t>.0</w:t>
      </w:r>
      <w:r>
        <w:rPr>
          <w:rFonts w:ascii="Courier New" w:hAnsi="Courier New" w:cs="Courier New"/>
          <w:sz w:val="24"/>
          <w:szCs w:val="24"/>
        </w:rPr>
        <w:t>% vacancy rate was not supported by the market data or historical performance of either the subject property or the Ga</w:t>
      </w:r>
      <w:r w:rsidR="00A076B4">
        <w:rPr>
          <w:rFonts w:ascii="Courier New" w:hAnsi="Courier New" w:cs="Courier New"/>
          <w:sz w:val="24"/>
          <w:szCs w:val="24"/>
        </w:rPr>
        <w:t>lleria;</w:t>
      </w:r>
      <w:r w:rsidR="007164E0">
        <w:rPr>
          <w:rFonts w:ascii="Courier New" w:hAnsi="Courier New" w:cs="Courier New"/>
          <w:sz w:val="24"/>
          <w:szCs w:val="24"/>
        </w:rPr>
        <w:t xml:space="preserve"> and </w:t>
      </w:r>
      <w:r w:rsidR="00E94E69">
        <w:rPr>
          <w:rFonts w:ascii="Courier New" w:hAnsi="Courier New" w:cs="Courier New"/>
          <w:sz w:val="24"/>
          <w:szCs w:val="24"/>
        </w:rPr>
        <w:t xml:space="preserve">he failed to explain </w:t>
      </w:r>
      <w:r w:rsidR="007164E0">
        <w:rPr>
          <w:rFonts w:ascii="Courier New" w:hAnsi="Courier New" w:cs="Courier New"/>
          <w:sz w:val="24"/>
          <w:szCs w:val="24"/>
        </w:rPr>
        <w:t xml:space="preserve">how he adjusted the rents that he used, which he reported to be </w:t>
      </w:r>
      <w:r w:rsidR="007164E0">
        <w:rPr>
          <w:rFonts w:ascii="Courier New" w:hAnsi="Courier New" w:cs="Courier New"/>
          <w:sz w:val="24"/>
          <w:szCs w:val="24"/>
        </w:rPr>
        <w:lastRenderedPageBreak/>
        <w:t>on gross, modified gross, and modified net terms, to the triple-net terms that he u</w:t>
      </w:r>
      <w:r w:rsidR="002E039D">
        <w:rPr>
          <w:rFonts w:ascii="Courier New" w:hAnsi="Courier New" w:cs="Courier New"/>
          <w:sz w:val="24"/>
          <w:szCs w:val="24"/>
        </w:rPr>
        <w:t>ltimately used to form his opinion of fair cash value</w:t>
      </w:r>
      <w:r w:rsidR="007164E0">
        <w:rPr>
          <w:rFonts w:ascii="Courier New" w:hAnsi="Courier New" w:cs="Courier New"/>
          <w:sz w:val="24"/>
          <w:szCs w:val="24"/>
        </w:rPr>
        <w:t xml:space="preserve">.  </w:t>
      </w:r>
    </w:p>
    <w:p w:rsidR="00BC4AA0" w:rsidRDefault="007964A0" w:rsidP="00AE7D5D">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  </w:t>
      </w:r>
      <w:r w:rsidR="00692529">
        <w:rPr>
          <w:rFonts w:ascii="Courier New" w:hAnsi="Courier New" w:cs="Courier New"/>
          <w:sz w:val="24"/>
          <w:szCs w:val="24"/>
        </w:rPr>
        <w:t xml:space="preserve">With respect to the vacancy rate, Mr. </w:t>
      </w:r>
      <w:proofErr w:type="spellStart"/>
      <w:r w:rsidR="00692529">
        <w:rPr>
          <w:rFonts w:ascii="Courier New" w:hAnsi="Courier New" w:cs="Courier New"/>
          <w:sz w:val="24"/>
          <w:szCs w:val="24"/>
        </w:rPr>
        <w:t>Whitmer</w:t>
      </w:r>
      <w:proofErr w:type="spellEnd"/>
      <w:r w:rsidR="00692529">
        <w:rPr>
          <w:rFonts w:ascii="Courier New" w:hAnsi="Courier New" w:cs="Courier New"/>
          <w:sz w:val="24"/>
          <w:szCs w:val="24"/>
        </w:rPr>
        <w:t xml:space="preserve"> testified that he was surprised to see that Mr. Logue concluded a rate of 3.0%, after noting </w:t>
      </w:r>
      <w:r w:rsidR="00F4228E">
        <w:rPr>
          <w:rFonts w:ascii="Courier New" w:hAnsi="Courier New" w:cs="Courier New"/>
          <w:sz w:val="24"/>
          <w:szCs w:val="24"/>
        </w:rPr>
        <w:t>that the data he used showed much lower vacancy rates</w:t>
      </w:r>
      <w:r w:rsidR="00692529">
        <w:rPr>
          <w:rFonts w:ascii="Courier New" w:hAnsi="Courier New" w:cs="Courier New"/>
          <w:sz w:val="24"/>
          <w:szCs w:val="24"/>
        </w:rPr>
        <w:t xml:space="preserve">.  He further noted that the subject </w:t>
      </w:r>
      <w:r w:rsidR="00CA3CD5">
        <w:rPr>
          <w:rFonts w:ascii="Courier New" w:hAnsi="Courier New" w:cs="Courier New"/>
          <w:sz w:val="24"/>
          <w:szCs w:val="24"/>
        </w:rPr>
        <w:t xml:space="preserve">property </w:t>
      </w:r>
      <w:r w:rsidR="00692529">
        <w:rPr>
          <w:rFonts w:ascii="Courier New" w:hAnsi="Courier New" w:cs="Courier New"/>
          <w:sz w:val="24"/>
          <w:szCs w:val="24"/>
        </w:rPr>
        <w:t>itself was fully occupied, and the Galleria had just one si</w:t>
      </w:r>
      <w:r w:rsidR="006846F9">
        <w:rPr>
          <w:rFonts w:ascii="Courier New" w:hAnsi="Courier New" w:cs="Courier New"/>
          <w:sz w:val="24"/>
          <w:szCs w:val="24"/>
        </w:rPr>
        <w:t xml:space="preserve">ngle in-line vacancy out of 119 </w:t>
      </w:r>
      <w:r w:rsidR="00692529">
        <w:rPr>
          <w:rFonts w:ascii="Courier New" w:hAnsi="Courier New" w:cs="Courier New"/>
          <w:sz w:val="24"/>
          <w:szCs w:val="24"/>
        </w:rPr>
        <w:t>stores during the per</w:t>
      </w:r>
      <w:r w:rsidR="002E039D">
        <w:rPr>
          <w:rFonts w:ascii="Courier New" w:hAnsi="Courier New" w:cs="Courier New"/>
          <w:sz w:val="24"/>
          <w:szCs w:val="24"/>
        </w:rPr>
        <w:t xml:space="preserve">iods relevant to these appeals.  Mr. </w:t>
      </w:r>
      <w:proofErr w:type="spellStart"/>
      <w:r w:rsidR="002E039D">
        <w:rPr>
          <w:rFonts w:ascii="Courier New" w:hAnsi="Courier New" w:cs="Courier New"/>
          <w:sz w:val="24"/>
          <w:szCs w:val="24"/>
        </w:rPr>
        <w:t>Whitmer</w:t>
      </w:r>
      <w:proofErr w:type="spellEnd"/>
      <w:r w:rsidR="002E039D">
        <w:rPr>
          <w:rFonts w:ascii="Courier New" w:hAnsi="Courier New" w:cs="Courier New"/>
          <w:sz w:val="24"/>
          <w:szCs w:val="24"/>
        </w:rPr>
        <w:t xml:space="preserve"> therefore </w:t>
      </w:r>
      <w:r w:rsidR="00F4228E">
        <w:rPr>
          <w:rFonts w:ascii="Courier New" w:hAnsi="Courier New" w:cs="Courier New"/>
          <w:sz w:val="24"/>
          <w:szCs w:val="24"/>
        </w:rPr>
        <w:t xml:space="preserve">did not believe a vacancy rate of 3.0% was appropriate.  </w:t>
      </w:r>
    </w:p>
    <w:p w:rsidR="00D16D30" w:rsidRDefault="00D16D30" w:rsidP="00482BEE">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Additionally</w:t>
      </w:r>
      <w:r w:rsidR="00516742">
        <w:rPr>
          <w:rFonts w:ascii="Courier New" w:hAnsi="Courier New" w:cs="Courier New"/>
          <w:sz w:val="24"/>
          <w:szCs w:val="24"/>
        </w:rPr>
        <w:t xml:space="preserve">, Mr. </w:t>
      </w:r>
      <w:proofErr w:type="spellStart"/>
      <w:r w:rsidR="00516742">
        <w:rPr>
          <w:rFonts w:ascii="Courier New" w:hAnsi="Courier New" w:cs="Courier New"/>
          <w:sz w:val="24"/>
          <w:szCs w:val="24"/>
        </w:rPr>
        <w:t>Whitmer</w:t>
      </w:r>
      <w:proofErr w:type="spellEnd"/>
      <w:r w:rsidR="00516742">
        <w:rPr>
          <w:rFonts w:ascii="Courier New" w:hAnsi="Courier New" w:cs="Courier New"/>
          <w:sz w:val="24"/>
          <w:szCs w:val="24"/>
        </w:rPr>
        <w:t xml:space="preserve"> </w:t>
      </w:r>
      <w:r w:rsidR="00AD774F">
        <w:rPr>
          <w:rFonts w:ascii="Courier New" w:hAnsi="Courier New" w:cs="Courier New"/>
          <w:sz w:val="24"/>
          <w:szCs w:val="24"/>
        </w:rPr>
        <w:t>opined tha</w:t>
      </w:r>
      <w:r w:rsidR="002E039D">
        <w:rPr>
          <w:rFonts w:ascii="Courier New" w:hAnsi="Courier New" w:cs="Courier New"/>
          <w:sz w:val="24"/>
          <w:szCs w:val="24"/>
        </w:rPr>
        <w:t xml:space="preserve">t Mr. Logue’s comparison properties </w:t>
      </w:r>
      <w:r w:rsidR="00AD774F">
        <w:rPr>
          <w:rFonts w:ascii="Courier New" w:hAnsi="Courier New" w:cs="Courier New"/>
          <w:sz w:val="24"/>
          <w:szCs w:val="24"/>
        </w:rPr>
        <w:t>were not sufficiently comparable to the subject property to provide a reliable i</w:t>
      </w:r>
      <w:r w:rsidR="00516742">
        <w:rPr>
          <w:rFonts w:ascii="Courier New" w:hAnsi="Courier New" w:cs="Courier New"/>
          <w:sz w:val="24"/>
          <w:szCs w:val="24"/>
        </w:rPr>
        <w:t>n</w:t>
      </w:r>
      <w:r w:rsidR="002C3D84">
        <w:rPr>
          <w:rFonts w:ascii="Courier New" w:hAnsi="Courier New" w:cs="Courier New"/>
          <w:sz w:val="24"/>
          <w:szCs w:val="24"/>
        </w:rPr>
        <w:t xml:space="preserve">dication of market rent for it.  </w:t>
      </w:r>
      <w:r w:rsidR="00AD774F">
        <w:rPr>
          <w:rFonts w:ascii="Courier New" w:hAnsi="Courier New" w:cs="Courier New"/>
          <w:sz w:val="24"/>
          <w:szCs w:val="24"/>
        </w:rPr>
        <w:t>He noted that although there are a significant number of malls within a five-mi</w:t>
      </w:r>
      <w:r w:rsidR="00482BEE">
        <w:rPr>
          <w:rFonts w:ascii="Courier New" w:hAnsi="Courier New" w:cs="Courier New"/>
          <w:sz w:val="24"/>
          <w:szCs w:val="24"/>
        </w:rPr>
        <w:t>le ring of the Galleria, Mr. Lo</w:t>
      </w:r>
      <w:r w:rsidR="00AD774F">
        <w:rPr>
          <w:rFonts w:ascii="Courier New" w:hAnsi="Courier New" w:cs="Courier New"/>
          <w:sz w:val="24"/>
          <w:szCs w:val="24"/>
        </w:rPr>
        <w:t>gue did not use leases</w:t>
      </w:r>
      <w:r w:rsidR="00482BEE">
        <w:rPr>
          <w:rFonts w:ascii="Courier New" w:hAnsi="Courier New" w:cs="Courier New"/>
          <w:sz w:val="24"/>
          <w:szCs w:val="24"/>
        </w:rPr>
        <w:t xml:space="preserve"> from any of those properties.  </w:t>
      </w:r>
      <w:r w:rsidR="002E039D">
        <w:rPr>
          <w:rFonts w:ascii="Courier New" w:hAnsi="Courier New" w:cs="Courier New"/>
          <w:sz w:val="24"/>
          <w:szCs w:val="24"/>
        </w:rPr>
        <w:t xml:space="preserve">Instead, five of the six properties </w:t>
      </w:r>
      <w:r w:rsidR="009A0670">
        <w:rPr>
          <w:rFonts w:ascii="Courier New" w:hAnsi="Courier New" w:cs="Courier New"/>
          <w:sz w:val="24"/>
          <w:szCs w:val="24"/>
        </w:rPr>
        <w:t>selected by Mr. Logue were located in st</w:t>
      </w:r>
      <w:r w:rsidR="00482BEE">
        <w:rPr>
          <w:rFonts w:ascii="Courier New" w:hAnsi="Courier New" w:cs="Courier New"/>
          <w:sz w:val="24"/>
          <w:szCs w:val="24"/>
        </w:rPr>
        <w:t>ates other than Massachusetts, and all of them were located in suburban settings, rather than urban settings, like the subject property.</w:t>
      </w:r>
    </w:p>
    <w:p w:rsidR="00661C4A" w:rsidRDefault="00392AB3" w:rsidP="001F11F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Mr. </w:t>
      </w:r>
      <w:proofErr w:type="spellStart"/>
      <w:r>
        <w:rPr>
          <w:rFonts w:ascii="Courier New" w:hAnsi="Courier New" w:cs="Courier New"/>
          <w:sz w:val="24"/>
          <w:szCs w:val="24"/>
        </w:rPr>
        <w:t>Whitmer</w:t>
      </w:r>
      <w:proofErr w:type="spellEnd"/>
      <w:r>
        <w:rPr>
          <w:rFonts w:ascii="Courier New" w:hAnsi="Courier New" w:cs="Courier New"/>
          <w:sz w:val="24"/>
          <w:szCs w:val="24"/>
        </w:rPr>
        <w:t xml:space="preserve"> also</w:t>
      </w:r>
      <w:r w:rsidR="00676B9C">
        <w:rPr>
          <w:rFonts w:ascii="Courier New" w:hAnsi="Courier New" w:cs="Courier New"/>
          <w:sz w:val="24"/>
          <w:szCs w:val="24"/>
        </w:rPr>
        <w:t xml:space="preserve"> opined</w:t>
      </w:r>
      <w:r w:rsidR="00482BEE">
        <w:rPr>
          <w:rFonts w:ascii="Courier New" w:hAnsi="Courier New" w:cs="Courier New"/>
          <w:sz w:val="24"/>
          <w:szCs w:val="24"/>
        </w:rPr>
        <w:t xml:space="preserve"> that Mr. Logue’s comparison properties were not sufficiently similar to the subject property</w:t>
      </w:r>
      <w:r w:rsidR="001F11F3">
        <w:rPr>
          <w:rFonts w:ascii="Courier New" w:hAnsi="Courier New" w:cs="Courier New"/>
          <w:sz w:val="24"/>
          <w:szCs w:val="24"/>
        </w:rPr>
        <w:t xml:space="preserve"> </w:t>
      </w:r>
      <w:r w:rsidR="00482BEE">
        <w:rPr>
          <w:rFonts w:ascii="Courier New" w:hAnsi="Courier New" w:cs="Courier New"/>
          <w:sz w:val="24"/>
          <w:szCs w:val="24"/>
        </w:rPr>
        <w:t>in terms of the strength of their demographics</w:t>
      </w:r>
      <w:r w:rsidR="00661C4A">
        <w:rPr>
          <w:rFonts w:ascii="Courier New" w:hAnsi="Courier New" w:cs="Courier New"/>
          <w:sz w:val="24"/>
          <w:szCs w:val="24"/>
        </w:rPr>
        <w:t xml:space="preserve"> or their overall </w:t>
      </w:r>
      <w:r w:rsidR="00661C4A">
        <w:rPr>
          <w:rFonts w:ascii="Courier New" w:hAnsi="Courier New" w:cs="Courier New"/>
          <w:sz w:val="24"/>
          <w:szCs w:val="24"/>
        </w:rPr>
        <w:lastRenderedPageBreak/>
        <w:t>quality</w:t>
      </w:r>
      <w:r w:rsidR="00482BEE">
        <w:rPr>
          <w:rFonts w:ascii="Courier New" w:hAnsi="Courier New" w:cs="Courier New"/>
          <w:sz w:val="24"/>
          <w:szCs w:val="24"/>
        </w:rPr>
        <w:t>.</w:t>
      </w:r>
      <w:r w:rsidR="006E7350">
        <w:rPr>
          <w:rFonts w:ascii="Courier New" w:hAnsi="Courier New" w:cs="Courier New"/>
          <w:sz w:val="24"/>
          <w:szCs w:val="24"/>
        </w:rPr>
        <w:t xml:space="preserve"> He quan</w:t>
      </w:r>
      <w:r w:rsidR="00912A5B">
        <w:rPr>
          <w:rFonts w:ascii="Courier New" w:hAnsi="Courier New" w:cs="Courier New"/>
          <w:sz w:val="24"/>
          <w:szCs w:val="24"/>
        </w:rPr>
        <w:t>tified the demographics of the subject pro</w:t>
      </w:r>
      <w:r w:rsidR="002E039D">
        <w:rPr>
          <w:rFonts w:ascii="Courier New" w:hAnsi="Courier New" w:cs="Courier New"/>
          <w:sz w:val="24"/>
          <w:szCs w:val="24"/>
        </w:rPr>
        <w:t xml:space="preserve">perty and each comparison property </w:t>
      </w:r>
      <w:r w:rsidR="00912A5B">
        <w:rPr>
          <w:rFonts w:ascii="Courier New" w:hAnsi="Courier New" w:cs="Courier New"/>
          <w:sz w:val="24"/>
          <w:szCs w:val="24"/>
        </w:rPr>
        <w:t>by calculating the total household income within a</w:t>
      </w:r>
      <w:r w:rsidR="001A7128">
        <w:rPr>
          <w:rFonts w:ascii="Courier New" w:hAnsi="Courier New" w:cs="Courier New"/>
          <w:sz w:val="24"/>
          <w:szCs w:val="24"/>
        </w:rPr>
        <w:t xml:space="preserve"> one-mile, three-mile, and five-mile radius of the property, and then added those totals together. The total for the subject property was $27,353,8</w:t>
      </w:r>
      <w:r w:rsidR="00072EBB">
        <w:rPr>
          <w:rFonts w:ascii="Courier New" w:hAnsi="Courier New" w:cs="Courier New"/>
          <w:sz w:val="24"/>
          <w:szCs w:val="24"/>
        </w:rPr>
        <w:t>43,578, whic</w:t>
      </w:r>
      <w:r w:rsidR="002E039D">
        <w:rPr>
          <w:rFonts w:ascii="Courier New" w:hAnsi="Courier New" w:cs="Courier New"/>
          <w:sz w:val="24"/>
          <w:szCs w:val="24"/>
        </w:rPr>
        <w:t xml:space="preserve">h Mr. </w:t>
      </w:r>
      <w:proofErr w:type="spellStart"/>
      <w:r w:rsidR="002E039D">
        <w:rPr>
          <w:rFonts w:ascii="Courier New" w:hAnsi="Courier New" w:cs="Courier New"/>
          <w:sz w:val="24"/>
          <w:szCs w:val="24"/>
        </w:rPr>
        <w:t>Whitmer</w:t>
      </w:r>
      <w:proofErr w:type="spellEnd"/>
      <w:r w:rsidR="002E039D">
        <w:rPr>
          <w:rFonts w:ascii="Courier New" w:hAnsi="Courier New" w:cs="Courier New"/>
          <w:sz w:val="24"/>
          <w:szCs w:val="24"/>
        </w:rPr>
        <w:t xml:space="preserve"> described as being</w:t>
      </w:r>
      <w:r w:rsidR="00072EBB">
        <w:rPr>
          <w:rFonts w:ascii="Courier New" w:hAnsi="Courier New" w:cs="Courier New"/>
          <w:sz w:val="24"/>
          <w:szCs w:val="24"/>
        </w:rPr>
        <w:t xml:space="preserve"> “as strong as I’ve seen, period.” </w:t>
      </w:r>
      <w:r w:rsidR="001A7128">
        <w:rPr>
          <w:rFonts w:ascii="Courier New" w:hAnsi="Courier New" w:cs="Courier New"/>
          <w:sz w:val="24"/>
          <w:szCs w:val="24"/>
        </w:rPr>
        <w:t xml:space="preserve">The totals for the </w:t>
      </w:r>
      <w:r w:rsidR="00676B9C">
        <w:rPr>
          <w:rFonts w:ascii="Courier New" w:hAnsi="Courier New" w:cs="Courier New"/>
          <w:sz w:val="24"/>
          <w:szCs w:val="24"/>
        </w:rPr>
        <w:t xml:space="preserve">purportedly </w:t>
      </w:r>
      <w:r w:rsidR="001A7128">
        <w:rPr>
          <w:rFonts w:ascii="Courier New" w:hAnsi="Courier New" w:cs="Courier New"/>
          <w:sz w:val="24"/>
          <w:szCs w:val="24"/>
        </w:rPr>
        <w:t xml:space="preserve">comparable properties </w:t>
      </w:r>
      <w:r w:rsidR="00676B9C">
        <w:rPr>
          <w:rFonts w:ascii="Courier New" w:hAnsi="Courier New" w:cs="Courier New"/>
          <w:sz w:val="24"/>
          <w:szCs w:val="24"/>
        </w:rPr>
        <w:t>were as follows: Woodbridge Center</w:t>
      </w:r>
      <w:r w:rsidR="001A7128">
        <w:rPr>
          <w:rFonts w:ascii="Courier New" w:hAnsi="Courier New" w:cs="Courier New"/>
          <w:sz w:val="24"/>
          <w:szCs w:val="24"/>
        </w:rPr>
        <w:t xml:space="preserve">, $9,272,809,937; Natick Mall, $5,896,927,383; </w:t>
      </w:r>
      <w:r w:rsidR="00676B9C">
        <w:rPr>
          <w:rFonts w:ascii="Courier New" w:hAnsi="Courier New" w:cs="Courier New"/>
          <w:sz w:val="24"/>
          <w:szCs w:val="24"/>
        </w:rPr>
        <w:t>The Mall at Rockingham Park</w:t>
      </w:r>
      <w:r w:rsidR="001A7128">
        <w:rPr>
          <w:rFonts w:ascii="Courier New" w:hAnsi="Courier New" w:cs="Courier New"/>
          <w:sz w:val="24"/>
          <w:szCs w:val="24"/>
        </w:rPr>
        <w:t xml:space="preserve">, $2,846,106,210; Maine Mall, $2,770,564,573; </w:t>
      </w:r>
      <w:proofErr w:type="spellStart"/>
      <w:r w:rsidR="001A7128">
        <w:rPr>
          <w:rFonts w:ascii="Courier New" w:hAnsi="Courier New" w:cs="Courier New"/>
          <w:sz w:val="24"/>
          <w:szCs w:val="24"/>
        </w:rPr>
        <w:t>Ste</w:t>
      </w:r>
      <w:r w:rsidR="00DD7D6D">
        <w:rPr>
          <w:rFonts w:ascii="Courier New" w:hAnsi="Courier New" w:cs="Courier New"/>
          <w:sz w:val="24"/>
          <w:szCs w:val="24"/>
        </w:rPr>
        <w:t>eplegate</w:t>
      </w:r>
      <w:proofErr w:type="spellEnd"/>
      <w:r w:rsidR="00DD7D6D">
        <w:rPr>
          <w:rFonts w:ascii="Courier New" w:hAnsi="Courier New" w:cs="Courier New"/>
          <w:sz w:val="24"/>
          <w:szCs w:val="24"/>
        </w:rPr>
        <w:t xml:space="preserve"> Mall, $1,113,427,793; </w:t>
      </w:r>
      <w:r w:rsidR="00CB6C73">
        <w:rPr>
          <w:rFonts w:ascii="Courier New" w:hAnsi="Courier New" w:cs="Courier New"/>
          <w:sz w:val="24"/>
          <w:szCs w:val="24"/>
        </w:rPr>
        <w:t xml:space="preserve">and </w:t>
      </w:r>
      <w:r w:rsidR="00DD7D6D">
        <w:rPr>
          <w:rFonts w:ascii="Courier New" w:hAnsi="Courier New" w:cs="Courier New"/>
          <w:sz w:val="24"/>
          <w:szCs w:val="24"/>
        </w:rPr>
        <w:t xml:space="preserve">Warwick Mall, $4,842,173,167.09.  </w:t>
      </w:r>
    </w:p>
    <w:p w:rsidR="000C3919" w:rsidRDefault="001F11F3" w:rsidP="00392AB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In addition to the above-referenced </w:t>
      </w:r>
      <w:r w:rsidR="00661C4A">
        <w:rPr>
          <w:rFonts w:ascii="Courier New" w:hAnsi="Courier New" w:cs="Courier New"/>
          <w:sz w:val="24"/>
          <w:szCs w:val="24"/>
        </w:rPr>
        <w:t>demographics, Mr.</w:t>
      </w:r>
      <w:r w:rsidR="00183708">
        <w:rPr>
          <w:rFonts w:ascii="Courier New" w:hAnsi="Courier New" w:cs="Courier New"/>
          <w:sz w:val="24"/>
          <w:szCs w:val="24"/>
        </w:rPr>
        <w:t> </w:t>
      </w:r>
      <w:proofErr w:type="spellStart"/>
      <w:r w:rsidR="00661C4A">
        <w:rPr>
          <w:rFonts w:ascii="Courier New" w:hAnsi="Courier New" w:cs="Courier New"/>
          <w:sz w:val="24"/>
          <w:szCs w:val="24"/>
        </w:rPr>
        <w:t>Whitmer</w:t>
      </w:r>
      <w:proofErr w:type="spellEnd"/>
      <w:r w:rsidR="00661C4A">
        <w:rPr>
          <w:rFonts w:ascii="Courier New" w:hAnsi="Courier New" w:cs="Courier New"/>
          <w:sz w:val="24"/>
          <w:szCs w:val="24"/>
        </w:rPr>
        <w:t xml:space="preserve"> stated that the industry literature he reviewed indicated that the Galleria was “one of [the] best malls in all of the Boston area.”  He cited </w:t>
      </w:r>
      <w:r>
        <w:rPr>
          <w:rFonts w:ascii="Courier New" w:hAnsi="Courier New" w:cs="Courier New"/>
          <w:sz w:val="24"/>
          <w:szCs w:val="24"/>
        </w:rPr>
        <w:t>sources such as USA Today and Trip Advisor</w:t>
      </w:r>
      <w:r w:rsidR="00661C4A">
        <w:rPr>
          <w:rFonts w:ascii="Courier New" w:hAnsi="Courier New" w:cs="Courier New"/>
          <w:sz w:val="24"/>
          <w:szCs w:val="24"/>
        </w:rPr>
        <w:t>,</w:t>
      </w:r>
      <w:r>
        <w:rPr>
          <w:rFonts w:ascii="Courier New" w:hAnsi="Courier New" w:cs="Courier New"/>
          <w:sz w:val="24"/>
          <w:szCs w:val="24"/>
        </w:rPr>
        <w:t xml:space="preserve"> which ra</w:t>
      </w:r>
      <w:r w:rsidR="00661C4A">
        <w:rPr>
          <w:rFonts w:ascii="Courier New" w:hAnsi="Courier New" w:cs="Courier New"/>
          <w:sz w:val="24"/>
          <w:szCs w:val="24"/>
        </w:rPr>
        <w:t xml:space="preserve">ted the Galleria at number one, while the Natick Mall, for example, was rated at number three. </w:t>
      </w:r>
      <w:r>
        <w:rPr>
          <w:rFonts w:ascii="Courier New" w:hAnsi="Courier New" w:cs="Courier New"/>
          <w:sz w:val="24"/>
          <w:szCs w:val="24"/>
        </w:rPr>
        <w:t xml:space="preserve">Mr. </w:t>
      </w:r>
      <w:proofErr w:type="spellStart"/>
      <w:r>
        <w:rPr>
          <w:rFonts w:ascii="Courier New" w:hAnsi="Courier New" w:cs="Courier New"/>
          <w:sz w:val="24"/>
          <w:szCs w:val="24"/>
        </w:rPr>
        <w:t>Whitmer</w:t>
      </w:r>
      <w:proofErr w:type="spellEnd"/>
      <w:r>
        <w:rPr>
          <w:rFonts w:ascii="Courier New" w:hAnsi="Courier New" w:cs="Courier New"/>
          <w:sz w:val="24"/>
          <w:szCs w:val="24"/>
        </w:rPr>
        <w:t xml:space="preserve"> </w:t>
      </w:r>
      <w:r w:rsidR="00392AB3">
        <w:rPr>
          <w:rFonts w:ascii="Courier New" w:hAnsi="Courier New" w:cs="Courier New"/>
          <w:sz w:val="24"/>
          <w:szCs w:val="24"/>
        </w:rPr>
        <w:t xml:space="preserve">further noted </w:t>
      </w:r>
      <w:r w:rsidR="00B17B0A">
        <w:rPr>
          <w:rFonts w:ascii="Courier New" w:hAnsi="Courier New" w:cs="Courier New"/>
          <w:sz w:val="24"/>
          <w:szCs w:val="24"/>
        </w:rPr>
        <w:t>that two of the leases used by Mr. Logue were from stor</w:t>
      </w:r>
      <w:r w:rsidR="00392AB3">
        <w:rPr>
          <w:rFonts w:ascii="Courier New" w:hAnsi="Courier New" w:cs="Courier New"/>
          <w:sz w:val="24"/>
          <w:szCs w:val="24"/>
        </w:rPr>
        <w:t xml:space="preserve">es that had since closed.  He also observed </w:t>
      </w:r>
      <w:r w:rsidR="00B3574F">
        <w:rPr>
          <w:rFonts w:ascii="Courier New" w:hAnsi="Courier New" w:cs="Courier New"/>
          <w:sz w:val="24"/>
          <w:szCs w:val="24"/>
        </w:rPr>
        <w:t xml:space="preserve">that the </w:t>
      </w:r>
      <w:proofErr w:type="spellStart"/>
      <w:r w:rsidR="00B3574F">
        <w:rPr>
          <w:rFonts w:ascii="Courier New" w:hAnsi="Courier New" w:cs="Courier New"/>
          <w:sz w:val="24"/>
          <w:szCs w:val="24"/>
        </w:rPr>
        <w:t>Steeplegate</w:t>
      </w:r>
      <w:proofErr w:type="spellEnd"/>
      <w:r w:rsidR="00B3574F">
        <w:rPr>
          <w:rFonts w:ascii="Courier New" w:hAnsi="Courier New" w:cs="Courier New"/>
          <w:sz w:val="24"/>
          <w:szCs w:val="24"/>
        </w:rPr>
        <w:t xml:space="preserve"> Mall was such a poor mall that it underwent foreclosure during the fiscal years at issue, and ultimately sold in May of 2016 for $10.8 million, even though at 480,000 square feet, it was four times the size of the subject property.  </w:t>
      </w:r>
    </w:p>
    <w:p w:rsidR="001F11F3" w:rsidRDefault="00392AB3" w:rsidP="000C3919">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lastRenderedPageBreak/>
        <w:t xml:space="preserve">Based on all of this information, Mr. </w:t>
      </w:r>
      <w:proofErr w:type="spellStart"/>
      <w:r>
        <w:rPr>
          <w:rFonts w:ascii="Courier New" w:hAnsi="Courier New" w:cs="Courier New"/>
          <w:sz w:val="24"/>
          <w:szCs w:val="24"/>
        </w:rPr>
        <w:t>Whitmer</w:t>
      </w:r>
      <w:proofErr w:type="spellEnd"/>
      <w:r>
        <w:rPr>
          <w:rFonts w:ascii="Courier New" w:hAnsi="Courier New" w:cs="Courier New"/>
          <w:sz w:val="24"/>
          <w:szCs w:val="24"/>
        </w:rPr>
        <w:t xml:space="preserve"> concluded that Mr. Logue’s lease </w:t>
      </w:r>
      <w:proofErr w:type="spellStart"/>
      <w:r>
        <w:rPr>
          <w:rFonts w:ascii="Courier New" w:hAnsi="Courier New" w:cs="Courier New"/>
          <w:sz w:val="24"/>
          <w:szCs w:val="24"/>
        </w:rPr>
        <w:t>comparables</w:t>
      </w:r>
      <w:proofErr w:type="spellEnd"/>
      <w:r>
        <w:rPr>
          <w:rFonts w:ascii="Courier New" w:hAnsi="Courier New" w:cs="Courier New"/>
          <w:sz w:val="24"/>
          <w:szCs w:val="24"/>
        </w:rPr>
        <w:t xml:space="preserve"> were culled from properties that were, by and large, dissimilar from and inferior to the subject property.  Also based on this information, he testified that he did not agree with </w:t>
      </w:r>
      <w:r w:rsidR="001F11F3">
        <w:rPr>
          <w:rFonts w:ascii="Courier New" w:hAnsi="Courier New" w:cs="Courier New"/>
          <w:sz w:val="24"/>
          <w:szCs w:val="24"/>
        </w:rPr>
        <w:t xml:space="preserve">Mr. Logue’s characterization </w:t>
      </w:r>
      <w:r w:rsidR="00261DEF">
        <w:rPr>
          <w:rFonts w:ascii="Courier New" w:hAnsi="Courier New" w:cs="Courier New"/>
          <w:sz w:val="24"/>
          <w:szCs w:val="24"/>
        </w:rPr>
        <w:t>of the Galleria as a Grade B+/A-</w:t>
      </w:r>
      <w:r w:rsidR="001F11F3">
        <w:rPr>
          <w:rFonts w:ascii="Courier New" w:hAnsi="Courier New" w:cs="Courier New"/>
          <w:sz w:val="24"/>
          <w:szCs w:val="24"/>
        </w:rPr>
        <w:t xml:space="preserve"> m</w:t>
      </w:r>
      <w:r w:rsidR="00F4228E">
        <w:rPr>
          <w:rFonts w:ascii="Courier New" w:hAnsi="Courier New" w:cs="Courier New"/>
          <w:sz w:val="24"/>
          <w:szCs w:val="24"/>
        </w:rPr>
        <w:t xml:space="preserve">all rather than a Grade A </w:t>
      </w:r>
      <w:r w:rsidR="001F11F3">
        <w:rPr>
          <w:rFonts w:ascii="Courier New" w:hAnsi="Courier New" w:cs="Courier New"/>
          <w:sz w:val="24"/>
          <w:szCs w:val="24"/>
        </w:rPr>
        <w:t xml:space="preserve">mall.  </w:t>
      </w:r>
    </w:p>
    <w:p w:rsidR="00B54F50" w:rsidRDefault="00B54F50" w:rsidP="00B54F5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The assessors’ second witness was Steven R. Foster, who is also a licensed commercial appraiser and </w:t>
      </w:r>
      <w:r w:rsidR="00CA3CD5">
        <w:rPr>
          <w:rFonts w:ascii="Courier New" w:hAnsi="Courier New" w:cs="Courier New"/>
          <w:sz w:val="24"/>
          <w:szCs w:val="24"/>
        </w:rPr>
        <w:t xml:space="preserve">an </w:t>
      </w:r>
      <w:r>
        <w:rPr>
          <w:rFonts w:ascii="Courier New" w:hAnsi="Courier New" w:cs="Courier New"/>
          <w:sz w:val="24"/>
          <w:szCs w:val="24"/>
        </w:rPr>
        <w:t>MAI.  The Board qualified Mr. Foster as an expert in c</w:t>
      </w:r>
      <w:r w:rsidR="00036F8B">
        <w:rPr>
          <w:rFonts w:ascii="Courier New" w:hAnsi="Courier New" w:cs="Courier New"/>
          <w:sz w:val="24"/>
          <w:szCs w:val="24"/>
        </w:rPr>
        <w:t>ommercial real estate appraisal.  Mr. Foster did not conduct an appraisal of the subject property, nor did he provide an opinion of value.  He testified regarding some of the leases that were used by Mr.</w:t>
      </w:r>
      <w:r w:rsidR="00183708">
        <w:rPr>
          <w:rFonts w:ascii="Courier New" w:hAnsi="Courier New" w:cs="Courier New"/>
          <w:sz w:val="24"/>
          <w:szCs w:val="24"/>
        </w:rPr>
        <w:t> </w:t>
      </w:r>
      <w:r w:rsidR="00036F8B">
        <w:rPr>
          <w:rFonts w:ascii="Courier New" w:hAnsi="Courier New" w:cs="Courier New"/>
          <w:sz w:val="24"/>
          <w:szCs w:val="24"/>
        </w:rPr>
        <w:t>Logue, as we</w:t>
      </w:r>
      <w:r w:rsidR="00D36CBC">
        <w:rPr>
          <w:rFonts w:ascii="Courier New" w:hAnsi="Courier New" w:cs="Courier New"/>
          <w:sz w:val="24"/>
          <w:szCs w:val="24"/>
        </w:rPr>
        <w:t xml:space="preserve">ll as some leases that were not. </w:t>
      </w:r>
    </w:p>
    <w:p w:rsidR="00B42480" w:rsidRDefault="00B42480" w:rsidP="00B54F5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Foster testified that Sears has been actively leasing much of its real estate portfolio in recent years, and</w:t>
      </w:r>
      <w:r w:rsidR="00FB3BA3">
        <w:rPr>
          <w:rFonts w:ascii="Courier New" w:hAnsi="Courier New" w:cs="Courier New"/>
          <w:sz w:val="24"/>
          <w:szCs w:val="24"/>
        </w:rPr>
        <w:t xml:space="preserve"> many of those leases, in his opinion, would have </w:t>
      </w:r>
      <w:r>
        <w:rPr>
          <w:rFonts w:ascii="Courier New" w:hAnsi="Courier New" w:cs="Courier New"/>
          <w:sz w:val="24"/>
          <w:szCs w:val="24"/>
        </w:rPr>
        <w:t>been useful for valuing the subject property.  For e</w:t>
      </w:r>
      <w:r w:rsidR="001F5909">
        <w:rPr>
          <w:rFonts w:ascii="Courier New" w:hAnsi="Courier New" w:cs="Courier New"/>
          <w:sz w:val="24"/>
          <w:szCs w:val="24"/>
        </w:rPr>
        <w:t xml:space="preserve">xample, Mr. Foster testified that during the time period relevant to these appeals, Sears entered into leases with Dick’s Sporting Goods </w:t>
      </w:r>
      <w:r w:rsidR="00FB3BA3">
        <w:rPr>
          <w:rFonts w:ascii="Courier New" w:hAnsi="Courier New" w:cs="Courier New"/>
          <w:sz w:val="24"/>
          <w:szCs w:val="24"/>
        </w:rPr>
        <w:t xml:space="preserve">(“Dick’s”) </w:t>
      </w:r>
      <w:r w:rsidR="001F5909">
        <w:rPr>
          <w:rFonts w:ascii="Courier New" w:hAnsi="Courier New" w:cs="Courier New"/>
          <w:sz w:val="24"/>
          <w:szCs w:val="24"/>
        </w:rPr>
        <w:t xml:space="preserve">and Primark </w:t>
      </w:r>
      <w:r w:rsidR="00D65016">
        <w:rPr>
          <w:rFonts w:ascii="Courier New" w:hAnsi="Courier New" w:cs="Courier New"/>
          <w:sz w:val="24"/>
          <w:szCs w:val="24"/>
        </w:rPr>
        <w:t>in locations proximate to the subject property</w:t>
      </w:r>
      <w:r w:rsidR="001705C7">
        <w:rPr>
          <w:rFonts w:ascii="Courier New" w:hAnsi="Courier New" w:cs="Courier New"/>
          <w:sz w:val="24"/>
          <w:szCs w:val="24"/>
        </w:rPr>
        <w:t>,</w:t>
      </w:r>
      <w:r w:rsidR="00D65016">
        <w:rPr>
          <w:rFonts w:ascii="Courier New" w:hAnsi="Courier New" w:cs="Courier New"/>
          <w:sz w:val="24"/>
          <w:szCs w:val="24"/>
        </w:rPr>
        <w:t xml:space="preserve"> </w:t>
      </w:r>
      <w:r w:rsidR="001F5909">
        <w:rPr>
          <w:rFonts w:ascii="Courier New" w:hAnsi="Courier New" w:cs="Courier New"/>
          <w:sz w:val="24"/>
          <w:szCs w:val="24"/>
        </w:rPr>
        <w:t xml:space="preserve">and those leases would have provided useful information for valuing the subject property. </w:t>
      </w:r>
    </w:p>
    <w:p w:rsidR="009A3792" w:rsidRDefault="009A3792" w:rsidP="00B54F5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Mr. Foster also testified that he was surprised that Mr.</w:t>
      </w:r>
      <w:r w:rsidR="00183708">
        <w:rPr>
          <w:rFonts w:ascii="Courier New" w:hAnsi="Courier New" w:cs="Courier New"/>
          <w:sz w:val="24"/>
          <w:szCs w:val="24"/>
        </w:rPr>
        <w:t> </w:t>
      </w:r>
      <w:r>
        <w:rPr>
          <w:rFonts w:ascii="Courier New" w:hAnsi="Courier New" w:cs="Courier New"/>
          <w:sz w:val="24"/>
          <w:szCs w:val="24"/>
        </w:rPr>
        <w:t xml:space="preserve">Logue did not attempt to secure any urban rents for </w:t>
      </w:r>
      <w:r>
        <w:rPr>
          <w:rFonts w:ascii="Courier New" w:hAnsi="Courier New" w:cs="Courier New"/>
          <w:sz w:val="24"/>
          <w:szCs w:val="24"/>
        </w:rPr>
        <w:lastRenderedPageBreak/>
        <w:t>comparison to th</w:t>
      </w:r>
      <w:r w:rsidR="002E039D">
        <w:rPr>
          <w:rFonts w:ascii="Courier New" w:hAnsi="Courier New" w:cs="Courier New"/>
          <w:sz w:val="24"/>
          <w:szCs w:val="24"/>
        </w:rPr>
        <w:t xml:space="preserve">e subject property.  He </w:t>
      </w:r>
      <w:r>
        <w:rPr>
          <w:rFonts w:ascii="Courier New" w:hAnsi="Courier New" w:cs="Courier New"/>
          <w:sz w:val="24"/>
          <w:szCs w:val="24"/>
        </w:rPr>
        <w:t xml:space="preserve">testified that the Primark lease </w:t>
      </w:r>
      <w:r w:rsidR="00CA3CD5">
        <w:rPr>
          <w:rFonts w:ascii="Courier New" w:hAnsi="Courier New" w:cs="Courier New"/>
          <w:sz w:val="24"/>
          <w:szCs w:val="24"/>
        </w:rPr>
        <w:t>for</w:t>
      </w:r>
      <w:r>
        <w:rPr>
          <w:rFonts w:ascii="Courier New" w:hAnsi="Courier New" w:cs="Courier New"/>
          <w:sz w:val="24"/>
          <w:szCs w:val="24"/>
        </w:rPr>
        <w:t xml:space="preserve"> Downtown Crossing</w:t>
      </w:r>
      <w:r w:rsidR="00CA3CD5">
        <w:rPr>
          <w:rFonts w:ascii="Courier New" w:hAnsi="Courier New" w:cs="Courier New"/>
          <w:sz w:val="24"/>
          <w:szCs w:val="24"/>
        </w:rPr>
        <w:t xml:space="preserve"> in Boston</w:t>
      </w:r>
      <w:r>
        <w:rPr>
          <w:rFonts w:ascii="Courier New" w:hAnsi="Courier New" w:cs="Courier New"/>
          <w:sz w:val="24"/>
          <w:szCs w:val="24"/>
        </w:rPr>
        <w:t xml:space="preserve"> would have been useful for valuing the subject property in his opinion, and he was surprised that Mr. Logue did not use that lease.  </w:t>
      </w:r>
    </w:p>
    <w:p w:rsidR="001F5909" w:rsidRPr="00560AFD" w:rsidRDefault="008C026C" w:rsidP="00B42480">
      <w:pPr>
        <w:spacing w:line="480" w:lineRule="auto"/>
        <w:ind w:firstLine="720"/>
        <w:contextualSpacing/>
        <w:jc w:val="both"/>
        <w:rPr>
          <w:rFonts w:ascii="Courier New" w:hAnsi="Courier New" w:cs="Courier New"/>
          <w:b/>
          <w:sz w:val="24"/>
          <w:szCs w:val="24"/>
        </w:rPr>
      </w:pPr>
      <w:r>
        <w:rPr>
          <w:rFonts w:ascii="Courier New" w:hAnsi="Courier New" w:cs="Courier New"/>
          <w:b/>
          <w:sz w:val="24"/>
          <w:szCs w:val="24"/>
        </w:rPr>
        <w:t xml:space="preserve">IV. </w:t>
      </w:r>
      <w:r w:rsidR="001F5909" w:rsidRPr="00560AFD">
        <w:rPr>
          <w:rFonts w:ascii="Courier New" w:hAnsi="Courier New" w:cs="Courier New"/>
          <w:b/>
          <w:sz w:val="24"/>
          <w:szCs w:val="24"/>
        </w:rPr>
        <w:t>The Board’</w:t>
      </w:r>
      <w:r w:rsidR="00560AFD" w:rsidRPr="00560AFD">
        <w:rPr>
          <w:rFonts w:ascii="Courier New" w:hAnsi="Courier New" w:cs="Courier New"/>
          <w:b/>
          <w:sz w:val="24"/>
          <w:szCs w:val="24"/>
        </w:rPr>
        <w:t xml:space="preserve">s </w:t>
      </w:r>
      <w:r w:rsidR="001F5909" w:rsidRPr="00560AFD">
        <w:rPr>
          <w:rFonts w:ascii="Courier New" w:hAnsi="Courier New" w:cs="Courier New"/>
          <w:b/>
          <w:sz w:val="24"/>
          <w:szCs w:val="24"/>
        </w:rPr>
        <w:t>Conclusions</w:t>
      </w:r>
    </w:p>
    <w:p w:rsidR="001E0CFC" w:rsidRDefault="00495DB3" w:rsidP="00B42480">
      <w:pPr>
        <w:spacing w:line="480" w:lineRule="auto"/>
        <w:contextualSpacing/>
        <w:jc w:val="both"/>
        <w:rPr>
          <w:rFonts w:ascii="Courier New" w:hAnsi="Courier New" w:cs="Courier New"/>
          <w:sz w:val="24"/>
          <w:szCs w:val="24"/>
        </w:rPr>
      </w:pPr>
      <w:r>
        <w:rPr>
          <w:rFonts w:ascii="Courier New" w:hAnsi="Courier New" w:cs="Courier New"/>
          <w:sz w:val="24"/>
          <w:szCs w:val="24"/>
        </w:rPr>
        <w:t xml:space="preserve"> </w:t>
      </w:r>
      <w:r w:rsidR="009E699C">
        <w:rPr>
          <w:rFonts w:ascii="Courier New" w:hAnsi="Courier New" w:cs="Courier New"/>
          <w:sz w:val="24"/>
          <w:szCs w:val="24"/>
        </w:rPr>
        <w:t xml:space="preserve">  </w:t>
      </w:r>
      <w:r w:rsidR="008B77E3">
        <w:rPr>
          <w:rFonts w:ascii="Courier New" w:hAnsi="Courier New" w:cs="Courier New"/>
          <w:sz w:val="24"/>
          <w:szCs w:val="24"/>
        </w:rPr>
        <w:t xml:space="preserve">  On the basis of the record in its totality, the Board found that the appellant failed to meet its burden of proving that the subject property’s assessed value exceeded its fair cash value for the fiscal years at issue. </w:t>
      </w:r>
      <w:r w:rsidR="001E0CFC">
        <w:rPr>
          <w:rFonts w:ascii="Courier New" w:hAnsi="Courier New" w:cs="Courier New"/>
          <w:sz w:val="24"/>
          <w:szCs w:val="24"/>
        </w:rPr>
        <w:t xml:space="preserve">The Board did not find </w:t>
      </w:r>
      <w:r w:rsidR="00F914A2">
        <w:rPr>
          <w:rFonts w:ascii="Courier New" w:hAnsi="Courier New" w:cs="Courier New"/>
          <w:sz w:val="24"/>
          <w:szCs w:val="24"/>
        </w:rPr>
        <w:t xml:space="preserve">the appraisal offered by the appellant’s expert appraiser </w:t>
      </w:r>
      <w:r w:rsidR="001E0CFC">
        <w:rPr>
          <w:rFonts w:ascii="Courier New" w:hAnsi="Courier New" w:cs="Courier New"/>
          <w:sz w:val="24"/>
          <w:szCs w:val="24"/>
        </w:rPr>
        <w:t>to be persuasive or reliable evidence of value for a number of reasons.</w:t>
      </w:r>
    </w:p>
    <w:p w:rsidR="001E0CFC" w:rsidRDefault="001E0CFC" w:rsidP="00515607">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First, Mr. Logue did not personally view the majority of the leases he selected for comparison, but instead relied on information provided to him by other people.  The record ultimately showed that some of the pertinent information used by M</w:t>
      </w:r>
      <w:r w:rsidR="002E039D">
        <w:rPr>
          <w:rFonts w:ascii="Courier New" w:hAnsi="Courier New" w:cs="Courier New"/>
          <w:sz w:val="24"/>
          <w:szCs w:val="24"/>
        </w:rPr>
        <w:t xml:space="preserve">r. Logue was </w:t>
      </w:r>
      <w:r w:rsidR="00515607">
        <w:rPr>
          <w:rFonts w:ascii="Courier New" w:hAnsi="Courier New" w:cs="Courier New"/>
          <w:sz w:val="24"/>
          <w:szCs w:val="24"/>
        </w:rPr>
        <w:t xml:space="preserve">incorrect.  For example, </w:t>
      </w:r>
      <w:r w:rsidR="005475AC">
        <w:rPr>
          <w:rFonts w:ascii="Courier New" w:hAnsi="Courier New" w:cs="Courier New"/>
          <w:sz w:val="24"/>
          <w:szCs w:val="24"/>
        </w:rPr>
        <w:t>the Bon-</w:t>
      </w:r>
      <w:r w:rsidR="00515607">
        <w:rPr>
          <w:rFonts w:ascii="Courier New" w:hAnsi="Courier New" w:cs="Courier New"/>
          <w:sz w:val="24"/>
          <w:szCs w:val="24"/>
        </w:rPr>
        <w:t xml:space="preserve">Ton at the </w:t>
      </w:r>
      <w:proofErr w:type="spellStart"/>
      <w:r w:rsidR="00515607">
        <w:rPr>
          <w:rFonts w:ascii="Courier New" w:hAnsi="Courier New" w:cs="Courier New"/>
          <w:sz w:val="24"/>
          <w:szCs w:val="24"/>
        </w:rPr>
        <w:t>Steeplegate</w:t>
      </w:r>
      <w:proofErr w:type="spellEnd"/>
      <w:r w:rsidR="00515607">
        <w:rPr>
          <w:rFonts w:ascii="Courier New" w:hAnsi="Courier New" w:cs="Courier New"/>
          <w:sz w:val="24"/>
          <w:szCs w:val="24"/>
        </w:rPr>
        <w:t xml:space="preserve"> Mall occupied two separate stores.  Mr. Logue believed that the lease he used was for the larger of the two stores, bu</w:t>
      </w:r>
      <w:r w:rsidR="002837A3">
        <w:rPr>
          <w:rFonts w:ascii="Courier New" w:hAnsi="Courier New" w:cs="Courier New"/>
          <w:sz w:val="24"/>
          <w:szCs w:val="24"/>
        </w:rPr>
        <w:t xml:space="preserve">t </w:t>
      </w:r>
      <w:r w:rsidR="0018559B">
        <w:rPr>
          <w:rFonts w:ascii="Courier New" w:hAnsi="Courier New" w:cs="Courier New"/>
          <w:sz w:val="24"/>
          <w:szCs w:val="24"/>
        </w:rPr>
        <w:t xml:space="preserve">the record showed that the lease in fact </w:t>
      </w:r>
      <w:r w:rsidR="002837A3">
        <w:rPr>
          <w:rFonts w:ascii="Courier New" w:hAnsi="Courier New" w:cs="Courier New"/>
          <w:sz w:val="24"/>
          <w:szCs w:val="24"/>
        </w:rPr>
        <w:t>covered both stores</w:t>
      </w:r>
      <w:r w:rsidR="002E039D">
        <w:rPr>
          <w:rFonts w:ascii="Courier New" w:hAnsi="Courier New" w:cs="Courier New"/>
          <w:sz w:val="24"/>
          <w:szCs w:val="24"/>
        </w:rPr>
        <w:t xml:space="preserve">.  The evidence also showed that </w:t>
      </w:r>
      <w:r w:rsidR="00515607">
        <w:rPr>
          <w:rFonts w:ascii="Courier New" w:hAnsi="Courier New" w:cs="Courier New"/>
          <w:sz w:val="24"/>
          <w:szCs w:val="24"/>
        </w:rPr>
        <w:t xml:space="preserve">Mr. Logue incorrectly reported the Boscov’s rent for years two through five in his report.  The Board found that Mr. Logue’s failure to </w:t>
      </w:r>
      <w:r w:rsidR="00515607">
        <w:rPr>
          <w:rFonts w:ascii="Courier New" w:hAnsi="Courier New" w:cs="Courier New"/>
          <w:sz w:val="24"/>
          <w:szCs w:val="24"/>
        </w:rPr>
        <w:lastRenderedPageBreak/>
        <w:t xml:space="preserve">verify the information in his report </w:t>
      </w:r>
      <w:r>
        <w:rPr>
          <w:rFonts w:ascii="Courier New" w:hAnsi="Courier New" w:cs="Courier New"/>
          <w:sz w:val="24"/>
          <w:szCs w:val="24"/>
        </w:rPr>
        <w:t>detracted from the reliab</w:t>
      </w:r>
      <w:r w:rsidR="002E039D">
        <w:rPr>
          <w:rFonts w:ascii="Courier New" w:hAnsi="Courier New" w:cs="Courier New"/>
          <w:sz w:val="24"/>
          <w:szCs w:val="24"/>
        </w:rPr>
        <w:t>ility of his opinion</w:t>
      </w:r>
      <w:r w:rsidR="00515607">
        <w:rPr>
          <w:rFonts w:ascii="Courier New" w:hAnsi="Courier New" w:cs="Courier New"/>
          <w:sz w:val="24"/>
          <w:szCs w:val="24"/>
        </w:rPr>
        <w:t xml:space="preserve"> of fair cash value.  </w:t>
      </w:r>
    </w:p>
    <w:p w:rsidR="008C026C" w:rsidRDefault="00940000" w:rsidP="004A586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In addition</w:t>
      </w:r>
      <w:r w:rsidR="001E0CFC">
        <w:rPr>
          <w:rFonts w:ascii="Courier New" w:hAnsi="Courier New" w:cs="Courier New"/>
          <w:sz w:val="24"/>
          <w:szCs w:val="24"/>
        </w:rPr>
        <w:t xml:space="preserve">, </w:t>
      </w:r>
      <w:r w:rsidR="003E27DC">
        <w:rPr>
          <w:rFonts w:ascii="Courier New" w:hAnsi="Courier New" w:cs="Courier New"/>
          <w:sz w:val="24"/>
          <w:szCs w:val="24"/>
        </w:rPr>
        <w:t>the Board concl</w:t>
      </w:r>
      <w:r w:rsidR="002E039D">
        <w:rPr>
          <w:rFonts w:ascii="Courier New" w:hAnsi="Courier New" w:cs="Courier New"/>
          <w:sz w:val="24"/>
          <w:szCs w:val="24"/>
        </w:rPr>
        <w:t xml:space="preserve">uded that the comparison properties </w:t>
      </w:r>
      <w:r w:rsidR="003E27DC">
        <w:rPr>
          <w:rFonts w:ascii="Courier New" w:hAnsi="Courier New" w:cs="Courier New"/>
          <w:sz w:val="24"/>
          <w:szCs w:val="24"/>
        </w:rPr>
        <w:t xml:space="preserve">chosen by Mr. Logue were simply not comparable enough to the subject property to provide persuasive evidence of its fair cash value.  </w:t>
      </w:r>
      <w:r w:rsidR="008C026C">
        <w:rPr>
          <w:rFonts w:ascii="Courier New" w:hAnsi="Courier New" w:cs="Courier New"/>
          <w:sz w:val="24"/>
          <w:szCs w:val="24"/>
        </w:rPr>
        <w:t>As an initial matter,</w:t>
      </w:r>
      <w:r w:rsidR="008C026C" w:rsidRPr="008C026C">
        <w:rPr>
          <w:rFonts w:ascii="Courier New" w:hAnsi="Courier New" w:cs="Courier New"/>
          <w:sz w:val="24"/>
          <w:szCs w:val="24"/>
        </w:rPr>
        <w:t xml:space="preserve"> </w:t>
      </w:r>
      <w:r w:rsidR="008C026C">
        <w:rPr>
          <w:rFonts w:ascii="Courier New" w:hAnsi="Courier New" w:cs="Courier New"/>
          <w:sz w:val="24"/>
          <w:szCs w:val="24"/>
        </w:rPr>
        <w:t xml:space="preserve">the </w:t>
      </w:r>
      <w:r w:rsidR="002E039D">
        <w:rPr>
          <w:rFonts w:ascii="Courier New" w:hAnsi="Courier New" w:cs="Courier New"/>
          <w:sz w:val="24"/>
          <w:szCs w:val="24"/>
        </w:rPr>
        <w:t xml:space="preserve">comparison properties </w:t>
      </w:r>
      <w:r w:rsidR="008C026C">
        <w:rPr>
          <w:rFonts w:ascii="Courier New" w:hAnsi="Courier New" w:cs="Courier New"/>
          <w:sz w:val="24"/>
          <w:szCs w:val="24"/>
        </w:rPr>
        <w:t>were all located in suburban malls.  None of them had an urban location, like the subject property, although the record showed that it was possible to obtain leases for anchor spaces in urban settings such as Providence Place in Rhode Island, Downtown Crossing in Boston, or South Bay in Dorchester.  Mr. Logue’s failure to include properties sharing this fundamental similarity to the subject property diminished the probative worth of his opinion of value.</w:t>
      </w:r>
    </w:p>
    <w:p w:rsidR="009E0C3A" w:rsidRDefault="00940000" w:rsidP="00940000">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Furthermore</w:t>
      </w:r>
      <w:r w:rsidR="009E0C3A">
        <w:rPr>
          <w:rFonts w:ascii="Courier New" w:hAnsi="Courier New" w:cs="Courier New"/>
          <w:sz w:val="24"/>
          <w:szCs w:val="24"/>
        </w:rPr>
        <w:t xml:space="preserve">, most of the leases were from properties that were geographically remote from the subject property, when the record showed that there were many closer properties from which Mr. Logue could have sought leases.  </w:t>
      </w:r>
      <w:r w:rsidR="009078E8">
        <w:rPr>
          <w:rFonts w:ascii="Courier New" w:hAnsi="Courier New" w:cs="Courier New"/>
          <w:sz w:val="24"/>
          <w:szCs w:val="24"/>
        </w:rPr>
        <w:t>T</w:t>
      </w:r>
      <w:r w:rsidR="009E0C3A">
        <w:rPr>
          <w:rFonts w:ascii="Courier New" w:hAnsi="Courier New" w:cs="Courier New"/>
          <w:sz w:val="24"/>
          <w:szCs w:val="24"/>
        </w:rPr>
        <w:t>he record showed that Sears had leased space to Primark at the Burlington Mall and South Shore Plaza in Braintree during periods relevant to these appeals, but Mr. Logue did not use those leases for comparison. Moreover, the record showed that Sears leased space to D</w:t>
      </w:r>
      <w:r w:rsidR="001B08CB">
        <w:rPr>
          <w:rFonts w:ascii="Courier New" w:hAnsi="Courier New" w:cs="Courier New"/>
          <w:sz w:val="24"/>
          <w:szCs w:val="24"/>
        </w:rPr>
        <w:t xml:space="preserve">ick’s </w:t>
      </w:r>
      <w:r w:rsidR="009E0C3A">
        <w:rPr>
          <w:rFonts w:ascii="Courier New" w:hAnsi="Courier New" w:cs="Courier New"/>
          <w:sz w:val="24"/>
          <w:szCs w:val="24"/>
        </w:rPr>
        <w:t>in 2014 at The Mall at Rockingham Park.  Despite the fact that Mr.</w:t>
      </w:r>
      <w:r w:rsidR="00183708">
        <w:rPr>
          <w:rFonts w:ascii="Courier New" w:hAnsi="Courier New" w:cs="Courier New"/>
          <w:sz w:val="24"/>
          <w:szCs w:val="24"/>
        </w:rPr>
        <w:t> </w:t>
      </w:r>
      <w:r w:rsidR="009E0C3A">
        <w:rPr>
          <w:rFonts w:ascii="Courier New" w:hAnsi="Courier New" w:cs="Courier New"/>
          <w:sz w:val="24"/>
          <w:szCs w:val="24"/>
        </w:rPr>
        <w:t xml:space="preserve">Logue used a lease from that mall and considered it a good </w:t>
      </w:r>
      <w:r w:rsidR="009E0C3A">
        <w:rPr>
          <w:rFonts w:ascii="Courier New" w:hAnsi="Courier New" w:cs="Courier New"/>
          <w:sz w:val="24"/>
          <w:szCs w:val="24"/>
        </w:rPr>
        <w:lastRenderedPageBreak/>
        <w:t xml:space="preserve">comparable, he did not use the </w:t>
      </w:r>
      <w:r w:rsidR="00C22B2E">
        <w:rPr>
          <w:rFonts w:ascii="Courier New" w:hAnsi="Courier New" w:cs="Courier New"/>
          <w:sz w:val="24"/>
          <w:szCs w:val="24"/>
        </w:rPr>
        <w:t>lease to Dick’</w:t>
      </w:r>
      <w:r w:rsidR="00853CB9">
        <w:rPr>
          <w:rFonts w:ascii="Courier New" w:hAnsi="Courier New" w:cs="Courier New"/>
          <w:sz w:val="24"/>
          <w:szCs w:val="24"/>
        </w:rPr>
        <w:t xml:space="preserve">s, which </w:t>
      </w:r>
      <w:r w:rsidR="00C81454">
        <w:rPr>
          <w:rFonts w:ascii="Courier New" w:hAnsi="Courier New" w:cs="Courier New"/>
          <w:sz w:val="24"/>
          <w:szCs w:val="24"/>
        </w:rPr>
        <w:t xml:space="preserve">had </w:t>
      </w:r>
      <w:r w:rsidR="00506A51">
        <w:rPr>
          <w:rFonts w:ascii="Courier New" w:hAnsi="Courier New" w:cs="Courier New"/>
          <w:sz w:val="24"/>
          <w:szCs w:val="24"/>
        </w:rPr>
        <w:t xml:space="preserve">a rent of $9.25 per square foot on a modified gross </w:t>
      </w:r>
      <w:r w:rsidR="006529D7">
        <w:rPr>
          <w:rFonts w:ascii="Courier New" w:hAnsi="Courier New" w:cs="Courier New"/>
          <w:sz w:val="24"/>
          <w:szCs w:val="24"/>
        </w:rPr>
        <w:t xml:space="preserve">basis - </w:t>
      </w:r>
      <w:r w:rsidR="00853CB9">
        <w:rPr>
          <w:rFonts w:ascii="Courier New" w:hAnsi="Courier New" w:cs="Courier New"/>
          <w:sz w:val="24"/>
          <w:szCs w:val="24"/>
        </w:rPr>
        <w:t xml:space="preserve">higher than </w:t>
      </w:r>
      <w:r w:rsidR="009078E8">
        <w:rPr>
          <w:rFonts w:ascii="Courier New" w:hAnsi="Courier New" w:cs="Courier New"/>
          <w:sz w:val="24"/>
          <w:szCs w:val="24"/>
        </w:rPr>
        <w:t xml:space="preserve">all of </w:t>
      </w:r>
      <w:r w:rsidR="00853CB9">
        <w:rPr>
          <w:rFonts w:ascii="Courier New" w:hAnsi="Courier New" w:cs="Courier New"/>
          <w:sz w:val="24"/>
          <w:szCs w:val="24"/>
        </w:rPr>
        <w:t>the rents selected by Mr. L</w:t>
      </w:r>
      <w:r w:rsidR="002E039D">
        <w:rPr>
          <w:rFonts w:ascii="Courier New" w:hAnsi="Courier New" w:cs="Courier New"/>
          <w:sz w:val="24"/>
          <w:szCs w:val="24"/>
        </w:rPr>
        <w:t xml:space="preserve">ogue as well as </w:t>
      </w:r>
      <w:r w:rsidR="009078E8">
        <w:rPr>
          <w:rFonts w:ascii="Courier New" w:hAnsi="Courier New" w:cs="Courier New"/>
          <w:sz w:val="24"/>
          <w:szCs w:val="24"/>
        </w:rPr>
        <w:t xml:space="preserve">his concluded market rent for the subject property. </w:t>
      </w:r>
      <w:r w:rsidR="00853CB9">
        <w:rPr>
          <w:rFonts w:ascii="Courier New" w:hAnsi="Courier New" w:cs="Courier New"/>
          <w:sz w:val="24"/>
          <w:szCs w:val="24"/>
        </w:rPr>
        <w:t>The selectivity of Mr.</w:t>
      </w:r>
      <w:r w:rsidR="00183708">
        <w:rPr>
          <w:rFonts w:ascii="Courier New" w:hAnsi="Courier New" w:cs="Courier New"/>
          <w:sz w:val="24"/>
          <w:szCs w:val="24"/>
        </w:rPr>
        <w:t> </w:t>
      </w:r>
      <w:r w:rsidR="00853CB9">
        <w:rPr>
          <w:rFonts w:ascii="Courier New" w:hAnsi="Courier New" w:cs="Courier New"/>
          <w:sz w:val="24"/>
          <w:szCs w:val="24"/>
        </w:rPr>
        <w:t xml:space="preserve">Logue’s lease </w:t>
      </w:r>
      <w:proofErr w:type="spellStart"/>
      <w:r w:rsidR="00853CB9">
        <w:rPr>
          <w:rFonts w:ascii="Courier New" w:hAnsi="Courier New" w:cs="Courier New"/>
          <w:sz w:val="24"/>
          <w:szCs w:val="24"/>
        </w:rPr>
        <w:t>comparables</w:t>
      </w:r>
      <w:proofErr w:type="spellEnd"/>
      <w:r w:rsidR="00853CB9">
        <w:rPr>
          <w:rFonts w:ascii="Courier New" w:hAnsi="Courier New" w:cs="Courier New"/>
          <w:sz w:val="24"/>
          <w:szCs w:val="24"/>
        </w:rPr>
        <w:t xml:space="preserve"> called into question his objectivity and further undermined the credibility of his opinion of value.  </w:t>
      </w:r>
    </w:p>
    <w:p w:rsidR="00940000" w:rsidRDefault="002837A3" w:rsidP="002837A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 xml:space="preserve">Most </w:t>
      </w:r>
      <w:r w:rsidR="00940000">
        <w:rPr>
          <w:rFonts w:ascii="Courier New" w:hAnsi="Courier New" w:cs="Courier New"/>
          <w:sz w:val="24"/>
          <w:szCs w:val="24"/>
        </w:rPr>
        <w:t>importantly, the Board found that the leases selected for comparison by Mr. Logue were from properties that were inferior to the subject property</w:t>
      </w:r>
      <w:r w:rsidR="004D6D61">
        <w:rPr>
          <w:rFonts w:ascii="Courier New" w:hAnsi="Courier New" w:cs="Courier New"/>
          <w:sz w:val="24"/>
          <w:szCs w:val="24"/>
        </w:rPr>
        <w:t xml:space="preserve">.  </w:t>
      </w:r>
      <w:r w:rsidR="00192A09">
        <w:rPr>
          <w:rFonts w:ascii="Courier New" w:hAnsi="Courier New" w:cs="Courier New"/>
          <w:sz w:val="24"/>
          <w:szCs w:val="24"/>
        </w:rPr>
        <w:t xml:space="preserve">Two of the leases on which he relied were for stores that have since closed.  One of the malls used by Mr. Logue was foreclosed upon, while others struggled with vacancies and tenant turnover.  </w:t>
      </w:r>
      <w:r w:rsidR="00940000">
        <w:rPr>
          <w:rFonts w:ascii="Courier New" w:hAnsi="Courier New" w:cs="Courier New"/>
          <w:sz w:val="24"/>
          <w:szCs w:val="24"/>
        </w:rPr>
        <w:t xml:space="preserve">In reaching its conclusion that Mr. Logue’s comparison properties were not of </w:t>
      </w:r>
      <w:r w:rsidR="009078E8">
        <w:rPr>
          <w:rFonts w:ascii="Courier New" w:hAnsi="Courier New" w:cs="Courier New"/>
          <w:sz w:val="24"/>
          <w:szCs w:val="24"/>
        </w:rPr>
        <w:t>the same caliber as the subject property</w:t>
      </w:r>
      <w:r w:rsidR="00940000">
        <w:rPr>
          <w:rFonts w:ascii="Courier New" w:hAnsi="Courier New" w:cs="Courier New"/>
          <w:sz w:val="24"/>
          <w:szCs w:val="24"/>
        </w:rPr>
        <w:t>, the Board was persuaded by and placed weight on the testi</w:t>
      </w:r>
      <w:r w:rsidR="00261DEF">
        <w:rPr>
          <w:rFonts w:ascii="Courier New" w:hAnsi="Courier New" w:cs="Courier New"/>
          <w:sz w:val="24"/>
          <w:szCs w:val="24"/>
        </w:rPr>
        <w:t>mony and review appraisal of Mr.</w:t>
      </w:r>
      <w:r w:rsidR="00183708">
        <w:rPr>
          <w:rFonts w:ascii="Courier New" w:hAnsi="Courier New" w:cs="Courier New"/>
          <w:sz w:val="24"/>
          <w:szCs w:val="24"/>
        </w:rPr>
        <w:t> </w:t>
      </w:r>
      <w:proofErr w:type="spellStart"/>
      <w:r w:rsidR="00940000">
        <w:rPr>
          <w:rFonts w:ascii="Courier New" w:hAnsi="Courier New" w:cs="Courier New"/>
          <w:sz w:val="24"/>
          <w:szCs w:val="24"/>
        </w:rPr>
        <w:t>Whitm</w:t>
      </w:r>
      <w:r w:rsidR="001B08CB">
        <w:rPr>
          <w:rFonts w:ascii="Courier New" w:hAnsi="Courier New" w:cs="Courier New"/>
          <w:sz w:val="24"/>
          <w:szCs w:val="24"/>
        </w:rPr>
        <w:t>er</w:t>
      </w:r>
      <w:proofErr w:type="spellEnd"/>
      <w:r w:rsidR="001B08CB">
        <w:rPr>
          <w:rFonts w:ascii="Courier New" w:hAnsi="Courier New" w:cs="Courier New"/>
          <w:sz w:val="24"/>
          <w:szCs w:val="24"/>
        </w:rPr>
        <w:t xml:space="preserve">. </w:t>
      </w:r>
      <w:r w:rsidR="007F598C">
        <w:rPr>
          <w:rFonts w:ascii="Courier New" w:hAnsi="Courier New" w:cs="Courier New"/>
          <w:sz w:val="24"/>
          <w:szCs w:val="24"/>
        </w:rPr>
        <w:t xml:space="preserve"> Mr. </w:t>
      </w:r>
      <w:proofErr w:type="spellStart"/>
      <w:r w:rsidR="007F598C">
        <w:rPr>
          <w:rFonts w:ascii="Courier New" w:hAnsi="Courier New" w:cs="Courier New"/>
          <w:sz w:val="24"/>
          <w:szCs w:val="24"/>
        </w:rPr>
        <w:t>Whitmer’s</w:t>
      </w:r>
      <w:proofErr w:type="spellEnd"/>
      <w:r w:rsidR="007F598C">
        <w:rPr>
          <w:rFonts w:ascii="Courier New" w:hAnsi="Courier New" w:cs="Courier New"/>
          <w:sz w:val="24"/>
          <w:szCs w:val="24"/>
        </w:rPr>
        <w:t xml:space="preserve"> testimony and review appraisal </w:t>
      </w:r>
      <w:r w:rsidR="00940000">
        <w:rPr>
          <w:rFonts w:ascii="Courier New" w:hAnsi="Courier New" w:cs="Courier New"/>
          <w:sz w:val="24"/>
          <w:szCs w:val="24"/>
        </w:rPr>
        <w:t xml:space="preserve">showed that the Galleria was superior to all of the malls selected for comparison by Mr. Logue, in some cases, dramatically so. </w:t>
      </w:r>
      <w:r w:rsidR="004D6D61">
        <w:rPr>
          <w:rFonts w:ascii="Courier New" w:hAnsi="Courier New" w:cs="Courier New"/>
          <w:sz w:val="24"/>
          <w:szCs w:val="24"/>
        </w:rPr>
        <w:t xml:space="preserve">In particular, Mr. </w:t>
      </w:r>
      <w:proofErr w:type="spellStart"/>
      <w:r w:rsidR="004D6D61">
        <w:rPr>
          <w:rFonts w:ascii="Courier New" w:hAnsi="Courier New" w:cs="Courier New"/>
          <w:sz w:val="24"/>
          <w:szCs w:val="24"/>
        </w:rPr>
        <w:t>Whitmer’s</w:t>
      </w:r>
      <w:proofErr w:type="spellEnd"/>
      <w:r w:rsidR="004D6D61">
        <w:rPr>
          <w:rFonts w:ascii="Courier New" w:hAnsi="Courier New" w:cs="Courier New"/>
          <w:sz w:val="24"/>
          <w:szCs w:val="24"/>
        </w:rPr>
        <w:t xml:space="preserve"> testimony and review appraisal convincingly demonstrated that even the Natick Mall, which was geographically clos</w:t>
      </w:r>
      <w:r w:rsidR="007F598C">
        <w:rPr>
          <w:rFonts w:ascii="Courier New" w:hAnsi="Courier New" w:cs="Courier New"/>
          <w:sz w:val="24"/>
          <w:szCs w:val="24"/>
        </w:rPr>
        <w:t xml:space="preserve">est to the Galleria and generated </w:t>
      </w:r>
      <w:r w:rsidR="004D6D61">
        <w:rPr>
          <w:rFonts w:ascii="Courier New" w:hAnsi="Courier New" w:cs="Courier New"/>
          <w:sz w:val="24"/>
          <w:szCs w:val="24"/>
        </w:rPr>
        <w:t>the highest rent used by Mr.</w:t>
      </w:r>
      <w:r w:rsidR="00B57168">
        <w:rPr>
          <w:rFonts w:ascii="Courier New" w:hAnsi="Courier New" w:cs="Courier New"/>
          <w:sz w:val="24"/>
          <w:szCs w:val="24"/>
        </w:rPr>
        <w:t xml:space="preserve"> Logue, was inferior</w:t>
      </w:r>
      <w:r w:rsidR="004D6D61">
        <w:rPr>
          <w:rFonts w:ascii="Courier New" w:hAnsi="Courier New" w:cs="Courier New"/>
          <w:sz w:val="24"/>
          <w:szCs w:val="24"/>
        </w:rPr>
        <w:t xml:space="preserve">.  This evidence contradicted Mr. Logue’s conclusion that the </w:t>
      </w:r>
      <w:r w:rsidR="004D6D61">
        <w:rPr>
          <w:rFonts w:ascii="Courier New" w:hAnsi="Courier New" w:cs="Courier New"/>
          <w:sz w:val="24"/>
          <w:szCs w:val="24"/>
        </w:rPr>
        <w:lastRenderedPageBreak/>
        <w:t xml:space="preserve">Natick Mall was superior, such that the rent he used from it required downward adjustment to be comparable to the subject property.   The Board found that Mr. Logue’s reliance on properties that were inferior to the subject property </w:t>
      </w:r>
      <w:r w:rsidR="00B57168">
        <w:rPr>
          <w:rFonts w:ascii="Courier New" w:hAnsi="Courier New" w:cs="Courier New"/>
          <w:sz w:val="24"/>
          <w:szCs w:val="24"/>
        </w:rPr>
        <w:t xml:space="preserve">as well as this unwarranted downward adjustment to his highest rent </w:t>
      </w:r>
      <w:r w:rsidR="004D6D61">
        <w:rPr>
          <w:rFonts w:ascii="Courier New" w:hAnsi="Courier New" w:cs="Courier New"/>
          <w:sz w:val="24"/>
          <w:szCs w:val="24"/>
        </w:rPr>
        <w:t>likely caused his estimation of fair market rent to be significantly understated</w:t>
      </w:r>
      <w:r w:rsidR="009078E8">
        <w:rPr>
          <w:rFonts w:ascii="Courier New" w:hAnsi="Courier New" w:cs="Courier New"/>
          <w:sz w:val="24"/>
          <w:szCs w:val="24"/>
        </w:rPr>
        <w:t xml:space="preserve">, which further undermined </w:t>
      </w:r>
      <w:r w:rsidR="00B57168">
        <w:rPr>
          <w:rFonts w:ascii="Courier New" w:hAnsi="Courier New" w:cs="Courier New"/>
          <w:sz w:val="24"/>
          <w:szCs w:val="24"/>
        </w:rPr>
        <w:t xml:space="preserve">the reliability of his opinion of fair cash value. </w:t>
      </w:r>
    </w:p>
    <w:p w:rsidR="00EE5466" w:rsidRDefault="00EE5466" w:rsidP="002837A3">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Lastly, not</w:t>
      </w:r>
      <w:r w:rsidR="002F4B11">
        <w:rPr>
          <w:rFonts w:ascii="Courier New" w:hAnsi="Courier New" w:cs="Courier New"/>
          <w:sz w:val="24"/>
          <w:szCs w:val="24"/>
        </w:rPr>
        <w:t xml:space="preserve">withstanding the significant differences between the subject property and the comparison properties, Mr. Logue did not provide an adjustment grid or otherwise explain in detail the basis for his adjustments to market rent.  As noted by Mr. </w:t>
      </w:r>
      <w:proofErr w:type="spellStart"/>
      <w:r w:rsidR="002F4B11">
        <w:rPr>
          <w:rFonts w:ascii="Courier New" w:hAnsi="Courier New" w:cs="Courier New"/>
          <w:sz w:val="24"/>
          <w:szCs w:val="24"/>
        </w:rPr>
        <w:t>Whitmer</w:t>
      </w:r>
      <w:proofErr w:type="spellEnd"/>
      <w:r w:rsidR="002F4B11">
        <w:rPr>
          <w:rFonts w:ascii="Courier New" w:hAnsi="Courier New" w:cs="Courier New"/>
          <w:sz w:val="24"/>
          <w:szCs w:val="24"/>
        </w:rPr>
        <w:t>, Mr. Log</w:t>
      </w:r>
      <w:r w:rsidR="00AB6028">
        <w:rPr>
          <w:rFonts w:ascii="Courier New" w:hAnsi="Courier New" w:cs="Courier New"/>
          <w:sz w:val="24"/>
          <w:szCs w:val="24"/>
        </w:rPr>
        <w:t xml:space="preserve">ue used rents that </w:t>
      </w:r>
      <w:r w:rsidR="002F4B11">
        <w:rPr>
          <w:rFonts w:ascii="Courier New" w:hAnsi="Courier New" w:cs="Courier New"/>
          <w:sz w:val="24"/>
          <w:szCs w:val="24"/>
        </w:rPr>
        <w:t xml:space="preserve">were reported by him to be </w:t>
      </w:r>
      <w:r w:rsidR="00E16025">
        <w:rPr>
          <w:rFonts w:ascii="Courier New" w:hAnsi="Courier New" w:cs="Courier New"/>
          <w:sz w:val="24"/>
          <w:szCs w:val="24"/>
        </w:rPr>
        <w:t xml:space="preserve">on </w:t>
      </w:r>
      <w:r w:rsidR="00457549">
        <w:rPr>
          <w:rFonts w:ascii="Courier New" w:hAnsi="Courier New" w:cs="Courier New"/>
          <w:sz w:val="24"/>
          <w:szCs w:val="24"/>
        </w:rPr>
        <w:t xml:space="preserve">gross, modified gross, or modified net </w:t>
      </w:r>
      <w:r w:rsidR="002F4B11">
        <w:rPr>
          <w:rFonts w:ascii="Courier New" w:hAnsi="Courier New" w:cs="Courier New"/>
          <w:sz w:val="24"/>
          <w:szCs w:val="24"/>
        </w:rPr>
        <w:t xml:space="preserve">terms, but he did not explain how he adjusted those rents to get to the triple-net rent that he ultimately used.  The Board found that Mr. Logue’s failure to explain the basis for his adjustments detracted from the probative worth of his opinion of fair cash value. </w:t>
      </w:r>
    </w:p>
    <w:p w:rsidR="00CA3CD5" w:rsidRDefault="00B57168" w:rsidP="00B57168">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In conclusion, the Board found that the valuation evidence offered by the appellant failed to provide a reliable indication of fair cash value for the subject property, and the appellant therefore failed to meet its burden of proof. Accordingly, the Board issued a decision for the appellee in these appeals.</w:t>
      </w:r>
    </w:p>
    <w:p w:rsidR="007F548C" w:rsidRDefault="00693346" w:rsidP="00183708">
      <w:pPr>
        <w:spacing w:line="480" w:lineRule="auto"/>
        <w:ind w:firstLine="720"/>
        <w:contextualSpacing/>
        <w:jc w:val="center"/>
        <w:rPr>
          <w:rFonts w:ascii="Courier New" w:hAnsi="Courier New" w:cs="Courier New"/>
          <w:b/>
          <w:sz w:val="24"/>
          <w:szCs w:val="24"/>
        </w:rPr>
      </w:pPr>
      <w:r>
        <w:rPr>
          <w:rFonts w:ascii="Courier New" w:hAnsi="Courier New" w:cs="Courier New"/>
          <w:b/>
          <w:sz w:val="24"/>
          <w:szCs w:val="24"/>
        </w:rPr>
        <w:lastRenderedPageBreak/>
        <w:t>OPINION</w:t>
      </w:r>
    </w:p>
    <w:p w:rsidR="00270957" w:rsidRPr="00270957" w:rsidRDefault="00270957" w:rsidP="00270957">
      <w:pPr>
        <w:spacing w:after="0" w:line="480" w:lineRule="auto"/>
        <w:ind w:firstLine="720"/>
        <w:contextualSpacing/>
        <w:jc w:val="both"/>
        <w:rPr>
          <w:rFonts w:ascii="Courier New" w:eastAsia="Times New Roman" w:hAnsi="Courier New" w:cs="Courier New"/>
          <w:sz w:val="24"/>
          <w:szCs w:val="24"/>
        </w:rPr>
      </w:pPr>
      <w:r w:rsidRPr="00270957">
        <w:rPr>
          <w:rFonts w:ascii="Courier New" w:eastAsia="Times New Roman" w:hAnsi="Courier New" w:cs="Courier New"/>
          <w:sz w:val="24"/>
          <w:szCs w:val="24"/>
        </w:rPr>
        <w:t xml:space="preserve">The assessors are required to assess real estate at its fair cash value. G.L. c. 59, § 38.  Fair cash value is defined as the price on which a willing seller and a willing buyer will agree if both of them are fully informed and under no compulsion.  </w:t>
      </w:r>
      <w:r w:rsidRPr="00270957">
        <w:rPr>
          <w:rFonts w:ascii="Courier New" w:eastAsia="Times New Roman" w:hAnsi="Courier New" w:cs="Courier New"/>
          <w:b/>
          <w:bCs/>
          <w:i/>
          <w:iCs/>
          <w:sz w:val="24"/>
          <w:szCs w:val="24"/>
        </w:rPr>
        <w:t>Boston Gas Co. v. Assessors of Boston,</w:t>
      </w:r>
      <w:r w:rsidRPr="00270957">
        <w:rPr>
          <w:rFonts w:ascii="Courier New" w:eastAsia="Times New Roman" w:hAnsi="Courier New" w:cs="Courier New"/>
          <w:sz w:val="24"/>
          <w:szCs w:val="24"/>
        </w:rPr>
        <w:t xml:space="preserve"> 334 Mass. 549, 566 (1956).</w:t>
      </w:r>
    </w:p>
    <w:p w:rsidR="00270957" w:rsidRPr="00270957" w:rsidRDefault="00270957" w:rsidP="00270957">
      <w:pPr>
        <w:spacing w:after="0" w:line="480" w:lineRule="auto"/>
        <w:ind w:firstLine="720"/>
        <w:contextualSpacing/>
        <w:jc w:val="both"/>
        <w:rPr>
          <w:rFonts w:ascii="Courier New" w:eastAsia="Times New Roman" w:hAnsi="Courier New" w:cs="Courier New"/>
          <w:color w:val="333333"/>
          <w:sz w:val="24"/>
          <w:szCs w:val="24"/>
        </w:rPr>
      </w:pPr>
      <w:r w:rsidRPr="00270957">
        <w:rPr>
          <w:rFonts w:ascii="Courier New" w:eastAsia="Times New Roman" w:hAnsi="Courier New" w:cs="Courier New"/>
          <w:color w:val="333333"/>
          <w:sz w:val="24"/>
          <w:szCs w:val="24"/>
        </w:rPr>
        <w:t xml:space="preserve"> </w:t>
      </w:r>
      <w:r w:rsidRPr="00270957">
        <w:rPr>
          <w:rFonts w:ascii="Courier New" w:eastAsia="Times New Roman" w:hAnsi="Courier New" w:cs="Courier New"/>
          <w:sz w:val="24"/>
          <w:szCs w:val="24"/>
        </w:rPr>
        <w:t xml:space="preserve">“‘The burden of proof is upon the [appellant] to make out its right as a matter of law to abatement of the tax.’”  </w:t>
      </w:r>
      <w:proofErr w:type="spellStart"/>
      <w:r w:rsidR="00AB6028">
        <w:rPr>
          <w:rFonts w:ascii="Courier New" w:eastAsia="Times New Roman" w:hAnsi="Courier New" w:cs="Courier New"/>
          <w:b/>
          <w:i/>
          <w:iCs/>
          <w:sz w:val="24"/>
          <w:szCs w:val="24"/>
        </w:rPr>
        <w:t>Schlaiker</w:t>
      </w:r>
      <w:proofErr w:type="spellEnd"/>
      <w:r w:rsidR="00AB6028">
        <w:rPr>
          <w:rFonts w:ascii="Courier New" w:eastAsia="Times New Roman" w:hAnsi="Courier New" w:cs="Courier New"/>
          <w:b/>
          <w:i/>
          <w:iCs/>
          <w:sz w:val="24"/>
          <w:szCs w:val="24"/>
        </w:rPr>
        <w:t xml:space="preserve"> v. </w:t>
      </w:r>
      <w:r w:rsidRPr="00270957">
        <w:rPr>
          <w:rFonts w:ascii="Courier New" w:eastAsia="Times New Roman" w:hAnsi="Courier New" w:cs="Courier New"/>
          <w:b/>
          <w:i/>
          <w:iCs/>
          <w:sz w:val="24"/>
          <w:szCs w:val="24"/>
        </w:rPr>
        <w:t>Assessors of Great Barrington,</w:t>
      </w:r>
      <w:r w:rsidRPr="00270957">
        <w:rPr>
          <w:rFonts w:ascii="Courier New" w:eastAsia="Times New Roman" w:hAnsi="Courier New" w:cs="Courier New"/>
          <w:sz w:val="24"/>
          <w:szCs w:val="24"/>
        </w:rPr>
        <w:t xml:space="preserve"> 365</w:t>
      </w:r>
      <w:r w:rsidR="00CA3CD5">
        <w:rPr>
          <w:rFonts w:ascii="Courier New" w:eastAsia="Times New Roman" w:hAnsi="Courier New" w:cs="Courier New"/>
          <w:sz w:val="24"/>
          <w:szCs w:val="24"/>
        </w:rPr>
        <w:t xml:space="preserve"> </w:t>
      </w:r>
      <w:r w:rsidRPr="00270957">
        <w:rPr>
          <w:rFonts w:ascii="Courier New" w:eastAsia="Times New Roman" w:hAnsi="Courier New" w:cs="Courier New"/>
          <w:sz w:val="24"/>
          <w:szCs w:val="24"/>
        </w:rPr>
        <w:t>Mass. 243, 245 (1974) (quoting</w:t>
      </w:r>
      <w:r w:rsidRPr="00270957">
        <w:rPr>
          <w:rFonts w:ascii="Courier New" w:eastAsia="Times New Roman" w:hAnsi="Courier New" w:cs="Courier New"/>
          <w:i/>
          <w:iCs/>
          <w:sz w:val="24"/>
          <w:szCs w:val="24"/>
        </w:rPr>
        <w:t xml:space="preserve"> </w:t>
      </w:r>
      <w:r w:rsidRPr="00270957">
        <w:rPr>
          <w:rFonts w:ascii="Courier New" w:eastAsia="Times New Roman" w:hAnsi="Courier New" w:cs="Courier New"/>
          <w:b/>
          <w:i/>
          <w:iCs/>
          <w:sz w:val="24"/>
          <w:szCs w:val="24"/>
        </w:rPr>
        <w:t>Judson Freight Forwarding Co. v. Commonwealth</w:t>
      </w:r>
      <w:r w:rsidRPr="00270957">
        <w:rPr>
          <w:rFonts w:ascii="Courier New" w:eastAsia="Times New Roman" w:hAnsi="Courier New" w:cs="Courier New"/>
          <w:sz w:val="24"/>
          <w:szCs w:val="24"/>
        </w:rPr>
        <w:t xml:space="preserve">, 242 Mass. 47, 55 (1922)).  </w:t>
      </w:r>
      <w:r w:rsidR="00CA3CD5">
        <w:rPr>
          <w:rFonts w:ascii="Courier New" w:eastAsia="Times New Roman" w:hAnsi="Courier New" w:cs="Courier New"/>
          <w:color w:val="333333"/>
          <w:sz w:val="24"/>
          <w:szCs w:val="24"/>
        </w:rPr>
        <w:t>“</w:t>
      </w:r>
      <w:r w:rsidRPr="00270957">
        <w:rPr>
          <w:rFonts w:ascii="Courier New" w:eastAsia="Times New Roman" w:hAnsi="Courier New" w:cs="Courier New"/>
          <w:color w:val="333333"/>
          <w:sz w:val="24"/>
          <w:szCs w:val="24"/>
        </w:rPr>
        <w:t xml:space="preserve">[T]he board is entitled to </w:t>
      </w:r>
      <w:r w:rsidR="00CA3CD5">
        <w:rPr>
          <w:rFonts w:ascii="Courier New" w:eastAsia="Times New Roman" w:hAnsi="Courier New" w:cs="Courier New"/>
          <w:color w:val="333333"/>
          <w:sz w:val="24"/>
          <w:szCs w:val="24"/>
        </w:rPr>
        <w:t>‘</w:t>
      </w:r>
      <w:r w:rsidRPr="00270957">
        <w:rPr>
          <w:rFonts w:ascii="Courier New" w:eastAsia="Times New Roman" w:hAnsi="Courier New" w:cs="Courier New"/>
          <w:color w:val="333333"/>
          <w:sz w:val="24"/>
          <w:szCs w:val="24"/>
        </w:rPr>
        <w:t>presume that the valuation made by the assessors [is] valid unless the taxpayer[] . . . prove[s] the contrary.</w:t>
      </w:r>
      <w:r w:rsidR="00CA3CD5">
        <w:rPr>
          <w:rFonts w:ascii="Courier New" w:eastAsia="Times New Roman" w:hAnsi="Courier New" w:cs="Courier New"/>
          <w:color w:val="333333"/>
          <w:sz w:val="24"/>
          <w:szCs w:val="24"/>
        </w:rPr>
        <w:t>’”</w:t>
      </w:r>
      <w:r w:rsidRPr="00270957">
        <w:rPr>
          <w:rFonts w:ascii="Courier New" w:eastAsia="Times New Roman" w:hAnsi="Courier New" w:cs="Courier New"/>
          <w:color w:val="333333"/>
          <w:sz w:val="24"/>
          <w:szCs w:val="24"/>
        </w:rPr>
        <w:t xml:space="preserve">  </w:t>
      </w:r>
      <w:r w:rsidRPr="00270957">
        <w:rPr>
          <w:rFonts w:ascii="Courier New" w:eastAsia="Times New Roman" w:hAnsi="Courier New" w:cs="Courier New"/>
          <w:b/>
          <w:i/>
          <w:color w:val="333333"/>
          <w:sz w:val="24"/>
          <w:szCs w:val="24"/>
        </w:rPr>
        <w:t>General Electric Co. v. Assessors of Lynn</w:t>
      </w:r>
      <w:r w:rsidRPr="00270957">
        <w:rPr>
          <w:rFonts w:ascii="Courier New" w:eastAsia="Times New Roman" w:hAnsi="Courier New" w:cs="Courier New"/>
          <w:color w:val="333333"/>
          <w:sz w:val="24"/>
          <w:szCs w:val="24"/>
        </w:rPr>
        <w:t xml:space="preserve">, 393 Mass. 591, 598 (1984) (quoting </w:t>
      </w:r>
      <w:proofErr w:type="spellStart"/>
      <w:r w:rsidRPr="00270957">
        <w:rPr>
          <w:rFonts w:ascii="Courier New" w:eastAsia="Times New Roman" w:hAnsi="Courier New" w:cs="Courier New"/>
          <w:b/>
          <w:i/>
          <w:color w:val="333333"/>
          <w:sz w:val="24"/>
          <w:szCs w:val="24"/>
        </w:rPr>
        <w:t>Schlaiker</w:t>
      </w:r>
      <w:proofErr w:type="spellEnd"/>
      <w:r w:rsidRPr="00270957">
        <w:rPr>
          <w:rFonts w:ascii="Courier New" w:eastAsia="Times New Roman" w:hAnsi="Courier New" w:cs="Courier New"/>
          <w:color w:val="333333"/>
          <w:sz w:val="24"/>
          <w:szCs w:val="24"/>
        </w:rPr>
        <w:t xml:space="preserve">, 365 Mass. at 245). </w:t>
      </w:r>
    </w:p>
    <w:p w:rsidR="00270957" w:rsidRDefault="00CD5C31" w:rsidP="00693346">
      <w:pPr>
        <w:spacing w:line="480" w:lineRule="auto"/>
        <w:contextualSpacing/>
        <w:jc w:val="both"/>
        <w:rPr>
          <w:rFonts w:ascii="Courier New" w:hAnsi="Courier New" w:cs="Courier New"/>
          <w:color w:val="333333"/>
          <w:sz w:val="24"/>
          <w:szCs w:val="24"/>
        </w:rPr>
      </w:pPr>
      <w:r w:rsidRPr="00CD5C31">
        <w:rPr>
          <w:rFonts w:ascii="Courier New" w:hAnsi="Courier New" w:cs="Courier New"/>
          <w:b/>
          <w:sz w:val="24"/>
          <w:szCs w:val="24"/>
        </w:rPr>
        <w:tab/>
      </w:r>
      <w:r w:rsidRPr="00CD5C31">
        <w:rPr>
          <w:rFonts w:ascii="Courier New" w:hAnsi="Courier New" w:cs="Courier New"/>
          <w:color w:val="333333"/>
          <w:sz w:val="24"/>
          <w:szCs w:val="24"/>
        </w:rPr>
        <w:t xml:space="preserve">In appeals before this Board, a taxpayer </w:t>
      </w:r>
      <w:r w:rsidR="00CA3CD5">
        <w:rPr>
          <w:rFonts w:ascii="Courier New" w:hAnsi="Courier New" w:cs="Courier New"/>
          <w:color w:val="333333"/>
          <w:sz w:val="24"/>
          <w:szCs w:val="24"/>
        </w:rPr>
        <w:t>“‘</w:t>
      </w:r>
      <w:r w:rsidRPr="00CD5C31">
        <w:rPr>
          <w:rFonts w:ascii="Courier New" w:hAnsi="Courier New" w:cs="Courier New"/>
          <w:color w:val="333333"/>
          <w:sz w:val="24"/>
          <w:szCs w:val="24"/>
        </w:rPr>
        <w:t>may present persuasive evidence of overvaluation either by exposing flaws or errors in the assessors' method of valuation, or by introducing affirmative evidence of value which undermines the assessors</w:t>
      </w:r>
      <w:r w:rsidR="00CA3CD5">
        <w:rPr>
          <w:rFonts w:ascii="Courier New" w:hAnsi="Courier New" w:cs="Courier New"/>
          <w:color w:val="333333"/>
          <w:sz w:val="24"/>
          <w:szCs w:val="24"/>
        </w:rPr>
        <w:t>’</w:t>
      </w:r>
      <w:r w:rsidRPr="00CD5C31">
        <w:rPr>
          <w:rFonts w:ascii="Courier New" w:hAnsi="Courier New" w:cs="Courier New"/>
          <w:color w:val="333333"/>
          <w:sz w:val="24"/>
          <w:szCs w:val="24"/>
        </w:rPr>
        <w:t xml:space="preserve"> valuation.</w:t>
      </w:r>
      <w:r w:rsidR="00CA3CD5">
        <w:rPr>
          <w:rFonts w:ascii="Courier New" w:hAnsi="Courier New" w:cs="Courier New"/>
          <w:color w:val="333333"/>
          <w:sz w:val="24"/>
          <w:szCs w:val="24"/>
        </w:rPr>
        <w:t>’”</w:t>
      </w:r>
      <w:r w:rsidRPr="00CD5C31">
        <w:rPr>
          <w:rFonts w:ascii="Courier New" w:hAnsi="Courier New" w:cs="Courier New"/>
          <w:color w:val="333333"/>
          <w:sz w:val="24"/>
          <w:szCs w:val="24"/>
        </w:rPr>
        <w:t xml:space="preserve">  </w:t>
      </w:r>
      <w:r w:rsidRPr="00CD5C31">
        <w:rPr>
          <w:rFonts w:ascii="Courier New" w:hAnsi="Courier New" w:cs="Courier New"/>
          <w:b/>
          <w:i/>
          <w:color w:val="333333"/>
          <w:sz w:val="24"/>
          <w:szCs w:val="24"/>
        </w:rPr>
        <w:t>General Electric</w:t>
      </w:r>
      <w:r w:rsidR="001705C7">
        <w:rPr>
          <w:rFonts w:ascii="Courier New" w:hAnsi="Courier New" w:cs="Courier New"/>
          <w:b/>
          <w:i/>
          <w:color w:val="333333"/>
          <w:sz w:val="24"/>
          <w:szCs w:val="24"/>
        </w:rPr>
        <w:t xml:space="preserve"> Co.</w:t>
      </w:r>
      <w:r w:rsidRPr="00CD5C31">
        <w:rPr>
          <w:rFonts w:ascii="Courier New" w:hAnsi="Courier New" w:cs="Courier New"/>
          <w:color w:val="333333"/>
          <w:sz w:val="24"/>
          <w:szCs w:val="24"/>
        </w:rPr>
        <w:t xml:space="preserve">, 393 Mass. at 600 (quoting </w:t>
      </w:r>
      <w:proofErr w:type="spellStart"/>
      <w:r w:rsidRPr="00CD5C31">
        <w:rPr>
          <w:rFonts w:ascii="Courier New" w:hAnsi="Courier New" w:cs="Courier New"/>
          <w:b/>
          <w:i/>
          <w:color w:val="333333"/>
          <w:sz w:val="24"/>
          <w:szCs w:val="24"/>
        </w:rPr>
        <w:t>Donlon</w:t>
      </w:r>
      <w:proofErr w:type="spellEnd"/>
      <w:r w:rsidRPr="00CD5C31">
        <w:rPr>
          <w:rFonts w:ascii="Courier New" w:hAnsi="Courier New" w:cs="Courier New"/>
          <w:b/>
          <w:i/>
          <w:color w:val="333333"/>
          <w:sz w:val="24"/>
          <w:szCs w:val="24"/>
        </w:rPr>
        <w:t xml:space="preserve"> v. Assessors of Holliston, </w:t>
      </w:r>
      <w:r w:rsidRPr="00CD5C31">
        <w:rPr>
          <w:rFonts w:ascii="Courier New" w:hAnsi="Courier New" w:cs="Courier New"/>
          <w:color w:val="333333"/>
          <w:sz w:val="24"/>
          <w:szCs w:val="24"/>
        </w:rPr>
        <w:t>389 Mass. 848, 855 (1983)).</w:t>
      </w:r>
    </w:p>
    <w:p w:rsidR="00A331DD" w:rsidRPr="00A331DD" w:rsidRDefault="00A331DD" w:rsidP="00A331DD">
      <w:pPr>
        <w:spacing w:after="0" w:line="480" w:lineRule="auto"/>
        <w:ind w:firstLine="720"/>
        <w:contextualSpacing/>
        <w:jc w:val="both"/>
        <w:rPr>
          <w:rFonts w:ascii="Courier New" w:eastAsia="Times New Roman" w:hAnsi="Courier New" w:cs="Courier New"/>
          <w:sz w:val="24"/>
          <w:szCs w:val="24"/>
        </w:rPr>
      </w:pPr>
      <w:r w:rsidRPr="00A331DD">
        <w:rPr>
          <w:rFonts w:ascii="Courier New" w:eastAsia="Times New Roman" w:hAnsi="Courier New" w:cs="Courier New"/>
          <w:sz w:val="24"/>
          <w:szCs w:val="24"/>
        </w:rPr>
        <w:t xml:space="preserve">“‘Prior to valuing the subject property, its highest and best use must be ascertained.’”  </w:t>
      </w:r>
      <w:proofErr w:type="spellStart"/>
      <w:r w:rsidRPr="00A331DD">
        <w:rPr>
          <w:rFonts w:ascii="Courier New" w:eastAsia="Times New Roman" w:hAnsi="Courier New" w:cs="Courier New"/>
          <w:b/>
          <w:i/>
          <w:sz w:val="24"/>
          <w:szCs w:val="24"/>
        </w:rPr>
        <w:t>Tsissa</w:t>
      </w:r>
      <w:proofErr w:type="spellEnd"/>
      <w:r w:rsidRPr="00A331DD">
        <w:rPr>
          <w:rFonts w:ascii="Courier New" w:eastAsia="Times New Roman" w:hAnsi="Courier New" w:cs="Courier New"/>
          <w:b/>
          <w:i/>
          <w:sz w:val="24"/>
          <w:szCs w:val="24"/>
        </w:rPr>
        <w:t xml:space="preserve">, Inc. v. Assessors of </w:t>
      </w:r>
      <w:r w:rsidRPr="00A331DD">
        <w:rPr>
          <w:rFonts w:ascii="Courier New" w:eastAsia="Times New Roman" w:hAnsi="Courier New" w:cs="Courier New"/>
          <w:b/>
          <w:i/>
          <w:sz w:val="24"/>
          <w:szCs w:val="24"/>
        </w:rPr>
        <w:lastRenderedPageBreak/>
        <w:t xml:space="preserve">West Tisbury, </w:t>
      </w:r>
      <w:r w:rsidRPr="00A331DD">
        <w:rPr>
          <w:rFonts w:ascii="Courier New" w:eastAsia="Times New Roman" w:hAnsi="Courier New" w:cs="Courier New"/>
          <w:sz w:val="24"/>
          <w:szCs w:val="24"/>
        </w:rPr>
        <w:t xml:space="preserve">Mass. ATB Findings of Fact and Reports 2011-198, 216 (quoting </w:t>
      </w:r>
      <w:r w:rsidRPr="00A331DD">
        <w:rPr>
          <w:rFonts w:ascii="Courier New" w:eastAsia="Times New Roman" w:hAnsi="Courier New" w:cs="Courier New"/>
          <w:b/>
          <w:bCs/>
          <w:i/>
          <w:iCs/>
          <w:sz w:val="24"/>
          <w:szCs w:val="24"/>
        </w:rPr>
        <w:t xml:space="preserve">Tennessee Gas Pipeline Co. v. Assessors of Agawam, </w:t>
      </w:r>
      <w:r w:rsidRPr="00A331DD">
        <w:rPr>
          <w:rFonts w:ascii="Courier New" w:eastAsia="Times New Roman" w:hAnsi="Courier New" w:cs="Courier New"/>
          <w:sz w:val="24"/>
          <w:szCs w:val="24"/>
        </w:rPr>
        <w:t xml:space="preserve">Mass. ATB Findings of Fact and Reports 2000-859, 874).  In determining fair cash value, all uses to which the property was or could reasonably be adapted on the relevant assessment dates should be considered.  </w:t>
      </w:r>
      <w:r w:rsidRPr="00A331DD">
        <w:rPr>
          <w:rFonts w:ascii="Courier New" w:eastAsia="Times New Roman" w:hAnsi="Courier New" w:cs="Courier New"/>
          <w:b/>
          <w:bCs/>
          <w:i/>
          <w:iCs/>
          <w:sz w:val="24"/>
          <w:szCs w:val="24"/>
        </w:rPr>
        <w:t>Irving Saunders Trust v. Assessors of Boston</w:t>
      </w:r>
      <w:r w:rsidRPr="00A331DD">
        <w:rPr>
          <w:rFonts w:ascii="Courier New" w:eastAsia="Times New Roman" w:hAnsi="Courier New" w:cs="Courier New"/>
          <w:sz w:val="24"/>
          <w:szCs w:val="24"/>
        </w:rPr>
        <w:t xml:space="preserve">, 26 Mass. App. Ct. 838, 843 (1989).  The goal is to ascertain the maximum value of the property for any legitimate and reasonable use.  </w:t>
      </w:r>
      <w:r w:rsidRPr="00A331DD">
        <w:rPr>
          <w:rFonts w:ascii="Courier New" w:eastAsia="Times New Roman" w:hAnsi="Courier New" w:cs="Courier New"/>
          <w:b/>
          <w:bCs/>
          <w:i/>
          <w:iCs/>
          <w:sz w:val="24"/>
          <w:szCs w:val="24"/>
        </w:rPr>
        <w:t>Id.</w:t>
      </w:r>
      <w:r w:rsidR="00A9393C">
        <w:rPr>
          <w:rFonts w:ascii="Courier New" w:eastAsia="Times New Roman" w:hAnsi="Courier New" w:cs="Courier New"/>
          <w:sz w:val="24"/>
          <w:szCs w:val="24"/>
        </w:rPr>
        <w:t xml:space="preserve">  </w:t>
      </w:r>
      <w:r w:rsidR="005D58A8">
        <w:rPr>
          <w:rFonts w:ascii="Courier New" w:eastAsia="Times New Roman" w:hAnsi="Courier New" w:cs="Courier New"/>
          <w:sz w:val="24"/>
          <w:szCs w:val="24"/>
        </w:rPr>
        <w:t xml:space="preserve">Here, the appellant’s expert appraiser concluded that the subject property’s current use </w:t>
      </w:r>
      <w:r w:rsidR="00EF1ED1">
        <w:rPr>
          <w:rFonts w:ascii="Courier New" w:eastAsia="Times New Roman" w:hAnsi="Courier New" w:cs="Courier New"/>
          <w:sz w:val="24"/>
          <w:szCs w:val="24"/>
        </w:rPr>
        <w:t xml:space="preserve">as a retail property </w:t>
      </w:r>
      <w:r w:rsidR="005D58A8">
        <w:rPr>
          <w:rFonts w:ascii="Courier New" w:eastAsia="Times New Roman" w:hAnsi="Courier New" w:cs="Courier New"/>
          <w:sz w:val="24"/>
          <w:szCs w:val="24"/>
        </w:rPr>
        <w:t xml:space="preserve">was its highest and best use, and the Board agreed with and adopted that conclusion.  </w:t>
      </w:r>
    </w:p>
    <w:p w:rsidR="00A331DD" w:rsidRPr="00BC5976" w:rsidRDefault="00A331DD" w:rsidP="00A331DD">
      <w:pPr>
        <w:spacing w:after="0" w:line="480" w:lineRule="auto"/>
        <w:ind w:firstLine="720"/>
        <w:contextualSpacing/>
        <w:jc w:val="both"/>
        <w:rPr>
          <w:rFonts w:ascii="Courier New" w:eastAsia="Times New Roman" w:hAnsi="Courier New" w:cs="Courier New"/>
          <w:sz w:val="24"/>
          <w:szCs w:val="24"/>
        </w:rPr>
      </w:pPr>
      <w:r w:rsidRPr="00A331DD">
        <w:rPr>
          <w:rFonts w:ascii="Courier New" w:eastAsia="Times New Roman" w:hAnsi="Courier New" w:cs="Courier New"/>
          <w:sz w:val="24"/>
          <w:szCs w:val="24"/>
        </w:rPr>
        <w:t xml:space="preserve">Generally, real estate valuation experts, Massachusetts courts, and this Board rely upon three approaches to determine the fair cash value of property: income capitalization, sales comparison, and cost reproduction.  </w:t>
      </w:r>
      <w:proofErr w:type="spellStart"/>
      <w:r w:rsidRPr="00A331DD">
        <w:rPr>
          <w:rFonts w:ascii="Courier New" w:eastAsia="Times New Roman" w:hAnsi="Courier New" w:cs="Courier New"/>
          <w:b/>
          <w:bCs/>
          <w:i/>
          <w:iCs/>
          <w:sz w:val="24"/>
          <w:szCs w:val="24"/>
        </w:rPr>
        <w:t>Correia</w:t>
      </w:r>
      <w:proofErr w:type="spellEnd"/>
      <w:r w:rsidRPr="00A331DD">
        <w:rPr>
          <w:rFonts w:ascii="Courier New" w:eastAsia="Times New Roman" w:hAnsi="Courier New" w:cs="Courier New"/>
          <w:b/>
          <w:bCs/>
          <w:i/>
          <w:iCs/>
          <w:sz w:val="24"/>
          <w:szCs w:val="24"/>
        </w:rPr>
        <w:t xml:space="preserve"> v. New</w:t>
      </w:r>
      <w:r w:rsidR="00750669">
        <w:rPr>
          <w:rFonts w:ascii="Courier New" w:eastAsia="Times New Roman" w:hAnsi="Courier New" w:cs="Courier New"/>
          <w:b/>
          <w:bCs/>
          <w:i/>
          <w:iCs/>
          <w:sz w:val="24"/>
          <w:szCs w:val="24"/>
        </w:rPr>
        <w:t xml:space="preserve"> Bedford Redevelopment Auth.</w:t>
      </w:r>
      <w:r w:rsidRPr="00A331DD">
        <w:rPr>
          <w:rFonts w:ascii="Courier New" w:eastAsia="Times New Roman" w:hAnsi="Courier New" w:cs="Courier New"/>
          <w:b/>
          <w:bCs/>
          <w:i/>
          <w:iCs/>
          <w:sz w:val="24"/>
          <w:szCs w:val="24"/>
        </w:rPr>
        <w:t>,</w:t>
      </w:r>
      <w:r w:rsidRPr="00A331DD">
        <w:rPr>
          <w:rFonts w:ascii="Courier New" w:eastAsia="Times New Roman" w:hAnsi="Courier New" w:cs="Courier New"/>
          <w:sz w:val="24"/>
          <w:szCs w:val="24"/>
        </w:rPr>
        <w:t xml:space="preserve"> 375 Mass. 360, 362 (1978).  When reliable sales data are not available and when the subject is income-producing property, the use of the income-capitalization approach is appropriate. </w:t>
      </w:r>
      <w:r w:rsidRPr="00A331DD">
        <w:rPr>
          <w:rFonts w:ascii="Courier New" w:eastAsia="Times New Roman" w:hAnsi="Courier New" w:cs="Courier New"/>
          <w:b/>
          <w:bCs/>
          <w:i/>
          <w:iCs/>
          <w:sz w:val="24"/>
          <w:szCs w:val="24"/>
        </w:rPr>
        <w:t>Assessors of Weymouth v. Tammy Brook Co.</w:t>
      </w:r>
      <w:r w:rsidRPr="00A331DD">
        <w:rPr>
          <w:rFonts w:ascii="Courier New" w:eastAsia="Times New Roman" w:hAnsi="Courier New" w:cs="Courier New"/>
          <w:sz w:val="24"/>
          <w:szCs w:val="24"/>
        </w:rPr>
        <w:t xml:space="preserve">, 368 Mass. 807, 881 (1975); </w:t>
      </w:r>
      <w:r w:rsidRPr="00A331DD">
        <w:rPr>
          <w:rFonts w:ascii="Courier New" w:eastAsia="Times New Roman" w:hAnsi="Courier New" w:cs="Courier New"/>
          <w:b/>
          <w:bCs/>
          <w:i/>
          <w:iCs/>
          <w:sz w:val="24"/>
          <w:szCs w:val="24"/>
        </w:rPr>
        <w:t>Assessors of Lynnfield v. New England Oyster House</w:t>
      </w:r>
      <w:r w:rsidR="00750669">
        <w:rPr>
          <w:rFonts w:ascii="Courier New" w:eastAsia="Times New Roman" w:hAnsi="Courier New" w:cs="Courier New"/>
          <w:sz w:val="24"/>
          <w:szCs w:val="24"/>
        </w:rPr>
        <w:t>, 362 Mass. 696, 701-</w:t>
      </w:r>
      <w:r w:rsidRPr="00A331DD">
        <w:rPr>
          <w:rFonts w:ascii="Courier New" w:eastAsia="Times New Roman" w:hAnsi="Courier New" w:cs="Courier New"/>
          <w:sz w:val="24"/>
          <w:szCs w:val="24"/>
        </w:rPr>
        <w:t xml:space="preserve">02 (1972); </w:t>
      </w:r>
      <w:r w:rsidRPr="00A331DD">
        <w:rPr>
          <w:rFonts w:ascii="Courier New" w:eastAsia="Times New Roman" w:hAnsi="Courier New" w:cs="Courier New"/>
          <w:b/>
          <w:bCs/>
          <w:i/>
          <w:iCs/>
          <w:sz w:val="24"/>
          <w:szCs w:val="24"/>
        </w:rPr>
        <w:t>Assessors of Quincy v. Boston Consolidated Gas Co.</w:t>
      </w:r>
      <w:r w:rsidRPr="00A331DD">
        <w:rPr>
          <w:rFonts w:ascii="Courier New" w:eastAsia="Times New Roman" w:hAnsi="Courier New" w:cs="Courier New"/>
          <w:sz w:val="24"/>
          <w:szCs w:val="24"/>
        </w:rPr>
        <w:t xml:space="preserve">, 309 Mass. 60, 67 (1941).  </w:t>
      </w:r>
      <w:r w:rsidR="00BC5976" w:rsidRPr="00BC5976">
        <w:rPr>
          <w:rFonts w:ascii="Courier New" w:hAnsi="Courier New" w:cs="Courier New"/>
          <w:sz w:val="24"/>
          <w:szCs w:val="24"/>
        </w:rPr>
        <w:t>Further, the income-capitalization method “is frequently applied</w:t>
      </w:r>
      <w:r w:rsidR="00CA3CD5">
        <w:rPr>
          <w:rFonts w:ascii="Courier New" w:hAnsi="Courier New" w:cs="Courier New"/>
          <w:sz w:val="24"/>
          <w:szCs w:val="24"/>
        </w:rPr>
        <w:t xml:space="preserve"> </w:t>
      </w:r>
      <w:r w:rsidR="00BC5976" w:rsidRPr="00BC5976">
        <w:rPr>
          <w:rFonts w:ascii="Courier New" w:hAnsi="Courier New" w:cs="Courier New"/>
          <w:sz w:val="24"/>
          <w:szCs w:val="24"/>
        </w:rPr>
        <w:lastRenderedPageBreak/>
        <w:t>with</w:t>
      </w:r>
      <w:r w:rsidR="00CA3CD5">
        <w:rPr>
          <w:rFonts w:ascii="Courier New" w:hAnsi="Courier New" w:cs="Courier New"/>
          <w:sz w:val="24"/>
          <w:szCs w:val="24"/>
        </w:rPr>
        <w:t xml:space="preserve"> </w:t>
      </w:r>
      <w:r w:rsidR="00BC5976" w:rsidRPr="00BC5976">
        <w:rPr>
          <w:rFonts w:ascii="Courier New" w:hAnsi="Courier New" w:cs="Courier New"/>
          <w:sz w:val="24"/>
          <w:szCs w:val="24"/>
        </w:rPr>
        <w:t>respect</w:t>
      </w:r>
      <w:r w:rsidR="00CA3CD5">
        <w:rPr>
          <w:rFonts w:ascii="Courier New" w:hAnsi="Courier New" w:cs="Courier New"/>
          <w:sz w:val="24"/>
          <w:szCs w:val="24"/>
        </w:rPr>
        <w:t xml:space="preserve"> </w:t>
      </w:r>
      <w:r w:rsidR="00BC5976" w:rsidRPr="00BC5976">
        <w:rPr>
          <w:rFonts w:ascii="Courier New" w:hAnsi="Courier New" w:cs="Courier New"/>
          <w:sz w:val="24"/>
          <w:szCs w:val="24"/>
        </w:rPr>
        <w:t>to income-producing property.”</w:t>
      </w:r>
      <w:r w:rsidR="00CA3CD5">
        <w:rPr>
          <w:rFonts w:ascii="Courier New" w:hAnsi="Courier New" w:cs="Courier New"/>
          <w:sz w:val="24"/>
          <w:szCs w:val="24"/>
        </w:rPr>
        <w:t xml:space="preserve"> </w:t>
      </w:r>
      <w:r w:rsidR="00BC5976" w:rsidRPr="00BC5976">
        <w:rPr>
          <w:rFonts w:ascii="Courier New" w:hAnsi="Courier New" w:cs="Courier New"/>
          <w:b/>
          <w:bCs/>
          <w:i/>
          <w:iCs/>
          <w:sz w:val="24"/>
          <w:szCs w:val="24"/>
        </w:rPr>
        <w:t xml:space="preserve">Taunton Redevelopment Associates v. Assessors of Taunton, </w:t>
      </w:r>
      <w:r w:rsidR="00BC5976" w:rsidRPr="00BC5976">
        <w:rPr>
          <w:rFonts w:ascii="Courier New" w:hAnsi="Courier New" w:cs="Courier New"/>
          <w:sz w:val="24"/>
          <w:szCs w:val="24"/>
        </w:rPr>
        <w:t>393 Mass. 293, 295 (1984).</w:t>
      </w:r>
      <w:r w:rsidR="00CB5A78">
        <w:rPr>
          <w:rFonts w:ascii="Courier New" w:hAnsi="Courier New" w:cs="Courier New"/>
          <w:sz w:val="24"/>
          <w:szCs w:val="24"/>
        </w:rPr>
        <w:t xml:space="preserve">  </w:t>
      </w:r>
      <w:r w:rsidR="00EF1ED1">
        <w:rPr>
          <w:rFonts w:ascii="Courier New" w:eastAsia="Times New Roman" w:hAnsi="Courier New" w:cs="Courier New"/>
          <w:sz w:val="24"/>
          <w:szCs w:val="24"/>
        </w:rPr>
        <w:t xml:space="preserve">In these appeals, the appellant’s expert appraiser concluded that the income-capitalization approach was the most reliable way to value the subject property.  As there was a lack of comparable sales data in the record, as the subject property’s age precluded the use of the cost approach, and as the subject property is an income-producing property, the Board agreed with the appellant’s expert that the income-capitalization approach was the best method for valuing the subject property.  </w:t>
      </w:r>
    </w:p>
    <w:p w:rsidR="007B0FF4" w:rsidRDefault="00A331DD" w:rsidP="007B0FF4">
      <w:pPr>
        <w:spacing w:line="480" w:lineRule="auto"/>
        <w:ind w:firstLine="720"/>
        <w:contextualSpacing/>
        <w:jc w:val="both"/>
        <w:rPr>
          <w:rFonts w:ascii="Courier New" w:eastAsia="Times New Roman" w:hAnsi="Courier New" w:cs="Courier New"/>
          <w:sz w:val="24"/>
          <w:szCs w:val="24"/>
        </w:rPr>
      </w:pPr>
      <w:r w:rsidRPr="00A331DD">
        <w:rPr>
          <w:rFonts w:ascii="Courier New" w:eastAsia="Times New Roman" w:hAnsi="Courier New" w:cs="Courier New"/>
          <w:sz w:val="24"/>
          <w:szCs w:val="24"/>
        </w:rPr>
        <w:t xml:space="preserve">“The direct capitalization of income method analyzes the property’s capacity to generate income over a one-year period and converts the capacity into an indication of fair cash value by capitalizing the income at a rate determined to be appropriate for the investment risk involved.”  </w:t>
      </w:r>
      <w:r w:rsidR="002276CB">
        <w:rPr>
          <w:rFonts w:ascii="Courier New" w:eastAsia="Times New Roman" w:hAnsi="Courier New" w:cs="Courier New"/>
          <w:b/>
          <w:i/>
          <w:sz w:val="24"/>
          <w:szCs w:val="24"/>
        </w:rPr>
        <w:t>Olympia &amp; York State Street Co. v. Assessors of Boston</w:t>
      </w:r>
      <w:r w:rsidRPr="00A331DD">
        <w:rPr>
          <w:rFonts w:ascii="Courier New" w:eastAsia="Times New Roman" w:hAnsi="Courier New" w:cs="Courier New"/>
          <w:sz w:val="24"/>
          <w:szCs w:val="24"/>
        </w:rPr>
        <w:t xml:space="preserve">, 428 Mass. 236, 239 (1998).  “It is the net income that a property </w:t>
      </w:r>
      <w:r w:rsidRPr="00A331DD">
        <w:rPr>
          <w:rFonts w:ascii="Courier New" w:eastAsia="Times New Roman" w:hAnsi="Courier New" w:cs="Courier New"/>
          <w:i/>
          <w:sz w:val="24"/>
          <w:szCs w:val="24"/>
        </w:rPr>
        <w:t>should</w:t>
      </w:r>
      <w:r w:rsidRPr="00A331DD">
        <w:rPr>
          <w:rFonts w:ascii="Courier New" w:eastAsia="Times New Roman" w:hAnsi="Courier New" w:cs="Courier New"/>
          <w:sz w:val="24"/>
          <w:szCs w:val="24"/>
        </w:rPr>
        <w:t xml:space="preserve"> be earning, not necessarily what it actually earns, that is the figure that should be capitalized.”  </w:t>
      </w:r>
      <w:r w:rsidRPr="00A331DD">
        <w:rPr>
          <w:rFonts w:ascii="Courier New" w:eastAsia="Times New Roman" w:hAnsi="Courier New" w:cs="Courier New"/>
          <w:b/>
          <w:i/>
          <w:sz w:val="24"/>
          <w:szCs w:val="24"/>
        </w:rPr>
        <w:t>Peterson v. Assessors of Boston</w:t>
      </w:r>
      <w:r w:rsidRPr="00A331DD">
        <w:rPr>
          <w:rFonts w:ascii="Courier New" w:eastAsia="Times New Roman" w:hAnsi="Courier New" w:cs="Courier New"/>
          <w:sz w:val="24"/>
          <w:szCs w:val="24"/>
        </w:rPr>
        <w:t xml:space="preserve">, 62 Mass. App. Ct. 428, 436 (2008) (emphasis in original).  Accordingly, the income stream used in the income-capitalization method must reflect the property’s earning </w:t>
      </w:r>
      <w:r w:rsidRPr="00A331DD">
        <w:rPr>
          <w:rFonts w:ascii="Courier New" w:eastAsia="Times New Roman" w:hAnsi="Courier New" w:cs="Courier New"/>
          <w:sz w:val="24"/>
          <w:szCs w:val="24"/>
        </w:rPr>
        <w:lastRenderedPageBreak/>
        <w:t xml:space="preserve">capacity or economic rental value.  </w:t>
      </w:r>
      <w:r w:rsidRPr="00A331DD">
        <w:rPr>
          <w:rFonts w:ascii="Courier New" w:eastAsia="Times New Roman" w:hAnsi="Courier New" w:cs="Courier New"/>
          <w:b/>
          <w:bCs/>
          <w:i/>
          <w:iCs/>
          <w:sz w:val="24"/>
          <w:szCs w:val="24"/>
        </w:rPr>
        <w:t xml:space="preserve">Pepsi-Cola Bottling Co. v. Assessors of Boston, </w:t>
      </w:r>
      <w:r w:rsidRPr="00A331DD">
        <w:rPr>
          <w:rFonts w:ascii="Courier New" w:eastAsia="Times New Roman" w:hAnsi="Courier New" w:cs="Courier New"/>
          <w:sz w:val="24"/>
          <w:szCs w:val="24"/>
        </w:rPr>
        <w:t xml:space="preserve">397 Mass. 447, 451 (1986).  </w:t>
      </w:r>
    </w:p>
    <w:p w:rsidR="007B0FF4" w:rsidRDefault="00A331DD" w:rsidP="007B0FF4">
      <w:pPr>
        <w:spacing w:line="480" w:lineRule="auto"/>
        <w:ind w:firstLine="720"/>
        <w:contextualSpacing/>
        <w:jc w:val="both"/>
        <w:rPr>
          <w:rFonts w:ascii="Courier New" w:hAnsi="Courier New" w:cs="Courier New"/>
          <w:sz w:val="24"/>
          <w:szCs w:val="24"/>
        </w:rPr>
      </w:pPr>
      <w:r w:rsidRPr="00A331DD">
        <w:rPr>
          <w:rFonts w:ascii="Courier New" w:eastAsia="Times New Roman" w:hAnsi="Courier New" w:cs="Courier New"/>
          <w:sz w:val="24"/>
          <w:szCs w:val="24"/>
        </w:rPr>
        <w:t xml:space="preserve">Imputing rental income to the subject property based on fair market rentals from comparable properties is evidence of value if, once adjusted, they are indicative of the subject property’s earning capacity.  </w:t>
      </w:r>
      <w:r w:rsidRPr="00A331DD">
        <w:rPr>
          <w:rFonts w:ascii="Courier New" w:eastAsia="Times New Roman" w:hAnsi="Courier New" w:cs="Courier New"/>
          <w:i/>
          <w:iCs/>
          <w:sz w:val="24"/>
          <w:szCs w:val="24"/>
        </w:rPr>
        <w:t xml:space="preserve">See </w:t>
      </w:r>
      <w:proofErr w:type="spellStart"/>
      <w:r w:rsidRPr="00A331DD">
        <w:rPr>
          <w:rFonts w:ascii="Courier New" w:eastAsia="Times New Roman" w:hAnsi="Courier New" w:cs="Courier New"/>
          <w:b/>
          <w:bCs/>
          <w:i/>
          <w:iCs/>
          <w:sz w:val="24"/>
          <w:szCs w:val="24"/>
        </w:rPr>
        <w:t>Correia</w:t>
      </w:r>
      <w:proofErr w:type="spellEnd"/>
      <w:r w:rsidRPr="00A331DD">
        <w:rPr>
          <w:rFonts w:ascii="Courier New" w:eastAsia="Times New Roman" w:hAnsi="Courier New" w:cs="Courier New"/>
          <w:b/>
          <w:bCs/>
          <w:i/>
          <w:iCs/>
          <w:sz w:val="24"/>
          <w:szCs w:val="24"/>
        </w:rPr>
        <w:t xml:space="preserve"> v. New Bedford Redevelopment Auth.</w:t>
      </w:r>
      <w:r w:rsidRPr="00A331DD">
        <w:rPr>
          <w:rFonts w:ascii="Courier New" w:eastAsia="Times New Roman" w:hAnsi="Courier New" w:cs="Courier New"/>
          <w:sz w:val="24"/>
          <w:szCs w:val="24"/>
        </w:rPr>
        <w:t xml:space="preserve">, 5 Mass. App. Ct. 289, 293-94 (1977), </w:t>
      </w:r>
      <w:proofErr w:type="spellStart"/>
      <w:r w:rsidRPr="00A331DD">
        <w:rPr>
          <w:rFonts w:ascii="Courier New" w:eastAsia="Times New Roman" w:hAnsi="Courier New" w:cs="Courier New"/>
          <w:i/>
          <w:iCs/>
          <w:sz w:val="24"/>
          <w:szCs w:val="24"/>
        </w:rPr>
        <w:t>rev’d</w:t>
      </w:r>
      <w:proofErr w:type="spellEnd"/>
      <w:r w:rsidRPr="00A331DD">
        <w:rPr>
          <w:rFonts w:ascii="Courier New" w:eastAsia="Times New Roman" w:hAnsi="Courier New" w:cs="Courier New"/>
          <w:i/>
          <w:iCs/>
          <w:sz w:val="24"/>
          <w:szCs w:val="24"/>
        </w:rPr>
        <w:t xml:space="preserve"> on other grounds,</w:t>
      </w:r>
      <w:r w:rsidRPr="00A331DD">
        <w:rPr>
          <w:rFonts w:ascii="Courier New" w:eastAsia="Times New Roman" w:hAnsi="Courier New" w:cs="Courier New"/>
          <w:sz w:val="24"/>
          <w:szCs w:val="24"/>
        </w:rPr>
        <w:t xml:space="preserve"> 375 Mass. 360 (1978); </w:t>
      </w:r>
      <w:r w:rsidRPr="00A331DD">
        <w:rPr>
          <w:rFonts w:ascii="Courier New" w:eastAsia="Times New Roman" w:hAnsi="Courier New" w:cs="Courier New"/>
          <w:b/>
          <w:bCs/>
          <w:i/>
          <w:iCs/>
          <w:sz w:val="24"/>
          <w:szCs w:val="24"/>
        </w:rPr>
        <w:t>Library Services, Inc. v. Malden Redevelopment Auth.</w:t>
      </w:r>
      <w:r w:rsidRPr="00A331DD">
        <w:rPr>
          <w:rFonts w:ascii="Courier New" w:eastAsia="Times New Roman" w:hAnsi="Courier New" w:cs="Courier New"/>
          <w:sz w:val="24"/>
          <w:szCs w:val="24"/>
        </w:rPr>
        <w:t>, 9 Mass. App. Ct. 877, 878 (1980)</w:t>
      </w:r>
      <w:r w:rsidR="00750669">
        <w:rPr>
          <w:rFonts w:ascii="Courier New" w:eastAsia="Times New Roman" w:hAnsi="Courier New" w:cs="Courier New"/>
          <w:sz w:val="24"/>
          <w:szCs w:val="24"/>
        </w:rPr>
        <w:t xml:space="preserve"> </w:t>
      </w:r>
      <w:r w:rsidRPr="00A331DD">
        <w:rPr>
          <w:rFonts w:ascii="Courier New" w:eastAsia="Times New Roman" w:hAnsi="Courier New" w:cs="Courier New"/>
          <w:sz w:val="24"/>
          <w:szCs w:val="24"/>
        </w:rPr>
        <w:t xml:space="preserve">(rescript).  </w:t>
      </w:r>
      <w:r w:rsidR="007B0FF4" w:rsidRPr="007B0FF4">
        <w:rPr>
          <w:rFonts w:ascii="Courier New" w:hAnsi="Courier New" w:cs="Courier New"/>
          <w:sz w:val="24"/>
          <w:szCs w:val="24"/>
        </w:rPr>
        <w:t xml:space="preserve">Properties are “comparable” to the subject property when they share “fundamental similarities” with the subject property.  </w:t>
      </w:r>
      <w:r w:rsidR="007B0FF4" w:rsidRPr="007B0FF4">
        <w:rPr>
          <w:rFonts w:ascii="Courier New" w:hAnsi="Courier New" w:cs="Courier New"/>
          <w:i/>
          <w:sz w:val="24"/>
          <w:szCs w:val="24"/>
        </w:rPr>
        <w:t xml:space="preserve">See </w:t>
      </w:r>
      <w:proofErr w:type="spellStart"/>
      <w:r w:rsidR="007B0FF4" w:rsidRPr="007B0FF4">
        <w:rPr>
          <w:rFonts w:ascii="Courier New" w:hAnsi="Courier New" w:cs="Courier New"/>
          <w:b/>
          <w:i/>
          <w:sz w:val="24"/>
          <w:szCs w:val="24"/>
        </w:rPr>
        <w:t>Lattuca</w:t>
      </w:r>
      <w:proofErr w:type="spellEnd"/>
      <w:r w:rsidR="007B0FF4" w:rsidRPr="007B0FF4">
        <w:rPr>
          <w:rFonts w:ascii="Courier New" w:hAnsi="Courier New" w:cs="Courier New"/>
          <w:b/>
          <w:i/>
          <w:sz w:val="24"/>
          <w:szCs w:val="24"/>
        </w:rPr>
        <w:t xml:space="preserve"> v. </w:t>
      </w:r>
      <w:proofErr w:type="spellStart"/>
      <w:r w:rsidR="007B0FF4" w:rsidRPr="007B0FF4">
        <w:rPr>
          <w:rFonts w:ascii="Courier New" w:hAnsi="Courier New" w:cs="Courier New"/>
          <w:b/>
          <w:i/>
          <w:sz w:val="24"/>
          <w:szCs w:val="24"/>
        </w:rPr>
        <w:t>Robsham</w:t>
      </w:r>
      <w:proofErr w:type="spellEnd"/>
      <w:r w:rsidR="007B0FF4" w:rsidRPr="007B0FF4">
        <w:rPr>
          <w:rFonts w:ascii="Courier New" w:hAnsi="Courier New" w:cs="Courier New"/>
          <w:b/>
          <w:i/>
          <w:sz w:val="24"/>
          <w:szCs w:val="24"/>
        </w:rPr>
        <w:t xml:space="preserve">, </w:t>
      </w:r>
      <w:r w:rsidR="007B0FF4" w:rsidRPr="007B0FF4">
        <w:rPr>
          <w:rFonts w:ascii="Courier New" w:hAnsi="Courier New" w:cs="Courier New"/>
          <w:sz w:val="24"/>
          <w:szCs w:val="24"/>
        </w:rPr>
        <w:t xml:space="preserve">442 Mass. 205, 216 (2004).  The appellant bears the burden of “establishing the comparability of . . . properties [used for comparison] to the subject property.  </w:t>
      </w:r>
      <w:proofErr w:type="spellStart"/>
      <w:r w:rsidR="007B0FF4" w:rsidRPr="007B0FF4">
        <w:rPr>
          <w:rFonts w:ascii="Courier New" w:hAnsi="Courier New" w:cs="Courier New"/>
          <w:b/>
          <w:i/>
          <w:sz w:val="24"/>
          <w:szCs w:val="24"/>
        </w:rPr>
        <w:t>Silvestri</w:t>
      </w:r>
      <w:proofErr w:type="spellEnd"/>
      <w:r w:rsidR="007B0FF4" w:rsidRPr="007B0FF4">
        <w:rPr>
          <w:rFonts w:ascii="Courier New" w:hAnsi="Courier New" w:cs="Courier New"/>
          <w:b/>
          <w:i/>
          <w:sz w:val="24"/>
          <w:szCs w:val="24"/>
        </w:rPr>
        <w:t xml:space="preserve"> v. Assessors of Lowell, </w:t>
      </w:r>
      <w:r w:rsidR="007B0FF4" w:rsidRPr="007B0FF4">
        <w:rPr>
          <w:rFonts w:ascii="Courier New" w:hAnsi="Courier New" w:cs="Courier New"/>
          <w:sz w:val="24"/>
          <w:szCs w:val="24"/>
        </w:rPr>
        <w:t xml:space="preserve">Mass. ATB Findings of Fact and Reports 2012-926, 935.  </w:t>
      </w:r>
      <w:r w:rsidR="007B0FF4" w:rsidRPr="007B0FF4">
        <w:rPr>
          <w:rFonts w:ascii="Courier New" w:hAnsi="Courier New" w:cs="Courier New"/>
          <w:i/>
          <w:sz w:val="24"/>
          <w:szCs w:val="24"/>
        </w:rPr>
        <w:t xml:space="preserve">Accord </w:t>
      </w:r>
      <w:r w:rsidR="007B0FF4" w:rsidRPr="007B0FF4">
        <w:rPr>
          <w:rFonts w:ascii="Courier New" w:hAnsi="Courier New" w:cs="Courier New"/>
          <w:b/>
          <w:i/>
          <w:sz w:val="24"/>
          <w:szCs w:val="24"/>
        </w:rPr>
        <w:t xml:space="preserve">New Boston Garden Corp. v. Assessors of Boston, </w:t>
      </w:r>
      <w:r w:rsidR="007B0FF4" w:rsidRPr="007B0FF4">
        <w:rPr>
          <w:rFonts w:ascii="Courier New" w:hAnsi="Courier New" w:cs="Courier New"/>
          <w:sz w:val="24"/>
          <w:szCs w:val="24"/>
        </w:rPr>
        <w:t xml:space="preserve">383 Mass. 456, 470 (1981).  </w:t>
      </w:r>
    </w:p>
    <w:p w:rsidR="0015614F" w:rsidRDefault="0033667D" w:rsidP="0015614F">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In the present appeals, the Bo</w:t>
      </w:r>
      <w:r w:rsidR="00E53EF8">
        <w:rPr>
          <w:rFonts w:ascii="Courier New" w:hAnsi="Courier New" w:cs="Courier New"/>
          <w:sz w:val="24"/>
          <w:szCs w:val="24"/>
        </w:rPr>
        <w:t xml:space="preserve">ard found that Mr. Logue’s comparison properties were too dissimilar to </w:t>
      </w:r>
      <w:r w:rsidR="000F4D93">
        <w:rPr>
          <w:rFonts w:ascii="Courier New" w:hAnsi="Courier New" w:cs="Courier New"/>
          <w:sz w:val="24"/>
          <w:szCs w:val="24"/>
        </w:rPr>
        <w:t xml:space="preserve">the subject property to furnish </w:t>
      </w:r>
      <w:r w:rsidR="00E8796A">
        <w:rPr>
          <w:rFonts w:ascii="Courier New" w:hAnsi="Courier New" w:cs="Courier New"/>
          <w:sz w:val="24"/>
          <w:szCs w:val="24"/>
        </w:rPr>
        <w:t xml:space="preserve">reliable evidence </w:t>
      </w:r>
      <w:r w:rsidR="00CB1927">
        <w:rPr>
          <w:rFonts w:ascii="Courier New" w:hAnsi="Courier New" w:cs="Courier New"/>
          <w:sz w:val="24"/>
          <w:szCs w:val="24"/>
        </w:rPr>
        <w:t>of its fair cash value.  A</w:t>
      </w:r>
      <w:r w:rsidR="00E8796A">
        <w:rPr>
          <w:rFonts w:ascii="Courier New" w:hAnsi="Courier New" w:cs="Courier New"/>
          <w:sz w:val="24"/>
          <w:szCs w:val="24"/>
        </w:rPr>
        <w:t xml:space="preserve">ll but one of the </w:t>
      </w:r>
      <w:r w:rsidR="00CB1927">
        <w:rPr>
          <w:rFonts w:ascii="Courier New" w:hAnsi="Courier New" w:cs="Courier New"/>
          <w:sz w:val="24"/>
          <w:szCs w:val="24"/>
        </w:rPr>
        <w:t xml:space="preserve">comparison </w:t>
      </w:r>
      <w:r w:rsidR="00E8796A">
        <w:rPr>
          <w:rFonts w:ascii="Courier New" w:hAnsi="Courier New" w:cs="Courier New"/>
          <w:sz w:val="24"/>
          <w:szCs w:val="24"/>
        </w:rPr>
        <w:t>properties were located outs</w:t>
      </w:r>
      <w:r w:rsidR="00CB1927">
        <w:rPr>
          <w:rFonts w:ascii="Courier New" w:hAnsi="Courier New" w:cs="Courier New"/>
          <w:sz w:val="24"/>
          <w:szCs w:val="24"/>
        </w:rPr>
        <w:t xml:space="preserve">ide of Massachusetts. None of Mr. Logue’s selected </w:t>
      </w:r>
      <w:r w:rsidR="00E8796A">
        <w:rPr>
          <w:rFonts w:ascii="Courier New" w:hAnsi="Courier New" w:cs="Courier New"/>
          <w:sz w:val="24"/>
          <w:szCs w:val="24"/>
        </w:rPr>
        <w:t>leases were from properties located in urban settings, l</w:t>
      </w:r>
      <w:r w:rsidR="00CB1927">
        <w:rPr>
          <w:rFonts w:ascii="Courier New" w:hAnsi="Courier New" w:cs="Courier New"/>
          <w:sz w:val="24"/>
          <w:szCs w:val="24"/>
        </w:rPr>
        <w:t xml:space="preserve">ike the subject property.  Further, the leases were derived from </w:t>
      </w:r>
      <w:r w:rsidR="00842FDF">
        <w:rPr>
          <w:rFonts w:ascii="Courier New" w:hAnsi="Courier New" w:cs="Courier New"/>
          <w:sz w:val="24"/>
          <w:szCs w:val="24"/>
        </w:rPr>
        <w:t xml:space="preserve">malls that were </w:t>
      </w:r>
      <w:r w:rsidR="00E8796A">
        <w:rPr>
          <w:rFonts w:ascii="Courier New" w:hAnsi="Courier New" w:cs="Courier New"/>
          <w:sz w:val="24"/>
          <w:szCs w:val="24"/>
        </w:rPr>
        <w:t xml:space="preserve">inferior </w:t>
      </w:r>
      <w:r w:rsidR="00E8796A">
        <w:rPr>
          <w:rFonts w:ascii="Courier New" w:hAnsi="Courier New" w:cs="Courier New"/>
          <w:sz w:val="24"/>
          <w:szCs w:val="24"/>
        </w:rPr>
        <w:lastRenderedPageBreak/>
        <w:t xml:space="preserve">to the Galleria in quality.  </w:t>
      </w:r>
      <w:r w:rsidR="00CF47EA">
        <w:rPr>
          <w:rFonts w:ascii="Courier New" w:hAnsi="Courier New" w:cs="Courier New"/>
          <w:sz w:val="24"/>
          <w:szCs w:val="24"/>
        </w:rPr>
        <w:t>In sum, t</w:t>
      </w:r>
      <w:r w:rsidR="000F4D93">
        <w:rPr>
          <w:rFonts w:ascii="Courier New" w:hAnsi="Courier New" w:cs="Courier New"/>
          <w:sz w:val="24"/>
          <w:szCs w:val="24"/>
        </w:rPr>
        <w:t xml:space="preserve">he geographic and demographic attributes of Mr. Logue’s comparison properties were simply too different from the subject property to provide persuasive evidence of its fair cash value.  </w:t>
      </w:r>
    </w:p>
    <w:p w:rsidR="00BF3FAE" w:rsidRPr="0015614F" w:rsidRDefault="00623CC6" w:rsidP="0015614F">
      <w:pPr>
        <w:spacing w:line="480" w:lineRule="auto"/>
        <w:ind w:firstLine="720"/>
        <w:contextualSpacing/>
        <w:jc w:val="both"/>
        <w:rPr>
          <w:rFonts w:ascii="Courier New" w:hAnsi="Courier New" w:cs="Courier New"/>
          <w:sz w:val="24"/>
          <w:szCs w:val="24"/>
        </w:rPr>
      </w:pPr>
      <w:r w:rsidRPr="0015614F">
        <w:rPr>
          <w:rFonts w:ascii="Courier New" w:hAnsi="Courier New"/>
          <w:sz w:val="24"/>
          <w:szCs w:val="24"/>
        </w:rPr>
        <w:t xml:space="preserve">Equally </w:t>
      </w:r>
      <w:r w:rsidR="00D05692" w:rsidRPr="0015614F">
        <w:rPr>
          <w:rFonts w:ascii="Courier New" w:hAnsi="Courier New"/>
          <w:sz w:val="24"/>
          <w:szCs w:val="24"/>
        </w:rPr>
        <w:t>problematic were the leases upon</w:t>
      </w:r>
      <w:r w:rsidRPr="0015614F">
        <w:rPr>
          <w:rFonts w:ascii="Courier New" w:hAnsi="Courier New"/>
          <w:sz w:val="24"/>
          <w:szCs w:val="24"/>
        </w:rPr>
        <w:t xml:space="preserve"> which Mr. Logue did not rely.  Although Mr. Logue used </w:t>
      </w:r>
      <w:r w:rsidR="00CA3CD5">
        <w:rPr>
          <w:rFonts w:ascii="Courier New" w:hAnsi="Courier New"/>
          <w:sz w:val="24"/>
          <w:szCs w:val="24"/>
        </w:rPr>
        <w:t>T</w:t>
      </w:r>
      <w:r w:rsidRPr="0015614F">
        <w:rPr>
          <w:rFonts w:ascii="Courier New" w:hAnsi="Courier New"/>
          <w:sz w:val="24"/>
          <w:szCs w:val="24"/>
        </w:rPr>
        <w:t xml:space="preserve">he Mall at Rockingham Park for one of his lease </w:t>
      </w:r>
      <w:proofErr w:type="spellStart"/>
      <w:r w:rsidRPr="0015614F">
        <w:rPr>
          <w:rFonts w:ascii="Courier New" w:hAnsi="Courier New"/>
          <w:sz w:val="24"/>
          <w:szCs w:val="24"/>
        </w:rPr>
        <w:t>comparables</w:t>
      </w:r>
      <w:proofErr w:type="spellEnd"/>
      <w:r w:rsidRPr="0015614F">
        <w:rPr>
          <w:rFonts w:ascii="Courier New" w:hAnsi="Courier New"/>
          <w:sz w:val="24"/>
          <w:szCs w:val="24"/>
        </w:rPr>
        <w:t>, he did not use a timely lease from</w:t>
      </w:r>
      <w:r w:rsidR="00A47E8F" w:rsidRPr="0015614F">
        <w:rPr>
          <w:rFonts w:ascii="Courier New" w:hAnsi="Courier New"/>
          <w:sz w:val="24"/>
          <w:szCs w:val="24"/>
        </w:rPr>
        <w:t xml:space="preserve"> Sears to Dick’s </w:t>
      </w:r>
      <w:r w:rsidRPr="0015614F">
        <w:rPr>
          <w:rFonts w:ascii="Courier New" w:hAnsi="Courier New"/>
          <w:sz w:val="24"/>
          <w:szCs w:val="24"/>
        </w:rPr>
        <w:t>from that same mall, which was, at $9.25</w:t>
      </w:r>
      <w:r w:rsidR="009078E8" w:rsidRPr="0015614F">
        <w:rPr>
          <w:rFonts w:ascii="Courier New" w:hAnsi="Courier New"/>
          <w:sz w:val="24"/>
          <w:szCs w:val="24"/>
        </w:rPr>
        <w:t xml:space="preserve"> per square foot, </w:t>
      </w:r>
      <w:r w:rsidR="00A47E8F" w:rsidRPr="0015614F">
        <w:rPr>
          <w:rFonts w:ascii="Courier New" w:hAnsi="Courier New"/>
          <w:sz w:val="24"/>
          <w:szCs w:val="24"/>
        </w:rPr>
        <w:t xml:space="preserve">higher than </w:t>
      </w:r>
      <w:r w:rsidR="009078E8" w:rsidRPr="0015614F">
        <w:rPr>
          <w:rFonts w:ascii="Courier New" w:hAnsi="Courier New"/>
          <w:sz w:val="24"/>
          <w:szCs w:val="24"/>
        </w:rPr>
        <w:t xml:space="preserve">all of his purportedly comparable rents as well as </w:t>
      </w:r>
      <w:r w:rsidR="00CB1927" w:rsidRPr="0015614F">
        <w:rPr>
          <w:rFonts w:ascii="Courier New" w:hAnsi="Courier New"/>
          <w:sz w:val="24"/>
          <w:szCs w:val="24"/>
        </w:rPr>
        <w:t xml:space="preserve">his opinion of </w:t>
      </w:r>
      <w:r w:rsidRPr="0015614F">
        <w:rPr>
          <w:rFonts w:ascii="Courier New" w:hAnsi="Courier New"/>
          <w:sz w:val="24"/>
          <w:szCs w:val="24"/>
        </w:rPr>
        <w:t xml:space="preserve">market rent for the subject property of $7.00 per square foot. </w:t>
      </w:r>
      <w:r w:rsidR="00A47E8F" w:rsidRPr="0015614F">
        <w:rPr>
          <w:rFonts w:ascii="Courier New" w:hAnsi="Courier New"/>
          <w:sz w:val="24"/>
          <w:szCs w:val="24"/>
        </w:rPr>
        <w:t xml:space="preserve">The selectivity of Mr. Logue’s lease </w:t>
      </w:r>
      <w:proofErr w:type="spellStart"/>
      <w:r w:rsidR="00A47E8F" w:rsidRPr="0015614F">
        <w:rPr>
          <w:rFonts w:ascii="Courier New" w:hAnsi="Courier New"/>
          <w:sz w:val="24"/>
          <w:szCs w:val="24"/>
        </w:rPr>
        <w:t>comparables</w:t>
      </w:r>
      <w:proofErr w:type="spellEnd"/>
      <w:r w:rsidR="00A47E8F" w:rsidRPr="0015614F">
        <w:rPr>
          <w:rFonts w:ascii="Courier New" w:hAnsi="Courier New"/>
          <w:sz w:val="24"/>
          <w:szCs w:val="24"/>
        </w:rPr>
        <w:t xml:space="preserve"> cast doubt on his objectivity and further diminished the probative worth o</w:t>
      </w:r>
      <w:r w:rsidR="00891E9D" w:rsidRPr="0015614F">
        <w:rPr>
          <w:rFonts w:ascii="Courier New" w:hAnsi="Courier New"/>
          <w:sz w:val="24"/>
          <w:szCs w:val="24"/>
        </w:rPr>
        <w:t xml:space="preserve">f his opinion of value.  </w:t>
      </w:r>
      <w:r w:rsidR="00891E9D" w:rsidRPr="00CA3CD5">
        <w:rPr>
          <w:rFonts w:ascii="Courier New" w:hAnsi="Courier New"/>
          <w:i/>
          <w:sz w:val="24"/>
          <w:szCs w:val="24"/>
        </w:rPr>
        <w:t>See</w:t>
      </w:r>
      <w:r w:rsidR="00891E9D" w:rsidRPr="0015614F">
        <w:rPr>
          <w:rFonts w:ascii="Courier New" w:hAnsi="Courier New"/>
          <w:sz w:val="24"/>
          <w:szCs w:val="24"/>
        </w:rPr>
        <w:t xml:space="preserve"> </w:t>
      </w:r>
      <w:r w:rsidR="00891E9D" w:rsidRPr="0015614F">
        <w:rPr>
          <w:rFonts w:ascii="Courier New" w:hAnsi="Courier New"/>
          <w:b/>
          <w:i/>
          <w:sz w:val="24"/>
          <w:szCs w:val="24"/>
        </w:rPr>
        <w:t>Northshore</w:t>
      </w:r>
      <w:r w:rsidR="001705C7">
        <w:rPr>
          <w:rFonts w:ascii="Courier New" w:hAnsi="Courier New"/>
          <w:b/>
          <w:i/>
          <w:sz w:val="24"/>
          <w:szCs w:val="24"/>
        </w:rPr>
        <w:t xml:space="preserve"> Mall Limited Partnership </w:t>
      </w:r>
      <w:r w:rsidR="00891E9D" w:rsidRPr="0015614F">
        <w:rPr>
          <w:rFonts w:ascii="Courier New" w:hAnsi="Courier New"/>
          <w:b/>
          <w:i/>
          <w:sz w:val="24"/>
          <w:szCs w:val="24"/>
        </w:rPr>
        <w:t xml:space="preserve">v. Assessors of Peabody, </w:t>
      </w:r>
      <w:r w:rsidR="00891E9D" w:rsidRPr="0015614F">
        <w:rPr>
          <w:rFonts w:ascii="Courier New" w:hAnsi="Courier New"/>
          <w:sz w:val="24"/>
          <w:szCs w:val="24"/>
        </w:rPr>
        <w:t xml:space="preserve">Mass. ATB Findings </w:t>
      </w:r>
      <w:r w:rsidR="00BF3FAE" w:rsidRPr="0015614F">
        <w:rPr>
          <w:rFonts w:ascii="Courier New" w:hAnsi="Courier New"/>
          <w:sz w:val="24"/>
          <w:szCs w:val="24"/>
        </w:rPr>
        <w:t>of Fact and Reports 2004-195, 213</w:t>
      </w:r>
      <w:r w:rsidR="00891E9D" w:rsidRPr="0015614F">
        <w:rPr>
          <w:rFonts w:ascii="Courier New" w:hAnsi="Courier New"/>
          <w:sz w:val="24"/>
          <w:szCs w:val="24"/>
        </w:rPr>
        <w:t xml:space="preserve"> (</w:t>
      </w:r>
      <w:r w:rsidR="00BF3FAE" w:rsidRPr="0015614F">
        <w:rPr>
          <w:rFonts w:ascii="Courier New" w:hAnsi="Courier New"/>
          <w:sz w:val="24"/>
          <w:szCs w:val="24"/>
        </w:rPr>
        <w:t xml:space="preserve">finding that expert appraiser’s “unaccounted-for selectivity in the choice of malls for inclusion [cast] doubt on the objectivity” of his opinions).      </w:t>
      </w:r>
    </w:p>
    <w:p w:rsidR="00C466B8" w:rsidRDefault="005669ED" w:rsidP="00E26C5C">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E</w:t>
      </w:r>
      <w:r w:rsidR="000F4D93">
        <w:rPr>
          <w:rFonts w:ascii="Courier New" w:hAnsi="Courier New" w:cs="Courier New"/>
          <w:sz w:val="24"/>
          <w:szCs w:val="24"/>
        </w:rPr>
        <w:t xml:space="preserve">ven assuming </w:t>
      </w:r>
      <w:r w:rsidR="000F4D93" w:rsidRPr="00BA15BE">
        <w:rPr>
          <w:rFonts w:ascii="Courier New" w:hAnsi="Courier New" w:cs="Courier New"/>
          <w:i/>
          <w:sz w:val="24"/>
          <w:szCs w:val="24"/>
        </w:rPr>
        <w:t>arguendo</w:t>
      </w:r>
      <w:r w:rsidR="00842FDF">
        <w:rPr>
          <w:rFonts w:ascii="Courier New" w:hAnsi="Courier New" w:cs="Courier New"/>
          <w:sz w:val="24"/>
          <w:szCs w:val="24"/>
        </w:rPr>
        <w:t xml:space="preserve"> that Mr. Logue’s </w:t>
      </w:r>
      <w:r w:rsidR="000F4D93">
        <w:rPr>
          <w:rFonts w:ascii="Courier New" w:hAnsi="Courier New" w:cs="Courier New"/>
          <w:sz w:val="24"/>
          <w:szCs w:val="24"/>
        </w:rPr>
        <w:t xml:space="preserve">comparison properties could have, with </w:t>
      </w:r>
      <w:r w:rsidR="00842FDF">
        <w:rPr>
          <w:rFonts w:ascii="Courier New" w:hAnsi="Courier New" w:cs="Courier New"/>
          <w:sz w:val="24"/>
          <w:szCs w:val="24"/>
        </w:rPr>
        <w:t xml:space="preserve">proper </w:t>
      </w:r>
      <w:r w:rsidR="000F4D93">
        <w:rPr>
          <w:rFonts w:ascii="Courier New" w:hAnsi="Courier New" w:cs="Courier New"/>
          <w:sz w:val="24"/>
          <w:szCs w:val="24"/>
        </w:rPr>
        <w:t>adjustment</w:t>
      </w:r>
      <w:r w:rsidR="00642BCF">
        <w:rPr>
          <w:rFonts w:ascii="Courier New" w:hAnsi="Courier New" w:cs="Courier New"/>
          <w:sz w:val="24"/>
          <w:szCs w:val="24"/>
        </w:rPr>
        <w:t>s</w:t>
      </w:r>
      <w:r w:rsidR="000F4D93">
        <w:rPr>
          <w:rFonts w:ascii="Courier New" w:hAnsi="Courier New" w:cs="Courier New"/>
          <w:sz w:val="24"/>
          <w:szCs w:val="24"/>
        </w:rPr>
        <w:t xml:space="preserve">, provided reliable evidence of the subject property’s market value, the </w:t>
      </w:r>
      <w:r w:rsidR="00A47E8F">
        <w:rPr>
          <w:rFonts w:ascii="Courier New" w:hAnsi="Courier New" w:cs="Courier New"/>
          <w:sz w:val="24"/>
          <w:szCs w:val="24"/>
        </w:rPr>
        <w:t>Board found that some of Mr. Logue’</w:t>
      </w:r>
      <w:r w:rsidR="00842FDF">
        <w:rPr>
          <w:rFonts w:ascii="Courier New" w:hAnsi="Courier New" w:cs="Courier New"/>
          <w:sz w:val="24"/>
          <w:szCs w:val="24"/>
        </w:rPr>
        <w:t xml:space="preserve">s adjustments </w:t>
      </w:r>
      <w:r w:rsidR="00642BCF">
        <w:rPr>
          <w:rFonts w:ascii="Courier New" w:hAnsi="Courier New" w:cs="Courier New"/>
          <w:sz w:val="24"/>
          <w:szCs w:val="24"/>
        </w:rPr>
        <w:t xml:space="preserve">either lacked explanation or were </w:t>
      </w:r>
      <w:r w:rsidR="00A47E8F">
        <w:rPr>
          <w:rFonts w:ascii="Courier New" w:hAnsi="Courier New" w:cs="Courier New"/>
          <w:sz w:val="24"/>
          <w:szCs w:val="24"/>
        </w:rPr>
        <w:t>contradicted by the record</w:t>
      </w:r>
      <w:r w:rsidR="000F4D93">
        <w:rPr>
          <w:rFonts w:ascii="Courier New" w:hAnsi="Courier New" w:cs="Courier New"/>
          <w:sz w:val="24"/>
          <w:szCs w:val="24"/>
        </w:rPr>
        <w:t>.  For example,</w:t>
      </w:r>
      <w:r w:rsidR="003274EB">
        <w:rPr>
          <w:rFonts w:ascii="Courier New" w:hAnsi="Courier New" w:cs="Courier New"/>
          <w:sz w:val="24"/>
          <w:szCs w:val="24"/>
        </w:rPr>
        <w:t xml:space="preserve"> Mr. Logue opined that the Natic</w:t>
      </w:r>
      <w:r w:rsidR="00A47E8F">
        <w:rPr>
          <w:rFonts w:ascii="Courier New" w:hAnsi="Courier New" w:cs="Courier New"/>
          <w:sz w:val="24"/>
          <w:szCs w:val="24"/>
        </w:rPr>
        <w:t xml:space="preserve">k Mall was superior </w:t>
      </w:r>
      <w:r w:rsidR="003274EB">
        <w:rPr>
          <w:rFonts w:ascii="Courier New" w:hAnsi="Courier New" w:cs="Courier New"/>
          <w:sz w:val="24"/>
          <w:szCs w:val="24"/>
        </w:rPr>
        <w:t>to t</w:t>
      </w:r>
      <w:r w:rsidR="00A47E8F">
        <w:rPr>
          <w:rFonts w:ascii="Courier New" w:hAnsi="Courier New" w:cs="Courier New"/>
          <w:sz w:val="24"/>
          <w:szCs w:val="24"/>
        </w:rPr>
        <w:t xml:space="preserve">he </w:t>
      </w:r>
      <w:r w:rsidR="00A47E8F">
        <w:rPr>
          <w:rFonts w:ascii="Courier New" w:hAnsi="Courier New" w:cs="Courier New"/>
          <w:sz w:val="24"/>
          <w:szCs w:val="24"/>
        </w:rPr>
        <w:lastRenderedPageBreak/>
        <w:t>Galleria, such that the rent</w:t>
      </w:r>
      <w:r w:rsidR="003274EB">
        <w:rPr>
          <w:rFonts w:ascii="Courier New" w:hAnsi="Courier New" w:cs="Courier New"/>
          <w:sz w:val="24"/>
          <w:szCs w:val="24"/>
        </w:rPr>
        <w:t xml:space="preserve"> from that mall required a downward adjustmen</w:t>
      </w:r>
      <w:r w:rsidR="00A47E8F">
        <w:rPr>
          <w:rFonts w:ascii="Courier New" w:hAnsi="Courier New" w:cs="Courier New"/>
          <w:sz w:val="24"/>
          <w:szCs w:val="24"/>
        </w:rPr>
        <w:t>t</w:t>
      </w:r>
      <w:r w:rsidR="003274EB">
        <w:rPr>
          <w:rFonts w:ascii="Courier New" w:hAnsi="Courier New" w:cs="Courier New"/>
          <w:sz w:val="24"/>
          <w:szCs w:val="24"/>
        </w:rPr>
        <w:t>.  How</w:t>
      </w:r>
      <w:r w:rsidR="00842FDF">
        <w:rPr>
          <w:rFonts w:ascii="Courier New" w:hAnsi="Courier New" w:cs="Courier New"/>
          <w:sz w:val="24"/>
          <w:szCs w:val="24"/>
        </w:rPr>
        <w:t>ever, Mr. Logue’s conclusion was contradicted by the evidence, which demonstrated that the Natick Mall was inferior to the Galleria, and thus this downward adjustment w</w:t>
      </w:r>
      <w:r w:rsidR="00642BCF">
        <w:rPr>
          <w:rFonts w:ascii="Courier New" w:hAnsi="Courier New" w:cs="Courier New"/>
          <w:sz w:val="24"/>
          <w:szCs w:val="24"/>
        </w:rPr>
        <w:t>as unwarranted</w:t>
      </w:r>
      <w:r w:rsidR="00842FDF">
        <w:rPr>
          <w:rFonts w:ascii="Courier New" w:hAnsi="Courier New" w:cs="Courier New"/>
          <w:sz w:val="24"/>
          <w:szCs w:val="24"/>
        </w:rPr>
        <w:t xml:space="preserve">.  </w:t>
      </w:r>
      <w:r w:rsidR="00642BCF">
        <w:rPr>
          <w:rFonts w:ascii="Courier New" w:hAnsi="Courier New" w:cs="Courier New"/>
          <w:sz w:val="24"/>
          <w:szCs w:val="24"/>
        </w:rPr>
        <w:t xml:space="preserve">He further failed to explain how he adjusted the rents that he used, which were on gross, modified gross, or </w:t>
      </w:r>
      <w:r w:rsidR="00457549">
        <w:rPr>
          <w:rFonts w:ascii="Courier New" w:hAnsi="Courier New" w:cs="Courier New"/>
          <w:sz w:val="24"/>
          <w:szCs w:val="24"/>
        </w:rPr>
        <w:t xml:space="preserve">modified net terms </w:t>
      </w:r>
      <w:r w:rsidR="00642BCF">
        <w:rPr>
          <w:rFonts w:ascii="Courier New" w:hAnsi="Courier New" w:cs="Courier New"/>
          <w:sz w:val="24"/>
          <w:szCs w:val="24"/>
        </w:rPr>
        <w:t xml:space="preserve">to the triple-net rent that he used to form his opinion of value.  </w:t>
      </w:r>
    </w:p>
    <w:p w:rsidR="00891E9D" w:rsidRPr="00002D28" w:rsidRDefault="00842FDF" w:rsidP="00002D28">
      <w:pPr>
        <w:spacing w:line="480" w:lineRule="auto"/>
        <w:ind w:firstLine="720"/>
        <w:contextualSpacing/>
        <w:jc w:val="both"/>
        <w:rPr>
          <w:rFonts w:ascii="Courier New" w:eastAsia="Times New Roman" w:hAnsi="Courier New" w:cs="Courier New"/>
          <w:sz w:val="24"/>
          <w:szCs w:val="24"/>
        </w:rPr>
      </w:pPr>
      <w:r>
        <w:rPr>
          <w:rFonts w:ascii="Courier New" w:hAnsi="Courier New" w:cs="Courier New"/>
          <w:sz w:val="24"/>
          <w:szCs w:val="24"/>
        </w:rPr>
        <w:t>In sum, th</w:t>
      </w:r>
      <w:r w:rsidR="00C466B8">
        <w:rPr>
          <w:rFonts w:ascii="Courier New" w:hAnsi="Courier New" w:cs="Courier New"/>
          <w:sz w:val="24"/>
          <w:szCs w:val="24"/>
        </w:rPr>
        <w:t>e Board concluded that the ren</w:t>
      </w:r>
      <w:r>
        <w:rPr>
          <w:rFonts w:ascii="Courier New" w:hAnsi="Courier New" w:cs="Courier New"/>
          <w:sz w:val="24"/>
          <w:szCs w:val="24"/>
        </w:rPr>
        <w:t>ts selected</w:t>
      </w:r>
      <w:r w:rsidR="00EB17B8">
        <w:rPr>
          <w:rFonts w:ascii="Courier New" w:hAnsi="Courier New" w:cs="Courier New"/>
          <w:sz w:val="24"/>
          <w:szCs w:val="24"/>
        </w:rPr>
        <w:t xml:space="preserve"> by Mr. Logue did not provide reliable evidence of market rent for the subject property</w:t>
      </w:r>
      <w:r>
        <w:rPr>
          <w:rFonts w:ascii="Courier New" w:hAnsi="Courier New" w:cs="Courier New"/>
          <w:sz w:val="24"/>
          <w:szCs w:val="24"/>
        </w:rPr>
        <w:t xml:space="preserve">, as they </w:t>
      </w:r>
      <w:r w:rsidR="00C466B8">
        <w:rPr>
          <w:rFonts w:ascii="Courier New" w:hAnsi="Courier New" w:cs="Courier New"/>
          <w:sz w:val="24"/>
          <w:szCs w:val="24"/>
        </w:rPr>
        <w:t xml:space="preserve">were </w:t>
      </w:r>
      <w:r>
        <w:rPr>
          <w:rFonts w:ascii="Courier New" w:hAnsi="Courier New" w:cs="Courier New"/>
          <w:sz w:val="24"/>
          <w:szCs w:val="24"/>
        </w:rPr>
        <w:t>culled from properties t</w:t>
      </w:r>
      <w:r w:rsidR="00EB17B8">
        <w:rPr>
          <w:rFonts w:ascii="Courier New" w:hAnsi="Courier New" w:cs="Courier New"/>
          <w:sz w:val="24"/>
          <w:szCs w:val="24"/>
        </w:rPr>
        <w:t xml:space="preserve">hat were too dissimilar from </w:t>
      </w:r>
      <w:r w:rsidR="009078E8">
        <w:rPr>
          <w:rFonts w:ascii="Courier New" w:hAnsi="Courier New" w:cs="Courier New"/>
          <w:sz w:val="24"/>
          <w:szCs w:val="24"/>
        </w:rPr>
        <w:t xml:space="preserve">and inferior to </w:t>
      </w:r>
      <w:r w:rsidR="00EB17B8">
        <w:rPr>
          <w:rFonts w:ascii="Courier New" w:hAnsi="Courier New" w:cs="Courier New"/>
          <w:sz w:val="24"/>
          <w:szCs w:val="24"/>
        </w:rPr>
        <w:t xml:space="preserve">it, and further that his </w:t>
      </w:r>
      <w:r>
        <w:rPr>
          <w:rFonts w:ascii="Courier New" w:hAnsi="Courier New" w:cs="Courier New"/>
          <w:sz w:val="24"/>
          <w:szCs w:val="24"/>
        </w:rPr>
        <w:t>adjustment</w:t>
      </w:r>
      <w:r w:rsidR="00EB17B8">
        <w:rPr>
          <w:rFonts w:ascii="Courier New" w:hAnsi="Courier New" w:cs="Courier New"/>
          <w:sz w:val="24"/>
          <w:szCs w:val="24"/>
        </w:rPr>
        <w:t>s were contradicted by the evidence, with the net effect of these deficienci</w:t>
      </w:r>
      <w:r w:rsidR="009078E8">
        <w:rPr>
          <w:rFonts w:ascii="Courier New" w:hAnsi="Courier New" w:cs="Courier New"/>
          <w:sz w:val="24"/>
          <w:szCs w:val="24"/>
        </w:rPr>
        <w:t xml:space="preserve">es resulting in the </w:t>
      </w:r>
      <w:r w:rsidR="00EB17B8">
        <w:rPr>
          <w:rFonts w:ascii="Courier New" w:hAnsi="Courier New" w:cs="Courier New"/>
          <w:sz w:val="24"/>
          <w:szCs w:val="24"/>
        </w:rPr>
        <w:t>understatement of the subject property’</w:t>
      </w:r>
      <w:r w:rsidR="001828CF">
        <w:rPr>
          <w:rFonts w:ascii="Courier New" w:hAnsi="Courier New" w:cs="Courier New"/>
          <w:sz w:val="24"/>
          <w:szCs w:val="24"/>
        </w:rPr>
        <w:t>s potential gross income</w:t>
      </w:r>
      <w:r w:rsidR="00A932F7">
        <w:rPr>
          <w:rFonts w:ascii="Courier New" w:hAnsi="Courier New" w:cs="Courier New"/>
          <w:sz w:val="24"/>
          <w:szCs w:val="24"/>
        </w:rPr>
        <w:t xml:space="preserve">, and ultimately, its </w:t>
      </w:r>
      <w:r w:rsidR="001828CF">
        <w:rPr>
          <w:rFonts w:ascii="Courier New" w:hAnsi="Courier New" w:cs="Courier New"/>
          <w:sz w:val="24"/>
          <w:szCs w:val="24"/>
        </w:rPr>
        <w:t xml:space="preserve">fair cash value.  </w:t>
      </w:r>
      <w:r w:rsidR="00891E9D" w:rsidRPr="00CA3CD5">
        <w:rPr>
          <w:rFonts w:ascii="Courier New" w:hAnsi="Courier New" w:cs="Courier New"/>
          <w:i/>
          <w:sz w:val="24"/>
          <w:szCs w:val="24"/>
        </w:rPr>
        <w:t>See</w:t>
      </w:r>
      <w:r w:rsidR="00891E9D">
        <w:rPr>
          <w:rFonts w:ascii="Courier New" w:hAnsi="Courier New" w:cs="Courier New"/>
          <w:sz w:val="24"/>
          <w:szCs w:val="24"/>
        </w:rPr>
        <w:t xml:space="preserve"> </w:t>
      </w:r>
      <w:r w:rsidR="00891E9D" w:rsidRPr="0092615A">
        <w:rPr>
          <w:rFonts w:ascii="Courier New" w:hAnsi="Courier New" w:cs="Courier New"/>
          <w:b/>
          <w:i/>
          <w:sz w:val="24"/>
          <w:szCs w:val="24"/>
        </w:rPr>
        <w:t>Northshore Mall</w:t>
      </w:r>
      <w:r w:rsidR="00891E9D">
        <w:rPr>
          <w:rFonts w:ascii="Courier New" w:hAnsi="Courier New" w:cs="Courier New"/>
          <w:sz w:val="24"/>
          <w:szCs w:val="24"/>
        </w:rPr>
        <w:t xml:space="preserve"> </w:t>
      </w:r>
      <w:r w:rsidR="0092615A" w:rsidRPr="0092615A">
        <w:rPr>
          <w:rFonts w:ascii="Courier New" w:hAnsi="Courier New" w:cs="Courier New"/>
          <w:b/>
          <w:i/>
          <w:sz w:val="24"/>
          <w:szCs w:val="24"/>
        </w:rPr>
        <w:t>Limited Partnership</w:t>
      </w:r>
      <w:r w:rsidR="0092615A">
        <w:rPr>
          <w:rFonts w:ascii="Courier New" w:hAnsi="Courier New" w:cs="Courier New"/>
          <w:sz w:val="24"/>
          <w:szCs w:val="24"/>
        </w:rPr>
        <w:t xml:space="preserve">, </w:t>
      </w:r>
      <w:r w:rsidR="00D90E08">
        <w:rPr>
          <w:rFonts w:ascii="Courier New" w:hAnsi="Courier New" w:cs="Courier New"/>
          <w:sz w:val="24"/>
          <w:szCs w:val="24"/>
        </w:rPr>
        <w:t>Mass. ATB Findings of</w:t>
      </w:r>
      <w:r w:rsidR="006F0269">
        <w:rPr>
          <w:rFonts w:ascii="Courier New" w:hAnsi="Courier New" w:cs="Courier New"/>
          <w:sz w:val="24"/>
          <w:szCs w:val="24"/>
        </w:rPr>
        <w:t xml:space="preserve"> Fact and Reports at 2004-255.  </w:t>
      </w:r>
      <w:r w:rsidR="00C466B8">
        <w:rPr>
          <w:rFonts w:ascii="Courier New" w:hAnsi="Courier New" w:cs="Courier New"/>
          <w:sz w:val="24"/>
          <w:szCs w:val="24"/>
        </w:rPr>
        <w:t>The Board theref</w:t>
      </w:r>
      <w:r w:rsidR="001828CF">
        <w:rPr>
          <w:rFonts w:ascii="Courier New" w:hAnsi="Courier New" w:cs="Courier New"/>
          <w:sz w:val="24"/>
          <w:szCs w:val="24"/>
        </w:rPr>
        <w:t>ore declined to plac</w:t>
      </w:r>
      <w:r w:rsidR="00750669">
        <w:rPr>
          <w:rFonts w:ascii="Courier New" w:hAnsi="Courier New" w:cs="Courier New"/>
          <w:sz w:val="24"/>
          <w:szCs w:val="24"/>
        </w:rPr>
        <w:t>e weight on Mr. Logue’s opinion</w:t>
      </w:r>
      <w:r w:rsidR="001828CF">
        <w:rPr>
          <w:rFonts w:ascii="Courier New" w:hAnsi="Courier New" w:cs="Courier New"/>
          <w:sz w:val="24"/>
          <w:szCs w:val="24"/>
        </w:rPr>
        <w:t xml:space="preserve"> </w:t>
      </w:r>
      <w:r w:rsidR="00891E9D">
        <w:rPr>
          <w:rFonts w:ascii="Courier New" w:hAnsi="Courier New" w:cs="Courier New"/>
          <w:sz w:val="24"/>
          <w:szCs w:val="24"/>
        </w:rPr>
        <w:t xml:space="preserve">of value.  </w:t>
      </w:r>
      <w:r w:rsidR="00891E9D" w:rsidRPr="00891E9D">
        <w:rPr>
          <w:rFonts w:ascii="Courier New" w:hAnsi="Courier New" w:cs="Courier New"/>
          <w:sz w:val="24"/>
        </w:rPr>
        <w:t xml:space="preserve">“The board [is] not required to believe the testimony of any particular witness.”  </w:t>
      </w:r>
      <w:r w:rsidR="00891E9D" w:rsidRPr="00891E9D">
        <w:rPr>
          <w:rFonts w:ascii="Courier New" w:hAnsi="Courier New" w:cs="Courier New"/>
          <w:b/>
          <w:bCs/>
          <w:i/>
          <w:iCs/>
          <w:sz w:val="24"/>
        </w:rPr>
        <w:t>Boston Consolidated Gas Co.,</w:t>
      </w:r>
      <w:r w:rsidR="00891E9D" w:rsidRPr="00891E9D">
        <w:rPr>
          <w:rFonts w:ascii="Courier New" w:hAnsi="Courier New" w:cs="Courier New"/>
          <w:sz w:val="24"/>
        </w:rPr>
        <w:t xml:space="preserve"> 309 Mass. </w:t>
      </w:r>
      <w:r w:rsidR="001705C7">
        <w:rPr>
          <w:rFonts w:ascii="Courier New" w:hAnsi="Courier New" w:cs="Courier New"/>
          <w:sz w:val="24"/>
        </w:rPr>
        <w:t xml:space="preserve">at </w:t>
      </w:r>
      <w:r w:rsidR="00891E9D" w:rsidRPr="00891E9D">
        <w:rPr>
          <w:rFonts w:ascii="Courier New" w:hAnsi="Courier New" w:cs="Courier New"/>
          <w:sz w:val="24"/>
        </w:rPr>
        <w:t xml:space="preserve">72.  </w:t>
      </w:r>
      <w:r w:rsidR="00891E9D" w:rsidRPr="00891E9D">
        <w:rPr>
          <w:rFonts w:ascii="Courier New" w:hAnsi="Courier New" w:cs="Courier New"/>
          <w:i/>
          <w:iCs/>
          <w:sz w:val="24"/>
        </w:rPr>
        <w:t>See also</w:t>
      </w:r>
      <w:r w:rsidR="00891E9D" w:rsidRPr="00891E9D">
        <w:rPr>
          <w:rFonts w:ascii="Courier New" w:hAnsi="Courier New" w:cs="Courier New"/>
          <w:sz w:val="24"/>
        </w:rPr>
        <w:t xml:space="preserve"> </w:t>
      </w:r>
      <w:r w:rsidR="00891E9D" w:rsidRPr="00891E9D">
        <w:rPr>
          <w:rFonts w:ascii="Courier New" w:hAnsi="Courier New" w:cs="Courier New"/>
          <w:b/>
          <w:bCs/>
          <w:i/>
          <w:iCs/>
          <w:sz w:val="24"/>
        </w:rPr>
        <w:t>North American Philips Lighting Corp. v. Assessors of Lynn</w:t>
      </w:r>
      <w:r w:rsidR="009078E8">
        <w:rPr>
          <w:rFonts w:ascii="Courier New" w:hAnsi="Courier New" w:cs="Courier New"/>
          <w:sz w:val="24"/>
        </w:rPr>
        <w:t xml:space="preserve">, 392 Mass. 296, 300 (1984).  </w:t>
      </w:r>
      <w:r w:rsidR="00891E9D" w:rsidRPr="00891E9D">
        <w:rPr>
          <w:rFonts w:ascii="Courier New" w:hAnsi="Courier New" w:cs="Courier New"/>
          <w:sz w:val="24"/>
        </w:rPr>
        <w:t xml:space="preserve">The mere qualification of a person as an expert does not endow his </w:t>
      </w:r>
      <w:r w:rsidR="00891E9D" w:rsidRPr="00891E9D">
        <w:rPr>
          <w:rFonts w:ascii="Courier New" w:hAnsi="Courier New" w:cs="Courier New"/>
          <w:sz w:val="24"/>
        </w:rPr>
        <w:lastRenderedPageBreak/>
        <w:t xml:space="preserve">testimony with any determinative weight.  </w:t>
      </w:r>
      <w:r w:rsidR="00891E9D" w:rsidRPr="00891E9D">
        <w:rPr>
          <w:rFonts w:ascii="Courier New" w:hAnsi="Courier New" w:cs="Courier New"/>
          <w:b/>
          <w:bCs/>
          <w:i/>
          <w:iCs/>
          <w:sz w:val="24"/>
        </w:rPr>
        <w:t xml:space="preserve">Boston Gas Co., </w:t>
      </w:r>
      <w:r w:rsidR="00891E9D" w:rsidRPr="00891E9D">
        <w:rPr>
          <w:rFonts w:ascii="Courier New" w:hAnsi="Courier New" w:cs="Courier New"/>
          <w:sz w:val="24"/>
        </w:rPr>
        <w:t>334</w:t>
      </w:r>
      <w:r w:rsidR="00183708">
        <w:rPr>
          <w:rFonts w:ascii="Courier New" w:hAnsi="Courier New" w:cs="Courier New"/>
          <w:sz w:val="24"/>
        </w:rPr>
        <w:t> </w:t>
      </w:r>
      <w:r w:rsidR="00891E9D" w:rsidRPr="00891E9D">
        <w:rPr>
          <w:rFonts w:ascii="Courier New" w:hAnsi="Courier New" w:cs="Courier New"/>
          <w:sz w:val="24"/>
        </w:rPr>
        <w:t xml:space="preserve">Mass. at 579.  </w:t>
      </w:r>
    </w:p>
    <w:p w:rsidR="00183708" w:rsidRDefault="00002D28" w:rsidP="00183708">
      <w:pPr>
        <w:spacing w:line="480" w:lineRule="auto"/>
        <w:ind w:firstLine="720"/>
        <w:contextualSpacing/>
        <w:jc w:val="both"/>
        <w:rPr>
          <w:rFonts w:ascii="Courier New" w:hAnsi="Courier New" w:cs="Courier New"/>
          <w:sz w:val="24"/>
          <w:szCs w:val="24"/>
        </w:rPr>
      </w:pPr>
      <w:r>
        <w:rPr>
          <w:rFonts w:ascii="Courier New" w:hAnsi="Courier New" w:cs="Courier New"/>
          <w:sz w:val="24"/>
          <w:szCs w:val="24"/>
        </w:rPr>
        <w:t>In conclusion, t</w:t>
      </w:r>
      <w:r w:rsidR="009078E8">
        <w:rPr>
          <w:rFonts w:ascii="Courier New" w:hAnsi="Courier New" w:cs="Courier New"/>
          <w:sz w:val="24"/>
          <w:szCs w:val="24"/>
        </w:rPr>
        <w:t xml:space="preserve">he Board </w:t>
      </w:r>
      <w:r w:rsidR="00C466B8">
        <w:rPr>
          <w:rFonts w:ascii="Courier New" w:hAnsi="Courier New" w:cs="Courier New"/>
          <w:sz w:val="24"/>
          <w:szCs w:val="24"/>
        </w:rPr>
        <w:t xml:space="preserve">found and ruled that the appellant failed to demonstrate that the assessed value of the subject property exceeded its fair cash value for the fiscal years at issue.  Accordingly, the Board issued </w:t>
      </w:r>
      <w:r w:rsidR="00A4599E">
        <w:rPr>
          <w:rFonts w:ascii="Courier New" w:hAnsi="Courier New" w:cs="Courier New"/>
          <w:sz w:val="24"/>
          <w:szCs w:val="24"/>
        </w:rPr>
        <w:t>a decision</w:t>
      </w:r>
      <w:r w:rsidR="00C466B8">
        <w:rPr>
          <w:rFonts w:ascii="Courier New" w:hAnsi="Courier New" w:cs="Courier New"/>
          <w:sz w:val="24"/>
          <w:szCs w:val="24"/>
        </w:rPr>
        <w:t xml:space="preserve"> for the appellee in these appeals. </w:t>
      </w:r>
    </w:p>
    <w:p w:rsidR="00183708" w:rsidRDefault="00183708" w:rsidP="00183708">
      <w:pPr>
        <w:spacing w:line="480" w:lineRule="auto"/>
        <w:ind w:firstLine="720"/>
        <w:contextualSpacing/>
        <w:jc w:val="both"/>
        <w:rPr>
          <w:rFonts w:ascii="Courier New" w:hAnsi="Courier New" w:cs="Courier New"/>
          <w:sz w:val="24"/>
          <w:szCs w:val="24"/>
        </w:rPr>
      </w:pPr>
    </w:p>
    <w:p w:rsidR="00183708" w:rsidRDefault="00183708" w:rsidP="00183708">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rsidR="00183708" w:rsidRDefault="00183708" w:rsidP="00183708">
      <w:pPr>
        <w:ind w:left="2880" w:firstLine="720"/>
        <w:jc w:val="both"/>
        <w:rPr>
          <w:rFonts w:ascii="Courier New" w:hAnsi="Courier New" w:cs="Courier New"/>
          <w:b/>
        </w:rPr>
      </w:pPr>
    </w:p>
    <w:p w:rsidR="00183708" w:rsidRPr="006C660D" w:rsidRDefault="00183708" w:rsidP="00183708">
      <w:pPr>
        <w:ind w:left="2880" w:firstLine="720"/>
        <w:jc w:val="both"/>
        <w:rPr>
          <w:rFonts w:ascii="Courier New" w:hAnsi="Courier New" w:cs="Courier New"/>
          <w:b/>
        </w:rPr>
      </w:pPr>
    </w:p>
    <w:p w:rsidR="00183708" w:rsidRPr="002E6D85" w:rsidRDefault="00183708" w:rsidP="00183708">
      <w:pPr>
        <w:spacing w:after="0"/>
        <w:ind w:left="3315"/>
        <w:jc w:val="both"/>
        <w:rPr>
          <w:rFonts w:ascii="Courier New" w:hAnsi="Courier New" w:cs="Courier New"/>
          <w:b/>
        </w:rPr>
      </w:pPr>
      <w:r w:rsidRPr="002E6D85">
        <w:rPr>
          <w:rFonts w:ascii="Courier New" w:hAnsi="Courier New" w:cs="Courier New"/>
          <w:b/>
        </w:rPr>
        <w:t>By:</w:t>
      </w:r>
      <w:r>
        <w:rPr>
          <w:rFonts w:ascii="Courier New" w:hAnsi="Courier New" w:cs="Courier New"/>
          <w:b/>
          <w:u w:val="single"/>
        </w:rPr>
        <w:tab/>
        <w:t>_____</w:t>
      </w:r>
      <w:r w:rsidRPr="002E6D85">
        <w:rPr>
          <w:rFonts w:ascii="Courier New" w:hAnsi="Courier New" w:cs="Courier New"/>
          <w:b/>
          <w:u w:val="single"/>
        </w:rPr>
        <w:t>   __________________</w:t>
      </w:r>
      <w:r>
        <w:rPr>
          <w:rFonts w:ascii="Courier New" w:hAnsi="Courier New" w:cs="Courier New"/>
          <w:b/>
          <w:u w:val="single"/>
        </w:rPr>
        <w:t>_____</w:t>
      </w:r>
      <w:r w:rsidRPr="002E6D85">
        <w:rPr>
          <w:rFonts w:ascii="Courier New" w:hAnsi="Courier New" w:cs="Courier New"/>
          <w:b/>
        </w:rPr>
        <w:tab/>
        <w:t xml:space="preserve">       </w:t>
      </w:r>
    </w:p>
    <w:p w:rsidR="00183708" w:rsidRPr="006C660D" w:rsidRDefault="00183708" w:rsidP="00183708">
      <w:pPr>
        <w:spacing w:after="0"/>
        <w:ind w:left="3315" w:firstLine="285"/>
        <w:jc w:val="both"/>
        <w:rPr>
          <w:rFonts w:ascii="Courier New" w:hAnsi="Courier New" w:cs="Courier New"/>
          <w:b/>
        </w:rPr>
      </w:pPr>
      <w:r>
        <w:rPr>
          <w:rFonts w:ascii="Courier New" w:hAnsi="Courier New" w:cs="Courier New"/>
          <w:b/>
        </w:rPr>
        <w:t xml:space="preserve"> </w:t>
      </w:r>
      <w:r w:rsidRPr="002E6D85">
        <w:rPr>
          <w:rFonts w:ascii="Courier New" w:hAnsi="Courier New" w:cs="Courier New"/>
          <w:b/>
        </w:rPr>
        <w:t>Thomas W. Hammond, Jr., Chairman</w:t>
      </w:r>
      <w:r w:rsidRPr="006C660D">
        <w:rPr>
          <w:rFonts w:ascii="Courier New" w:hAnsi="Courier New" w:cs="Courier New"/>
          <w:b/>
        </w:rPr>
        <w:t xml:space="preserve"> </w:t>
      </w:r>
    </w:p>
    <w:p w:rsidR="00183708" w:rsidRPr="006C660D" w:rsidRDefault="00183708" w:rsidP="00183708">
      <w:pPr>
        <w:spacing w:after="0"/>
        <w:jc w:val="both"/>
        <w:rPr>
          <w:rFonts w:ascii="Courier New" w:hAnsi="Courier New" w:cs="Courier New"/>
          <w:b/>
        </w:rPr>
      </w:pPr>
    </w:p>
    <w:p w:rsidR="00183708" w:rsidRDefault="00183708" w:rsidP="00183708">
      <w:pPr>
        <w:jc w:val="both"/>
        <w:rPr>
          <w:rFonts w:ascii="Courier New" w:hAnsi="Courier New" w:cs="Courier New"/>
          <w:b/>
        </w:rPr>
      </w:pPr>
    </w:p>
    <w:p w:rsidR="00183708" w:rsidRPr="002E6D85" w:rsidRDefault="00183708" w:rsidP="00183708">
      <w:pPr>
        <w:jc w:val="both"/>
        <w:rPr>
          <w:rFonts w:ascii="Courier New" w:hAnsi="Courier New" w:cs="Courier New"/>
          <w:b/>
        </w:rPr>
      </w:pPr>
      <w:r w:rsidRPr="002E6D85">
        <w:rPr>
          <w:rFonts w:ascii="Courier New" w:hAnsi="Courier New" w:cs="Courier New"/>
          <w:b/>
        </w:rPr>
        <w:t>A true copy,</w:t>
      </w:r>
    </w:p>
    <w:p w:rsidR="00183708" w:rsidRPr="002E6D85" w:rsidRDefault="00183708" w:rsidP="00183708">
      <w:pPr>
        <w:jc w:val="both"/>
        <w:rPr>
          <w:rFonts w:ascii="Courier New" w:hAnsi="Courier New" w:cs="Courier New"/>
          <w:b/>
        </w:rPr>
      </w:pPr>
    </w:p>
    <w:p w:rsidR="00183708" w:rsidRPr="002E6D85" w:rsidRDefault="00183708" w:rsidP="00183708">
      <w:pPr>
        <w:spacing w:after="0"/>
        <w:jc w:val="both"/>
        <w:rPr>
          <w:rFonts w:ascii="Courier New" w:hAnsi="Courier New" w:cs="Courier New"/>
          <w:b/>
          <w:u w:val="single"/>
        </w:rPr>
      </w:pPr>
      <w:r w:rsidRPr="002E6D85">
        <w:rPr>
          <w:rFonts w:ascii="Courier New" w:hAnsi="Courier New" w:cs="Courier New"/>
          <w:b/>
        </w:rPr>
        <w:t>Attest:</w:t>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t>_____</w:t>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t>__</w:t>
      </w:r>
    </w:p>
    <w:p w:rsidR="00183708" w:rsidRPr="006F2F0C" w:rsidRDefault="00183708" w:rsidP="00183708">
      <w:pPr>
        <w:spacing w:after="0"/>
        <w:jc w:val="both"/>
        <w:rPr>
          <w:rFonts w:ascii="Courier New" w:hAnsi="Courier New" w:cs="Courier New"/>
        </w:rPr>
      </w:pPr>
      <w:r w:rsidRPr="002E6D85">
        <w:rPr>
          <w:rFonts w:ascii="Courier New" w:hAnsi="Courier New" w:cs="Courier New"/>
          <w:b/>
        </w:rPr>
        <w:tab/>
        <w:t xml:space="preserve">    Clerk of the Board</w:t>
      </w:r>
      <w:r>
        <w:rPr>
          <w:rFonts w:ascii="Courier New" w:hAnsi="Courier New" w:cs="Courier New"/>
        </w:rPr>
        <w:t xml:space="preserve">  </w:t>
      </w:r>
    </w:p>
    <w:p w:rsidR="00183708" w:rsidRPr="00CD5C31" w:rsidRDefault="00183708" w:rsidP="00183708">
      <w:pPr>
        <w:spacing w:line="480" w:lineRule="auto"/>
        <w:contextualSpacing/>
        <w:jc w:val="both"/>
        <w:rPr>
          <w:rFonts w:ascii="Courier New" w:hAnsi="Courier New" w:cs="Courier New"/>
          <w:b/>
          <w:sz w:val="24"/>
          <w:szCs w:val="24"/>
        </w:rPr>
      </w:pPr>
    </w:p>
    <w:sectPr w:rsidR="00183708" w:rsidRPr="00CD5C31" w:rsidSect="00981EA8">
      <w:footerReference w:type="default" r:id="rId9"/>
      <w:pgSz w:w="12240" w:h="15840"/>
      <w:pgMar w:top="1440" w:right="1440" w:bottom="1440" w:left="1440" w:header="720" w:footer="720" w:gutter="0"/>
      <w:pgNumType w:start="1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51" w:rsidRDefault="00507351" w:rsidP="008220C4">
      <w:pPr>
        <w:spacing w:after="0" w:line="240" w:lineRule="auto"/>
      </w:pPr>
      <w:r>
        <w:separator/>
      </w:r>
    </w:p>
  </w:endnote>
  <w:endnote w:type="continuationSeparator" w:id="0">
    <w:p w:rsidR="00507351" w:rsidRDefault="00507351" w:rsidP="0082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900089"/>
      <w:docPartObj>
        <w:docPartGallery w:val="Page Numbers (Bottom of Page)"/>
        <w:docPartUnique/>
      </w:docPartObj>
    </w:sdtPr>
    <w:sdtEndPr>
      <w:rPr>
        <w:rFonts w:ascii="Courier New" w:hAnsi="Courier New" w:cs="Courier New"/>
        <w:b/>
        <w:noProof/>
      </w:rPr>
    </w:sdtEndPr>
    <w:sdtContent>
      <w:p w:rsidR="008220C4" w:rsidRPr="00981EA8" w:rsidRDefault="00981EA8">
        <w:pPr>
          <w:pStyle w:val="Footer"/>
          <w:jc w:val="center"/>
          <w:rPr>
            <w:rFonts w:ascii="Courier New" w:hAnsi="Courier New" w:cs="Courier New"/>
            <w:b/>
          </w:rPr>
        </w:pPr>
        <w:r w:rsidRPr="00981EA8">
          <w:rPr>
            <w:rFonts w:ascii="Courier New" w:hAnsi="Courier New" w:cs="Courier New"/>
            <w:b/>
          </w:rPr>
          <w:t>ATB 2019-</w:t>
        </w:r>
        <w:r w:rsidR="008220C4" w:rsidRPr="00981EA8">
          <w:rPr>
            <w:rFonts w:ascii="Courier New" w:hAnsi="Courier New" w:cs="Courier New"/>
            <w:b/>
          </w:rPr>
          <w:fldChar w:fldCharType="begin"/>
        </w:r>
        <w:r w:rsidR="008220C4" w:rsidRPr="00981EA8">
          <w:rPr>
            <w:rFonts w:ascii="Courier New" w:hAnsi="Courier New" w:cs="Courier New"/>
            <w:b/>
          </w:rPr>
          <w:instrText xml:space="preserve"> PAGE   \* MERGEFORMAT </w:instrText>
        </w:r>
        <w:r w:rsidR="008220C4" w:rsidRPr="00981EA8">
          <w:rPr>
            <w:rFonts w:ascii="Courier New" w:hAnsi="Courier New" w:cs="Courier New"/>
            <w:b/>
          </w:rPr>
          <w:fldChar w:fldCharType="separate"/>
        </w:r>
        <w:r w:rsidR="000554BA">
          <w:rPr>
            <w:rFonts w:ascii="Courier New" w:hAnsi="Courier New" w:cs="Courier New"/>
            <w:b/>
            <w:noProof/>
          </w:rPr>
          <w:t>112</w:t>
        </w:r>
        <w:r w:rsidR="008220C4" w:rsidRPr="00981EA8">
          <w:rPr>
            <w:rFonts w:ascii="Courier New" w:hAnsi="Courier New" w:cs="Courier New"/>
            <w:b/>
            <w:noProof/>
          </w:rPr>
          <w:fldChar w:fldCharType="end"/>
        </w:r>
      </w:p>
    </w:sdtContent>
  </w:sdt>
  <w:p w:rsidR="008220C4" w:rsidRDefault="00822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51" w:rsidRDefault="00507351" w:rsidP="008220C4">
      <w:pPr>
        <w:spacing w:after="0" w:line="240" w:lineRule="auto"/>
      </w:pPr>
      <w:r>
        <w:separator/>
      </w:r>
    </w:p>
  </w:footnote>
  <w:footnote w:type="continuationSeparator" w:id="0">
    <w:p w:rsidR="00507351" w:rsidRDefault="00507351" w:rsidP="008220C4">
      <w:pPr>
        <w:spacing w:after="0" w:line="240" w:lineRule="auto"/>
      </w:pPr>
      <w:r>
        <w:continuationSeparator/>
      </w:r>
    </w:p>
  </w:footnote>
  <w:footnote w:id="1">
    <w:p w:rsidR="002D5620" w:rsidRPr="00727F76" w:rsidRDefault="002D5620" w:rsidP="00727F76">
      <w:pPr>
        <w:pStyle w:val="FootnoteText"/>
        <w:jc w:val="both"/>
        <w:rPr>
          <w:rFonts w:ascii="Courier New" w:hAnsi="Courier New"/>
        </w:rPr>
      </w:pPr>
      <w:r w:rsidRPr="00727F76">
        <w:rPr>
          <w:rStyle w:val="FootnoteReference"/>
          <w:rFonts w:ascii="Courier New" w:hAnsi="Courier New"/>
        </w:rPr>
        <w:footnoteRef/>
      </w:r>
      <w:r w:rsidR="00A53D4D">
        <w:rPr>
          <w:rFonts w:ascii="Courier New" w:hAnsi="Courier New"/>
        </w:rPr>
        <w:t xml:space="preserve"> The subject property </w:t>
      </w:r>
      <w:r w:rsidRPr="00727F76">
        <w:rPr>
          <w:rFonts w:ascii="Courier New" w:hAnsi="Courier New"/>
        </w:rPr>
        <w:t xml:space="preserve">was sold on January 26, 2016.  </w:t>
      </w:r>
      <w:proofErr w:type="gramStart"/>
      <w:r w:rsidRPr="00727F76">
        <w:rPr>
          <w:rFonts w:ascii="Courier New" w:hAnsi="Courier New"/>
        </w:rPr>
        <w:t>However, as the sale date was outside of the relevant dates of valuation, and the</w:t>
      </w:r>
      <w:r w:rsidR="007B3DA2">
        <w:rPr>
          <w:rFonts w:ascii="Courier New" w:hAnsi="Courier New"/>
        </w:rPr>
        <w:t xml:space="preserve"> sale involved a two-year lease</w:t>
      </w:r>
      <w:r w:rsidRPr="00727F76">
        <w:rPr>
          <w:rFonts w:ascii="Courier New" w:hAnsi="Courier New"/>
        </w:rPr>
        <w:t>back of the subject property by Sears, neither Mr. Logue nor the Board afforded any weight to the sale price.</w:t>
      </w:r>
      <w:proofErr w:type="gramEnd"/>
      <w:r w:rsidRPr="00727F76">
        <w:rPr>
          <w:rFonts w:ascii="Courier New" w:hAnsi="Courier New"/>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01978"/>
    <w:multiLevelType w:val="hybridMultilevel"/>
    <w:tmpl w:val="685CFA20"/>
    <w:lvl w:ilvl="0" w:tplc="9502DF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C67DFE"/>
    <w:multiLevelType w:val="hybridMultilevel"/>
    <w:tmpl w:val="AAB6943C"/>
    <w:lvl w:ilvl="0" w:tplc="C44E7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80"/>
    <w:rsid w:val="00002D28"/>
    <w:rsid w:val="000051C9"/>
    <w:rsid w:val="00011012"/>
    <w:rsid w:val="00032AFA"/>
    <w:rsid w:val="00034369"/>
    <w:rsid w:val="0003534C"/>
    <w:rsid w:val="00036F8B"/>
    <w:rsid w:val="00037A3E"/>
    <w:rsid w:val="00045C9A"/>
    <w:rsid w:val="0004682C"/>
    <w:rsid w:val="00055217"/>
    <w:rsid w:val="000554BA"/>
    <w:rsid w:val="00055925"/>
    <w:rsid w:val="00063EBD"/>
    <w:rsid w:val="00063FFC"/>
    <w:rsid w:val="00072EBB"/>
    <w:rsid w:val="0008437D"/>
    <w:rsid w:val="000920E1"/>
    <w:rsid w:val="000933BA"/>
    <w:rsid w:val="000966C4"/>
    <w:rsid w:val="000A03C3"/>
    <w:rsid w:val="000A03D1"/>
    <w:rsid w:val="000A728C"/>
    <w:rsid w:val="000C3919"/>
    <w:rsid w:val="000C677C"/>
    <w:rsid w:val="000C7372"/>
    <w:rsid w:val="000D1C32"/>
    <w:rsid w:val="000F4D93"/>
    <w:rsid w:val="00100958"/>
    <w:rsid w:val="00104216"/>
    <w:rsid w:val="00116423"/>
    <w:rsid w:val="00126DA3"/>
    <w:rsid w:val="0013477A"/>
    <w:rsid w:val="001560A8"/>
    <w:rsid w:val="0015614F"/>
    <w:rsid w:val="001705C7"/>
    <w:rsid w:val="00172577"/>
    <w:rsid w:val="001828CF"/>
    <w:rsid w:val="00183708"/>
    <w:rsid w:val="0018559B"/>
    <w:rsid w:val="001857BF"/>
    <w:rsid w:val="00186A59"/>
    <w:rsid w:val="00192780"/>
    <w:rsid w:val="00192A09"/>
    <w:rsid w:val="001939A5"/>
    <w:rsid w:val="00195A9F"/>
    <w:rsid w:val="001A1FDB"/>
    <w:rsid w:val="001A54BE"/>
    <w:rsid w:val="001A7128"/>
    <w:rsid w:val="001B08CB"/>
    <w:rsid w:val="001C0626"/>
    <w:rsid w:val="001C76C1"/>
    <w:rsid w:val="001D1D34"/>
    <w:rsid w:val="001E069D"/>
    <w:rsid w:val="001E0CFC"/>
    <w:rsid w:val="001E27ED"/>
    <w:rsid w:val="001F11F3"/>
    <w:rsid w:val="001F5909"/>
    <w:rsid w:val="00215C02"/>
    <w:rsid w:val="0022182A"/>
    <w:rsid w:val="00224A44"/>
    <w:rsid w:val="002276CB"/>
    <w:rsid w:val="00233F3B"/>
    <w:rsid w:val="002349EF"/>
    <w:rsid w:val="00247F25"/>
    <w:rsid w:val="00261DEF"/>
    <w:rsid w:val="00266CDE"/>
    <w:rsid w:val="00270957"/>
    <w:rsid w:val="002837A3"/>
    <w:rsid w:val="00286890"/>
    <w:rsid w:val="00296186"/>
    <w:rsid w:val="002A5932"/>
    <w:rsid w:val="002B4C70"/>
    <w:rsid w:val="002C11BC"/>
    <w:rsid w:val="002C1D53"/>
    <w:rsid w:val="002C3D84"/>
    <w:rsid w:val="002C49B2"/>
    <w:rsid w:val="002C6682"/>
    <w:rsid w:val="002C7C1F"/>
    <w:rsid w:val="002D0680"/>
    <w:rsid w:val="002D5620"/>
    <w:rsid w:val="002E039D"/>
    <w:rsid w:val="002F4B11"/>
    <w:rsid w:val="00313FFD"/>
    <w:rsid w:val="003274EB"/>
    <w:rsid w:val="0033667D"/>
    <w:rsid w:val="00337CAA"/>
    <w:rsid w:val="00341FA0"/>
    <w:rsid w:val="00361505"/>
    <w:rsid w:val="003621B6"/>
    <w:rsid w:val="00366AC5"/>
    <w:rsid w:val="00372C67"/>
    <w:rsid w:val="00384BB2"/>
    <w:rsid w:val="00392AB3"/>
    <w:rsid w:val="003A51FD"/>
    <w:rsid w:val="003B64B1"/>
    <w:rsid w:val="003C5895"/>
    <w:rsid w:val="003C61FC"/>
    <w:rsid w:val="003D2F01"/>
    <w:rsid w:val="003E27DC"/>
    <w:rsid w:val="003E65F8"/>
    <w:rsid w:val="003F1D27"/>
    <w:rsid w:val="003F24B6"/>
    <w:rsid w:val="003F4DA0"/>
    <w:rsid w:val="00402874"/>
    <w:rsid w:val="00411470"/>
    <w:rsid w:val="004236CC"/>
    <w:rsid w:val="00423CF5"/>
    <w:rsid w:val="00426DFA"/>
    <w:rsid w:val="00433FD5"/>
    <w:rsid w:val="004374CD"/>
    <w:rsid w:val="00450540"/>
    <w:rsid w:val="00453D88"/>
    <w:rsid w:val="0045492D"/>
    <w:rsid w:val="00457549"/>
    <w:rsid w:val="00460C8A"/>
    <w:rsid w:val="004649F7"/>
    <w:rsid w:val="00471BA2"/>
    <w:rsid w:val="00476362"/>
    <w:rsid w:val="00482BEE"/>
    <w:rsid w:val="00490A6F"/>
    <w:rsid w:val="00495DB3"/>
    <w:rsid w:val="004974C2"/>
    <w:rsid w:val="004A5863"/>
    <w:rsid w:val="004B3364"/>
    <w:rsid w:val="004B5A44"/>
    <w:rsid w:val="004B6EF7"/>
    <w:rsid w:val="004D6D61"/>
    <w:rsid w:val="004E1220"/>
    <w:rsid w:val="004E7434"/>
    <w:rsid w:val="00506A51"/>
    <w:rsid w:val="00507351"/>
    <w:rsid w:val="00515607"/>
    <w:rsid w:val="00516742"/>
    <w:rsid w:val="00517224"/>
    <w:rsid w:val="00531489"/>
    <w:rsid w:val="005320DE"/>
    <w:rsid w:val="005436BB"/>
    <w:rsid w:val="005472E6"/>
    <w:rsid w:val="005475AC"/>
    <w:rsid w:val="0055129A"/>
    <w:rsid w:val="00552CF1"/>
    <w:rsid w:val="00554420"/>
    <w:rsid w:val="00560AFD"/>
    <w:rsid w:val="005669ED"/>
    <w:rsid w:val="005704D1"/>
    <w:rsid w:val="00573857"/>
    <w:rsid w:val="00580746"/>
    <w:rsid w:val="00584762"/>
    <w:rsid w:val="005A2C53"/>
    <w:rsid w:val="005B3FFB"/>
    <w:rsid w:val="005D58A8"/>
    <w:rsid w:val="005E2344"/>
    <w:rsid w:val="005E27F6"/>
    <w:rsid w:val="005F5B04"/>
    <w:rsid w:val="005F73CE"/>
    <w:rsid w:val="006043FC"/>
    <w:rsid w:val="00604E24"/>
    <w:rsid w:val="00605AB3"/>
    <w:rsid w:val="00612A75"/>
    <w:rsid w:val="00623CC6"/>
    <w:rsid w:val="006400E5"/>
    <w:rsid w:val="00640689"/>
    <w:rsid w:val="006409E0"/>
    <w:rsid w:val="00642BCF"/>
    <w:rsid w:val="00645BBB"/>
    <w:rsid w:val="0065013A"/>
    <w:rsid w:val="006529D7"/>
    <w:rsid w:val="006555AA"/>
    <w:rsid w:val="00661C4A"/>
    <w:rsid w:val="00665878"/>
    <w:rsid w:val="006724FE"/>
    <w:rsid w:val="00676B9C"/>
    <w:rsid w:val="006846F9"/>
    <w:rsid w:val="00692529"/>
    <w:rsid w:val="00693346"/>
    <w:rsid w:val="00693F9A"/>
    <w:rsid w:val="006948DB"/>
    <w:rsid w:val="006A03A9"/>
    <w:rsid w:val="006A03DD"/>
    <w:rsid w:val="006B1127"/>
    <w:rsid w:val="006B5866"/>
    <w:rsid w:val="006B5FA6"/>
    <w:rsid w:val="006D7D6D"/>
    <w:rsid w:val="006E7350"/>
    <w:rsid w:val="006F0269"/>
    <w:rsid w:val="006F1F0A"/>
    <w:rsid w:val="007164E0"/>
    <w:rsid w:val="0072043C"/>
    <w:rsid w:val="0072298C"/>
    <w:rsid w:val="00727F76"/>
    <w:rsid w:val="007355ED"/>
    <w:rsid w:val="00737997"/>
    <w:rsid w:val="0074237F"/>
    <w:rsid w:val="007455F7"/>
    <w:rsid w:val="00750669"/>
    <w:rsid w:val="00751BFC"/>
    <w:rsid w:val="00771E0B"/>
    <w:rsid w:val="007746D0"/>
    <w:rsid w:val="00775548"/>
    <w:rsid w:val="00782765"/>
    <w:rsid w:val="0078596B"/>
    <w:rsid w:val="00786287"/>
    <w:rsid w:val="00787C68"/>
    <w:rsid w:val="007918C9"/>
    <w:rsid w:val="00792F4F"/>
    <w:rsid w:val="007964A0"/>
    <w:rsid w:val="007967B9"/>
    <w:rsid w:val="007B0FF4"/>
    <w:rsid w:val="007B3DA2"/>
    <w:rsid w:val="007B490F"/>
    <w:rsid w:val="007B6AE9"/>
    <w:rsid w:val="007C6097"/>
    <w:rsid w:val="007D7BB6"/>
    <w:rsid w:val="007E0E8B"/>
    <w:rsid w:val="007F3477"/>
    <w:rsid w:val="007F548C"/>
    <w:rsid w:val="007F598C"/>
    <w:rsid w:val="0080211E"/>
    <w:rsid w:val="0080426A"/>
    <w:rsid w:val="008220C4"/>
    <w:rsid w:val="00823645"/>
    <w:rsid w:val="00830473"/>
    <w:rsid w:val="00832201"/>
    <w:rsid w:val="00836C0D"/>
    <w:rsid w:val="008371E1"/>
    <w:rsid w:val="00840E91"/>
    <w:rsid w:val="00842FDF"/>
    <w:rsid w:val="00850B5F"/>
    <w:rsid w:val="00850C8F"/>
    <w:rsid w:val="0085352A"/>
    <w:rsid w:val="00853CB9"/>
    <w:rsid w:val="0085530B"/>
    <w:rsid w:val="00872ABB"/>
    <w:rsid w:val="008743DA"/>
    <w:rsid w:val="008827D3"/>
    <w:rsid w:val="0088417B"/>
    <w:rsid w:val="00891E9D"/>
    <w:rsid w:val="008A13DA"/>
    <w:rsid w:val="008A4C25"/>
    <w:rsid w:val="008A4F4C"/>
    <w:rsid w:val="008B50EF"/>
    <w:rsid w:val="008B77E3"/>
    <w:rsid w:val="008C026C"/>
    <w:rsid w:val="008C4643"/>
    <w:rsid w:val="008D3AD1"/>
    <w:rsid w:val="008D649B"/>
    <w:rsid w:val="008D6E5F"/>
    <w:rsid w:val="008D76D0"/>
    <w:rsid w:val="008E095B"/>
    <w:rsid w:val="008E1F7B"/>
    <w:rsid w:val="008E4040"/>
    <w:rsid w:val="008E60B4"/>
    <w:rsid w:val="008F05A0"/>
    <w:rsid w:val="009078E8"/>
    <w:rsid w:val="00907A5A"/>
    <w:rsid w:val="00912A5B"/>
    <w:rsid w:val="0091387D"/>
    <w:rsid w:val="00924688"/>
    <w:rsid w:val="0092615A"/>
    <w:rsid w:val="00927549"/>
    <w:rsid w:val="00936036"/>
    <w:rsid w:val="0093718D"/>
    <w:rsid w:val="00940000"/>
    <w:rsid w:val="009410E0"/>
    <w:rsid w:val="00964590"/>
    <w:rsid w:val="009759C7"/>
    <w:rsid w:val="00981EA8"/>
    <w:rsid w:val="009834E6"/>
    <w:rsid w:val="009A05A7"/>
    <w:rsid w:val="009A0670"/>
    <w:rsid w:val="009A3792"/>
    <w:rsid w:val="009A60CC"/>
    <w:rsid w:val="009B4EFA"/>
    <w:rsid w:val="009C1C97"/>
    <w:rsid w:val="009C6266"/>
    <w:rsid w:val="009D786D"/>
    <w:rsid w:val="009E0C3A"/>
    <w:rsid w:val="009E699C"/>
    <w:rsid w:val="009F0541"/>
    <w:rsid w:val="00A0615F"/>
    <w:rsid w:val="00A076B4"/>
    <w:rsid w:val="00A13570"/>
    <w:rsid w:val="00A15F79"/>
    <w:rsid w:val="00A268B1"/>
    <w:rsid w:val="00A331DD"/>
    <w:rsid w:val="00A354DF"/>
    <w:rsid w:val="00A410AC"/>
    <w:rsid w:val="00A42BA3"/>
    <w:rsid w:val="00A456E7"/>
    <w:rsid w:val="00A4599E"/>
    <w:rsid w:val="00A47E8F"/>
    <w:rsid w:val="00A50B14"/>
    <w:rsid w:val="00A53D4D"/>
    <w:rsid w:val="00A66D67"/>
    <w:rsid w:val="00A743E0"/>
    <w:rsid w:val="00A82040"/>
    <w:rsid w:val="00A932F7"/>
    <w:rsid w:val="00A9393C"/>
    <w:rsid w:val="00A9724E"/>
    <w:rsid w:val="00AA2A26"/>
    <w:rsid w:val="00AA309D"/>
    <w:rsid w:val="00AB506C"/>
    <w:rsid w:val="00AB5D25"/>
    <w:rsid w:val="00AB6028"/>
    <w:rsid w:val="00AB6F69"/>
    <w:rsid w:val="00AC035E"/>
    <w:rsid w:val="00AC4373"/>
    <w:rsid w:val="00AD0E2E"/>
    <w:rsid w:val="00AD637E"/>
    <w:rsid w:val="00AD774F"/>
    <w:rsid w:val="00AE1051"/>
    <w:rsid w:val="00AE6D3D"/>
    <w:rsid w:val="00AE7D5D"/>
    <w:rsid w:val="00AF1146"/>
    <w:rsid w:val="00AF37C4"/>
    <w:rsid w:val="00AF7288"/>
    <w:rsid w:val="00B00E1A"/>
    <w:rsid w:val="00B03EF8"/>
    <w:rsid w:val="00B17B0A"/>
    <w:rsid w:val="00B21C36"/>
    <w:rsid w:val="00B32B9D"/>
    <w:rsid w:val="00B3574F"/>
    <w:rsid w:val="00B42480"/>
    <w:rsid w:val="00B46929"/>
    <w:rsid w:val="00B5066B"/>
    <w:rsid w:val="00B52762"/>
    <w:rsid w:val="00B528AD"/>
    <w:rsid w:val="00B53DBA"/>
    <w:rsid w:val="00B542C0"/>
    <w:rsid w:val="00B5481A"/>
    <w:rsid w:val="00B54C6E"/>
    <w:rsid w:val="00B54F50"/>
    <w:rsid w:val="00B57168"/>
    <w:rsid w:val="00B643EE"/>
    <w:rsid w:val="00B679F1"/>
    <w:rsid w:val="00B73C42"/>
    <w:rsid w:val="00B76BD6"/>
    <w:rsid w:val="00B77A31"/>
    <w:rsid w:val="00B86546"/>
    <w:rsid w:val="00BA15BE"/>
    <w:rsid w:val="00BA6D7C"/>
    <w:rsid w:val="00BA6ECE"/>
    <w:rsid w:val="00BB1530"/>
    <w:rsid w:val="00BB186C"/>
    <w:rsid w:val="00BB3466"/>
    <w:rsid w:val="00BB574B"/>
    <w:rsid w:val="00BC4AA0"/>
    <w:rsid w:val="00BC5976"/>
    <w:rsid w:val="00BC7C8D"/>
    <w:rsid w:val="00BD039C"/>
    <w:rsid w:val="00BE3A68"/>
    <w:rsid w:val="00BE7099"/>
    <w:rsid w:val="00BF3FAE"/>
    <w:rsid w:val="00BF44F2"/>
    <w:rsid w:val="00C06111"/>
    <w:rsid w:val="00C07C29"/>
    <w:rsid w:val="00C22B2E"/>
    <w:rsid w:val="00C22E7A"/>
    <w:rsid w:val="00C33F05"/>
    <w:rsid w:val="00C365AA"/>
    <w:rsid w:val="00C36D0F"/>
    <w:rsid w:val="00C466B8"/>
    <w:rsid w:val="00C513DA"/>
    <w:rsid w:val="00C56E02"/>
    <w:rsid w:val="00C57F54"/>
    <w:rsid w:val="00C60251"/>
    <w:rsid w:val="00C63747"/>
    <w:rsid w:val="00C63A85"/>
    <w:rsid w:val="00C729F7"/>
    <w:rsid w:val="00C76E31"/>
    <w:rsid w:val="00C81454"/>
    <w:rsid w:val="00C85382"/>
    <w:rsid w:val="00C869F0"/>
    <w:rsid w:val="00C86AAC"/>
    <w:rsid w:val="00CA3CD5"/>
    <w:rsid w:val="00CB0950"/>
    <w:rsid w:val="00CB1927"/>
    <w:rsid w:val="00CB5A78"/>
    <w:rsid w:val="00CB6C73"/>
    <w:rsid w:val="00CC0A3E"/>
    <w:rsid w:val="00CC2156"/>
    <w:rsid w:val="00CD3A78"/>
    <w:rsid w:val="00CD5C31"/>
    <w:rsid w:val="00CE1749"/>
    <w:rsid w:val="00CF47EA"/>
    <w:rsid w:val="00CF7722"/>
    <w:rsid w:val="00D05692"/>
    <w:rsid w:val="00D15BE9"/>
    <w:rsid w:val="00D16D30"/>
    <w:rsid w:val="00D3114C"/>
    <w:rsid w:val="00D31C48"/>
    <w:rsid w:val="00D33902"/>
    <w:rsid w:val="00D367E6"/>
    <w:rsid w:val="00D36CBC"/>
    <w:rsid w:val="00D37E62"/>
    <w:rsid w:val="00D65016"/>
    <w:rsid w:val="00D708DC"/>
    <w:rsid w:val="00D769E2"/>
    <w:rsid w:val="00D8028F"/>
    <w:rsid w:val="00D80BF9"/>
    <w:rsid w:val="00D825EB"/>
    <w:rsid w:val="00D84A16"/>
    <w:rsid w:val="00D85D3E"/>
    <w:rsid w:val="00D90E08"/>
    <w:rsid w:val="00D94088"/>
    <w:rsid w:val="00DA20F7"/>
    <w:rsid w:val="00DA2330"/>
    <w:rsid w:val="00DA4EB5"/>
    <w:rsid w:val="00DB643A"/>
    <w:rsid w:val="00DD7D6D"/>
    <w:rsid w:val="00DE4A86"/>
    <w:rsid w:val="00DE6F6E"/>
    <w:rsid w:val="00DF1878"/>
    <w:rsid w:val="00DF77AF"/>
    <w:rsid w:val="00E01CCB"/>
    <w:rsid w:val="00E16025"/>
    <w:rsid w:val="00E22049"/>
    <w:rsid w:val="00E26C5C"/>
    <w:rsid w:val="00E40F84"/>
    <w:rsid w:val="00E53EF8"/>
    <w:rsid w:val="00E65346"/>
    <w:rsid w:val="00E7186C"/>
    <w:rsid w:val="00E71945"/>
    <w:rsid w:val="00E769D9"/>
    <w:rsid w:val="00E86227"/>
    <w:rsid w:val="00E8796A"/>
    <w:rsid w:val="00E90BFB"/>
    <w:rsid w:val="00E94AA3"/>
    <w:rsid w:val="00E94E69"/>
    <w:rsid w:val="00E97259"/>
    <w:rsid w:val="00EA52F9"/>
    <w:rsid w:val="00EB17B8"/>
    <w:rsid w:val="00EC79AD"/>
    <w:rsid w:val="00ED5F3D"/>
    <w:rsid w:val="00EE10E5"/>
    <w:rsid w:val="00EE5466"/>
    <w:rsid w:val="00EF1ED1"/>
    <w:rsid w:val="00EF2596"/>
    <w:rsid w:val="00EF5319"/>
    <w:rsid w:val="00F0184E"/>
    <w:rsid w:val="00F04257"/>
    <w:rsid w:val="00F06325"/>
    <w:rsid w:val="00F110E6"/>
    <w:rsid w:val="00F13EE9"/>
    <w:rsid w:val="00F16C1B"/>
    <w:rsid w:val="00F20E02"/>
    <w:rsid w:val="00F224FE"/>
    <w:rsid w:val="00F274A2"/>
    <w:rsid w:val="00F32D56"/>
    <w:rsid w:val="00F373BD"/>
    <w:rsid w:val="00F4228E"/>
    <w:rsid w:val="00F5111C"/>
    <w:rsid w:val="00F5380D"/>
    <w:rsid w:val="00F57CF5"/>
    <w:rsid w:val="00F8235C"/>
    <w:rsid w:val="00F914A2"/>
    <w:rsid w:val="00F91F66"/>
    <w:rsid w:val="00FB2DDA"/>
    <w:rsid w:val="00FB306B"/>
    <w:rsid w:val="00FB3BA3"/>
    <w:rsid w:val="00FB4701"/>
    <w:rsid w:val="00FB499D"/>
    <w:rsid w:val="00FB4B23"/>
    <w:rsid w:val="00FC1E34"/>
    <w:rsid w:val="00FE0D84"/>
    <w:rsid w:val="00FE0DD4"/>
    <w:rsid w:val="00FE75F6"/>
    <w:rsid w:val="00FF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780"/>
    <w:rPr>
      <w:rFonts w:ascii="Calibri" w:eastAsia="Calibri" w:hAnsi="Calibri" w:cs="Times New Roman"/>
    </w:rPr>
  </w:style>
  <w:style w:type="paragraph" w:styleId="Heading1">
    <w:name w:val="heading 1"/>
    <w:basedOn w:val="Normal"/>
    <w:next w:val="Normal"/>
    <w:link w:val="Heading1Char"/>
    <w:uiPriority w:val="99"/>
    <w:qFormat/>
    <w:rsid w:val="00192780"/>
    <w:pPr>
      <w:keepNext/>
      <w:spacing w:after="0" w:line="240" w:lineRule="auto"/>
      <w:ind w:left="2880" w:hanging="2880"/>
      <w:outlineLvl w:val="0"/>
    </w:pPr>
    <w:rPr>
      <w:rFonts w:ascii="Courier New" w:eastAsia="Times New Roman" w:hAnsi="Courier New" w:cs="Courier New"/>
      <w:b/>
      <w:bCs/>
      <w:sz w:val="24"/>
      <w:szCs w:val="24"/>
    </w:rPr>
  </w:style>
  <w:style w:type="paragraph" w:styleId="Heading2">
    <w:name w:val="heading 2"/>
    <w:basedOn w:val="Normal"/>
    <w:next w:val="Normal"/>
    <w:link w:val="Heading2Char"/>
    <w:uiPriority w:val="99"/>
    <w:semiHidden/>
    <w:unhideWhenUsed/>
    <w:qFormat/>
    <w:rsid w:val="00192780"/>
    <w:pPr>
      <w:keepNext/>
      <w:spacing w:after="0" w:line="360" w:lineRule="auto"/>
      <w:jc w:val="center"/>
      <w:outlineLvl w:val="1"/>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2780"/>
    <w:rPr>
      <w:rFonts w:ascii="Courier New" w:eastAsia="Times New Roman" w:hAnsi="Courier New" w:cs="Courier New"/>
      <w:b/>
      <w:bCs/>
      <w:sz w:val="24"/>
      <w:szCs w:val="24"/>
    </w:rPr>
  </w:style>
  <w:style w:type="character" w:customStyle="1" w:styleId="Heading2Char">
    <w:name w:val="Heading 2 Char"/>
    <w:basedOn w:val="DefaultParagraphFont"/>
    <w:link w:val="Heading2"/>
    <w:uiPriority w:val="99"/>
    <w:semiHidden/>
    <w:rsid w:val="00192780"/>
    <w:rPr>
      <w:rFonts w:ascii="Courier New" w:eastAsia="Times New Roman" w:hAnsi="Courier New" w:cs="Courier New"/>
      <w:b/>
      <w:bCs/>
      <w:sz w:val="24"/>
      <w:szCs w:val="24"/>
    </w:rPr>
  </w:style>
  <w:style w:type="paragraph" w:styleId="Title">
    <w:name w:val="Title"/>
    <w:basedOn w:val="Normal"/>
    <w:link w:val="TitleChar"/>
    <w:uiPriority w:val="99"/>
    <w:qFormat/>
    <w:rsid w:val="00192780"/>
    <w:pPr>
      <w:spacing w:after="0" w:line="240" w:lineRule="auto"/>
      <w:jc w:val="center"/>
    </w:pPr>
    <w:rPr>
      <w:rFonts w:ascii="Courier New" w:eastAsia="Times New Roman" w:hAnsi="Courier New" w:cs="Courier New"/>
      <w:b/>
      <w:bCs/>
      <w:sz w:val="24"/>
      <w:szCs w:val="24"/>
    </w:rPr>
  </w:style>
  <w:style w:type="character" w:customStyle="1" w:styleId="TitleChar">
    <w:name w:val="Title Char"/>
    <w:basedOn w:val="DefaultParagraphFont"/>
    <w:link w:val="Title"/>
    <w:uiPriority w:val="99"/>
    <w:rsid w:val="00192780"/>
    <w:rPr>
      <w:rFonts w:ascii="Courier New" w:eastAsia="Times New Roman" w:hAnsi="Courier New" w:cs="Courier New"/>
      <w:b/>
      <w:bCs/>
      <w:sz w:val="24"/>
      <w:szCs w:val="24"/>
    </w:rPr>
  </w:style>
  <w:style w:type="paragraph" w:styleId="Header">
    <w:name w:val="header"/>
    <w:basedOn w:val="Normal"/>
    <w:link w:val="HeaderChar"/>
    <w:uiPriority w:val="99"/>
    <w:unhideWhenUsed/>
    <w:rsid w:val="00822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0C4"/>
    <w:rPr>
      <w:rFonts w:ascii="Calibri" w:eastAsia="Calibri" w:hAnsi="Calibri" w:cs="Times New Roman"/>
    </w:rPr>
  </w:style>
  <w:style w:type="paragraph" w:styleId="Footer">
    <w:name w:val="footer"/>
    <w:basedOn w:val="Normal"/>
    <w:link w:val="FooterChar"/>
    <w:uiPriority w:val="99"/>
    <w:unhideWhenUsed/>
    <w:rsid w:val="00822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0C4"/>
    <w:rPr>
      <w:rFonts w:ascii="Calibri" w:eastAsia="Calibri" w:hAnsi="Calibri" w:cs="Times New Roman"/>
    </w:rPr>
  </w:style>
  <w:style w:type="table" w:styleId="TableGrid">
    <w:name w:val="Table Grid"/>
    <w:basedOn w:val="TableNormal"/>
    <w:uiPriority w:val="59"/>
    <w:rsid w:val="00A9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097"/>
    <w:pPr>
      <w:ind w:left="720"/>
      <w:contextualSpacing/>
    </w:pPr>
  </w:style>
  <w:style w:type="paragraph" w:styleId="FootnoteText">
    <w:name w:val="footnote text"/>
    <w:basedOn w:val="Normal"/>
    <w:link w:val="FootnoteTextChar"/>
    <w:uiPriority w:val="99"/>
    <w:semiHidden/>
    <w:unhideWhenUsed/>
    <w:rsid w:val="00A268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8B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268B1"/>
    <w:rPr>
      <w:vertAlign w:val="superscript"/>
    </w:rPr>
  </w:style>
  <w:style w:type="paragraph" w:styleId="BodyText">
    <w:name w:val="Body Text"/>
    <w:basedOn w:val="Normal"/>
    <w:link w:val="BodyTextChar"/>
    <w:rsid w:val="00BF3FAE"/>
    <w:pPr>
      <w:autoSpaceDE w:val="0"/>
      <w:autoSpaceDN w:val="0"/>
      <w:spacing w:after="0" w:line="480" w:lineRule="auto"/>
      <w:jc w:val="both"/>
    </w:pPr>
    <w:rPr>
      <w:rFonts w:ascii="Courier New" w:eastAsia="Times New Roman" w:hAnsi="Courier New" w:cs="Courier New"/>
      <w:sz w:val="24"/>
      <w:szCs w:val="24"/>
    </w:rPr>
  </w:style>
  <w:style w:type="character" w:customStyle="1" w:styleId="BodyTextChar">
    <w:name w:val="Body Text Char"/>
    <w:basedOn w:val="DefaultParagraphFont"/>
    <w:link w:val="BodyText"/>
    <w:rsid w:val="00BF3FAE"/>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780"/>
    <w:rPr>
      <w:rFonts w:ascii="Calibri" w:eastAsia="Calibri" w:hAnsi="Calibri" w:cs="Times New Roman"/>
    </w:rPr>
  </w:style>
  <w:style w:type="paragraph" w:styleId="Heading1">
    <w:name w:val="heading 1"/>
    <w:basedOn w:val="Normal"/>
    <w:next w:val="Normal"/>
    <w:link w:val="Heading1Char"/>
    <w:uiPriority w:val="99"/>
    <w:qFormat/>
    <w:rsid w:val="00192780"/>
    <w:pPr>
      <w:keepNext/>
      <w:spacing w:after="0" w:line="240" w:lineRule="auto"/>
      <w:ind w:left="2880" w:hanging="2880"/>
      <w:outlineLvl w:val="0"/>
    </w:pPr>
    <w:rPr>
      <w:rFonts w:ascii="Courier New" w:eastAsia="Times New Roman" w:hAnsi="Courier New" w:cs="Courier New"/>
      <w:b/>
      <w:bCs/>
      <w:sz w:val="24"/>
      <w:szCs w:val="24"/>
    </w:rPr>
  </w:style>
  <w:style w:type="paragraph" w:styleId="Heading2">
    <w:name w:val="heading 2"/>
    <w:basedOn w:val="Normal"/>
    <w:next w:val="Normal"/>
    <w:link w:val="Heading2Char"/>
    <w:uiPriority w:val="99"/>
    <w:semiHidden/>
    <w:unhideWhenUsed/>
    <w:qFormat/>
    <w:rsid w:val="00192780"/>
    <w:pPr>
      <w:keepNext/>
      <w:spacing w:after="0" w:line="360" w:lineRule="auto"/>
      <w:jc w:val="center"/>
      <w:outlineLvl w:val="1"/>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2780"/>
    <w:rPr>
      <w:rFonts w:ascii="Courier New" w:eastAsia="Times New Roman" w:hAnsi="Courier New" w:cs="Courier New"/>
      <w:b/>
      <w:bCs/>
      <w:sz w:val="24"/>
      <w:szCs w:val="24"/>
    </w:rPr>
  </w:style>
  <w:style w:type="character" w:customStyle="1" w:styleId="Heading2Char">
    <w:name w:val="Heading 2 Char"/>
    <w:basedOn w:val="DefaultParagraphFont"/>
    <w:link w:val="Heading2"/>
    <w:uiPriority w:val="99"/>
    <w:semiHidden/>
    <w:rsid w:val="00192780"/>
    <w:rPr>
      <w:rFonts w:ascii="Courier New" w:eastAsia="Times New Roman" w:hAnsi="Courier New" w:cs="Courier New"/>
      <w:b/>
      <w:bCs/>
      <w:sz w:val="24"/>
      <w:szCs w:val="24"/>
    </w:rPr>
  </w:style>
  <w:style w:type="paragraph" w:styleId="Title">
    <w:name w:val="Title"/>
    <w:basedOn w:val="Normal"/>
    <w:link w:val="TitleChar"/>
    <w:uiPriority w:val="99"/>
    <w:qFormat/>
    <w:rsid w:val="00192780"/>
    <w:pPr>
      <w:spacing w:after="0" w:line="240" w:lineRule="auto"/>
      <w:jc w:val="center"/>
    </w:pPr>
    <w:rPr>
      <w:rFonts w:ascii="Courier New" w:eastAsia="Times New Roman" w:hAnsi="Courier New" w:cs="Courier New"/>
      <w:b/>
      <w:bCs/>
      <w:sz w:val="24"/>
      <w:szCs w:val="24"/>
    </w:rPr>
  </w:style>
  <w:style w:type="character" w:customStyle="1" w:styleId="TitleChar">
    <w:name w:val="Title Char"/>
    <w:basedOn w:val="DefaultParagraphFont"/>
    <w:link w:val="Title"/>
    <w:uiPriority w:val="99"/>
    <w:rsid w:val="00192780"/>
    <w:rPr>
      <w:rFonts w:ascii="Courier New" w:eastAsia="Times New Roman" w:hAnsi="Courier New" w:cs="Courier New"/>
      <w:b/>
      <w:bCs/>
      <w:sz w:val="24"/>
      <w:szCs w:val="24"/>
    </w:rPr>
  </w:style>
  <w:style w:type="paragraph" w:styleId="Header">
    <w:name w:val="header"/>
    <w:basedOn w:val="Normal"/>
    <w:link w:val="HeaderChar"/>
    <w:uiPriority w:val="99"/>
    <w:unhideWhenUsed/>
    <w:rsid w:val="00822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0C4"/>
    <w:rPr>
      <w:rFonts w:ascii="Calibri" w:eastAsia="Calibri" w:hAnsi="Calibri" w:cs="Times New Roman"/>
    </w:rPr>
  </w:style>
  <w:style w:type="paragraph" w:styleId="Footer">
    <w:name w:val="footer"/>
    <w:basedOn w:val="Normal"/>
    <w:link w:val="FooterChar"/>
    <w:uiPriority w:val="99"/>
    <w:unhideWhenUsed/>
    <w:rsid w:val="00822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0C4"/>
    <w:rPr>
      <w:rFonts w:ascii="Calibri" w:eastAsia="Calibri" w:hAnsi="Calibri" w:cs="Times New Roman"/>
    </w:rPr>
  </w:style>
  <w:style w:type="table" w:styleId="TableGrid">
    <w:name w:val="Table Grid"/>
    <w:basedOn w:val="TableNormal"/>
    <w:uiPriority w:val="59"/>
    <w:rsid w:val="00A9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097"/>
    <w:pPr>
      <w:ind w:left="720"/>
      <w:contextualSpacing/>
    </w:pPr>
  </w:style>
  <w:style w:type="paragraph" w:styleId="FootnoteText">
    <w:name w:val="footnote text"/>
    <w:basedOn w:val="Normal"/>
    <w:link w:val="FootnoteTextChar"/>
    <w:uiPriority w:val="99"/>
    <w:semiHidden/>
    <w:unhideWhenUsed/>
    <w:rsid w:val="00A268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8B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268B1"/>
    <w:rPr>
      <w:vertAlign w:val="superscript"/>
    </w:rPr>
  </w:style>
  <w:style w:type="paragraph" w:styleId="BodyText">
    <w:name w:val="Body Text"/>
    <w:basedOn w:val="Normal"/>
    <w:link w:val="BodyTextChar"/>
    <w:rsid w:val="00BF3FAE"/>
    <w:pPr>
      <w:autoSpaceDE w:val="0"/>
      <w:autoSpaceDN w:val="0"/>
      <w:spacing w:after="0" w:line="480" w:lineRule="auto"/>
      <w:jc w:val="both"/>
    </w:pPr>
    <w:rPr>
      <w:rFonts w:ascii="Courier New" w:eastAsia="Times New Roman" w:hAnsi="Courier New" w:cs="Courier New"/>
      <w:sz w:val="24"/>
      <w:szCs w:val="24"/>
    </w:rPr>
  </w:style>
  <w:style w:type="character" w:customStyle="1" w:styleId="BodyTextChar">
    <w:name w:val="Body Text Char"/>
    <w:basedOn w:val="DefaultParagraphFont"/>
    <w:link w:val="BodyText"/>
    <w:rsid w:val="00BF3FAE"/>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98519">
      <w:bodyDiv w:val="1"/>
      <w:marLeft w:val="0"/>
      <w:marRight w:val="0"/>
      <w:marTop w:val="0"/>
      <w:marBottom w:val="0"/>
      <w:divBdr>
        <w:top w:val="none" w:sz="0" w:space="0" w:color="auto"/>
        <w:left w:val="none" w:sz="0" w:space="0" w:color="auto"/>
        <w:bottom w:val="none" w:sz="0" w:space="0" w:color="auto"/>
        <w:right w:val="none" w:sz="0" w:space="0" w:color="auto"/>
      </w:divBdr>
    </w:div>
    <w:div w:id="19848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FD36-1BB8-4FD3-B349-8FF4A239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5161</Words>
  <Characters>29422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2019-02-07T14:53:00Z</cp:lastPrinted>
  <dcterms:created xsi:type="dcterms:W3CDTF">2019-02-07T14:54:00Z</dcterms:created>
  <dcterms:modified xsi:type="dcterms:W3CDTF">2019-02-08T13:33:00Z</dcterms:modified>
</cp:coreProperties>
</file>