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9B3D1FD" w:rsidP="62EF3942" w:rsidRDefault="37806D41" w14:paraId="39EA5D1E" w14:textId="408FE1A8">
      <w:pPr>
        <w:pStyle w:val="Heading1"/>
        <w:rPr>
          <w:rFonts w:ascii="Aptos" w:hAnsi="Aptos" w:eastAsia="Aptos" w:cs="Aptos"/>
          <w:color w:val="000000" w:themeColor="text1"/>
          <w:sz w:val="24"/>
          <w:szCs w:val="24"/>
        </w:rPr>
      </w:pPr>
      <w:r>
        <w:t>Seasonal Community</w:t>
      </w:r>
      <w:r w:rsidR="2A1651B1">
        <w:t xml:space="preserve"> Designation Overview</w:t>
      </w:r>
    </w:p>
    <w:p w:rsidR="39B3D1FD" w:rsidP="62EF3942" w:rsidRDefault="2A1651B1" w14:paraId="7D2585DF" w14:textId="67F052DB">
      <w:r w:rsidR="1020EC11">
        <w:rPr/>
        <w:t xml:space="preserve">The </w:t>
      </w:r>
      <w:r w:rsidR="2FE4CB10">
        <w:rPr/>
        <w:t>S</w:t>
      </w:r>
      <w:r w:rsidR="1020EC11">
        <w:rPr/>
        <w:t xml:space="preserve">easonal </w:t>
      </w:r>
      <w:r w:rsidR="56A8C9CE">
        <w:rPr/>
        <w:t>C</w:t>
      </w:r>
      <w:r w:rsidR="1020EC11">
        <w:rPr/>
        <w:t xml:space="preserve">ommunities </w:t>
      </w:r>
      <w:r w:rsidR="57E9CC3C">
        <w:rPr/>
        <w:t>D</w:t>
      </w:r>
      <w:r w:rsidR="1020EC11">
        <w:rPr/>
        <w:t xml:space="preserve">esignation was created as part of the Affordable Homes Act, passed by the </w:t>
      </w:r>
      <w:r w:rsidR="1020EC11">
        <w:rPr/>
        <w:t>Legislature</w:t>
      </w:r>
      <w:r w:rsidR="1020EC11">
        <w:rPr/>
        <w:t xml:space="preserve"> and signed into law by Governor Maura Healey on Aug. 6, 2024. The </w:t>
      </w:r>
      <w:r w:rsidR="02BF8A38">
        <w:rPr/>
        <w:t>S</w:t>
      </w:r>
      <w:r w:rsidR="1020EC11">
        <w:rPr/>
        <w:t xml:space="preserve">easonal </w:t>
      </w:r>
      <w:r w:rsidR="7AA30D66">
        <w:rPr/>
        <w:t>C</w:t>
      </w:r>
      <w:r w:rsidR="1020EC11">
        <w:rPr/>
        <w:t xml:space="preserve">ommunities </w:t>
      </w:r>
      <w:r w:rsidR="1994F56D">
        <w:rPr/>
        <w:t>D</w:t>
      </w:r>
      <w:r w:rsidR="1020EC11">
        <w:rPr/>
        <w:t xml:space="preserve">esignation is designed to recognize and support the unique needs of Massachusetts communities that experience substantial variations in seasonal visitation, employment, and housing demand. The designation supports these municipalities with distinctive tools to </w:t>
      </w:r>
      <w:r w:rsidR="1020EC11">
        <w:rPr/>
        <w:t>benefit</w:t>
      </w:r>
      <w:r w:rsidR="1020EC11">
        <w:rPr/>
        <w:t xml:space="preserve"> the year-round residents, artists and essential public employees who make these communities attractive destinations for seasonal visitors.</w:t>
      </w:r>
    </w:p>
    <w:p w:rsidR="39B3D1FD" w:rsidP="62EF3942" w:rsidRDefault="2A1651B1" w14:paraId="18D25AB8" w14:textId="40A164AD">
      <w:r w:rsidR="1020EC11">
        <w:rPr/>
        <w:t>As of December 2025, 43 communitie</w:t>
      </w:r>
      <w:r w:rsidR="26A5FCC6">
        <w:rPr/>
        <w:t xml:space="preserve">s in Massachusetts have been offered the </w:t>
      </w:r>
      <w:r w:rsidR="080CBBEF">
        <w:rPr/>
        <w:t>S</w:t>
      </w:r>
      <w:r w:rsidR="26A5FCC6">
        <w:rPr/>
        <w:t xml:space="preserve">easonal </w:t>
      </w:r>
      <w:r w:rsidR="22991D18">
        <w:rPr/>
        <w:t>C</w:t>
      </w:r>
      <w:r w:rsidR="26A5FCC6">
        <w:rPr/>
        <w:t xml:space="preserve">ommunities </w:t>
      </w:r>
      <w:r w:rsidR="7B4B3F37">
        <w:rPr/>
        <w:t>D</w:t>
      </w:r>
      <w:r w:rsidR="26A5FCC6">
        <w:rPr/>
        <w:t>esignation</w:t>
      </w:r>
      <w:r w:rsidR="26A5FCC6">
        <w:rPr/>
        <w:t xml:space="preserve">. </w:t>
      </w:r>
      <w:r w:rsidR="58BE84F6">
        <w:rPr/>
        <w:t xml:space="preserve">It is up to those communities whether they want to accept the designation or not. </w:t>
      </w:r>
      <w:r w:rsidR="5481B8D8">
        <w:rPr/>
        <w:t>Communities can vote to accept their designation</w:t>
      </w:r>
      <w:r w:rsidR="0FFF6595">
        <w:rPr/>
        <w:t xml:space="preserve"> through a majority vote of their municipal legislative body: town meeting for towns or city council </w:t>
      </w:r>
      <w:r w:rsidR="7CA4DD09">
        <w:rPr/>
        <w:t xml:space="preserve">for cities. </w:t>
      </w:r>
    </w:p>
    <w:p w:rsidR="39B3D1FD" w:rsidP="62EF3942" w:rsidRDefault="37806D41" w14:paraId="35E03AD4" w14:textId="29B0C1A7">
      <w:pPr>
        <w:pStyle w:val="Heading1"/>
      </w:pPr>
      <w:r>
        <w:t>Tools</w:t>
      </w:r>
      <w:r w:rsidR="55923123">
        <w:t xml:space="preserve"> and Resources</w:t>
      </w:r>
    </w:p>
    <w:p w:rsidR="0023026C" w:rsidP="5F625A88" w:rsidRDefault="37806D41" w14:paraId="3E4EDF34" w14:textId="0F6D299E">
      <w:pPr>
        <w:rPr>
          <w:rFonts w:ascii="Aptos" w:hAnsi="Aptos" w:eastAsia="Aptos" w:cs="Aptos"/>
          <w:color w:val="000000" w:themeColor="text1"/>
        </w:rPr>
      </w:pPr>
      <w:r w:rsidRPr="6A18D489" w:rsidR="5D126CC3">
        <w:rPr>
          <w:rFonts w:ascii="Aptos" w:hAnsi="Aptos" w:eastAsia="Aptos" w:cs="Aptos"/>
          <w:color w:val="000000" w:themeColor="text1" w:themeTint="FF" w:themeShade="FF"/>
        </w:rPr>
        <w:t xml:space="preserve">The Affordable Homes Act </w:t>
      </w:r>
      <w:r w:rsidRPr="6A18D489" w:rsidR="740045F9">
        <w:rPr>
          <w:rFonts w:ascii="Aptos" w:hAnsi="Aptos" w:eastAsia="Aptos" w:cs="Aptos"/>
          <w:color w:val="000000" w:themeColor="text1" w:themeTint="FF" w:themeShade="FF"/>
        </w:rPr>
        <w:t>provides</w:t>
      </w:r>
      <w:r w:rsidRPr="6A18D489" w:rsidR="5D126CC3">
        <w:rPr>
          <w:rFonts w:ascii="Aptos" w:hAnsi="Aptos" w:eastAsia="Aptos" w:cs="Aptos"/>
          <w:color w:val="000000" w:themeColor="text1" w:themeTint="FF" w:themeShade="FF"/>
        </w:rPr>
        <w:t xml:space="preserve"> </w:t>
      </w:r>
      <w:r w:rsidRPr="6A18D489" w:rsidR="4E65B356">
        <w:rPr>
          <w:rFonts w:ascii="Aptos" w:hAnsi="Aptos" w:eastAsia="Aptos" w:cs="Aptos"/>
          <w:color w:val="000000" w:themeColor="text1" w:themeTint="FF" w:themeShade="FF"/>
        </w:rPr>
        <w:t>S</w:t>
      </w:r>
      <w:r w:rsidRPr="6A18D489" w:rsidR="5D126CC3">
        <w:rPr>
          <w:rFonts w:ascii="Aptos" w:hAnsi="Aptos" w:eastAsia="Aptos" w:cs="Aptos"/>
          <w:color w:val="000000" w:themeColor="text1" w:themeTint="FF" w:themeShade="FF"/>
        </w:rPr>
        <w:t xml:space="preserve">easonal </w:t>
      </w:r>
      <w:r w:rsidRPr="6A18D489" w:rsidR="63BDB204">
        <w:rPr>
          <w:rFonts w:ascii="Aptos" w:hAnsi="Aptos" w:eastAsia="Aptos" w:cs="Aptos"/>
          <w:color w:val="000000" w:themeColor="text1" w:themeTint="FF" w:themeShade="FF"/>
        </w:rPr>
        <w:t>C</w:t>
      </w:r>
      <w:r w:rsidRPr="6A18D489" w:rsidR="5D126CC3">
        <w:rPr>
          <w:rFonts w:ascii="Aptos" w:hAnsi="Aptos" w:eastAsia="Aptos" w:cs="Aptos"/>
          <w:color w:val="000000" w:themeColor="text1" w:themeTint="FF" w:themeShade="FF"/>
        </w:rPr>
        <w:t xml:space="preserve">ommunities that accept their designation with unique tools to address the housing crisis facing their communities. </w:t>
      </w:r>
    </w:p>
    <w:p w:rsidR="0023026C" w:rsidP="62EF3942" w:rsidRDefault="37806D41" w14:paraId="5AE6291E" w14:textId="3D4983D3">
      <w:pPr>
        <w:pStyle w:val="Heading2"/>
        <w:rPr>
          <w:rFonts w:ascii="Aptos" w:hAnsi="Aptos" w:eastAsia="Aptos" w:cs="Aptos"/>
          <w:color w:val="000000" w:themeColor="text1"/>
        </w:rPr>
      </w:pPr>
      <w:r>
        <w:t>Year-Round Occupancy Restrictions</w:t>
      </w:r>
    </w:p>
    <w:p w:rsidR="0023026C" w:rsidP="02092802" w:rsidRDefault="37806D41" w14:paraId="38ABC333" w14:textId="000317A3">
      <w:pPr>
        <w:rPr>
          <w:rFonts w:ascii="Aptos" w:hAnsi="Aptos" w:eastAsia="Aptos" w:cs="Aptos"/>
          <w:color w:val="000000" w:themeColor="text1"/>
        </w:rPr>
      </w:pPr>
      <w:r w:rsidRPr="6A18D489" w:rsidR="5D126CC3">
        <w:rPr>
          <w:rFonts w:ascii="Aptos" w:hAnsi="Aptos" w:eastAsia="Aptos" w:cs="Aptos"/>
          <w:color w:val="000000" w:themeColor="text1" w:themeTint="FF" w:themeShade="FF"/>
        </w:rPr>
        <w:t xml:space="preserve">Communities can </w:t>
      </w:r>
      <w:r w:rsidRPr="6A18D489" w:rsidR="5D126CC3">
        <w:rPr>
          <w:rFonts w:ascii="Aptos" w:hAnsi="Aptos" w:eastAsia="Aptos" w:cs="Aptos"/>
          <w:color w:val="000000" w:themeColor="text1" w:themeTint="FF" w:themeShade="FF"/>
        </w:rPr>
        <w:t>acquire</w:t>
      </w:r>
      <w:r w:rsidRPr="6A18D489" w:rsidR="5D126CC3">
        <w:rPr>
          <w:rFonts w:ascii="Aptos" w:hAnsi="Aptos" w:eastAsia="Aptos" w:cs="Aptos"/>
          <w:color w:val="000000" w:themeColor="text1" w:themeTint="FF" w:themeShade="FF"/>
        </w:rPr>
        <w:t xml:space="preserve"> legal restrictions that require certain homes to be used as year-round primary residences (at least 10 months annually</w:t>
      </w:r>
      <w:r w:rsidRPr="6A18D489" w:rsidR="1C2B96FA">
        <w:rPr>
          <w:rFonts w:ascii="Aptos" w:hAnsi="Aptos" w:eastAsia="Aptos" w:cs="Aptos"/>
          <w:color w:val="000000" w:themeColor="text1" w:themeTint="FF" w:themeShade="FF"/>
        </w:rPr>
        <w:t>, as defined and enforced by the municipality</w:t>
      </w:r>
      <w:r w:rsidRPr="6A18D489" w:rsidR="5D126CC3">
        <w:rPr>
          <w:rFonts w:ascii="Aptos" w:hAnsi="Aptos" w:eastAsia="Aptos" w:cs="Aptos"/>
          <w:color w:val="000000" w:themeColor="text1" w:themeTint="FF" w:themeShade="FF"/>
        </w:rPr>
        <w:t>). This helps protect existing housing stock from being converted into seasonal or short-term rentals.</w:t>
      </w:r>
      <w:r w:rsidRPr="6A18D489" w:rsidR="5D126CC3">
        <w:rPr>
          <w:rFonts w:ascii="Aptos" w:hAnsi="Aptos" w:eastAsia="Aptos" w:cs="Aptos"/>
          <w:color w:val="000000" w:themeColor="text1" w:themeTint="FF" w:themeShade="FF"/>
        </w:rPr>
        <w:t xml:space="preserve"> </w:t>
      </w:r>
      <w:r w:rsidRPr="6A18D489" w:rsidR="6ED52E11">
        <w:rPr>
          <w:rFonts w:ascii="Aptos" w:hAnsi="Aptos" w:eastAsia="Aptos" w:cs="Aptos"/>
          <w:color w:val="000000" w:themeColor="text1" w:themeTint="FF" w:themeShade="FF"/>
        </w:rPr>
        <w:t xml:space="preserve">By prioritizing year-round occupancy, this tool helps </w:t>
      </w:r>
      <w:r w:rsidRPr="6A18D489" w:rsidR="3263539E">
        <w:rPr>
          <w:rFonts w:ascii="Aptos" w:hAnsi="Aptos" w:eastAsia="Aptos" w:cs="Aptos"/>
          <w:color w:val="000000" w:themeColor="text1" w:themeTint="FF" w:themeShade="FF"/>
        </w:rPr>
        <w:t>S</w:t>
      </w:r>
      <w:r w:rsidRPr="6A18D489" w:rsidR="6ED52E11">
        <w:rPr>
          <w:rFonts w:ascii="Aptos" w:hAnsi="Aptos" w:eastAsia="Aptos" w:cs="Aptos"/>
          <w:color w:val="000000" w:themeColor="text1" w:themeTint="FF" w:themeShade="FF"/>
        </w:rPr>
        <w:t xml:space="preserve">easonal </w:t>
      </w:r>
      <w:r w:rsidRPr="6A18D489" w:rsidR="41FC5E51">
        <w:rPr>
          <w:rFonts w:ascii="Aptos" w:hAnsi="Aptos" w:eastAsia="Aptos" w:cs="Aptos"/>
          <w:color w:val="000000" w:themeColor="text1" w:themeTint="FF" w:themeShade="FF"/>
        </w:rPr>
        <w:t>C</w:t>
      </w:r>
      <w:r w:rsidRPr="6A18D489" w:rsidR="6ED52E11">
        <w:rPr>
          <w:rFonts w:ascii="Aptos" w:hAnsi="Aptos" w:eastAsia="Aptos" w:cs="Aptos"/>
          <w:color w:val="000000" w:themeColor="text1" w:themeTint="FF" w:themeShade="FF"/>
        </w:rPr>
        <w:t>ommunities</w:t>
      </w:r>
      <w:r w:rsidRPr="6A18D489" w:rsidR="6ED52E11">
        <w:rPr>
          <w:rFonts w:ascii="Aptos" w:hAnsi="Aptos" w:eastAsia="Aptos" w:cs="Aptos"/>
          <w:color w:val="000000" w:themeColor="text1" w:themeTint="FF" w:themeShade="FF"/>
        </w:rPr>
        <w:t xml:space="preserve"> </w:t>
      </w:r>
      <w:r w:rsidRPr="6A18D489" w:rsidR="6ED52E11">
        <w:rPr>
          <w:rFonts w:ascii="Aptos" w:hAnsi="Aptos" w:eastAsia="Aptos" w:cs="Aptos"/>
          <w:color w:val="000000" w:themeColor="text1" w:themeTint="FF" w:themeShade="FF"/>
        </w:rPr>
        <w:t>retain</w:t>
      </w:r>
      <w:r w:rsidRPr="6A18D489" w:rsidR="6ED52E11">
        <w:rPr>
          <w:rFonts w:ascii="Aptos" w:hAnsi="Aptos" w:eastAsia="Aptos" w:cs="Aptos"/>
          <w:color w:val="000000" w:themeColor="text1" w:themeTint="FF" w:themeShade="FF"/>
        </w:rPr>
        <w:t xml:space="preserve"> a stable workforce, sustain schools and services, and strengthen community cohesion throughout the year.</w:t>
      </w:r>
    </w:p>
    <w:p w:rsidR="4A5D857F" w:rsidP="62EF3942" w:rsidRDefault="5F220D2B" w14:paraId="53339C01" w14:textId="0B6E85B3">
      <w:pPr>
        <w:pStyle w:val="Heading2"/>
        <w:rPr>
          <w:rFonts w:ascii="Aptos" w:hAnsi="Aptos" w:eastAsia="Aptos" w:cs="Aptos"/>
          <w:b/>
          <w:bCs/>
          <w:color w:val="000000" w:themeColor="text1"/>
        </w:rPr>
      </w:pPr>
      <w:r>
        <w:t>Attainable Housing</w:t>
      </w:r>
    </w:p>
    <w:p w:rsidR="4A5D857F" w:rsidP="4756D9FF" w:rsidRDefault="4A5D857F" w14:paraId="2F9A85D7" w14:textId="43D4952D">
      <w:pPr>
        <w:rPr>
          <w:rFonts w:ascii="Aptos" w:hAnsi="Aptos" w:eastAsia="Aptos" w:cs="Aptos"/>
          <w:color w:val="000000" w:themeColor="text1"/>
        </w:rPr>
      </w:pPr>
      <w:r w:rsidRPr="6A18D489" w:rsidR="645D030B">
        <w:rPr>
          <w:rFonts w:ascii="Aptos" w:hAnsi="Aptos" w:eastAsia="Aptos" w:cs="Aptos"/>
          <w:color w:val="000000" w:themeColor="text1" w:themeTint="FF" w:themeShade="FF"/>
        </w:rPr>
        <w:t xml:space="preserve">The regulations specify a new type of housing category called attainable housing. This refers to a year-round housing unit that is subject to a restriction that limits occupancy to an individual or household with income that does not exceed 250% </w:t>
      </w:r>
      <w:r w:rsidRPr="6A18D489" w:rsidR="044261AC">
        <w:rPr>
          <w:rFonts w:ascii="Aptos" w:hAnsi="Aptos" w:eastAsia="Aptos" w:cs="Aptos"/>
          <w:color w:val="000000" w:themeColor="text1" w:themeTint="FF" w:themeShade="FF"/>
        </w:rPr>
        <w:t>of area median income</w:t>
      </w:r>
      <w:r w:rsidRPr="6A18D489" w:rsidR="645D030B">
        <w:rPr>
          <w:rFonts w:ascii="Aptos" w:hAnsi="Aptos" w:eastAsia="Aptos" w:cs="Aptos"/>
          <w:color w:val="000000" w:themeColor="text1" w:themeTint="FF" w:themeShade="FF"/>
        </w:rPr>
        <w:t xml:space="preserve">, or </w:t>
      </w:r>
      <w:r w:rsidRPr="6A18D489" w:rsidR="731FED00">
        <w:rPr>
          <w:rFonts w:ascii="Aptos" w:hAnsi="Aptos" w:eastAsia="Aptos" w:cs="Aptos"/>
          <w:color w:val="000000" w:themeColor="text1" w:themeTint="FF" w:themeShade="FF"/>
        </w:rPr>
        <w:t>a</w:t>
      </w:r>
      <w:r w:rsidRPr="6A18D489" w:rsidR="645D030B">
        <w:rPr>
          <w:rFonts w:ascii="Aptos" w:hAnsi="Aptos" w:eastAsia="Aptos" w:cs="Aptos"/>
          <w:color w:val="000000" w:themeColor="text1" w:themeTint="FF" w:themeShade="FF"/>
        </w:rPr>
        <w:t xml:space="preserve"> lower limit as </w:t>
      </w:r>
      <w:r w:rsidRPr="6A18D489" w:rsidR="1A983817">
        <w:rPr>
          <w:rFonts w:ascii="Aptos" w:hAnsi="Aptos" w:eastAsia="Aptos" w:cs="Aptos"/>
          <w:color w:val="000000" w:themeColor="text1" w:themeTint="FF" w:themeShade="FF"/>
        </w:rPr>
        <w:t>determined</w:t>
      </w:r>
      <w:r w:rsidRPr="6A18D489" w:rsidR="1A983817">
        <w:rPr>
          <w:rFonts w:ascii="Aptos" w:hAnsi="Aptos" w:eastAsia="Aptos" w:cs="Aptos"/>
          <w:color w:val="000000" w:themeColor="text1" w:themeTint="FF" w:themeShade="FF"/>
        </w:rPr>
        <w:t xml:space="preserve"> by the local community. </w:t>
      </w:r>
      <w:r w:rsidRPr="6A18D489" w:rsidR="4AF4B6E3">
        <w:rPr>
          <w:rFonts w:ascii="Aptos" w:hAnsi="Aptos" w:eastAsia="Aptos" w:cs="Aptos"/>
          <w:color w:val="000000" w:themeColor="text1" w:themeTint="FF" w:themeShade="FF"/>
        </w:rPr>
        <w:t xml:space="preserve">This approach fills a critical gap for </w:t>
      </w:r>
      <w:r w:rsidRPr="6A18D489" w:rsidR="532C0AC5">
        <w:rPr>
          <w:rFonts w:ascii="Aptos" w:hAnsi="Aptos" w:eastAsia="Aptos" w:cs="Aptos"/>
          <w:color w:val="000000" w:themeColor="text1" w:themeTint="FF" w:themeShade="FF"/>
        </w:rPr>
        <w:t>S</w:t>
      </w:r>
      <w:r w:rsidRPr="6A18D489" w:rsidR="4AF4B6E3">
        <w:rPr>
          <w:rFonts w:ascii="Aptos" w:hAnsi="Aptos" w:eastAsia="Aptos" w:cs="Aptos"/>
          <w:color w:val="000000" w:themeColor="text1" w:themeTint="FF" w:themeShade="FF"/>
        </w:rPr>
        <w:t xml:space="preserve">easonal </w:t>
      </w:r>
      <w:r w:rsidRPr="6A18D489" w:rsidR="55669616">
        <w:rPr>
          <w:rFonts w:ascii="Aptos" w:hAnsi="Aptos" w:eastAsia="Aptos" w:cs="Aptos"/>
          <w:color w:val="000000" w:themeColor="text1" w:themeTint="FF" w:themeShade="FF"/>
        </w:rPr>
        <w:t>C</w:t>
      </w:r>
      <w:r w:rsidRPr="6A18D489" w:rsidR="4AF4B6E3">
        <w:rPr>
          <w:rFonts w:ascii="Aptos" w:hAnsi="Aptos" w:eastAsia="Aptos" w:cs="Aptos"/>
          <w:color w:val="000000" w:themeColor="text1" w:themeTint="FF" w:themeShade="FF"/>
        </w:rPr>
        <w:t>ommunities by supporting teachers, tradespeople, small business employees, and other middle-income households who are essential to a functioning year-round economy</w:t>
      </w:r>
      <w:r w:rsidRPr="6A18D489" w:rsidR="4AF4B6E3">
        <w:rPr>
          <w:rFonts w:ascii="Aptos" w:hAnsi="Aptos" w:eastAsia="Aptos" w:cs="Aptos"/>
          <w:color w:val="000000" w:themeColor="text1" w:themeTint="FF" w:themeShade="FF"/>
        </w:rPr>
        <w:t xml:space="preserve"> but </w:t>
      </w:r>
      <w:r w:rsidRPr="6A18D489" w:rsidR="1A983817">
        <w:rPr>
          <w:rFonts w:ascii="Aptos" w:hAnsi="Aptos" w:eastAsia="Aptos" w:cs="Aptos"/>
          <w:color w:val="000000" w:themeColor="text1" w:themeTint="FF" w:themeShade="FF"/>
        </w:rPr>
        <w:t xml:space="preserve">that may not qualify for traditional affordable housing. </w:t>
      </w:r>
    </w:p>
    <w:p w:rsidR="0023026C" w:rsidP="62EF3942" w:rsidRDefault="37806D41" w14:paraId="5C1FD5B7" w14:textId="321134A1">
      <w:pPr>
        <w:pStyle w:val="Heading2"/>
        <w:rPr>
          <w:rFonts w:ascii="Aptos" w:hAnsi="Aptos" w:eastAsia="Aptos" w:cs="Aptos"/>
          <w:color w:val="000000" w:themeColor="text1"/>
        </w:rPr>
      </w:pPr>
      <w:r>
        <w:t>Year-Round Housing Trust Funds</w:t>
      </w:r>
    </w:p>
    <w:p w:rsidR="0023026C" w:rsidP="5F625A88" w:rsidRDefault="37806D41" w14:paraId="25607187" w14:textId="1175ABFF">
      <w:pPr>
        <w:rPr>
          <w:rFonts w:ascii="Aptos" w:hAnsi="Aptos" w:eastAsia="Aptos" w:cs="Aptos"/>
          <w:color w:val="000000" w:themeColor="text1"/>
        </w:rPr>
      </w:pPr>
      <w:r w:rsidRPr="6A18D489" w:rsidR="5D126CC3">
        <w:rPr>
          <w:rFonts w:ascii="Aptos" w:hAnsi="Aptos" w:eastAsia="Aptos" w:cs="Aptos"/>
          <w:color w:val="000000" w:themeColor="text1" w:themeTint="FF" w:themeShade="FF"/>
        </w:rPr>
        <w:t>Towns may create a local or regional housing trust fund dedicated to producing and preserving year-round affordable or attainable housing. These trusts can receive money or property from a variety of sources and use it flexibly for housing purposes. Regional trusts allow multiple towns to pool resources to develop affordable housing.</w:t>
      </w:r>
      <w:r w:rsidRPr="6A18D489" w:rsidR="7172ED7A">
        <w:rPr>
          <w:rFonts w:ascii="Aptos" w:hAnsi="Aptos" w:eastAsia="Aptos" w:cs="Aptos"/>
          <w:color w:val="000000" w:themeColor="text1" w:themeTint="FF" w:themeShade="FF"/>
        </w:rPr>
        <w:t xml:space="preserve"> They </w:t>
      </w:r>
      <w:r w:rsidRPr="6A18D489" w:rsidR="7172ED7A">
        <w:rPr>
          <w:rFonts w:ascii="Aptos" w:hAnsi="Aptos" w:eastAsia="Aptos" w:cs="Aptos"/>
          <w:color w:val="000000" w:themeColor="text1" w:themeTint="FF" w:themeShade="FF"/>
        </w:rPr>
        <w:t>operate</w:t>
      </w:r>
      <w:r w:rsidRPr="6A18D489" w:rsidR="7172ED7A">
        <w:rPr>
          <w:rFonts w:ascii="Aptos" w:hAnsi="Aptos" w:eastAsia="Aptos" w:cs="Aptos"/>
          <w:color w:val="000000" w:themeColor="text1" w:themeTint="FF" w:themeShade="FF"/>
        </w:rPr>
        <w:t xml:space="preserve"> similarly to affordable housing trust funds and can even share overlapping membership. </w:t>
      </w:r>
      <w:r w:rsidRPr="6A18D489" w:rsidR="53C74D69">
        <w:rPr>
          <w:rFonts w:ascii="Aptos" w:hAnsi="Aptos" w:eastAsia="Aptos" w:cs="Aptos"/>
          <w:color w:val="000000" w:themeColor="text1" w:themeTint="FF" w:themeShade="FF"/>
        </w:rPr>
        <w:t xml:space="preserve">For </w:t>
      </w:r>
      <w:r w:rsidRPr="6A18D489" w:rsidR="0BDB633C">
        <w:rPr>
          <w:rFonts w:ascii="Aptos" w:hAnsi="Aptos" w:eastAsia="Aptos" w:cs="Aptos"/>
          <w:color w:val="000000" w:themeColor="text1" w:themeTint="FF" w:themeShade="FF"/>
        </w:rPr>
        <w:t>S</w:t>
      </w:r>
      <w:r w:rsidRPr="6A18D489" w:rsidR="53C74D69">
        <w:rPr>
          <w:rFonts w:ascii="Aptos" w:hAnsi="Aptos" w:eastAsia="Aptos" w:cs="Aptos"/>
          <w:color w:val="000000" w:themeColor="text1" w:themeTint="FF" w:themeShade="FF"/>
        </w:rPr>
        <w:t xml:space="preserve">easonal </w:t>
      </w:r>
      <w:r w:rsidRPr="6A18D489" w:rsidR="04A4767C">
        <w:rPr>
          <w:rFonts w:ascii="Aptos" w:hAnsi="Aptos" w:eastAsia="Aptos" w:cs="Aptos"/>
          <w:color w:val="000000" w:themeColor="text1" w:themeTint="FF" w:themeShade="FF"/>
        </w:rPr>
        <w:t>C</w:t>
      </w:r>
      <w:r w:rsidRPr="6A18D489" w:rsidR="53C74D69">
        <w:rPr>
          <w:rFonts w:ascii="Aptos" w:hAnsi="Aptos" w:eastAsia="Aptos" w:cs="Aptos"/>
          <w:color w:val="000000" w:themeColor="text1" w:themeTint="FF" w:themeShade="FF"/>
        </w:rPr>
        <w:t xml:space="preserve">ommunities with limited individual </w:t>
      </w:r>
      <w:r w:rsidRPr="6A18D489" w:rsidR="53C74D69">
        <w:rPr>
          <w:rFonts w:ascii="Aptos" w:hAnsi="Aptos" w:eastAsia="Aptos" w:cs="Aptos"/>
          <w:color w:val="000000" w:themeColor="text1" w:themeTint="FF" w:themeShade="FF"/>
        </w:rPr>
        <w:t xml:space="preserve">funding </w:t>
      </w:r>
      <w:r w:rsidRPr="6A18D489" w:rsidR="53C74D69">
        <w:rPr>
          <w:rFonts w:ascii="Aptos" w:hAnsi="Aptos" w:eastAsia="Aptos" w:cs="Aptos"/>
          <w:color w:val="000000" w:themeColor="text1" w:themeTint="FF" w:themeShade="FF"/>
        </w:rPr>
        <w:t>capacity, these trust funds</w:t>
      </w:r>
      <w:r w:rsidRPr="6A18D489" w:rsidR="53C74D69">
        <w:rPr>
          <w:rFonts w:ascii="Aptos" w:hAnsi="Aptos" w:eastAsia="Aptos" w:cs="Aptos"/>
          <w:color w:val="000000" w:themeColor="text1" w:themeTint="FF" w:themeShade="FF"/>
        </w:rPr>
        <w:t xml:space="preserve"> </w:t>
      </w:r>
      <w:r w:rsidRPr="6A18D489" w:rsidR="53C74D69">
        <w:rPr>
          <w:rFonts w:ascii="Aptos" w:hAnsi="Aptos" w:eastAsia="Aptos" w:cs="Aptos"/>
          <w:color w:val="000000" w:themeColor="text1" w:themeTint="FF" w:themeShade="FF"/>
        </w:rPr>
        <w:t xml:space="preserve">offer a powerful way to scale impact, share </w:t>
      </w:r>
      <w:r w:rsidRPr="6A18D489" w:rsidR="53C74D69">
        <w:rPr>
          <w:rFonts w:ascii="Aptos" w:hAnsi="Aptos" w:eastAsia="Aptos" w:cs="Aptos"/>
          <w:color w:val="000000" w:themeColor="text1" w:themeTint="FF" w:themeShade="FF"/>
        </w:rPr>
        <w:t>expertise</w:t>
      </w:r>
      <w:r w:rsidRPr="6A18D489" w:rsidR="53C74D69">
        <w:rPr>
          <w:rFonts w:ascii="Aptos" w:hAnsi="Aptos" w:eastAsia="Aptos" w:cs="Aptos"/>
          <w:color w:val="000000" w:themeColor="text1" w:themeTint="FF" w:themeShade="FF"/>
        </w:rPr>
        <w:t xml:space="preserve">, and make sustained progress on housing </w:t>
      </w:r>
      <w:r w:rsidRPr="6A18D489" w:rsidR="53C74D69">
        <w:rPr>
          <w:rFonts w:ascii="Aptos" w:hAnsi="Aptos" w:eastAsia="Aptos" w:cs="Aptos"/>
          <w:color w:val="000000" w:themeColor="text1" w:themeTint="FF" w:themeShade="FF"/>
        </w:rPr>
        <w:t>affordability</w:t>
      </w:r>
      <w:r w:rsidRPr="6A18D489" w:rsidR="53C74D69">
        <w:rPr>
          <w:rFonts w:ascii="Aptos" w:hAnsi="Aptos" w:eastAsia="Aptos" w:cs="Aptos"/>
          <w:color w:val="000000" w:themeColor="text1" w:themeTint="FF" w:themeShade="FF"/>
        </w:rPr>
        <w:t>.</w:t>
      </w:r>
    </w:p>
    <w:p w:rsidR="0023026C" w:rsidP="62EF3942" w:rsidRDefault="37806D41" w14:paraId="2E6455AE" w14:textId="41E1C590">
      <w:pPr>
        <w:pStyle w:val="Heading2"/>
        <w:rPr>
          <w:rFonts w:ascii="Aptos" w:hAnsi="Aptos" w:eastAsia="Aptos" w:cs="Aptos"/>
          <w:color w:val="000000" w:themeColor="text1"/>
        </w:rPr>
      </w:pPr>
      <w:r>
        <w:t>Housing Preference for Essential</w:t>
      </w:r>
      <w:r w:rsidR="355D8DD7">
        <w:t xml:space="preserve"> Public</w:t>
      </w:r>
      <w:r>
        <w:t xml:space="preserve"> Workers</w:t>
      </w:r>
    </w:p>
    <w:p w:rsidR="0023026C" w:rsidP="02092802" w:rsidRDefault="39B3D1FD" w14:paraId="7630FD7C" w14:textId="2290C744">
      <w:pPr>
        <w:rPr>
          <w:rFonts w:ascii="Aptos" w:hAnsi="Aptos" w:eastAsia="Aptos" w:cs="Aptos"/>
          <w:color w:val="000000" w:themeColor="text1"/>
        </w:rPr>
      </w:pPr>
      <w:r w:rsidRPr="6A18D489" w:rsidR="7A9FF0B6">
        <w:rPr>
          <w:rFonts w:ascii="Aptos" w:hAnsi="Aptos" w:eastAsia="Aptos" w:cs="Aptos"/>
          <w:color w:val="000000" w:themeColor="text1" w:themeTint="FF" w:themeShade="FF"/>
        </w:rPr>
        <w:t>Communities may adopt housing preferences for local essential public employees (like teachers, first responders, and public works staff)</w:t>
      </w:r>
      <w:r w:rsidRPr="6A18D489" w:rsidR="27D5F462">
        <w:rPr>
          <w:rFonts w:ascii="Aptos" w:hAnsi="Aptos" w:eastAsia="Aptos" w:cs="Aptos"/>
          <w:color w:val="000000" w:themeColor="text1" w:themeTint="FF" w:themeShade="FF"/>
        </w:rPr>
        <w:t xml:space="preserve"> in properties that they </w:t>
      </w:r>
      <w:r w:rsidRPr="6A18D489" w:rsidR="27D5F462">
        <w:rPr>
          <w:rFonts w:ascii="Aptos" w:hAnsi="Aptos" w:eastAsia="Aptos" w:cs="Aptos"/>
          <w:color w:val="000000" w:themeColor="text1" w:themeTint="FF" w:themeShade="FF"/>
        </w:rPr>
        <w:t>acquire</w:t>
      </w:r>
      <w:r w:rsidRPr="6A18D489" w:rsidR="27D5F462">
        <w:rPr>
          <w:rFonts w:ascii="Aptos" w:hAnsi="Aptos" w:eastAsia="Aptos" w:cs="Aptos"/>
          <w:color w:val="000000" w:themeColor="text1" w:themeTint="FF" w:themeShade="FF"/>
        </w:rPr>
        <w:t xml:space="preserve"> or develop</w:t>
      </w:r>
      <w:r w:rsidRPr="6A18D489" w:rsidR="7A9FF0B6">
        <w:rPr>
          <w:rFonts w:ascii="Aptos" w:hAnsi="Aptos" w:eastAsia="Aptos" w:cs="Aptos"/>
          <w:color w:val="000000" w:themeColor="text1" w:themeTint="FF" w:themeShade="FF"/>
        </w:rPr>
        <w:t xml:space="preserve">. </w:t>
      </w:r>
      <w:r w:rsidRPr="6A18D489" w:rsidR="5607B54D">
        <w:rPr>
          <w:rFonts w:ascii="Aptos" w:hAnsi="Aptos" w:eastAsia="Aptos" w:cs="Aptos"/>
          <w:color w:val="000000" w:themeColor="text1" w:themeTint="FF" w:themeShade="FF"/>
        </w:rPr>
        <w:t xml:space="preserve">Towns have discretion in </w:t>
      </w:r>
      <w:r w:rsidRPr="6A18D489" w:rsidR="5607B54D">
        <w:rPr>
          <w:rFonts w:ascii="Aptos" w:hAnsi="Aptos" w:eastAsia="Aptos" w:cs="Aptos"/>
          <w:color w:val="000000" w:themeColor="text1" w:themeTint="FF" w:themeShade="FF"/>
        </w:rPr>
        <w:t>determining</w:t>
      </w:r>
      <w:r w:rsidRPr="6A18D489" w:rsidR="5607B54D">
        <w:rPr>
          <w:rFonts w:ascii="Aptos" w:hAnsi="Aptos" w:eastAsia="Aptos" w:cs="Aptos"/>
          <w:color w:val="000000" w:themeColor="text1" w:themeTint="FF" w:themeShade="FF"/>
        </w:rPr>
        <w:t xml:space="preserve"> who is an essential public employee, but any p</w:t>
      </w:r>
      <w:r w:rsidRPr="6A18D489" w:rsidR="7A9FF0B6">
        <w:rPr>
          <w:rFonts w:ascii="Aptos" w:hAnsi="Aptos" w:eastAsia="Aptos" w:cs="Aptos"/>
          <w:color w:val="000000" w:themeColor="text1" w:themeTint="FF" w:themeShade="FF"/>
        </w:rPr>
        <w:t xml:space="preserve">references must </w:t>
      </w:r>
      <w:r w:rsidRPr="6A18D489" w:rsidR="7A9FF0B6">
        <w:rPr>
          <w:rFonts w:ascii="Aptos" w:hAnsi="Aptos" w:eastAsia="Aptos" w:cs="Aptos"/>
          <w:color w:val="000000" w:themeColor="text1" w:themeTint="FF" w:themeShade="FF"/>
        </w:rPr>
        <w:t>comply with</w:t>
      </w:r>
      <w:r w:rsidRPr="6A18D489" w:rsidR="7A9FF0B6">
        <w:rPr>
          <w:rFonts w:ascii="Aptos" w:hAnsi="Aptos" w:eastAsia="Aptos" w:cs="Aptos"/>
          <w:color w:val="000000" w:themeColor="text1" w:themeTint="FF" w:themeShade="FF"/>
        </w:rPr>
        <w:t xml:space="preserve"> fair housing laws and be documented with clear data and selection plans.</w:t>
      </w:r>
      <w:r w:rsidRPr="6A18D489" w:rsidR="6543BE14">
        <w:rPr>
          <w:rFonts w:ascii="Aptos" w:hAnsi="Aptos" w:eastAsia="Aptos" w:cs="Aptos"/>
          <w:color w:val="000000" w:themeColor="text1" w:themeTint="FF" w:themeShade="FF"/>
        </w:rPr>
        <w:t xml:space="preserve"> </w:t>
      </w:r>
      <w:r w:rsidRPr="6A18D489" w:rsidR="6543BE14">
        <w:rPr>
          <w:rFonts w:ascii="Aptos" w:hAnsi="Aptos" w:eastAsia="Aptos" w:cs="Aptos"/>
          <w:color w:val="000000" w:themeColor="text1" w:themeTint="FF" w:themeShade="FF"/>
        </w:rPr>
        <w:t xml:space="preserve">This tool helps </w:t>
      </w:r>
      <w:r w:rsidRPr="6A18D489" w:rsidR="4643D93C">
        <w:rPr>
          <w:rFonts w:ascii="Aptos" w:hAnsi="Aptos" w:eastAsia="Aptos" w:cs="Aptos"/>
          <w:color w:val="000000" w:themeColor="text1" w:themeTint="FF" w:themeShade="FF"/>
        </w:rPr>
        <w:t>S</w:t>
      </w:r>
      <w:r w:rsidRPr="6A18D489" w:rsidR="6543BE14">
        <w:rPr>
          <w:rFonts w:ascii="Aptos" w:hAnsi="Aptos" w:eastAsia="Aptos" w:cs="Aptos"/>
          <w:color w:val="000000" w:themeColor="text1" w:themeTint="FF" w:themeShade="FF"/>
        </w:rPr>
        <w:t xml:space="preserve">easonal </w:t>
      </w:r>
      <w:r w:rsidRPr="6A18D489" w:rsidR="52969591">
        <w:rPr>
          <w:rFonts w:ascii="Aptos" w:hAnsi="Aptos" w:eastAsia="Aptos" w:cs="Aptos"/>
          <w:color w:val="000000" w:themeColor="text1" w:themeTint="FF" w:themeShade="FF"/>
        </w:rPr>
        <w:t>C</w:t>
      </w:r>
      <w:r w:rsidRPr="6A18D489" w:rsidR="6543BE14">
        <w:rPr>
          <w:rFonts w:ascii="Aptos" w:hAnsi="Aptos" w:eastAsia="Aptos" w:cs="Aptos"/>
          <w:color w:val="000000" w:themeColor="text1" w:themeTint="FF" w:themeShade="FF"/>
        </w:rPr>
        <w:t xml:space="preserve">ommunities ensure that critical public services </w:t>
      </w:r>
      <w:r w:rsidRPr="6A18D489" w:rsidR="6543BE14">
        <w:rPr>
          <w:rFonts w:ascii="Aptos" w:hAnsi="Aptos" w:eastAsia="Aptos" w:cs="Aptos"/>
          <w:color w:val="000000" w:themeColor="text1" w:themeTint="FF" w:themeShade="FF"/>
        </w:rPr>
        <w:t>remain</w:t>
      </w:r>
      <w:r w:rsidRPr="6A18D489" w:rsidR="6543BE14">
        <w:rPr>
          <w:rFonts w:ascii="Aptos" w:hAnsi="Aptos" w:eastAsia="Aptos" w:cs="Aptos"/>
          <w:color w:val="000000" w:themeColor="text1" w:themeTint="FF" w:themeShade="FF"/>
        </w:rPr>
        <w:t xml:space="preserve"> staffed year-round by making it </w:t>
      </w:r>
      <w:r w:rsidRPr="6A18D489" w:rsidR="6543BE14">
        <w:rPr>
          <w:rFonts w:ascii="Aptos" w:hAnsi="Aptos" w:eastAsia="Aptos" w:cs="Aptos"/>
          <w:color w:val="000000" w:themeColor="text1" w:themeTint="FF" w:themeShade="FF"/>
        </w:rPr>
        <w:t>feasible</w:t>
      </w:r>
      <w:r w:rsidRPr="6A18D489" w:rsidR="6543BE14">
        <w:rPr>
          <w:rFonts w:ascii="Aptos" w:hAnsi="Aptos" w:eastAsia="Aptos" w:cs="Aptos"/>
          <w:color w:val="000000" w:themeColor="text1" w:themeTint="FF" w:themeShade="FF"/>
        </w:rPr>
        <w:t xml:space="preserve"> for essential workers to live where they serve.</w:t>
      </w:r>
    </w:p>
    <w:p w:rsidR="03C270DB" w:rsidP="62EF3942" w:rsidRDefault="108D7F81" w14:paraId="42B9E1EB" w14:textId="587A52D5">
      <w:pPr>
        <w:pStyle w:val="Heading2"/>
        <w:rPr>
          <w:rFonts w:ascii="Aptos" w:hAnsi="Aptos" w:eastAsia="Aptos" w:cs="Aptos"/>
          <w:color w:val="000000" w:themeColor="text1"/>
        </w:rPr>
      </w:pPr>
      <w:r>
        <w:t>Housing Preference for Local Artists</w:t>
      </w:r>
    </w:p>
    <w:p w:rsidR="587D39D7" w:rsidP="4756D9FF" w:rsidRDefault="4F5D8051" w14:paraId="16A7FE53" w14:textId="3830E54A">
      <w:pPr>
        <w:rPr>
          <w:rFonts w:ascii="Aptos" w:hAnsi="Aptos" w:eastAsia="Aptos" w:cs="Aptos"/>
          <w:color w:val="000000" w:themeColor="text1"/>
        </w:rPr>
      </w:pPr>
      <w:r w:rsidRPr="6A18D489" w:rsidR="0BCA1FE7">
        <w:rPr>
          <w:rFonts w:ascii="Aptos" w:hAnsi="Aptos" w:eastAsia="Aptos" w:cs="Aptos"/>
          <w:color w:val="000000" w:themeColor="text1" w:themeTint="FF" w:themeShade="FF"/>
        </w:rPr>
        <w:t xml:space="preserve">Communities can </w:t>
      </w:r>
      <w:r w:rsidRPr="6A18D489" w:rsidR="0BCA1FE7">
        <w:rPr>
          <w:rFonts w:ascii="Aptos" w:hAnsi="Aptos" w:eastAsia="Aptos" w:cs="Aptos"/>
          <w:color w:val="000000" w:themeColor="text1" w:themeTint="FF" w:themeShade="FF"/>
        </w:rPr>
        <w:t>expend</w:t>
      </w:r>
      <w:r w:rsidRPr="6A18D489" w:rsidR="0BCA1FE7">
        <w:rPr>
          <w:rFonts w:ascii="Aptos" w:hAnsi="Aptos" w:eastAsia="Aptos" w:cs="Aptos"/>
          <w:color w:val="000000" w:themeColor="text1" w:themeTint="FF" w:themeShade="FF"/>
        </w:rPr>
        <w:t xml:space="preserve"> funds </w:t>
      </w:r>
      <w:r w:rsidRPr="6A18D489" w:rsidR="0BCA1FE7">
        <w:rPr>
          <w:rFonts w:ascii="Aptos" w:hAnsi="Aptos" w:eastAsia="Aptos" w:cs="Aptos"/>
          <w:color w:val="000000" w:themeColor="text1" w:themeTint="FF" w:themeShade="FF"/>
        </w:rPr>
        <w:t>designated</w:t>
      </w:r>
      <w:r w:rsidRPr="6A18D489" w:rsidR="0BCA1FE7">
        <w:rPr>
          <w:rFonts w:ascii="Aptos" w:hAnsi="Aptos" w:eastAsia="Aptos" w:cs="Aptos"/>
          <w:color w:val="000000" w:themeColor="text1" w:themeTint="FF" w:themeShade="FF"/>
        </w:rPr>
        <w:t xml:space="preserve"> for the creation and preservation of </w:t>
      </w:r>
      <w:r w:rsidRPr="6A18D489" w:rsidR="056FE828">
        <w:rPr>
          <w:rFonts w:ascii="Aptos" w:hAnsi="Aptos" w:eastAsia="Aptos" w:cs="Aptos"/>
          <w:color w:val="000000" w:themeColor="text1" w:themeTint="FF" w:themeShade="FF"/>
        </w:rPr>
        <w:t>a</w:t>
      </w:r>
      <w:r w:rsidRPr="6A18D489" w:rsidR="0BCA1FE7">
        <w:rPr>
          <w:rFonts w:ascii="Aptos" w:hAnsi="Aptos" w:eastAsia="Aptos" w:cs="Aptos"/>
          <w:color w:val="000000" w:themeColor="text1" w:themeTint="FF" w:themeShade="FF"/>
        </w:rPr>
        <w:t xml:space="preserve">rtist </w:t>
      </w:r>
      <w:r w:rsidRPr="6A18D489" w:rsidR="2FCF15B3">
        <w:rPr>
          <w:rFonts w:ascii="Aptos" w:hAnsi="Aptos" w:eastAsia="Aptos" w:cs="Aptos"/>
          <w:color w:val="000000" w:themeColor="text1" w:themeTint="FF" w:themeShade="FF"/>
        </w:rPr>
        <w:t>h</w:t>
      </w:r>
      <w:r w:rsidRPr="6A18D489" w:rsidR="0BCA1FE7">
        <w:rPr>
          <w:rFonts w:ascii="Aptos" w:hAnsi="Aptos" w:eastAsia="Aptos" w:cs="Aptos"/>
          <w:color w:val="000000" w:themeColor="text1" w:themeTint="FF" w:themeShade="FF"/>
        </w:rPr>
        <w:t>ousing.</w:t>
      </w:r>
      <w:r w:rsidRPr="6A18D489" w:rsidR="0BE1FE15">
        <w:rPr>
          <w:rFonts w:ascii="Aptos" w:hAnsi="Aptos" w:eastAsia="Aptos" w:cs="Aptos"/>
          <w:color w:val="000000" w:themeColor="text1" w:themeTint="FF" w:themeShade="FF"/>
        </w:rPr>
        <w:t xml:space="preserve"> This housing preference requires </w:t>
      </w:r>
      <w:r w:rsidRPr="6A18D489" w:rsidR="0BE1FE15">
        <w:rPr>
          <w:rFonts w:ascii="Aptos" w:hAnsi="Aptos" w:eastAsia="Aptos" w:cs="Aptos"/>
          <w:color w:val="000000" w:themeColor="text1" w:themeTint="FF" w:themeShade="FF"/>
        </w:rPr>
        <w:t>complying with</w:t>
      </w:r>
      <w:r w:rsidRPr="6A18D489" w:rsidR="0BE1FE15">
        <w:rPr>
          <w:rFonts w:ascii="Aptos" w:hAnsi="Aptos" w:eastAsia="Aptos" w:cs="Aptos"/>
          <w:color w:val="000000" w:themeColor="text1" w:themeTint="FF" w:themeShade="FF"/>
        </w:rPr>
        <w:t xml:space="preserve"> fair housing laws and </w:t>
      </w:r>
      <w:r w:rsidRPr="6A18D489" w:rsidR="0BE1FE15">
        <w:rPr>
          <w:rFonts w:ascii="Aptos" w:hAnsi="Aptos" w:eastAsia="Aptos" w:cs="Aptos"/>
          <w:color w:val="000000" w:themeColor="text1" w:themeTint="FF" w:themeShade="FF"/>
        </w:rPr>
        <w:t>maintaining</w:t>
      </w:r>
      <w:r w:rsidRPr="6A18D489" w:rsidR="0BE1FE15">
        <w:rPr>
          <w:rFonts w:ascii="Aptos" w:hAnsi="Aptos" w:eastAsia="Aptos" w:cs="Aptos"/>
          <w:color w:val="000000" w:themeColor="text1" w:themeTint="FF" w:themeShade="FF"/>
        </w:rPr>
        <w:t xml:space="preserve"> records describing the need for this housing</w:t>
      </w:r>
      <w:r w:rsidRPr="6A18D489" w:rsidR="398856E9">
        <w:rPr>
          <w:rFonts w:ascii="Aptos" w:hAnsi="Aptos" w:eastAsia="Aptos" w:cs="Aptos"/>
          <w:color w:val="000000" w:themeColor="text1" w:themeTint="FF" w:themeShade="FF"/>
        </w:rPr>
        <w:t xml:space="preserve"> and how eligibility is </w:t>
      </w:r>
      <w:r w:rsidRPr="6A18D489" w:rsidR="398856E9">
        <w:rPr>
          <w:rFonts w:ascii="Aptos" w:hAnsi="Aptos" w:eastAsia="Aptos" w:cs="Aptos"/>
          <w:color w:val="000000" w:themeColor="text1" w:themeTint="FF" w:themeShade="FF"/>
        </w:rPr>
        <w:t>determined</w:t>
      </w:r>
      <w:r w:rsidRPr="6A18D489" w:rsidR="398856E9">
        <w:rPr>
          <w:rFonts w:ascii="Aptos" w:hAnsi="Aptos" w:eastAsia="Aptos" w:cs="Aptos"/>
          <w:color w:val="000000" w:themeColor="text1" w:themeTint="FF" w:themeShade="FF"/>
        </w:rPr>
        <w:t>.</w:t>
      </w:r>
      <w:r w:rsidRPr="6A18D489" w:rsidR="6543BE14">
        <w:rPr>
          <w:rFonts w:ascii="Aptos" w:hAnsi="Aptos" w:eastAsia="Aptos" w:cs="Aptos"/>
          <w:color w:val="000000" w:themeColor="text1" w:themeTint="FF" w:themeShade="FF"/>
        </w:rPr>
        <w:t xml:space="preserve"> </w:t>
      </w:r>
      <w:r w:rsidRPr="6A18D489" w:rsidR="6543BE14">
        <w:rPr>
          <w:rFonts w:ascii="Aptos" w:hAnsi="Aptos" w:eastAsia="Aptos" w:cs="Aptos"/>
          <w:color w:val="000000" w:themeColor="text1" w:themeTint="FF" w:themeShade="FF"/>
        </w:rPr>
        <w:t xml:space="preserve">By supporting artist housing, </w:t>
      </w:r>
      <w:r w:rsidRPr="6A18D489" w:rsidR="683AB6CF">
        <w:rPr>
          <w:rFonts w:ascii="Aptos" w:hAnsi="Aptos" w:eastAsia="Aptos" w:cs="Aptos"/>
          <w:color w:val="000000" w:themeColor="text1" w:themeTint="FF" w:themeShade="FF"/>
        </w:rPr>
        <w:t>S</w:t>
      </w:r>
      <w:r w:rsidRPr="6A18D489" w:rsidR="6543BE14">
        <w:rPr>
          <w:rFonts w:ascii="Aptos" w:hAnsi="Aptos" w:eastAsia="Aptos" w:cs="Aptos"/>
          <w:color w:val="000000" w:themeColor="text1" w:themeTint="FF" w:themeShade="FF"/>
        </w:rPr>
        <w:t xml:space="preserve">easonal </w:t>
      </w:r>
      <w:r w:rsidRPr="6A18D489" w:rsidR="075DB093">
        <w:rPr>
          <w:rFonts w:ascii="Aptos" w:hAnsi="Aptos" w:eastAsia="Aptos" w:cs="Aptos"/>
          <w:color w:val="000000" w:themeColor="text1" w:themeTint="FF" w:themeShade="FF"/>
        </w:rPr>
        <w:t>C</w:t>
      </w:r>
      <w:r w:rsidRPr="6A18D489" w:rsidR="6543BE14">
        <w:rPr>
          <w:rFonts w:ascii="Aptos" w:hAnsi="Aptos" w:eastAsia="Aptos" w:cs="Aptos"/>
          <w:color w:val="000000" w:themeColor="text1" w:themeTint="FF" w:themeShade="FF"/>
        </w:rPr>
        <w:t>ommunities can sustain the cultural vibrancy and creative economies that often define their identity and drive tourism.</w:t>
      </w:r>
    </w:p>
    <w:p w:rsidR="0023026C" w:rsidP="62EF3942" w:rsidRDefault="37806D41" w14:paraId="438C19D0" w14:textId="7E850E78">
      <w:pPr>
        <w:pStyle w:val="Heading2"/>
        <w:rPr>
          <w:rFonts w:ascii="Aptos" w:hAnsi="Aptos" w:eastAsia="Aptos" w:cs="Aptos"/>
          <w:color w:val="000000" w:themeColor="text1"/>
        </w:rPr>
      </w:pPr>
      <w:r>
        <w:t>Property Tax Exemption Adjustments</w:t>
      </w:r>
    </w:p>
    <w:p w:rsidR="0023026C" w:rsidP="02092802" w:rsidRDefault="00D3570C" w14:paraId="2BFB6343" w14:textId="3B373D88">
      <w:pPr>
        <w:rPr>
          <w:rFonts w:ascii="Aptos" w:hAnsi="Aptos" w:eastAsia="Aptos" w:cs="Aptos"/>
          <w:color w:val="000000" w:themeColor="text1"/>
        </w:rPr>
      </w:pPr>
      <w:r w:rsidRPr="6A18D489" w:rsidR="27D4D96F">
        <w:rPr>
          <w:rFonts w:ascii="Aptos" w:hAnsi="Aptos" w:eastAsia="Aptos" w:cs="Aptos"/>
          <w:color w:val="000000" w:themeColor="text1" w:themeTint="FF" w:themeShade="FF"/>
        </w:rPr>
        <w:t xml:space="preserve">Communities </w:t>
      </w:r>
      <w:r w:rsidRPr="6A18D489" w:rsidR="7A9FF0B6">
        <w:rPr>
          <w:rFonts w:ascii="Aptos" w:hAnsi="Aptos" w:eastAsia="Aptos" w:cs="Aptos"/>
          <w:color w:val="000000" w:themeColor="text1" w:themeTint="FF" w:themeShade="FF"/>
        </w:rPr>
        <w:t>that use the state’s residential property tax exemption can increase it up to 50% of the average assessed home value, providing stronger incentives for homes to remain primary residences.</w:t>
      </w:r>
      <w:r w:rsidRPr="6A18D489" w:rsidR="6543BE14">
        <w:rPr>
          <w:rFonts w:ascii="Aptos" w:hAnsi="Aptos" w:eastAsia="Aptos" w:cs="Aptos"/>
          <w:color w:val="000000" w:themeColor="text1" w:themeTint="FF" w:themeShade="FF"/>
        </w:rPr>
        <w:t xml:space="preserve"> </w:t>
      </w:r>
      <w:r w:rsidRPr="6A18D489" w:rsidR="6543BE14">
        <w:rPr>
          <w:rFonts w:ascii="Aptos" w:hAnsi="Aptos" w:eastAsia="Aptos" w:cs="Aptos"/>
          <w:color w:val="000000" w:themeColor="text1" w:themeTint="FF" w:themeShade="FF"/>
        </w:rPr>
        <w:t xml:space="preserve">This adjustment offers a locally controlled way for </w:t>
      </w:r>
      <w:r w:rsidRPr="6A18D489" w:rsidR="7067181C">
        <w:rPr>
          <w:rFonts w:ascii="Aptos" w:hAnsi="Aptos" w:eastAsia="Aptos" w:cs="Aptos"/>
          <w:color w:val="000000" w:themeColor="text1" w:themeTint="FF" w:themeShade="FF"/>
        </w:rPr>
        <w:t>S</w:t>
      </w:r>
      <w:r w:rsidRPr="6A18D489" w:rsidR="6543BE14">
        <w:rPr>
          <w:rFonts w:ascii="Aptos" w:hAnsi="Aptos" w:eastAsia="Aptos" w:cs="Aptos"/>
          <w:color w:val="000000" w:themeColor="text1" w:themeTint="FF" w:themeShade="FF"/>
        </w:rPr>
        <w:t xml:space="preserve">easonal </w:t>
      </w:r>
      <w:r w:rsidRPr="6A18D489" w:rsidR="4B364162">
        <w:rPr>
          <w:rFonts w:ascii="Aptos" w:hAnsi="Aptos" w:eastAsia="Aptos" w:cs="Aptos"/>
          <w:color w:val="000000" w:themeColor="text1" w:themeTint="FF" w:themeShade="FF"/>
        </w:rPr>
        <w:t>C</w:t>
      </w:r>
      <w:r w:rsidRPr="6A18D489" w:rsidR="6543BE14">
        <w:rPr>
          <w:rFonts w:ascii="Aptos" w:hAnsi="Aptos" w:eastAsia="Aptos" w:cs="Aptos"/>
          <w:color w:val="000000" w:themeColor="text1" w:themeTint="FF" w:themeShade="FF"/>
        </w:rPr>
        <w:t>ommunities</w:t>
      </w:r>
      <w:r w:rsidRPr="6A18D489" w:rsidR="6543BE14">
        <w:rPr>
          <w:rFonts w:ascii="Aptos" w:hAnsi="Aptos" w:eastAsia="Aptos" w:cs="Aptos"/>
          <w:color w:val="000000" w:themeColor="text1" w:themeTint="FF" w:themeShade="FF"/>
        </w:rPr>
        <w:t xml:space="preserve"> to </w:t>
      </w:r>
      <w:r w:rsidRPr="6A18D489" w:rsidR="57F923F6">
        <w:rPr>
          <w:rFonts w:ascii="Aptos" w:hAnsi="Aptos" w:eastAsia="Aptos" w:cs="Aptos"/>
          <w:color w:val="000000" w:themeColor="text1" w:themeTint="FF" w:themeShade="FF"/>
        </w:rPr>
        <w:t>lessen the pressure on year-round residents.</w:t>
      </w:r>
    </w:p>
    <w:p w:rsidR="0023026C" w:rsidP="62EF3942" w:rsidRDefault="37806D41" w14:paraId="0505C638" w14:textId="20461FE6">
      <w:pPr>
        <w:pStyle w:val="Heading2"/>
        <w:rPr>
          <w:rFonts w:ascii="Aptos" w:hAnsi="Aptos" w:eastAsia="Aptos" w:cs="Aptos"/>
          <w:b/>
          <w:bCs/>
          <w:color w:val="000000" w:themeColor="text1"/>
        </w:rPr>
      </w:pPr>
      <w:r>
        <w:t xml:space="preserve">Zoning </w:t>
      </w:r>
      <w:r w:rsidR="6911F640">
        <w:t>Changes</w:t>
      </w:r>
    </w:p>
    <w:p w:rsidR="0023026C" w:rsidP="4756D9FF" w:rsidRDefault="3A63CD66" w14:paraId="07D919BE" w14:textId="16B30235">
      <w:pPr>
        <w:rPr>
          <w:rFonts w:ascii="Aptos" w:hAnsi="Aptos" w:eastAsia="Aptos" w:cs="Aptos"/>
          <w:color w:val="000000" w:themeColor="text1"/>
        </w:rPr>
      </w:pPr>
      <w:r w:rsidRPr="6A18D489" w:rsidR="451D541F">
        <w:rPr>
          <w:rFonts w:ascii="Aptos" w:hAnsi="Aptos" w:eastAsia="Aptos" w:cs="Aptos"/>
          <w:color w:val="000000" w:themeColor="text1" w:themeTint="FF" w:themeShade="FF"/>
        </w:rPr>
        <w:t xml:space="preserve">Seasonal </w:t>
      </w:r>
      <w:r w:rsidRPr="6A18D489" w:rsidR="25C89D70">
        <w:rPr>
          <w:rFonts w:ascii="Aptos" w:hAnsi="Aptos" w:eastAsia="Aptos" w:cs="Aptos"/>
          <w:color w:val="000000" w:themeColor="text1" w:themeTint="FF" w:themeShade="FF"/>
        </w:rPr>
        <w:t>C</w:t>
      </w:r>
      <w:r w:rsidRPr="6A18D489" w:rsidR="451D541F">
        <w:rPr>
          <w:rFonts w:ascii="Aptos" w:hAnsi="Aptos" w:eastAsia="Aptos" w:cs="Aptos"/>
          <w:color w:val="000000" w:themeColor="text1" w:themeTint="FF" w:themeShade="FF"/>
        </w:rPr>
        <w:t>ommunities must amend zoning to allow</w:t>
      </w:r>
      <w:r w:rsidRPr="6A18D489" w:rsidR="639013CC">
        <w:rPr>
          <w:rFonts w:ascii="Aptos" w:hAnsi="Aptos" w:eastAsia="Aptos" w:cs="Aptos"/>
          <w:color w:val="000000" w:themeColor="text1" w:themeTint="FF" w:themeShade="FF"/>
        </w:rPr>
        <w:t xml:space="preserve"> for year-round attainable housing on </w:t>
      </w:r>
      <w:r w:rsidRPr="6A18D489" w:rsidR="07381591">
        <w:rPr>
          <w:rFonts w:ascii="Aptos" w:hAnsi="Aptos" w:eastAsia="Aptos" w:cs="Aptos"/>
          <w:color w:val="000000" w:themeColor="text1" w:themeTint="FF" w:themeShade="FF"/>
        </w:rPr>
        <w:t xml:space="preserve">existing </w:t>
      </w:r>
      <w:r w:rsidRPr="6A18D489" w:rsidR="451D541F">
        <w:rPr>
          <w:rFonts w:ascii="Aptos" w:hAnsi="Aptos" w:eastAsia="Aptos" w:cs="Aptos"/>
          <w:color w:val="000000" w:themeColor="text1" w:themeTint="FF" w:themeShade="FF"/>
        </w:rPr>
        <w:t>undersized lots</w:t>
      </w:r>
      <w:r w:rsidRPr="6A18D489" w:rsidR="6744C79B">
        <w:rPr>
          <w:rFonts w:ascii="Aptos" w:hAnsi="Aptos" w:eastAsia="Aptos" w:cs="Aptos"/>
          <w:color w:val="000000" w:themeColor="text1" w:themeTint="FF" w:themeShade="FF"/>
        </w:rPr>
        <w:t xml:space="preserve"> (</w:t>
      </w:r>
      <w:r w:rsidRPr="6A18D489" w:rsidR="6744C79B">
        <w:rPr>
          <w:rFonts w:ascii="Aptos" w:hAnsi="Aptos" w:eastAsia="Aptos" w:cs="Aptos"/>
          <w:color w:val="000000" w:themeColor="text1" w:themeTint="FF" w:themeShade="FF"/>
        </w:rPr>
        <w:t>i.e.</w:t>
      </w:r>
      <w:r w:rsidRPr="6A18D489" w:rsidR="6744C79B">
        <w:rPr>
          <w:rFonts w:ascii="Aptos" w:hAnsi="Aptos" w:eastAsia="Aptos" w:cs="Aptos"/>
          <w:color w:val="000000" w:themeColor="text1" w:themeTint="FF" w:themeShade="FF"/>
        </w:rPr>
        <w:t xml:space="preserve"> lots smaller than a municipality’s minimum lot size)</w:t>
      </w:r>
      <w:r w:rsidRPr="6A18D489" w:rsidR="451D541F">
        <w:rPr>
          <w:rFonts w:ascii="Aptos" w:hAnsi="Aptos" w:eastAsia="Aptos" w:cs="Aptos"/>
          <w:color w:val="000000" w:themeColor="text1" w:themeTint="FF" w:themeShade="FF"/>
        </w:rPr>
        <w:t>.</w:t>
      </w:r>
      <w:r w:rsidRPr="6A18D489" w:rsidR="3137A057">
        <w:rPr>
          <w:rFonts w:ascii="Aptos" w:hAnsi="Aptos" w:eastAsia="Aptos" w:cs="Aptos"/>
          <w:color w:val="000000" w:themeColor="text1" w:themeTint="FF" w:themeShade="FF"/>
        </w:rPr>
        <w:t xml:space="preserve"> The housing must still be in a residential zone</w:t>
      </w:r>
      <w:r w:rsidRPr="6A18D489" w:rsidR="2BECEF63">
        <w:rPr>
          <w:rFonts w:ascii="Aptos" w:hAnsi="Aptos" w:eastAsia="Aptos" w:cs="Aptos"/>
          <w:color w:val="000000" w:themeColor="text1" w:themeTint="FF" w:themeShade="FF"/>
        </w:rPr>
        <w:t xml:space="preserve"> and</w:t>
      </w:r>
      <w:r w:rsidRPr="6A18D489" w:rsidR="3137A057">
        <w:rPr>
          <w:rFonts w:ascii="Aptos" w:hAnsi="Aptos" w:eastAsia="Aptos" w:cs="Aptos"/>
          <w:color w:val="000000" w:themeColor="text1" w:themeTint="FF" w:themeShade="FF"/>
        </w:rPr>
        <w:t xml:space="preserve"> </w:t>
      </w:r>
      <w:r w:rsidRPr="6A18D489" w:rsidR="3137A057">
        <w:rPr>
          <w:rFonts w:ascii="Aptos" w:hAnsi="Aptos" w:eastAsia="Aptos" w:cs="Aptos"/>
          <w:color w:val="000000" w:themeColor="text1" w:themeTint="FF" w:themeShade="FF"/>
        </w:rPr>
        <w:t>comply with</w:t>
      </w:r>
      <w:r w:rsidRPr="6A18D489" w:rsidR="3137A057">
        <w:rPr>
          <w:rFonts w:ascii="Aptos" w:hAnsi="Aptos" w:eastAsia="Aptos" w:cs="Aptos"/>
          <w:color w:val="000000" w:themeColor="text1" w:themeTint="FF" w:themeShade="FF"/>
        </w:rPr>
        <w:t xml:space="preserve"> floor to area ratio</w:t>
      </w:r>
      <w:r w:rsidRPr="6A18D489" w:rsidR="429B2F25">
        <w:rPr>
          <w:rFonts w:ascii="Aptos" w:hAnsi="Aptos" w:eastAsia="Aptos" w:cs="Aptos"/>
          <w:color w:val="000000" w:themeColor="text1" w:themeTint="FF" w:themeShade="FF"/>
        </w:rPr>
        <w:t xml:space="preserve"> and wastewater</w:t>
      </w:r>
      <w:r w:rsidRPr="6A18D489" w:rsidR="3137A057">
        <w:rPr>
          <w:rFonts w:ascii="Aptos" w:hAnsi="Aptos" w:eastAsia="Aptos" w:cs="Aptos"/>
          <w:color w:val="000000" w:themeColor="text1" w:themeTint="FF" w:themeShade="FF"/>
        </w:rPr>
        <w:t xml:space="preserve"> requirements</w:t>
      </w:r>
      <w:r w:rsidRPr="6A18D489" w:rsidR="37C22247">
        <w:rPr>
          <w:rFonts w:ascii="Aptos" w:hAnsi="Aptos" w:eastAsia="Aptos" w:cs="Aptos"/>
          <w:color w:val="000000" w:themeColor="text1" w:themeTint="FF" w:themeShade="FF"/>
        </w:rPr>
        <w:t xml:space="preserve">, but lot size alone </w:t>
      </w:r>
      <w:r w:rsidRPr="6A18D489" w:rsidR="37C22247">
        <w:rPr>
          <w:rFonts w:ascii="Aptos" w:hAnsi="Aptos" w:eastAsia="Aptos" w:cs="Aptos"/>
          <w:color w:val="000000" w:themeColor="text1" w:themeTint="FF" w:themeShade="FF"/>
        </w:rPr>
        <w:t>can’t</w:t>
      </w:r>
      <w:r w:rsidRPr="6A18D489" w:rsidR="37C22247">
        <w:rPr>
          <w:rFonts w:ascii="Aptos" w:hAnsi="Aptos" w:eastAsia="Aptos" w:cs="Aptos"/>
          <w:color w:val="000000" w:themeColor="text1" w:themeTint="FF" w:themeShade="FF"/>
        </w:rPr>
        <w:t xml:space="preserve"> be used as a reason to bar development. </w:t>
      </w:r>
    </w:p>
    <w:p w:rsidR="0023026C" w:rsidP="4756D9FF" w:rsidRDefault="7E05B70B" w14:paraId="71C09BA4" w14:textId="34114724">
      <w:pPr>
        <w:rPr>
          <w:rFonts w:ascii="Aptos" w:hAnsi="Aptos" w:eastAsia="Aptos" w:cs="Aptos"/>
          <w:color w:val="000000" w:themeColor="text1"/>
        </w:rPr>
      </w:pPr>
      <w:r w:rsidRPr="62EF3942">
        <w:rPr>
          <w:rFonts w:ascii="Aptos" w:hAnsi="Aptos" w:eastAsia="Aptos" w:cs="Aptos"/>
          <w:color w:val="000000" w:themeColor="text1"/>
        </w:rPr>
        <w:t xml:space="preserve">Communities </w:t>
      </w:r>
      <w:r w:rsidRPr="62EF3942" w:rsidR="37806D41">
        <w:rPr>
          <w:rFonts w:ascii="Aptos" w:hAnsi="Aptos" w:eastAsia="Aptos" w:cs="Aptos"/>
          <w:color w:val="000000" w:themeColor="text1"/>
        </w:rPr>
        <w:t>also must allow by-right development of tiny houses</w:t>
      </w:r>
      <w:r w:rsidRPr="62EF3942" w:rsidR="068C1929">
        <w:rPr>
          <w:rFonts w:ascii="Aptos" w:hAnsi="Aptos" w:eastAsia="Aptos" w:cs="Aptos"/>
          <w:color w:val="000000" w:themeColor="text1"/>
        </w:rPr>
        <w:t xml:space="preserve"> (a detached dwelling unit of 400 square feet or less)</w:t>
      </w:r>
      <w:r w:rsidRPr="62EF3942" w:rsidR="37806D41">
        <w:rPr>
          <w:rFonts w:ascii="Aptos" w:hAnsi="Aptos" w:eastAsia="Aptos" w:cs="Aptos"/>
          <w:color w:val="000000" w:themeColor="text1"/>
        </w:rPr>
        <w:t xml:space="preserve">, provided they are restricted for year-round occupancy and meet health and safety standards. </w:t>
      </w:r>
      <w:r w:rsidRPr="62EF3942" w:rsidR="3DE04522">
        <w:rPr>
          <w:rFonts w:ascii="Aptos" w:hAnsi="Aptos" w:eastAsia="Aptos" w:cs="Aptos"/>
          <w:color w:val="000000" w:themeColor="text1"/>
        </w:rPr>
        <w:t xml:space="preserve">Communities still have the flexibility to further regulate movable tiny houses. </w:t>
      </w:r>
    </w:p>
    <w:p w:rsidR="0023026C" w:rsidP="4756D9FF" w:rsidRDefault="7E05B70B" w14:paraId="1707D25A" w14:textId="67E2CDCA">
      <w:pPr>
        <w:rPr>
          <w:rFonts w:ascii="Aptos" w:hAnsi="Aptos" w:eastAsia="Aptos" w:cs="Aptos"/>
          <w:color w:val="000000" w:themeColor="text1"/>
        </w:rPr>
      </w:pPr>
      <w:r w:rsidRPr="6A18D489" w:rsidR="334857C7">
        <w:rPr>
          <w:rFonts w:ascii="Aptos" w:hAnsi="Aptos" w:eastAsia="Aptos" w:cs="Aptos"/>
          <w:color w:val="000000" w:themeColor="text1" w:themeTint="FF" w:themeShade="FF"/>
        </w:rPr>
        <w:t>Both</w:t>
      </w:r>
      <w:r w:rsidRPr="6A18D489" w:rsidR="4D29FDA8">
        <w:rPr>
          <w:rFonts w:ascii="Aptos" w:hAnsi="Aptos" w:eastAsia="Aptos" w:cs="Aptos"/>
          <w:color w:val="000000" w:themeColor="text1" w:themeTint="FF" w:themeShade="FF"/>
        </w:rPr>
        <w:t xml:space="preserve"> changes</w:t>
      </w:r>
      <w:r w:rsidRPr="6A18D489" w:rsidR="5D126CC3">
        <w:rPr>
          <w:rFonts w:ascii="Aptos" w:hAnsi="Aptos" w:eastAsia="Aptos" w:cs="Aptos"/>
          <w:color w:val="000000" w:themeColor="text1" w:themeTint="FF" w:themeShade="FF"/>
        </w:rPr>
        <w:t xml:space="preserve"> give towns and </w:t>
      </w:r>
      <w:r w:rsidRPr="6A18D489" w:rsidR="5D126CC3">
        <w:rPr>
          <w:rFonts w:ascii="Aptos" w:hAnsi="Aptos" w:eastAsia="Aptos" w:cs="Aptos"/>
          <w:color w:val="000000" w:themeColor="text1" w:themeTint="FF" w:themeShade="FF"/>
        </w:rPr>
        <w:t>local residents</w:t>
      </w:r>
      <w:r w:rsidRPr="6A18D489" w:rsidR="5D126CC3">
        <w:rPr>
          <w:rFonts w:ascii="Aptos" w:hAnsi="Aptos" w:eastAsia="Aptos" w:cs="Aptos"/>
          <w:color w:val="000000" w:themeColor="text1" w:themeTint="FF" w:themeShade="FF"/>
        </w:rPr>
        <w:t xml:space="preserve"> more tools to unlock small-scale housing production</w:t>
      </w:r>
      <w:r w:rsidRPr="6A18D489" w:rsidR="3C6955EB">
        <w:rPr>
          <w:rFonts w:ascii="Aptos" w:hAnsi="Aptos" w:eastAsia="Aptos" w:cs="Aptos"/>
          <w:color w:val="000000" w:themeColor="text1" w:themeTint="FF" w:themeShade="FF"/>
        </w:rPr>
        <w:t>, while keeping reasonable community protections in place.</w:t>
      </w:r>
      <w:r w:rsidRPr="6A18D489" w:rsidR="5754E800">
        <w:rPr>
          <w:rFonts w:ascii="Aptos" w:hAnsi="Aptos" w:eastAsia="Aptos" w:cs="Aptos"/>
          <w:color w:val="000000" w:themeColor="text1" w:themeTint="FF" w:themeShade="FF"/>
        </w:rPr>
        <w:t xml:space="preserve"> </w:t>
      </w:r>
      <w:r w:rsidRPr="6A18D489" w:rsidR="5754E800">
        <w:rPr>
          <w:rFonts w:ascii="Aptos" w:hAnsi="Aptos" w:eastAsia="Aptos" w:cs="Aptos"/>
          <w:color w:val="000000" w:themeColor="text1" w:themeTint="FF" w:themeShade="FF"/>
        </w:rPr>
        <w:t xml:space="preserve">Together, these zoning reforms allow </w:t>
      </w:r>
      <w:r w:rsidRPr="6A18D489" w:rsidR="73FA52A0">
        <w:rPr>
          <w:rFonts w:ascii="Aptos" w:hAnsi="Aptos" w:eastAsia="Aptos" w:cs="Aptos"/>
          <w:color w:val="000000" w:themeColor="text1" w:themeTint="FF" w:themeShade="FF"/>
        </w:rPr>
        <w:t>S</w:t>
      </w:r>
      <w:r w:rsidRPr="6A18D489" w:rsidR="5754E800">
        <w:rPr>
          <w:rFonts w:ascii="Aptos" w:hAnsi="Aptos" w:eastAsia="Aptos" w:cs="Aptos"/>
          <w:color w:val="000000" w:themeColor="text1" w:themeTint="FF" w:themeShade="FF"/>
        </w:rPr>
        <w:t xml:space="preserve">easonal </w:t>
      </w:r>
      <w:r w:rsidRPr="6A18D489" w:rsidR="7233DC13">
        <w:rPr>
          <w:rFonts w:ascii="Aptos" w:hAnsi="Aptos" w:eastAsia="Aptos" w:cs="Aptos"/>
          <w:color w:val="000000" w:themeColor="text1" w:themeTint="FF" w:themeShade="FF"/>
        </w:rPr>
        <w:t>C</w:t>
      </w:r>
      <w:r w:rsidRPr="6A18D489" w:rsidR="5754E800">
        <w:rPr>
          <w:rFonts w:ascii="Aptos" w:hAnsi="Aptos" w:eastAsia="Aptos" w:cs="Aptos"/>
          <w:color w:val="000000" w:themeColor="text1" w:themeTint="FF" w:themeShade="FF"/>
        </w:rPr>
        <w:t>ommunities</w:t>
      </w:r>
      <w:r w:rsidRPr="6A18D489" w:rsidR="5754E800">
        <w:rPr>
          <w:rFonts w:ascii="Aptos" w:hAnsi="Aptos" w:eastAsia="Aptos" w:cs="Aptos"/>
          <w:color w:val="000000" w:themeColor="text1" w:themeTint="FF" w:themeShade="FF"/>
        </w:rPr>
        <w:t xml:space="preserve"> to incrementally add housing in ways that are context-sensitive, infrastructure-aware, and well-suited to small towns and village centers.</w:t>
      </w:r>
    </w:p>
    <w:p w:rsidR="34FB657D" w:rsidP="62EF3942" w:rsidRDefault="34FB657D" w14:paraId="13383865" w14:textId="64724257">
      <w:pPr>
        <w:pStyle w:val="Heading2"/>
      </w:pPr>
      <w:r>
        <w:t>Seasonal Community Grant Program</w:t>
      </w:r>
    </w:p>
    <w:p w:rsidR="34FB657D" w:rsidP="62EF3942" w:rsidRDefault="34FB657D" w14:paraId="341F0C59" w14:textId="5EC518EF">
      <w:r>
        <w:t xml:space="preserve">The Capital Investment Plan makes up to $4 million available in FY26 and FY27 to support Seasonal Communities ($2M in each fiscal year). The FY26 grant program is already in process with the 14 communities that have accepted their designation eligible to receive a grant of $50,000 - $175,000 for permissible activities, based on population. </w:t>
      </w:r>
      <w:r w:rsidR="6BCC2A05">
        <w:t xml:space="preserve">While the FY27 notice of funding availability has not been released yet, the FY26 permissible activities for grant funds were written as expansively as possible under capital dollar restrictions. Permissible activities for funding included but </w:t>
      </w:r>
      <w:r w:rsidR="00BE3BF1">
        <w:t>were</w:t>
      </w:r>
      <w:r w:rsidR="6BCC2A05">
        <w:t xml:space="preserve"> not limited to:</w:t>
      </w:r>
    </w:p>
    <w:p w:rsidR="34FB657D" w:rsidP="62EF3942" w:rsidRDefault="34FB657D" w14:paraId="04A49D05" w14:textId="306C87A6">
      <w:pPr>
        <w:pStyle w:val="ListParagraph"/>
        <w:numPr>
          <w:ilvl w:val="0"/>
          <w:numId w:val="1"/>
        </w:numPr>
      </w:pPr>
      <w:r>
        <w:t xml:space="preserve">Planning and zoning activities, including, but not limited to: 1) Planning activities related to housing needs assessments, 2) Zoning and/or bylaw revisions to implement Seasonal Communities policies, and 3) Planning for housing development.  </w:t>
      </w:r>
    </w:p>
    <w:p w:rsidR="34FB657D" w:rsidP="62EF3942" w:rsidRDefault="34FB657D" w14:paraId="3EEC898F" w14:textId="0F61D35A">
      <w:pPr>
        <w:pStyle w:val="ListParagraph"/>
        <w:numPr>
          <w:ilvl w:val="0"/>
          <w:numId w:val="1"/>
        </w:numPr>
      </w:pPr>
      <w:r>
        <w:t xml:space="preserve">Local actions for housing development, including but not limited to: 1) Funding for housing development projects, 2) Technical Assistance to establish a Year-Round Housing Trust Fund, and 3) Seed funding for Year-Round Housing Trust to support housing development.  </w:t>
      </w:r>
    </w:p>
    <w:p w:rsidR="34FB657D" w:rsidP="62EF3942" w:rsidRDefault="34FB657D" w14:paraId="5CAAFC42" w14:textId="60BE561F">
      <w:pPr>
        <w:pStyle w:val="ListParagraph"/>
        <w:numPr>
          <w:ilvl w:val="0"/>
          <w:numId w:val="1"/>
        </w:numPr>
      </w:pPr>
      <w:r>
        <w:t xml:space="preserve">Public horizontal infrastructure projects to leverage housing development, including pre-construction (design/engineering documents) and/or construction related to: 1) Sewer lines, septic systems, and other sanitary waste disposal systems, water lines, wells, and water treatment systems; 2) Utility extensions; 3) Streets, roads, curb cuts, and other transit improvements such as crosswalks and pedestrian and bicycle ways; and 4) Other related horizontal infrastructure work adjacent to planned or imminent housing improvements.  </w:t>
      </w:r>
    </w:p>
    <w:p w:rsidR="0023026C" w:rsidP="62EF3942" w:rsidRDefault="37806D41" w14:paraId="24F6C9BF" w14:textId="5EB6BDCB">
      <w:pPr>
        <w:pStyle w:val="Heading2"/>
        <w:rPr>
          <w:rFonts w:ascii="Aptos" w:hAnsi="Aptos" w:eastAsia="Aptos" w:cs="Aptos"/>
          <w:color w:val="000000" w:themeColor="text1"/>
        </w:rPr>
      </w:pPr>
      <w:r>
        <w:t>Waivers</w:t>
      </w:r>
    </w:p>
    <w:p w:rsidR="00F04E4B" w:rsidP="4756D9FF" w:rsidRDefault="2DC27874" w14:paraId="7FB33681" w14:textId="15189E4F">
      <w:pPr>
        <w:rPr>
          <w:rFonts w:ascii="Aptos" w:hAnsi="Aptos" w:eastAsia="Aptos" w:cs="Aptos"/>
          <w:color w:val="000000" w:themeColor="text1"/>
        </w:rPr>
      </w:pPr>
      <w:r w:rsidRPr="62EF3942">
        <w:rPr>
          <w:rFonts w:ascii="Aptos" w:hAnsi="Aptos" w:eastAsia="Aptos" w:cs="Aptos"/>
          <w:color w:val="000000" w:themeColor="text1"/>
        </w:rPr>
        <w:t xml:space="preserve">A municipality may apply to EOHLC for a waiver if it </w:t>
      </w:r>
      <w:r w:rsidRPr="62EF3942" w:rsidR="37806D41">
        <w:rPr>
          <w:rFonts w:ascii="Aptos" w:hAnsi="Aptos" w:eastAsia="Aptos" w:cs="Aptos"/>
          <w:color w:val="000000" w:themeColor="text1"/>
        </w:rPr>
        <w:t>faces undue hardship in meeting certain requirements</w:t>
      </w:r>
      <w:r w:rsidRPr="62EF3942" w:rsidR="25F8D09C">
        <w:rPr>
          <w:rFonts w:ascii="Aptos" w:hAnsi="Aptos" w:eastAsia="Aptos" w:cs="Aptos"/>
          <w:color w:val="000000" w:themeColor="text1"/>
        </w:rPr>
        <w:t>.</w:t>
      </w:r>
      <w:r w:rsidRPr="62EF3942" w:rsidR="132E1013">
        <w:rPr>
          <w:rFonts w:ascii="Aptos" w:hAnsi="Aptos" w:eastAsia="Aptos" w:cs="Aptos"/>
          <w:color w:val="000000" w:themeColor="text1"/>
        </w:rPr>
        <w:t xml:space="preserve"> </w:t>
      </w:r>
      <w:r w:rsidRPr="62EF3942" w:rsidR="37806D41">
        <w:rPr>
          <w:rFonts w:ascii="Aptos" w:hAnsi="Aptos" w:eastAsia="Aptos" w:cs="Aptos"/>
          <w:color w:val="000000" w:themeColor="text1"/>
        </w:rPr>
        <w:t>The full text and details of these new regulations are available on EOHLC’s website</w:t>
      </w:r>
      <w:r w:rsidRPr="62EF3942" w:rsidR="3CC296BC">
        <w:rPr>
          <w:rFonts w:ascii="Aptos" w:hAnsi="Aptos" w:eastAsia="Aptos" w:cs="Aptos"/>
          <w:color w:val="000000" w:themeColor="text1"/>
        </w:rPr>
        <w:t xml:space="preserve">: </w:t>
      </w:r>
      <w:hyperlink r:id="rId8">
        <w:r w:rsidRPr="62EF3942" w:rsidR="240FA94E">
          <w:rPr>
            <w:rStyle w:val="Hyperlink"/>
            <w:rFonts w:ascii="Aptos" w:hAnsi="Aptos" w:eastAsia="Aptos" w:cs="Aptos"/>
          </w:rPr>
          <w:t>https://www.mass.gov/info-details/seasonal-communities</w:t>
        </w:r>
      </w:hyperlink>
      <w:r w:rsidRPr="62EF3942" w:rsidR="240FA94E">
        <w:rPr>
          <w:rFonts w:ascii="Aptos" w:hAnsi="Aptos" w:eastAsia="Aptos" w:cs="Aptos"/>
          <w:color w:val="000000" w:themeColor="text1"/>
        </w:rPr>
        <w:t xml:space="preserve"> </w:t>
      </w:r>
    </w:p>
    <w:p w:rsidR="00F04E4B" w:rsidP="00F04E4B" w:rsidRDefault="00F04E4B" w14:paraId="1E7E4AD2" w14:textId="427EE2F2">
      <w:pPr>
        <w:pStyle w:val="Heading1"/>
      </w:pPr>
      <w:r>
        <w:t>Summary</w:t>
      </w:r>
    </w:p>
    <w:p w:rsidRPr="00F04E4B" w:rsidR="00F04E4B" w:rsidP="00F04E4B" w:rsidRDefault="00F04E4B" w14:paraId="494F7BB0" w14:textId="603907BD">
      <w:r w:rsidR="3819BDEF">
        <w:rPr/>
        <w:t xml:space="preserve">Seasonal </w:t>
      </w:r>
      <w:r w:rsidR="72539035">
        <w:rPr/>
        <w:t>C</w:t>
      </w:r>
      <w:r w:rsidR="3819BDEF">
        <w:rPr/>
        <w:t>ommunities</w:t>
      </w:r>
      <w:r w:rsidR="3819BDEF">
        <w:rPr/>
        <w:t xml:space="preserve"> face some of the most acute housing pressures in Massachusetts, driven by a high concentration of seasonal and short-term units, strong tourism demand, and large swings in seasonal employment that strain a limited year-round housing supply. These dynamics have steadily reduced the number of homes available to the workers, families, artists, and public employees who sustain local economies and public services throughout the year. The </w:t>
      </w:r>
      <w:r w:rsidR="579767EC">
        <w:rPr/>
        <w:t>S</w:t>
      </w:r>
      <w:r w:rsidR="3819BDEF">
        <w:rPr/>
        <w:t xml:space="preserve">easonal </w:t>
      </w:r>
      <w:r w:rsidR="24A6A3E6">
        <w:rPr/>
        <w:t>C</w:t>
      </w:r>
      <w:r w:rsidR="3819BDEF">
        <w:rPr/>
        <w:t>ommunities</w:t>
      </w:r>
      <w:r w:rsidR="3819BDEF">
        <w:rPr/>
        <w:t xml:space="preserve"> </w:t>
      </w:r>
      <w:r w:rsidR="0FF9D05E">
        <w:rPr/>
        <w:t>D</w:t>
      </w:r>
      <w:r w:rsidR="3819BDEF">
        <w:rPr/>
        <w:t xml:space="preserve">esignation responds directly to these challenges by offering a targeted, voluntary set of tools that help communities stabilize year-round housing, rebalance local markets, and invest in long-term solutions without undermining the economic benefits of seasonal activity. By pairing local choice with new regulatory flexibility, funding, and regional collaboration, the designation provides </w:t>
      </w:r>
      <w:r w:rsidR="7E50C23E">
        <w:rPr/>
        <w:t>backing</w:t>
      </w:r>
      <w:r w:rsidR="3819BDEF">
        <w:rPr/>
        <w:t xml:space="preserve"> for communities to remain vibrant destinations while also supporting the people who call them home year-round.</w:t>
      </w:r>
    </w:p>
    <w:sectPr w:rsidRPr="00F04E4B" w:rsidR="00F04E4B">
      <w:pgSz w:w="12240" w:h="15840" w:orient="portrait"/>
      <w:pgMar w:top="1440" w:right="1440" w:bottom="1440" w:left="1440" w:header="720" w:footer="720" w:gutter="0"/>
      <w:cols w:space="720"/>
      <w:docGrid w:linePitch="360"/>
      <w:headerReference w:type="default" r:id="R9182444aad694a1d"/>
      <w:footerReference w:type="default" r:id="Rcd3365b26f8843a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A18D489" w:rsidTr="6A18D489" w14:paraId="2B35A505">
      <w:trPr>
        <w:trHeight w:val="300"/>
      </w:trPr>
      <w:tc>
        <w:tcPr>
          <w:tcW w:w="3120" w:type="dxa"/>
          <w:tcMar/>
        </w:tcPr>
        <w:p w:rsidR="6A18D489" w:rsidP="6A18D489" w:rsidRDefault="6A18D489" w14:paraId="69EE9DF0" w14:textId="1F4A12BF">
          <w:pPr>
            <w:pStyle w:val="Header"/>
            <w:bidi w:val="0"/>
            <w:ind w:left="-115"/>
            <w:jc w:val="left"/>
          </w:pPr>
        </w:p>
      </w:tc>
      <w:tc>
        <w:tcPr>
          <w:tcW w:w="3120" w:type="dxa"/>
          <w:tcMar/>
        </w:tcPr>
        <w:p w:rsidR="6A18D489" w:rsidP="6A18D489" w:rsidRDefault="6A18D489" w14:paraId="3731260B" w14:textId="4591413E">
          <w:pPr>
            <w:pStyle w:val="Header"/>
            <w:bidi w:val="0"/>
            <w:jc w:val="center"/>
          </w:pPr>
        </w:p>
      </w:tc>
      <w:tc>
        <w:tcPr>
          <w:tcW w:w="3120" w:type="dxa"/>
          <w:tcMar/>
        </w:tcPr>
        <w:p w:rsidR="6A18D489" w:rsidP="6A18D489" w:rsidRDefault="6A18D489" w14:paraId="6AB70546" w14:textId="0D7460D7">
          <w:pPr>
            <w:pStyle w:val="Header"/>
            <w:bidi w:val="0"/>
            <w:ind w:right="-115"/>
            <w:jc w:val="right"/>
          </w:pPr>
        </w:p>
      </w:tc>
    </w:tr>
  </w:tbl>
  <w:p w:rsidR="6A18D489" w:rsidP="6A18D489" w:rsidRDefault="6A18D489" w14:paraId="1DD8364D" w14:textId="0651C34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A18D489" w:rsidTr="6A18D489" w14:paraId="3AE85D48">
      <w:trPr>
        <w:trHeight w:val="300"/>
      </w:trPr>
      <w:tc>
        <w:tcPr>
          <w:tcW w:w="3120" w:type="dxa"/>
          <w:tcMar/>
        </w:tcPr>
        <w:p w:rsidR="6A18D489" w:rsidP="6A18D489" w:rsidRDefault="6A18D489" w14:paraId="7CCD2637" w14:textId="624BA8D8">
          <w:pPr>
            <w:pStyle w:val="Header"/>
            <w:bidi w:val="0"/>
            <w:ind w:left="-115"/>
            <w:jc w:val="left"/>
          </w:pPr>
        </w:p>
      </w:tc>
      <w:tc>
        <w:tcPr>
          <w:tcW w:w="3120" w:type="dxa"/>
          <w:tcMar/>
        </w:tcPr>
        <w:p w:rsidR="6A18D489" w:rsidP="6A18D489" w:rsidRDefault="6A18D489" w14:paraId="58BB6BF6" w14:textId="686BF144">
          <w:pPr>
            <w:pStyle w:val="Header"/>
            <w:bidi w:val="0"/>
            <w:jc w:val="center"/>
          </w:pPr>
          <w:r w:rsidR="6A18D489">
            <w:drawing>
              <wp:inline wp14:editId="62F1E1A2" wp14:anchorId="4A3474EB">
                <wp:extent cx="733425" cy="733425"/>
                <wp:effectExtent l="0" t="0" r="0" b="0"/>
                <wp:docPr id="1482519052" name="drawing" descr="The logo of the Executive Office of Housing and Livable Communities, featuring Executive Office in light blue text, followed by Housing and Livable Communities in white text, under a light blue outline of a roof, all on a navy blue backgroun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7868987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399182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733425" cy="733425"/>
                        </a:xfrm>
                        <a:prstGeom xmlns:a="http://schemas.openxmlformats.org/drawingml/2006/main" prst="rect">
                          <a:avLst xmlns:a="http://schemas.openxmlformats.org/drawingml/2006/main"/>
                        </a:prstGeom>
                      </pic:spPr>
                    </pic:pic>
                  </a:graphicData>
                </a:graphic>
              </wp:inline>
            </w:drawing>
          </w:r>
        </w:p>
      </w:tc>
      <w:tc>
        <w:tcPr>
          <w:tcW w:w="3120" w:type="dxa"/>
          <w:tcMar/>
        </w:tcPr>
        <w:p w:rsidR="6A18D489" w:rsidP="6A18D489" w:rsidRDefault="6A18D489" w14:paraId="6BFB77DA" w14:textId="4DC412C4">
          <w:pPr>
            <w:pStyle w:val="Header"/>
            <w:bidi w:val="0"/>
            <w:ind w:right="-115"/>
            <w:jc w:val="right"/>
          </w:pPr>
        </w:p>
      </w:tc>
    </w:tr>
  </w:tbl>
  <w:p w:rsidR="6A18D489" w:rsidP="6A18D489" w:rsidRDefault="6A18D489" w14:paraId="5A3AF0F7" w14:textId="2B18071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DD0C"/>
    <w:multiLevelType w:val="hybridMultilevel"/>
    <w:tmpl w:val="0A7A5BB4"/>
    <w:lvl w:ilvl="0" w:tplc="5CE2E12E">
      <w:start w:val="1"/>
      <w:numFmt w:val="bullet"/>
      <w:lvlText w:val=""/>
      <w:lvlJc w:val="left"/>
      <w:pPr>
        <w:ind w:left="720" w:hanging="360"/>
      </w:pPr>
      <w:rPr>
        <w:rFonts w:hint="default" w:ascii="Symbol" w:hAnsi="Symbol"/>
      </w:rPr>
    </w:lvl>
    <w:lvl w:ilvl="1" w:tplc="41107E2C">
      <w:start w:val="1"/>
      <w:numFmt w:val="bullet"/>
      <w:lvlText w:val="o"/>
      <w:lvlJc w:val="left"/>
      <w:pPr>
        <w:ind w:left="1440" w:hanging="360"/>
      </w:pPr>
      <w:rPr>
        <w:rFonts w:hint="default" w:ascii="Courier New" w:hAnsi="Courier New"/>
      </w:rPr>
    </w:lvl>
    <w:lvl w:ilvl="2" w:tplc="CE4CD7A4">
      <w:start w:val="1"/>
      <w:numFmt w:val="bullet"/>
      <w:lvlText w:val=""/>
      <w:lvlJc w:val="left"/>
      <w:pPr>
        <w:ind w:left="2160" w:hanging="360"/>
      </w:pPr>
      <w:rPr>
        <w:rFonts w:hint="default" w:ascii="Wingdings" w:hAnsi="Wingdings"/>
      </w:rPr>
    </w:lvl>
    <w:lvl w:ilvl="3" w:tplc="586C9E0A">
      <w:start w:val="1"/>
      <w:numFmt w:val="bullet"/>
      <w:lvlText w:val=""/>
      <w:lvlJc w:val="left"/>
      <w:pPr>
        <w:ind w:left="2880" w:hanging="360"/>
      </w:pPr>
      <w:rPr>
        <w:rFonts w:hint="default" w:ascii="Symbol" w:hAnsi="Symbol"/>
      </w:rPr>
    </w:lvl>
    <w:lvl w:ilvl="4" w:tplc="61AC7A82">
      <w:start w:val="1"/>
      <w:numFmt w:val="bullet"/>
      <w:lvlText w:val="o"/>
      <w:lvlJc w:val="left"/>
      <w:pPr>
        <w:ind w:left="3600" w:hanging="360"/>
      </w:pPr>
      <w:rPr>
        <w:rFonts w:hint="default" w:ascii="Courier New" w:hAnsi="Courier New"/>
      </w:rPr>
    </w:lvl>
    <w:lvl w:ilvl="5" w:tplc="5CE072F2">
      <w:start w:val="1"/>
      <w:numFmt w:val="bullet"/>
      <w:lvlText w:val=""/>
      <w:lvlJc w:val="left"/>
      <w:pPr>
        <w:ind w:left="4320" w:hanging="360"/>
      </w:pPr>
      <w:rPr>
        <w:rFonts w:hint="default" w:ascii="Wingdings" w:hAnsi="Wingdings"/>
      </w:rPr>
    </w:lvl>
    <w:lvl w:ilvl="6" w:tplc="19DA1632">
      <w:start w:val="1"/>
      <w:numFmt w:val="bullet"/>
      <w:lvlText w:val=""/>
      <w:lvlJc w:val="left"/>
      <w:pPr>
        <w:ind w:left="5040" w:hanging="360"/>
      </w:pPr>
      <w:rPr>
        <w:rFonts w:hint="default" w:ascii="Symbol" w:hAnsi="Symbol"/>
      </w:rPr>
    </w:lvl>
    <w:lvl w:ilvl="7" w:tplc="E6EEB69C">
      <w:start w:val="1"/>
      <w:numFmt w:val="bullet"/>
      <w:lvlText w:val="o"/>
      <w:lvlJc w:val="left"/>
      <w:pPr>
        <w:ind w:left="5760" w:hanging="360"/>
      </w:pPr>
      <w:rPr>
        <w:rFonts w:hint="default" w:ascii="Courier New" w:hAnsi="Courier New"/>
      </w:rPr>
    </w:lvl>
    <w:lvl w:ilvl="8" w:tplc="22AECA94">
      <w:start w:val="1"/>
      <w:numFmt w:val="bullet"/>
      <w:lvlText w:val=""/>
      <w:lvlJc w:val="left"/>
      <w:pPr>
        <w:ind w:left="6480" w:hanging="360"/>
      </w:pPr>
      <w:rPr>
        <w:rFonts w:hint="default" w:ascii="Wingdings" w:hAnsi="Wingdings"/>
      </w:rPr>
    </w:lvl>
  </w:abstractNum>
  <w:num w:numId="1" w16cid:durableId="90880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2E6B8B"/>
    <w:rsid w:val="000329AB"/>
    <w:rsid w:val="00080A9F"/>
    <w:rsid w:val="000D7FDE"/>
    <w:rsid w:val="000E7D83"/>
    <w:rsid w:val="000F0B3E"/>
    <w:rsid w:val="002168C9"/>
    <w:rsid w:val="0023026C"/>
    <w:rsid w:val="002921D0"/>
    <w:rsid w:val="002A13DE"/>
    <w:rsid w:val="00363431"/>
    <w:rsid w:val="00365E43"/>
    <w:rsid w:val="003D43DD"/>
    <w:rsid w:val="00412899"/>
    <w:rsid w:val="00414A79"/>
    <w:rsid w:val="004660C9"/>
    <w:rsid w:val="004E701C"/>
    <w:rsid w:val="00590127"/>
    <w:rsid w:val="005A041B"/>
    <w:rsid w:val="005D0AB9"/>
    <w:rsid w:val="00747AEC"/>
    <w:rsid w:val="00767D76"/>
    <w:rsid w:val="008837E9"/>
    <w:rsid w:val="008E6F1B"/>
    <w:rsid w:val="00A65167"/>
    <w:rsid w:val="00A974C5"/>
    <w:rsid w:val="00AA1321"/>
    <w:rsid w:val="00BA5CB6"/>
    <w:rsid w:val="00BB2B60"/>
    <w:rsid w:val="00BE3BF1"/>
    <w:rsid w:val="00BF7214"/>
    <w:rsid w:val="00CC45D7"/>
    <w:rsid w:val="00D033E1"/>
    <w:rsid w:val="00D30963"/>
    <w:rsid w:val="00D3570C"/>
    <w:rsid w:val="00DA7537"/>
    <w:rsid w:val="00DA7D9B"/>
    <w:rsid w:val="00DC1102"/>
    <w:rsid w:val="00DE45AD"/>
    <w:rsid w:val="00E045C1"/>
    <w:rsid w:val="00E15AAC"/>
    <w:rsid w:val="00E7671F"/>
    <w:rsid w:val="00EA5CD6"/>
    <w:rsid w:val="00EB4520"/>
    <w:rsid w:val="00F04E4B"/>
    <w:rsid w:val="00F87C26"/>
    <w:rsid w:val="00FC0449"/>
    <w:rsid w:val="00FF29DA"/>
    <w:rsid w:val="02092802"/>
    <w:rsid w:val="023A4DB4"/>
    <w:rsid w:val="02BA51BD"/>
    <w:rsid w:val="02BF8A38"/>
    <w:rsid w:val="02F445E0"/>
    <w:rsid w:val="03C270DB"/>
    <w:rsid w:val="044261AC"/>
    <w:rsid w:val="049576EF"/>
    <w:rsid w:val="04A4767C"/>
    <w:rsid w:val="056FE828"/>
    <w:rsid w:val="057F424F"/>
    <w:rsid w:val="068C1929"/>
    <w:rsid w:val="06D2752E"/>
    <w:rsid w:val="07381591"/>
    <w:rsid w:val="075DB093"/>
    <w:rsid w:val="07E5DA06"/>
    <w:rsid w:val="080CBBEF"/>
    <w:rsid w:val="09432C4F"/>
    <w:rsid w:val="09D5A116"/>
    <w:rsid w:val="0ACBB521"/>
    <w:rsid w:val="0AF50A23"/>
    <w:rsid w:val="0B0FE1EC"/>
    <w:rsid w:val="0BCA1FE7"/>
    <w:rsid w:val="0BCC1B12"/>
    <w:rsid w:val="0BD1FBAC"/>
    <w:rsid w:val="0BDB633C"/>
    <w:rsid w:val="0BE1FE15"/>
    <w:rsid w:val="0C77664B"/>
    <w:rsid w:val="0D642EE8"/>
    <w:rsid w:val="0DF1FCF2"/>
    <w:rsid w:val="0E201AB4"/>
    <w:rsid w:val="0F2D2FF4"/>
    <w:rsid w:val="0FC1D8E3"/>
    <w:rsid w:val="0FE1982A"/>
    <w:rsid w:val="0FF9D05E"/>
    <w:rsid w:val="0FFF6595"/>
    <w:rsid w:val="1020EC11"/>
    <w:rsid w:val="108D7F81"/>
    <w:rsid w:val="115B475C"/>
    <w:rsid w:val="1265E6CA"/>
    <w:rsid w:val="132E1013"/>
    <w:rsid w:val="135750D6"/>
    <w:rsid w:val="138448FB"/>
    <w:rsid w:val="13D6DC5E"/>
    <w:rsid w:val="14172650"/>
    <w:rsid w:val="1521B0C5"/>
    <w:rsid w:val="17DC7851"/>
    <w:rsid w:val="1837E70A"/>
    <w:rsid w:val="1994F56D"/>
    <w:rsid w:val="1A983817"/>
    <w:rsid w:val="1C2B96FA"/>
    <w:rsid w:val="1E8B5610"/>
    <w:rsid w:val="1F08CA4F"/>
    <w:rsid w:val="2043F65D"/>
    <w:rsid w:val="20E3EF80"/>
    <w:rsid w:val="22250373"/>
    <w:rsid w:val="22991D18"/>
    <w:rsid w:val="23BFBFB2"/>
    <w:rsid w:val="240FA94E"/>
    <w:rsid w:val="2423D113"/>
    <w:rsid w:val="24A6A3E6"/>
    <w:rsid w:val="257DB332"/>
    <w:rsid w:val="25C89D70"/>
    <w:rsid w:val="25F8D09C"/>
    <w:rsid w:val="2637A4A2"/>
    <w:rsid w:val="268DE5B4"/>
    <w:rsid w:val="26A5FCC6"/>
    <w:rsid w:val="27D4D96F"/>
    <w:rsid w:val="27D5F462"/>
    <w:rsid w:val="283245D0"/>
    <w:rsid w:val="2A1651B1"/>
    <w:rsid w:val="2AA74ACB"/>
    <w:rsid w:val="2BECEF63"/>
    <w:rsid w:val="2DAB484D"/>
    <w:rsid w:val="2DC27874"/>
    <w:rsid w:val="2EB6920C"/>
    <w:rsid w:val="2FCF15B3"/>
    <w:rsid w:val="2FE4CB10"/>
    <w:rsid w:val="3137A057"/>
    <w:rsid w:val="3263539E"/>
    <w:rsid w:val="32DE626D"/>
    <w:rsid w:val="334857C7"/>
    <w:rsid w:val="33963AB3"/>
    <w:rsid w:val="34FB657D"/>
    <w:rsid w:val="355D8DD7"/>
    <w:rsid w:val="36D289FF"/>
    <w:rsid w:val="375DF6C0"/>
    <w:rsid w:val="37806D41"/>
    <w:rsid w:val="37C22247"/>
    <w:rsid w:val="3800DECC"/>
    <w:rsid w:val="3819BDEF"/>
    <w:rsid w:val="382E6B8B"/>
    <w:rsid w:val="3839F22A"/>
    <w:rsid w:val="38F0F261"/>
    <w:rsid w:val="394D1276"/>
    <w:rsid w:val="398856E9"/>
    <w:rsid w:val="39B2C9D3"/>
    <w:rsid w:val="39B3D1FD"/>
    <w:rsid w:val="3A63CD66"/>
    <w:rsid w:val="3B09A4BB"/>
    <w:rsid w:val="3B922F89"/>
    <w:rsid w:val="3C6955EB"/>
    <w:rsid w:val="3CC296BC"/>
    <w:rsid w:val="3DE04522"/>
    <w:rsid w:val="3E270111"/>
    <w:rsid w:val="3ED970E0"/>
    <w:rsid w:val="3F119434"/>
    <w:rsid w:val="400B7ADE"/>
    <w:rsid w:val="41398D70"/>
    <w:rsid w:val="41FC5E51"/>
    <w:rsid w:val="429B2F25"/>
    <w:rsid w:val="437E2FB8"/>
    <w:rsid w:val="44668F7C"/>
    <w:rsid w:val="451D541F"/>
    <w:rsid w:val="46119237"/>
    <w:rsid w:val="4643D93C"/>
    <w:rsid w:val="46BD2AC3"/>
    <w:rsid w:val="471098BA"/>
    <w:rsid w:val="4756D9FF"/>
    <w:rsid w:val="4A5D857F"/>
    <w:rsid w:val="4ADC4123"/>
    <w:rsid w:val="4AF4B6E3"/>
    <w:rsid w:val="4B364162"/>
    <w:rsid w:val="4C8419AF"/>
    <w:rsid w:val="4D0C56A8"/>
    <w:rsid w:val="4D29FDA8"/>
    <w:rsid w:val="4DD0E450"/>
    <w:rsid w:val="4E581201"/>
    <w:rsid w:val="4E65B356"/>
    <w:rsid w:val="4EBC8BBD"/>
    <w:rsid w:val="4F5D8051"/>
    <w:rsid w:val="5082CDEC"/>
    <w:rsid w:val="5202072A"/>
    <w:rsid w:val="52969591"/>
    <w:rsid w:val="532C0AC5"/>
    <w:rsid w:val="53C74D69"/>
    <w:rsid w:val="5481B8D8"/>
    <w:rsid w:val="55347E49"/>
    <w:rsid w:val="555D97E8"/>
    <w:rsid w:val="55669616"/>
    <w:rsid w:val="55923123"/>
    <w:rsid w:val="5607B54D"/>
    <w:rsid w:val="567100D3"/>
    <w:rsid w:val="56A8C9CE"/>
    <w:rsid w:val="56C87B8D"/>
    <w:rsid w:val="5754E800"/>
    <w:rsid w:val="579767EC"/>
    <w:rsid w:val="57E9CC3C"/>
    <w:rsid w:val="57F923F6"/>
    <w:rsid w:val="587D39D7"/>
    <w:rsid w:val="58BE84F6"/>
    <w:rsid w:val="59F2F6B5"/>
    <w:rsid w:val="5A7C9451"/>
    <w:rsid w:val="5AE8437B"/>
    <w:rsid w:val="5BFBC1B9"/>
    <w:rsid w:val="5C647047"/>
    <w:rsid w:val="5CE7B9B1"/>
    <w:rsid w:val="5D126CC3"/>
    <w:rsid w:val="5F220D2B"/>
    <w:rsid w:val="5F625A88"/>
    <w:rsid w:val="5FDF5E1F"/>
    <w:rsid w:val="629F3A8B"/>
    <w:rsid w:val="62EF3942"/>
    <w:rsid w:val="634B2F1D"/>
    <w:rsid w:val="639013CC"/>
    <w:rsid w:val="63BDB204"/>
    <w:rsid w:val="6407B257"/>
    <w:rsid w:val="645D030B"/>
    <w:rsid w:val="6543BE14"/>
    <w:rsid w:val="66CE41B2"/>
    <w:rsid w:val="66E03E88"/>
    <w:rsid w:val="6744C79B"/>
    <w:rsid w:val="683AB6CF"/>
    <w:rsid w:val="68AAAE5C"/>
    <w:rsid w:val="6911F640"/>
    <w:rsid w:val="6A18D489"/>
    <w:rsid w:val="6BCC2A05"/>
    <w:rsid w:val="6BF6BDCC"/>
    <w:rsid w:val="6E01EF66"/>
    <w:rsid w:val="6ED52E11"/>
    <w:rsid w:val="6F179196"/>
    <w:rsid w:val="7067181C"/>
    <w:rsid w:val="7172ED7A"/>
    <w:rsid w:val="7233DC13"/>
    <w:rsid w:val="72539035"/>
    <w:rsid w:val="731FED00"/>
    <w:rsid w:val="73AADE44"/>
    <w:rsid w:val="73E7418B"/>
    <w:rsid w:val="73FA52A0"/>
    <w:rsid w:val="740045F9"/>
    <w:rsid w:val="743D6918"/>
    <w:rsid w:val="74A6BB84"/>
    <w:rsid w:val="75056608"/>
    <w:rsid w:val="77B9BC37"/>
    <w:rsid w:val="784E209A"/>
    <w:rsid w:val="7A53A33E"/>
    <w:rsid w:val="7A6C800E"/>
    <w:rsid w:val="7A9FF0B6"/>
    <w:rsid w:val="7AA30D66"/>
    <w:rsid w:val="7AA9F22B"/>
    <w:rsid w:val="7B4B3F37"/>
    <w:rsid w:val="7C86515A"/>
    <w:rsid w:val="7CA4DD09"/>
    <w:rsid w:val="7D0897AC"/>
    <w:rsid w:val="7DB8E6DF"/>
    <w:rsid w:val="7E05B70B"/>
    <w:rsid w:val="7E365395"/>
    <w:rsid w:val="7E50C23E"/>
    <w:rsid w:val="7FC970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2E6B8B"/>
  <w15:chartTrackingRefBased/>
  <w15:docId w15:val="{D75D3DF8-D720-4F9F-AECC-C2A1BABF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65167"/>
    <w:pPr>
      <w:spacing w:after="0" w:line="240" w:lineRule="auto"/>
    </w:pPr>
  </w:style>
  <w:style w:type="paragraph" w:styleId="CommentSubject">
    <w:name w:val="annotation subject"/>
    <w:basedOn w:val="CommentText"/>
    <w:next w:val="CommentText"/>
    <w:link w:val="CommentSubjectChar"/>
    <w:uiPriority w:val="99"/>
    <w:semiHidden/>
    <w:unhideWhenUsed/>
    <w:rsid w:val="00D30963"/>
    <w:rPr>
      <w:b/>
      <w:bCs/>
    </w:rPr>
  </w:style>
  <w:style w:type="character" w:styleId="CommentSubjectChar" w:customStyle="1">
    <w:name w:val="Comment Subject Char"/>
    <w:basedOn w:val="CommentTextChar"/>
    <w:link w:val="CommentSubject"/>
    <w:uiPriority w:val="99"/>
    <w:semiHidden/>
    <w:rsid w:val="00D30963"/>
    <w:rPr>
      <w:b/>
      <w:bCs/>
      <w:sz w:val="20"/>
      <w:szCs w:val="20"/>
    </w:rPr>
  </w:style>
  <w:style w:type="character" w:styleId="Mention">
    <w:name w:val="Mention"/>
    <w:basedOn w:val="DefaultParagraphFont"/>
    <w:uiPriority w:val="99"/>
    <w:unhideWhenUsed/>
    <w:rsid w:val="00D30963"/>
    <w:rPr>
      <w:color w:val="2B579A"/>
      <w:shd w:val="clear" w:color="auto" w:fill="E1DFDD"/>
    </w:rPr>
  </w:style>
  <w:style w:type="character" w:styleId="Hyperlink">
    <w:name w:val="Hyperlink"/>
    <w:basedOn w:val="DefaultParagraphFont"/>
    <w:uiPriority w:val="99"/>
    <w:unhideWhenUsed/>
    <w:rsid w:val="00E15AAC"/>
    <w:rPr>
      <w:color w:val="467886" w:themeColor="hyperlink"/>
      <w:u w:val="single"/>
    </w:rPr>
  </w:style>
  <w:style w:type="character" w:styleId="UnresolvedMention">
    <w:name w:val="Unresolved Mention"/>
    <w:basedOn w:val="DefaultParagraphFont"/>
    <w:uiPriority w:val="99"/>
    <w:semiHidden/>
    <w:unhideWhenUsed/>
    <w:rsid w:val="00E15AAC"/>
    <w:rPr>
      <w:color w:val="605E5C"/>
      <w:shd w:val="clear" w:color="auto" w:fill="E1DFDD"/>
    </w:rPr>
  </w:style>
  <w:style w:type="paragraph" w:styleId="ListParagraph">
    <w:name w:val="List Paragraph"/>
    <w:basedOn w:val="Normal"/>
    <w:uiPriority w:val="34"/>
    <w:qFormat/>
    <w:rsid w:val="62EF3942"/>
    <w:pPr>
      <w:ind w:left="720"/>
      <w:contextualSpacing/>
    </w:pPr>
  </w:style>
  <w:style w:type="paragraph" w:styleId="Header">
    <w:uiPriority w:val="99"/>
    <w:name w:val="header"/>
    <w:basedOn w:val="Normal"/>
    <w:unhideWhenUsed/>
    <w:rsid w:val="6A18D489"/>
    <w:pPr>
      <w:tabs>
        <w:tab w:val="center" w:leader="none" w:pos="4680"/>
        <w:tab w:val="right" w:leader="none" w:pos="9360"/>
      </w:tabs>
      <w:spacing w:after="0" w:line="240" w:lineRule="auto"/>
    </w:pPr>
  </w:style>
  <w:style w:type="paragraph" w:styleId="Footer">
    <w:uiPriority w:val="99"/>
    <w:name w:val="footer"/>
    <w:basedOn w:val="Normal"/>
    <w:unhideWhenUsed/>
    <w:rsid w:val="6A18D48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ss.gov/info-details/seasonal-communities"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eader" Target="header.xml" Id="R9182444aad694a1d" /><Relationship Type="http://schemas.openxmlformats.org/officeDocument/2006/relationships/footer" Target="footer.xml" Id="Rcd3365b26f8843a4" /></Relationships>
</file>

<file path=word/_rels/header.xml.rels>&#65279;<?xml version="1.0" encoding="utf-8"?><Relationships xmlns="http://schemas.openxmlformats.org/package/2006/relationships"><Relationship Type="http://schemas.openxmlformats.org/officeDocument/2006/relationships/image" Target="/media/image.png" Id="rId1139918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321f1-cec2-43ac-861f-4d8bf3f40846">
      <Terms xmlns="http://schemas.microsoft.com/office/infopath/2007/PartnerControls"/>
    </lcf76f155ced4ddcb4097134ff3c332f>
    <TaxCatchAll xmlns="7b83dbe2-6fd2-449a-a932-0d75829bf6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C05FA77C05741BA89022CC0E90882" ma:contentTypeVersion="17" ma:contentTypeDescription="Create a new document." ma:contentTypeScope="" ma:versionID="d1e3f3f3dd099fbd5774604d5a8c3449">
  <xsd:schema xmlns:xsd="http://www.w3.org/2001/XMLSchema" xmlns:xs="http://www.w3.org/2001/XMLSchema" xmlns:p="http://schemas.microsoft.com/office/2006/metadata/properties" xmlns:ns2="9c3321f1-cec2-43ac-861f-4d8bf3f40846" xmlns:ns3="7b83dbe2-6fd2-449a-a932-0d75829bf641" targetNamespace="http://schemas.microsoft.com/office/2006/metadata/properties" ma:root="true" ma:fieldsID="a82381fa7c1cec7e95ac80ce1288fe3a" ns2:_="" ns3:_="">
    <xsd:import namespace="9c3321f1-cec2-43ac-861f-4d8bf3f4084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321f1-cec2-43ac-861f-4d8bf3f40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83c703-fc0f-4438-b893-9b091c0cb65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DEF52-F2F9-41E6-9BDD-B8D23826ED8C}">
  <ds:schemaRefs>
    <ds:schemaRef ds:uri="http://schemas.microsoft.com/office/2006/metadata/properties"/>
    <ds:schemaRef ds:uri="http://schemas.microsoft.com/office/infopath/2007/PartnerControls"/>
    <ds:schemaRef ds:uri="9c3321f1-cec2-43ac-861f-4d8bf3f40846"/>
    <ds:schemaRef ds:uri="7b83dbe2-6fd2-449a-a932-0d75829bf641"/>
  </ds:schemaRefs>
</ds:datastoreItem>
</file>

<file path=customXml/itemProps2.xml><?xml version="1.0" encoding="utf-8"?>
<ds:datastoreItem xmlns:ds="http://schemas.openxmlformats.org/officeDocument/2006/customXml" ds:itemID="{D9E8EDF1-9640-4996-B0EA-BDCA17286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321f1-cec2-43ac-861f-4d8bf3f4084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BE7D3-634F-4278-B2F9-C2E6FCFBDB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Dearing, Philip (EOHLC)</dc:creator>
  <keywords/>
  <dc:description/>
  <lastModifiedBy>Walsh, Matthew (EOHLC)</lastModifiedBy>
  <revision>36</revision>
  <lastPrinted>2025-10-29T21:08:00.0000000Z</lastPrinted>
  <dcterms:created xsi:type="dcterms:W3CDTF">2025-09-17T02:08:00.0000000Z</dcterms:created>
  <dcterms:modified xsi:type="dcterms:W3CDTF">2026-02-03T17:52:26.7508701Z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0x0101009CFC05FA77C05741BA89022CC0E90882</vt:lpwstr>
  </property>
  <property fmtid="{D5CDD505-2E9C-101B-9397-08002B2CF9AE}" pid="3" name="MediaServiceImageTags">
    <vt:lpwstr/>
  </property>
</Properties>
</file>