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5090C6" w14:textId="77777777" w:rsidR="00D736E5" w:rsidRPr="00D42B64" w:rsidRDefault="00D736E5">
      <w:pPr>
        <w:rPr>
          <w:rFonts w:ascii="Arial" w:hAnsi="Arial" w:cs="Arial"/>
        </w:rPr>
      </w:pPr>
    </w:p>
    <w:p w14:paraId="60CED637" w14:textId="77777777" w:rsidR="00D736E5" w:rsidRPr="00D42B64" w:rsidRDefault="00D736E5">
      <w:pPr>
        <w:rPr>
          <w:rFonts w:ascii="Arial" w:hAnsi="Arial" w:cs="Arial"/>
        </w:rPr>
      </w:pPr>
    </w:p>
    <w:p w14:paraId="2FB941FF" w14:textId="77777777" w:rsidR="002D670B" w:rsidRPr="00D42B64" w:rsidRDefault="002D670B" w:rsidP="002D670B">
      <w:pPr>
        <w:pStyle w:val="MediumShading1-Accent21"/>
        <w:jc w:val="center"/>
        <w:rPr>
          <w:rFonts w:ascii="Arial" w:eastAsia="Calibri" w:hAnsi="Arial" w:cs="Arial"/>
          <w:lang w:eastAsia="en-US"/>
        </w:rPr>
      </w:pPr>
      <w:r w:rsidRPr="00D42B64">
        <w:rPr>
          <w:rFonts w:ascii="Arial" w:eastAsia="Calibri" w:hAnsi="Arial" w:cs="Arial"/>
          <w:lang w:eastAsia="en-US"/>
        </w:rPr>
        <w:t>COMMONWEALTH OF MASSACHUSETTS</w:t>
      </w:r>
    </w:p>
    <w:p w14:paraId="79FCF776" w14:textId="39835FC4" w:rsidR="00D736E5" w:rsidRDefault="002D670B" w:rsidP="002D670B">
      <w:pPr>
        <w:pStyle w:val="MediumShading1-Accent21"/>
        <w:jc w:val="center"/>
        <w:rPr>
          <w:rFonts w:ascii="Arial" w:eastAsia="Calibri" w:hAnsi="Arial" w:cs="Arial"/>
          <w:lang w:eastAsia="en-US"/>
        </w:rPr>
      </w:pPr>
      <w:r w:rsidRPr="00D42B64">
        <w:rPr>
          <w:rFonts w:ascii="Arial" w:eastAsia="Calibri" w:hAnsi="Arial" w:cs="Arial"/>
          <w:lang w:eastAsia="en-US"/>
        </w:rPr>
        <w:t>EXECUTIVE OFFICE OF HEALTH AND HUMAN SERVICES</w:t>
      </w:r>
      <w:r>
        <w:rPr>
          <w:rFonts w:ascii="Arial" w:eastAsia="Calibri" w:hAnsi="Arial" w:cs="Arial"/>
          <w:lang w:eastAsia="en-US"/>
        </w:rPr>
        <w:t xml:space="preserve"> </w:t>
      </w:r>
      <w:r w:rsidRPr="00D42B64">
        <w:rPr>
          <w:rFonts w:ascii="Arial" w:eastAsia="Calibri" w:hAnsi="Arial" w:cs="Arial"/>
          <w:lang w:eastAsia="en-US"/>
        </w:rPr>
        <w:t>OFFICE OF MEDICAID</w:t>
      </w:r>
    </w:p>
    <w:p w14:paraId="7FFDB359" w14:textId="42D652AB" w:rsidR="002D670B" w:rsidRDefault="002D670B" w:rsidP="002D670B">
      <w:pPr>
        <w:pStyle w:val="MediumShading1-Accent21"/>
        <w:jc w:val="center"/>
        <w:rPr>
          <w:rFonts w:ascii="Arial" w:eastAsia="Calibri" w:hAnsi="Arial" w:cs="Arial"/>
          <w:lang w:eastAsia="en-US"/>
        </w:rPr>
      </w:pPr>
    </w:p>
    <w:p w14:paraId="332E5558" w14:textId="77777777" w:rsidR="002D670B" w:rsidRPr="002D670B" w:rsidRDefault="002D670B" w:rsidP="002D670B">
      <w:pPr>
        <w:pStyle w:val="MediumShading1-Accent21"/>
        <w:jc w:val="center"/>
        <w:rPr>
          <w:rFonts w:ascii="Arial" w:eastAsia="Calibri" w:hAnsi="Arial" w:cs="Arial"/>
          <w:lang w:eastAsia="en-US"/>
        </w:rPr>
      </w:pPr>
    </w:p>
    <w:p w14:paraId="50B8CF64" w14:textId="0A8CB74E" w:rsidR="002D670B" w:rsidRDefault="002D670B" w:rsidP="002D670B">
      <w:pPr>
        <w:pStyle w:val="Heading1"/>
        <w:jc w:val="center"/>
        <w:divId w:val="1213691618"/>
        <w:rPr>
          <w:sz w:val="48"/>
          <w:szCs w:val="48"/>
        </w:rPr>
      </w:pPr>
      <w:r w:rsidRPr="00A13119">
        <w:rPr>
          <w:sz w:val="48"/>
          <w:szCs w:val="48"/>
        </w:rPr>
        <w:t>MassHealth Section 1115 Demonstration</w:t>
      </w:r>
      <w:r w:rsidRPr="00A13119">
        <w:rPr>
          <w:sz w:val="48"/>
          <w:szCs w:val="48"/>
        </w:rPr>
        <w:br/>
      </w:r>
      <w:r w:rsidRPr="00A13119">
        <w:rPr>
          <w:sz w:val="48"/>
          <w:szCs w:val="48"/>
        </w:rPr>
        <w:t>Amendment</w:t>
      </w:r>
      <w:r w:rsidRPr="00A13119">
        <w:rPr>
          <w:sz w:val="48"/>
          <w:szCs w:val="48"/>
          <w:lang w:val="en-US"/>
        </w:rPr>
        <w:t xml:space="preserve"> </w:t>
      </w:r>
      <w:r w:rsidRPr="00A13119">
        <w:rPr>
          <w:sz w:val="48"/>
          <w:szCs w:val="48"/>
        </w:rPr>
        <w:t>Request</w:t>
      </w:r>
    </w:p>
    <w:p w14:paraId="5360ED6C" w14:textId="77777777" w:rsidR="00A13119" w:rsidRPr="00A13119" w:rsidRDefault="00A13119" w:rsidP="00A13119">
      <w:pPr>
        <w:divId w:val="1213691618"/>
        <w:rPr>
          <w:lang w:val="x-none" w:eastAsia="x-none"/>
        </w:rPr>
      </w:pPr>
    </w:p>
    <w:p w14:paraId="55BEA048" w14:textId="7ECA142B" w:rsidR="002D670B" w:rsidRPr="00A13119" w:rsidRDefault="002D670B" w:rsidP="002D670B">
      <w:pPr>
        <w:jc w:val="center"/>
        <w:divId w:val="1213691618"/>
        <w:rPr>
          <w:b/>
          <w:bCs/>
          <w:sz w:val="28"/>
          <w:szCs w:val="28"/>
          <w:lang w:val="x-none" w:eastAsia="x-none"/>
        </w:rPr>
      </w:pPr>
      <w:r w:rsidRPr="00A13119">
        <w:rPr>
          <w:b/>
          <w:bCs/>
          <w:sz w:val="28"/>
          <w:szCs w:val="28"/>
          <w:lang w:val="x-none" w:eastAsia="x-none"/>
        </w:rPr>
        <w:t>Revised June 17, 2021</w:t>
      </w:r>
    </w:p>
    <w:p w14:paraId="47FA9373" w14:textId="77777777" w:rsidR="002D670B" w:rsidRPr="002D670B" w:rsidRDefault="00D736E5" w:rsidP="002D670B">
      <w:pPr>
        <w:pStyle w:val="Default"/>
        <w:divId w:val="1213691618"/>
        <w:rPr>
          <w:rFonts w:ascii="Arial" w:hAnsi="Arial" w:cs="Arial"/>
        </w:rPr>
      </w:pPr>
      <w:r w:rsidRPr="00D42B64">
        <w:rPr>
          <w:rFonts w:ascii="Arial" w:hAnsi="Arial" w:cs="Arial"/>
          <w:b/>
        </w:rPr>
        <w:br w:type="page"/>
      </w:r>
    </w:p>
    <w:p w14:paraId="78AE50E4" w14:textId="1FD65ED6" w:rsidR="00D736E5" w:rsidRPr="00D42B64" w:rsidRDefault="00D736E5" w:rsidP="002D670B">
      <w:pPr>
        <w:divId w:val="1213691618"/>
        <w:rPr>
          <w:rFonts w:ascii="Arial" w:hAnsi="Arial" w:cs="Arial"/>
          <w:b/>
          <w:sz w:val="24"/>
          <w:szCs w:val="24"/>
          <w:u w:val="single"/>
        </w:rPr>
      </w:pPr>
    </w:p>
    <w:p w14:paraId="526231BD" w14:textId="77777777" w:rsidR="00203B2B" w:rsidRPr="00A13119" w:rsidRDefault="00203B2B" w:rsidP="00A13119">
      <w:pPr>
        <w:pStyle w:val="Heading2"/>
        <w:rPr>
          <w:color w:val="2F5496" w:themeColor="accent1" w:themeShade="BF"/>
          <w:u w:val="none"/>
        </w:rPr>
      </w:pPr>
      <w:bookmarkStart w:id="0" w:name="_Toc492641279"/>
      <w:r w:rsidRPr="00A13119">
        <w:rPr>
          <w:color w:val="2F5496" w:themeColor="accent1" w:themeShade="BF"/>
          <w:u w:val="none"/>
        </w:rPr>
        <w:t>Table of Contents</w:t>
      </w:r>
    </w:p>
    <w:p w14:paraId="1C1B03B1" w14:textId="77777777" w:rsidR="00203B2B" w:rsidRPr="00203B2B" w:rsidRDefault="00203B2B">
      <w:pPr>
        <w:pStyle w:val="TOC1"/>
        <w:rPr>
          <w:rFonts w:ascii="Arial" w:hAnsi="Arial" w:cs="Arial"/>
          <w:sz w:val="24"/>
          <w:szCs w:val="24"/>
        </w:rPr>
      </w:pPr>
      <w:r w:rsidRPr="00203B2B">
        <w:rPr>
          <w:rFonts w:ascii="Arial" w:hAnsi="Arial" w:cs="Arial"/>
          <w:b/>
          <w:bCs/>
          <w:sz w:val="24"/>
          <w:szCs w:val="24"/>
        </w:rPr>
        <w:t>Introduction</w:t>
      </w:r>
      <w:r w:rsidRPr="00203B2B">
        <w:rPr>
          <w:rFonts w:ascii="Arial" w:hAnsi="Arial" w:cs="Arial"/>
          <w:b/>
          <w:bCs/>
          <w:sz w:val="24"/>
          <w:szCs w:val="24"/>
        </w:rPr>
        <w:tab/>
      </w:r>
      <w:r>
        <w:rPr>
          <w:rFonts w:ascii="Arial" w:hAnsi="Arial" w:cs="Arial"/>
          <w:b/>
          <w:bCs/>
          <w:sz w:val="24"/>
          <w:szCs w:val="24"/>
        </w:rPr>
        <w:t>3</w:t>
      </w:r>
    </w:p>
    <w:p w14:paraId="53696395" w14:textId="77777777" w:rsidR="00203B2B" w:rsidRPr="00203B2B" w:rsidRDefault="00203B2B" w:rsidP="00203B2B">
      <w:pPr>
        <w:pStyle w:val="TOC1"/>
        <w:rPr>
          <w:rFonts w:ascii="Arial" w:hAnsi="Arial" w:cs="Arial"/>
          <w:sz w:val="24"/>
          <w:szCs w:val="24"/>
        </w:rPr>
      </w:pPr>
      <w:r w:rsidRPr="00203B2B">
        <w:rPr>
          <w:rFonts w:ascii="Arial" w:hAnsi="Arial" w:cs="Arial"/>
          <w:b/>
          <w:bCs/>
          <w:sz w:val="24"/>
          <w:szCs w:val="24"/>
        </w:rPr>
        <w:t xml:space="preserve">Proposed </w:t>
      </w:r>
      <w:r w:rsidR="00BF7F5F">
        <w:rPr>
          <w:rFonts w:ascii="Arial" w:hAnsi="Arial" w:cs="Arial"/>
          <w:b/>
          <w:bCs/>
          <w:sz w:val="24"/>
          <w:szCs w:val="24"/>
        </w:rPr>
        <w:t>Changes to the Demonstration</w:t>
      </w:r>
      <w:r w:rsidRPr="00203B2B">
        <w:rPr>
          <w:rFonts w:ascii="Arial" w:hAnsi="Arial" w:cs="Arial"/>
          <w:b/>
          <w:bCs/>
          <w:sz w:val="24"/>
          <w:szCs w:val="24"/>
        </w:rPr>
        <w:tab/>
        <w:t>4</w:t>
      </w:r>
    </w:p>
    <w:p w14:paraId="0D1E3382" w14:textId="77777777" w:rsidR="00203B2B" w:rsidRPr="00CF096D" w:rsidRDefault="00203B2B" w:rsidP="00203B2B">
      <w:pPr>
        <w:pStyle w:val="TOC2"/>
        <w:rPr>
          <w:rFonts w:ascii="Arial" w:hAnsi="Arial" w:cs="Arial"/>
          <w:b/>
          <w:bCs/>
          <w:sz w:val="24"/>
          <w:szCs w:val="24"/>
        </w:rPr>
      </w:pPr>
      <w:r w:rsidRPr="00203B2B">
        <w:rPr>
          <w:rFonts w:ascii="Arial" w:hAnsi="Arial" w:cs="Arial"/>
          <w:sz w:val="24"/>
          <w:szCs w:val="24"/>
        </w:rPr>
        <w:t xml:space="preserve">Expanding Medicare Savings Program Eligibility without an asset test for members with income up to 165% FPL and allowing Standard members to also receive Qualifying Individual benefits </w:t>
      </w:r>
      <w:r w:rsidR="005E5878">
        <w:rPr>
          <w:rFonts w:ascii="Arial" w:hAnsi="Arial" w:cs="Arial"/>
          <w:sz w:val="24"/>
          <w:szCs w:val="24"/>
        </w:rPr>
        <w:t>to comply with state law</w:t>
      </w:r>
      <w:r w:rsidRPr="00203B2B">
        <w:rPr>
          <w:rFonts w:ascii="Arial" w:hAnsi="Arial" w:cs="Arial"/>
          <w:sz w:val="24"/>
          <w:szCs w:val="24"/>
        </w:rPr>
        <w:tab/>
      </w:r>
      <w:proofErr w:type="gramStart"/>
      <w:r w:rsidR="000B2AE7" w:rsidRPr="00CF096D">
        <w:rPr>
          <w:rFonts w:ascii="Arial" w:hAnsi="Arial" w:cs="Arial"/>
          <w:b/>
          <w:bCs/>
          <w:sz w:val="24"/>
          <w:szCs w:val="24"/>
        </w:rPr>
        <w:t>5</w:t>
      </w:r>
      <w:proofErr w:type="gramEnd"/>
    </w:p>
    <w:p w14:paraId="5AAAB6AD" w14:textId="77777777" w:rsidR="00333618" w:rsidRDefault="00333618" w:rsidP="00C67605">
      <w:pPr>
        <w:ind w:left="216"/>
        <w:rPr>
          <w:rFonts w:ascii="Arial" w:hAnsi="Arial" w:cs="Arial"/>
          <w:sz w:val="24"/>
          <w:szCs w:val="24"/>
        </w:rPr>
      </w:pPr>
      <w:r>
        <w:rPr>
          <w:rFonts w:ascii="Arial" w:hAnsi="Arial" w:cs="Arial"/>
          <w:sz w:val="24"/>
          <w:szCs w:val="24"/>
        </w:rPr>
        <w:t>Extending eligibility for postpartum coverage to 12 months and a</w:t>
      </w:r>
      <w:r w:rsidRPr="00D66BD3">
        <w:rPr>
          <w:rFonts w:ascii="Arial" w:hAnsi="Arial" w:cs="Arial"/>
          <w:sz w:val="24"/>
          <w:szCs w:val="24"/>
        </w:rPr>
        <w:t>uthoriz</w:t>
      </w:r>
      <w:r>
        <w:rPr>
          <w:rFonts w:ascii="Arial" w:hAnsi="Arial" w:cs="Arial"/>
          <w:sz w:val="24"/>
          <w:szCs w:val="24"/>
        </w:rPr>
        <w:t>ing</w:t>
      </w:r>
      <w:r w:rsidRPr="00D66BD3">
        <w:rPr>
          <w:rFonts w:ascii="Arial" w:hAnsi="Arial" w:cs="Arial"/>
          <w:sz w:val="24"/>
          <w:szCs w:val="24"/>
        </w:rPr>
        <w:t xml:space="preserve"> postpartum coverage for members not otherwise eligible due to immigration status</w:t>
      </w:r>
      <w:r>
        <w:rPr>
          <w:rFonts w:ascii="Arial" w:hAnsi="Arial" w:cs="Arial"/>
          <w:sz w:val="24"/>
          <w:szCs w:val="24"/>
        </w:rPr>
        <w:t>……………….</w:t>
      </w:r>
      <w:r w:rsidRPr="00CF096D">
        <w:rPr>
          <w:rFonts w:ascii="Arial" w:hAnsi="Arial" w:cs="Arial"/>
          <w:b/>
          <w:bCs/>
          <w:sz w:val="24"/>
          <w:szCs w:val="24"/>
        </w:rPr>
        <w:t>6</w:t>
      </w:r>
      <w:r w:rsidR="00203B2B" w:rsidRPr="00203B2B">
        <w:rPr>
          <w:rFonts w:ascii="Arial" w:hAnsi="Arial" w:cs="Arial"/>
          <w:sz w:val="24"/>
          <w:szCs w:val="24"/>
        </w:rPr>
        <w:t xml:space="preserve">    </w:t>
      </w:r>
    </w:p>
    <w:p w14:paraId="622EEA61" w14:textId="77777777" w:rsidR="00203B2B" w:rsidRPr="00203B2B" w:rsidRDefault="00203B2B" w:rsidP="00C67605">
      <w:pPr>
        <w:ind w:firstLine="216"/>
        <w:rPr>
          <w:rFonts w:ascii="Arial" w:hAnsi="Arial" w:cs="Arial"/>
          <w:sz w:val="24"/>
          <w:szCs w:val="24"/>
        </w:rPr>
      </w:pPr>
      <w:r w:rsidRPr="00203B2B">
        <w:rPr>
          <w:rFonts w:ascii="Arial" w:hAnsi="Arial" w:cs="Arial"/>
          <w:sz w:val="24"/>
          <w:szCs w:val="24"/>
        </w:rPr>
        <w:t xml:space="preserve">Providing Community Support Program (CSP) services to Justice Involved </w:t>
      </w:r>
      <w:r w:rsidR="0016765E">
        <w:rPr>
          <w:rFonts w:ascii="Arial" w:hAnsi="Arial" w:cs="Arial"/>
          <w:sz w:val="24"/>
          <w:szCs w:val="24"/>
        </w:rPr>
        <w:t xml:space="preserve">   </w:t>
      </w:r>
      <w:r w:rsidR="0016765E">
        <w:rPr>
          <w:rFonts w:ascii="Arial" w:hAnsi="Arial" w:cs="Arial"/>
          <w:sz w:val="24"/>
          <w:szCs w:val="24"/>
        </w:rPr>
        <w:br/>
        <w:t xml:space="preserve">    </w:t>
      </w:r>
      <w:r w:rsidRPr="00203B2B">
        <w:rPr>
          <w:rFonts w:ascii="Arial" w:hAnsi="Arial" w:cs="Arial"/>
          <w:sz w:val="24"/>
          <w:szCs w:val="24"/>
        </w:rPr>
        <w:t>Individuals…………………………</w:t>
      </w:r>
      <w:r w:rsidR="0016765E">
        <w:rPr>
          <w:rFonts w:ascii="Arial" w:hAnsi="Arial" w:cs="Arial"/>
          <w:sz w:val="24"/>
          <w:szCs w:val="24"/>
        </w:rPr>
        <w:t xml:space="preserve">…………………………………………………………. </w:t>
      </w:r>
      <w:r w:rsidR="00E974D6" w:rsidRPr="00CF096D">
        <w:rPr>
          <w:rFonts w:ascii="Arial" w:hAnsi="Arial" w:cs="Arial"/>
          <w:b/>
          <w:bCs/>
          <w:sz w:val="24"/>
          <w:szCs w:val="24"/>
        </w:rPr>
        <w:t>6</w:t>
      </w:r>
    </w:p>
    <w:p w14:paraId="3CE27BC8" w14:textId="77777777" w:rsidR="00203B2B" w:rsidRPr="00203B2B" w:rsidRDefault="00203B2B" w:rsidP="00203B2B">
      <w:pPr>
        <w:rPr>
          <w:rFonts w:ascii="Arial" w:hAnsi="Arial" w:cs="Arial"/>
          <w:sz w:val="24"/>
          <w:szCs w:val="24"/>
        </w:rPr>
      </w:pPr>
      <w:r w:rsidRPr="00203B2B">
        <w:rPr>
          <w:rFonts w:ascii="Arial" w:hAnsi="Arial" w:cs="Arial"/>
          <w:sz w:val="24"/>
          <w:szCs w:val="24"/>
        </w:rPr>
        <w:t xml:space="preserve">   Allowing payment for Clinic Services delivered in non-clinic locations………………</w:t>
      </w:r>
      <w:r w:rsidR="00C67605">
        <w:rPr>
          <w:rFonts w:ascii="Arial" w:hAnsi="Arial" w:cs="Arial"/>
          <w:sz w:val="24"/>
          <w:szCs w:val="24"/>
        </w:rPr>
        <w:t xml:space="preserve">… </w:t>
      </w:r>
      <w:proofErr w:type="gramStart"/>
      <w:r w:rsidR="00333618" w:rsidRPr="00CF096D">
        <w:rPr>
          <w:rFonts w:ascii="Arial" w:hAnsi="Arial" w:cs="Arial"/>
          <w:b/>
          <w:bCs/>
          <w:sz w:val="24"/>
          <w:szCs w:val="24"/>
        </w:rPr>
        <w:t>9</w:t>
      </w:r>
      <w:proofErr w:type="gramEnd"/>
    </w:p>
    <w:p w14:paraId="57B37AC0" w14:textId="77777777" w:rsidR="00203B2B" w:rsidRPr="00CF096D" w:rsidRDefault="00203B2B" w:rsidP="00203B2B">
      <w:pPr>
        <w:rPr>
          <w:rFonts w:ascii="Arial" w:hAnsi="Arial" w:cs="Arial"/>
          <w:b/>
          <w:bCs/>
          <w:sz w:val="24"/>
          <w:szCs w:val="24"/>
        </w:rPr>
      </w:pPr>
      <w:r w:rsidRPr="00203B2B">
        <w:rPr>
          <w:rFonts w:ascii="Arial" w:hAnsi="Arial" w:cs="Arial"/>
          <w:sz w:val="24"/>
          <w:szCs w:val="24"/>
        </w:rPr>
        <w:t xml:space="preserve">   Authorizing a Hospital at Home Program………………………………………………</w:t>
      </w:r>
      <w:r w:rsidR="00C67605">
        <w:rPr>
          <w:rFonts w:ascii="Arial" w:hAnsi="Arial" w:cs="Arial"/>
          <w:sz w:val="24"/>
          <w:szCs w:val="24"/>
        </w:rPr>
        <w:t>…</w:t>
      </w:r>
      <w:r w:rsidR="00333618" w:rsidRPr="00CF096D">
        <w:rPr>
          <w:rFonts w:ascii="Arial" w:hAnsi="Arial" w:cs="Arial"/>
          <w:b/>
          <w:bCs/>
          <w:sz w:val="24"/>
          <w:szCs w:val="24"/>
        </w:rPr>
        <w:t>10</w:t>
      </w:r>
    </w:p>
    <w:p w14:paraId="1B790273" w14:textId="77777777" w:rsidR="00203B2B" w:rsidRPr="00203B2B" w:rsidRDefault="00203B2B" w:rsidP="00203B2B">
      <w:pPr>
        <w:rPr>
          <w:rFonts w:ascii="Arial" w:hAnsi="Arial" w:cs="Arial"/>
          <w:sz w:val="24"/>
          <w:szCs w:val="24"/>
        </w:rPr>
      </w:pPr>
      <w:r w:rsidRPr="00203B2B">
        <w:rPr>
          <w:rFonts w:ascii="Arial" w:hAnsi="Arial" w:cs="Arial"/>
          <w:sz w:val="24"/>
          <w:szCs w:val="24"/>
        </w:rPr>
        <w:t xml:space="preserve">   </w:t>
      </w:r>
    </w:p>
    <w:p w14:paraId="0C5FC26F" w14:textId="77777777" w:rsidR="0016765E" w:rsidRPr="0016765E" w:rsidRDefault="0016765E" w:rsidP="0016765E">
      <w:pPr>
        <w:rPr>
          <w:rFonts w:ascii="Arial" w:hAnsi="Arial" w:cs="Arial"/>
          <w:b/>
          <w:bCs/>
          <w:sz w:val="24"/>
          <w:szCs w:val="24"/>
        </w:rPr>
      </w:pPr>
      <w:r w:rsidRPr="0016765E">
        <w:rPr>
          <w:rFonts w:ascii="Arial" w:hAnsi="Arial" w:cs="Arial"/>
          <w:b/>
          <w:bCs/>
          <w:sz w:val="24"/>
          <w:szCs w:val="24"/>
        </w:rPr>
        <w:t>Summary of waiver and expenditure authorities requested</w:t>
      </w:r>
      <w:r>
        <w:rPr>
          <w:rFonts w:ascii="Arial" w:hAnsi="Arial" w:cs="Arial"/>
          <w:b/>
          <w:bCs/>
          <w:sz w:val="24"/>
          <w:szCs w:val="24"/>
        </w:rPr>
        <w:t>……………………</w:t>
      </w:r>
      <w:r w:rsidR="00E974D6">
        <w:rPr>
          <w:rFonts w:ascii="Arial" w:hAnsi="Arial" w:cs="Arial"/>
          <w:b/>
          <w:bCs/>
          <w:sz w:val="24"/>
          <w:szCs w:val="24"/>
        </w:rPr>
        <w:t>…</w:t>
      </w:r>
      <w:r w:rsidR="00C67605">
        <w:rPr>
          <w:rFonts w:ascii="Arial" w:hAnsi="Arial" w:cs="Arial"/>
          <w:b/>
          <w:bCs/>
          <w:sz w:val="24"/>
          <w:szCs w:val="24"/>
        </w:rPr>
        <w:t xml:space="preserve">    </w:t>
      </w:r>
      <w:r w:rsidR="00E974D6">
        <w:rPr>
          <w:rFonts w:ascii="Arial" w:hAnsi="Arial" w:cs="Arial"/>
          <w:b/>
          <w:bCs/>
          <w:sz w:val="24"/>
          <w:szCs w:val="24"/>
        </w:rPr>
        <w:t>1</w:t>
      </w:r>
      <w:r w:rsidR="00333618">
        <w:rPr>
          <w:rFonts w:ascii="Arial" w:hAnsi="Arial" w:cs="Arial"/>
          <w:b/>
          <w:bCs/>
          <w:sz w:val="24"/>
          <w:szCs w:val="24"/>
        </w:rPr>
        <w:t>3</w:t>
      </w:r>
      <w:r w:rsidRPr="0016765E">
        <w:rPr>
          <w:rFonts w:ascii="Arial" w:hAnsi="Arial" w:cs="Arial"/>
          <w:b/>
          <w:bCs/>
          <w:sz w:val="24"/>
          <w:szCs w:val="24"/>
        </w:rPr>
        <w:t xml:space="preserve"> </w:t>
      </w:r>
    </w:p>
    <w:p w14:paraId="50B2C8D5" w14:textId="77777777" w:rsidR="00203B2B" w:rsidRPr="00203B2B" w:rsidRDefault="00203B2B">
      <w:pPr>
        <w:pStyle w:val="TOC1"/>
        <w:rPr>
          <w:rFonts w:ascii="Arial" w:hAnsi="Arial" w:cs="Arial"/>
          <w:sz w:val="24"/>
          <w:szCs w:val="24"/>
        </w:rPr>
      </w:pPr>
      <w:r w:rsidRPr="00203B2B">
        <w:rPr>
          <w:rFonts w:ascii="Arial" w:hAnsi="Arial" w:cs="Arial"/>
          <w:b/>
          <w:bCs/>
          <w:sz w:val="24"/>
          <w:szCs w:val="24"/>
        </w:rPr>
        <w:t xml:space="preserve">Budget Neutrality </w:t>
      </w:r>
      <w:r w:rsidRPr="00203B2B">
        <w:rPr>
          <w:rFonts w:ascii="Arial" w:hAnsi="Arial" w:cs="Arial"/>
          <w:b/>
          <w:bCs/>
          <w:sz w:val="24"/>
          <w:szCs w:val="24"/>
        </w:rPr>
        <w:tab/>
      </w:r>
      <w:r w:rsidR="00E974D6">
        <w:rPr>
          <w:rFonts w:ascii="Arial" w:hAnsi="Arial" w:cs="Arial"/>
          <w:b/>
          <w:bCs/>
          <w:sz w:val="24"/>
          <w:szCs w:val="24"/>
        </w:rPr>
        <w:t>1</w:t>
      </w:r>
      <w:r w:rsidR="008863D7">
        <w:rPr>
          <w:rFonts w:ascii="Arial" w:hAnsi="Arial" w:cs="Arial"/>
          <w:b/>
          <w:bCs/>
          <w:sz w:val="24"/>
          <w:szCs w:val="24"/>
        </w:rPr>
        <w:t>5</w:t>
      </w:r>
    </w:p>
    <w:p w14:paraId="75CF692B" w14:textId="77777777" w:rsidR="00203B2B" w:rsidRPr="00203B2B" w:rsidRDefault="00203B2B" w:rsidP="00203B2B">
      <w:pPr>
        <w:rPr>
          <w:rFonts w:ascii="Arial" w:hAnsi="Arial" w:cs="Arial"/>
          <w:b/>
          <w:bCs/>
          <w:sz w:val="24"/>
          <w:szCs w:val="24"/>
        </w:rPr>
      </w:pPr>
      <w:r w:rsidRPr="00203B2B">
        <w:rPr>
          <w:rFonts w:ascii="Arial" w:hAnsi="Arial" w:cs="Arial"/>
          <w:b/>
          <w:bCs/>
          <w:sz w:val="24"/>
          <w:szCs w:val="24"/>
        </w:rPr>
        <w:t>Evaluation</w:t>
      </w:r>
      <w:r w:rsidR="00A4262E">
        <w:rPr>
          <w:rFonts w:ascii="Arial" w:hAnsi="Arial" w:cs="Arial"/>
          <w:b/>
          <w:bCs/>
          <w:sz w:val="24"/>
          <w:szCs w:val="24"/>
        </w:rPr>
        <w:t>…</w:t>
      </w:r>
      <w:proofErr w:type="gramStart"/>
      <w:r w:rsidR="00A4262E">
        <w:rPr>
          <w:rFonts w:ascii="Arial" w:hAnsi="Arial" w:cs="Arial"/>
          <w:b/>
          <w:bCs/>
          <w:sz w:val="24"/>
          <w:szCs w:val="24"/>
        </w:rPr>
        <w:t>…..</w:t>
      </w:r>
      <w:proofErr w:type="gramEnd"/>
      <w:r w:rsidR="00A4262E">
        <w:rPr>
          <w:rFonts w:ascii="Arial" w:hAnsi="Arial" w:cs="Arial"/>
          <w:b/>
          <w:bCs/>
          <w:sz w:val="24"/>
          <w:szCs w:val="24"/>
        </w:rPr>
        <w:t>……………………………………………………………………………</w:t>
      </w:r>
      <w:r w:rsidR="00AA0498">
        <w:rPr>
          <w:rFonts w:ascii="Arial" w:hAnsi="Arial" w:cs="Arial"/>
          <w:b/>
          <w:bCs/>
          <w:sz w:val="24"/>
          <w:szCs w:val="24"/>
        </w:rPr>
        <w:t>..</w:t>
      </w:r>
      <w:r w:rsidR="00C67605">
        <w:rPr>
          <w:rFonts w:ascii="Arial" w:hAnsi="Arial" w:cs="Arial"/>
          <w:b/>
          <w:bCs/>
          <w:sz w:val="24"/>
          <w:szCs w:val="24"/>
        </w:rPr>
        <w:t xml:space="preserve">  </w:t>
      </w:r>
      <w:r w:rsidR="00A4262E">
        <w:rPr>
          <w:rFonts w:ascii="Arial" w:hAnsi="Arial" w:cs="Arial"/>
          <w:b/>
          <w:bCs/>
          <w:sz w:val="24"/>
          <w:szCs w:val="24"/>
        </w:rPr>
        <w:t>1</w:t>
      </w:r>
      <w:r w:rsidR="008863D7">
        <w:rPr>
          <w:rFonts w:ascii="Arial" w:hAnsi="Arial" w:cs="Arial"/>
          <w:b/>
          <w:bCs/>
          <w:sz w:val="24"/>
          <w:szCs w:val="24"/>
        </w:rPr>
        <w:t>6</w:t>
      </w:r>
    </w:p>
    <w:p w14:paraId="31029600" w14:textId="77777777" w:rsidR="00203B2B" w:rsidRDefault="00203B2B" w:rsidP="00203B2B">
      <w:pPr>
        <w:rPr>
          <w:rFonts w:ascii="Arial" w:hAnsi="Arial" w:cs="Arial"/>
          <w:b/>
          <w:bCs/>
          <w:sz w:val="24"/>
          <w:szCs w:val="24"/>
        </w:rPr>
      </w:pPr>
      <w:r w:rsidRPr="00203B2B">
        <w:rPr>
          <w:rFonts w:ascii="Arial" w:hAnsi="Arial" w:cs="Arial"/>
          <w:b/>
          <w:bCs/>
          <w:sz w:val="24"/>
          <w:szCs w:val="24"/>
        </w:rPr>
        <w:t>Public Process</w:t>
      </w:r>
      <w:r w:rsidR="00A4262E">
        <w:rPr>
          <w:rFonts w:ascii="Arial" w:hAnsi="Arial" w:cs="Arial"/>
          <w:b/>
          <w:bCs/>
          <w:sz w:val="24"/>
          <w:szCs w:val="24"/>
        </w:rPr>
        <w:t>………………………………………………………………………………</w:t>
      </w:r>
      <w:r w:rsidR="00C67605">
        <w:rPr>
          <w:rFonts w:ascii="Arial" w:hAnsi="Arial" w:cs="Arial"/>
          <w:b/>
          <w:bCs/>
          <w:sz w:val="24"/>
          <w:szCs w:val="24"/>
        </w:rPr>
        <w:t xml:space="preserve">  </w:t>
      </w:r>
      <w:r w:rsidR="00A4262E">
        <w:rPr>
          <w:rFonts w:ascii="Arial" w:hAnsi="Arial" w:cs="Arial"/>
          <w:b/>
          <w:bCs/>
          <w:sz w:val="24"/>
          <w:szCs w:val="24"/>
        </w:rPr>
        <w:t>1</w:t>
      </w:r>
      <w:r w:rsidR="008863D7">
        <w:rPr>
          <w:rFonts w:ascii="Arial" w:hAnsi="Arial" w:cs="Arial"/>
          <w:b/>
          <w:bCs/>
          <w:sz w:val="24"/>
          <w:szCs w:val="24"/>
        </w:rPr>
        <w:t>7</w:t>
      </w:r>
    </w:p>
    <w:p w14:paraId="4B414FBF" w14:textId="2C96BFD8" w:rsidR="004733B0" w:rsidRPr="00203B2B" w:rsidRDefault="004733B0" w:rsidP="00203B2B">
      <w:pPr>
        <w:rPr>
          <w:rFonts w:ascii="Arial" w:hAnsi="Arial" w:cs="Arial"/>
          <w:b/>
          <w:bCs/>
          <w:sz w:val="24"/>
          <w:szCs w:val="24"/>
        </w:rPr>
      </w:pPr>
      <w:r>
        <w:rPr>
          <w:rFonts w:ascii="Arial" w:hAnsi="Arial" w:cs="Arial"/>
          <w:b/>
          <w:bCs/>
          <w:sz w:val="24"/>
          <w:szCs w:val="24"/>
        </w:rPr>
        <w:t>Conclusion and State Contact…………………………………………………………</w:t>
      </w:r>
      <w:r w:rsidR="009071AE">
        <w:rPr>
          <w:rFonts w:ascii="Arial" w:hAnsi="Arial" w:cs="Arial"/>
          <w:b/>
          <w:bCs/>
          <w:sz w:val="24"/>
          <w:szCs w:val="24"/>
        </w:rPr>
        <w:t>…</w:t>
      </w:r>
      <w:r w:rsidR="00C67605">
        <w:rPr>
          <w:rFonts w:ascii="Arial" w:hAnsi="Arial" w:cs="Arial"/>
          <w:b/>
          <w:bCs/>
          <w:sz w:val="24"/>
          <w:szCs w:val="24"/>
        </w:rPr>
        <w:t xml:space="preserve">  </w:t>
      </w:r>
      <w:r w:rsidR="001461C4">
        <w:rPr>
          <w:rFonts w:ascii="Arial" w:hAnsi="Arial" w:cs="Arial"/>
          <w:b/>
          <w:bCs/>
          <w:sz w:val="24"/>
          <w:szCs w:val="24"/>
        </w:rPr>
        <w:t>2</w:t>
      </w:r>
      <w:r w:rsidR="0012718F">
        <w:rPr>
          <w:rFonts w:ascii="Arial" w:hAnsi="Arial" w:cs="Arial"/>
          <w:b/>
          <w:bCs/>
          <w:sz w:val="24"/>
          <w:szCs w:val="24"/>
        </w:rPr>
        <w:t>1</w:t>
      </w:r>
    </w:p>
    <w:p w14:paraId="239D32BF" w14:textId="77777777" w:rsidR="00203B2B" w:rsidRDefault="00203B2B" w:rsidP="002D670B">
      <w:pPr>
        <w:divId w:val="1213691618"/>
      </w:pPr>
    </w:p>
    <w:p w14:paraId="60B0937D" w14:textId="77777777" w:rsidR="00203B2B" w:rsidRDefault="00203B2B" w:rsidP="002D670B">
      <w:pPr>
        <w:divId w:val="1213691618"/>
      </w:pPr>
    </w:p>
    <w:p w14:paraId="711714E6" w14:textId="77777777" w:rsidR="00203B2B" w:rsidRDefault="00203B2B" w:rsidP="002D670B">
      <w:pPr>
        <w:divId w:val="1213691618"/>
      </w:pPr>
    </w:p>
    <w:p w14:paraId="1D89AA60" w14:textId="77777777" w:rsidR="00203B2B" w:rsidRDefault="00203B2B" w:rsidP="002D670B">
      <w:pPr>
        <w:divId w:val="1213691618"/>
      </w:pPr>
    </w:p>
    <w:p w14:paraId="4559F13A" w14:textId="77777777" w:rsidR="00203B2B" w:rsidRDefault="00203B2B" w:rsidP="002D670B">
      <w:pPr>
        <w:divId w:val="1213691618"/>
      </w:pPr>
    </w:p>
    <w:p w14:paraId="26881B6F" w14:textId="77777777" w:rsidR="00203B2B" w:rsidRDefault="00203B2B" w:rsidP="002D670B">
      <w:pPr>
        <w:divId w:val="1213691618"/>
      </w:pPr>
    </w:p>
    <w:p w14:paraId="4E91313D" w14:textId="77777777" w:rsidR="00203B2B" w:rsidRDefault="00203B2B" w:rsidP="002D670B">
      <w:pPr>
        <w:divId w:val="1213691618"/>
      </w:pPr>
    </w:p>
    <w:p w14:paraId="331AC8AD" w14:textId="77777777" w:rsidR="00E974D6" w:rsidRDefault="00E974D6" w:rsidP="002D670B">
      <w:pPr>
        <w:divId w:val="1213691618"/>
      </w:pPr>
    </w:p>
    <w:p w14:paraId="259174AF" w14:textId="77777777" w:rsidR="00D736E5" w:rsidRPr="00A13119" w:rsidRDefault="00D736E5" w:rsidP="00A13119">
      <w:pPr>
        <w:pStyle w:val="Heading2"/>
        <w:divId w:val="1213691618"/>
      </w:pPr>
      <w:r w:rsidRPr="00A13119">
        <w:lastRenderedPageBreak/>
        <w:t>Introduction</w:t>
      </w:r>
      <w:bookmarkEnd w:id="0"/>
      <w:r w:rsidRPr="00A13119">
        <w:t xml:space="preserve"> </w:t>
      </w:r>
    </w:p>
    <w:p w14:paraId="58361D43" w14:textId="77777777" w:rsidR="00907F46" w:rsidRDefault="00907F46" w:rsidP="00D736E5">
      <w:pPr>
        <w:widowControl w:val="0"/>
        <w:spacing w:after="0"/>
        <w:ind w:right="164"/>
        <w:divId w:val="1213691618"/>
        <w:rPr>
          <w:rFonts w:ascii="Arial" w:eastAsia="Times New Roman" w:hAnsi="Arial" w:cs="Arial"/>
          <w:spacing w:val="-1"/>
          <w:sz w:val="24"/>
          <w:szCs w:val="24"/>
        </w:rPr>
      </w:pPr>
      <w:r>
        <w:rPr>
          <w:rFonts w:ascii="Arial" w:eastAsia="Times New Roman" w:hAnsi="Arial" w:cs="Arial"/>
          <w:sz w:val="24"/>
          <w:szCs w:val="24"/>
        </w:rPr>
        <w:t xml:space="preserve">The </w:t>
      </w:r>
      <w:r w:rsidR="00D736E5" w:rsidRPr="00D42B64">
        <w:rPr>
          <w:rFonts w:ascii="Arial" w:eastAsia="Times New Roman" w:hAnsi="Arial" w:cs="Arial"/>
          <w:sz w:val="24"/>
          <w:szCs w:val="24"/>
        </w:rPr>
        <w:t>Mass</w:t>
      </w:r>
      <w:r w:rsidR="00D736E5" w:rsidRPr="00D42B64">
        <w:rPr>
          <w:rFonts w:ascii="Arial" w:eastAsia="Times New Roman" w:hAnsi="Arial" w:cs="Arial"/>
          <w:spacing w:val="-2"/>
          <w:sz w:val="24"/>
          <w:szCs w:val="24"/>
        </w:rPr>
        <w:t>a</w:t>
      </w:r>
      <w:r w:rsidR="00D736E5" w:rsidRPr="00D42B64">
        <w:rPr>
          <w:rFonts w:ascii="Arial" w:eastAsia="Times New Roman" w:hAnsi="Arial" w:cs="Arial"/>
          <w:spacing w:val="-1"/>
          <w:sz w:val="24"/>
          <w:szCs w:val="24"/>
        </w:rPr>
        <w:t>c</w:t>
      </w:r>
      <w:r w:rsidR="00D736E5" w:rsidRPr="00D42B64">
        <w:rPr>
          <w:rFonts w:ascii="Arial" w:eastAsia="Times New Roman" w:hAnsi="Arial" w:cs="Arial"/>
          <w:sz w:val="24"/>
          <w:szCs w:val="24"/>
        </w:rPr>
        <w:t xml:space="preserve">husetts </w:t>
      </w:r>
      <w:r>
        <w:rPr>
          <w:rFonts w:ascii="Arial" w:eastAsia="Times New Roman" w:hAnsi="Arial" w:cs="Arial"/>
          <w:sz w:val="24"/>
          <w:szCs w:val="24"/>
        </w:rPr>
        <w:t xml:space="preserve">1115 </w:t>
      </w:r>
      <w:r w:rsidR="00C7762A">
        <w:rPr>
          <w:rFonts w:ascii="Arial" w:eastAsia="Times New Roman" w:hAnsi="Arial" w:cs="Arial"/>
          <w:sz w:val="24"/>
          <w:szCs w:val="24"/>
        </w:rPr>
        <w:t>d</w:t>
      </w:r>
      <w:r>
        <w:rPr>
          <w:rFonts w:ascii="Arial" w:eastAsia="Times New Roman" w:hAnsi="Arial" w:cs="Arial"/>
          <w:sz w:val="24"/>
          <w:szCs w:val="24"/>
        </w:rPr>
        <w:t xml:space="preserve">emonstration, currently approved through June 30, 2022, has long supported the Commonwealth’s </w:t>
      </w:r>
      <w:r w:rsidR="00662F90">
        <w:rPr>
          <w:rFonts w:ascii="Arial" w:eastAsia="Times New Roman" w:hAnsi="Arial" w:cs="Arial"/>
          <w:sz w:val="24"/>
          <w:szCs w:val="24"/>
        </w:rPr>
        <w:t xml:space="preserve">commitment </w:t>
      </w:r>
      <w:r w:rsidR="00D736E5" w:rsidRPr="00D42B64">
        <w:rPr>
          <w:rFonts w:ascii="Arial" w:eastAsia="Times New Roman" w:hAnsi="Arial" w:cs="Arial"/>
          <w:sz w:val="24"/>
          <w:szCs w:val="24"/>
        </w:rPr>
        <w:t>to univ</w:t>
      </w:r>
      <w:r w:rsidR="00D736E5" w:rsidRPr="00D42B64">
        <w:rPr>
          <w:rFonts w:ascii="Arial" w:eastAsia="Times New Roman" w:hAnsi="Arial" w:cs="Arial"/>
          <w:spacing w:val="-1"/>
          <w:sz w:val="24"/>
          <w:szCs w:val="24"/>
        </w:rPr>
        <w:t>e</w:t>
      </w:r>
      <w:r w:rsidR="00D736E5" w:rsidRPr="00D42B64">
        <w:rPr>
          <w:rFonts w:ascii="Arial" w:eastAsia="Times New Roman" w:hAnsi="Arial" w:cs="Arial"/>
          <w:sz w:val="24"/>
          <w:szCs w:val="24"/>
        </w:rPr>
        <w:t>rs</w:t>
      </w:r>
      <w:r w:rsidR="00D736E5" w:rsidRPr="00D42B64">
        <w:rPr>
          <w:rFonts w:ascii="Arial" w:eastAsia="Times New Roman" w:hAnsi="Arial" w:cs="Arial"/>
          <w:spacing w:val="-2"/>
          <w:sz w:val="24"/>
          <w:szCs w:val="24"/>
        </w:rPr>
        <w:t>a</w:t>
      </w:r>
      <w:r w:rsidR="00D736E5" w:rsidRPr="00D42B64">
        <w:rPr>
          <w:rFonts w:ascii="Arial" w:eastAsia="Times New Roman" w:hAnsi="Arial" w:cs="Arial"/>
          <w:sz w:val="24"/>
          <w:szCs w:val="24"/>
        </w:rPr>
        <w:t>l he</w:t>
      </w:r>
      <w:r w:rsidR="00D736E5" w:rsidRPr="00D42B64">
        <w:rPr>
          <w:rFonts w:ascii="Arial" w:eastAsia="Times New Roman" w:hAnsi="Arial" w:cs="Arial"/>
          <w:spacing w:val="-2"/>
          <w:sz w:val="24"/>
          <w:szCs w:val="24"/>
        </w:rPr>
        <w:t>a</w:t>
      </w:r>
      <w:r w:rsidR="00D736E5" w:rsidRPr="00D42B64">
        <w:rPr>
          <w:rFonts w:ascii="Arial" w:eastAsia="Times New Roman" w:hAnsi="Arial" w:cs="Arial"/>
          <w:sz w:val="24"/>
          <w:szCs w:val="24"/>
        </w:rPr>
        <w:t xml:space="preserve">lth </w:t>
      </w:r>
      <w:r w:rsidR="00D736E5" w:rsidRPr="00D42B64">
        <w:rPr>
          <w:rFonts w:ascii="Arial" w:eastAsia="Times New Roman" w:hAnsi="Arial" w:cs="Arial"/>
          <w:spacing w:val="1"/>
          <w:sz w:val="24"/>
          <w:szCs w:val="24"/>
        </w:rPr>
        <w:t>c</w:t>
      </w:r>
      <w:r w:rsidR="00D736E5" w:rsidRPr="00D42B64">
        <w:rPr>
          <w:rFonts w:ascii="Arial" w:eastAsia="Times New Roman" w:hAnsi="Arial" w:cs="Arial"/>
          <w:spacing w:val="-1"/>
          <w:sz w:val="24"/>
          <w:szCs w:val="24"/>
        </w:rPr>
        <w:t>a</w:t>
      </w:r>
      <w:r w:rsidR="00D736E5" w:rsidRPr="00D42B64">
        <w:rPr>
          <w:rFonts w:ascii="Arial" w:eastAsia="Times New Roman" w:hAnsi="Arial" w:cs="Arial"/>
          <w:sz w:val="24"/>
          <w:szCs w:val="24"/>
        </w:rPr>
        <w:t xml:space="preserve">re </w:t>
      </w:r>
      <w:r w:rsidR="00D736E5" w:rsidRPr="00D42B64">
        <w:rPr>
          <w:rFonts w:ascii="Arial" w:eastAsia="Times New Roman" w:hAnsi="Arial" w:cs="Arial"/>
          <w:spacing w:val="-1"/>
          <w:sz w:val="24"/>
          <w:szCs w:val="24"/>
        </w:rPr>
        <w:t>c</w:t>
      </w:r>
      <w:r w:rsidR="00D736E5" w:rsidRPr="00D42B64">
        <w:rPr>
          <w:rFonts w:ascii="Arial" w:eastAsia="Times New Roman" w:hAnsi="Arial" w:cs="Arial"/>
          <w:sz w:val="24"/>
          <w:szCs w:val="24"/>
        </w:rPr>
        <w:t>o</w:t>
      </w:r>
      <w:r w:rsidR="00D736E5" w:rsidRPr="00D42B64">
        <w:rPr>
          <w:rFonts w:ascii="Arial" w:eastAsia="Times New Roman" w:hAnsi="Arial" w:cs="Arial"/>
          <w:spacing w:val="2"/>
          <w:sz w:val="24"/>
          <w:szCs w:val="24"/>
        </w:rPr>
        <w:t>v</w:t>
      </w:r>
      <w:r w:rsidR="00D736E5" w:rsidRPr="00D42B64">
        <w:rPr>
          <w:rFonts w:ascii="Arial" w:eastAsia="Times New Roman" w:hAnsi="Arial" w:cs="Arial"/>
          <w:spacing w:val="-1"/>
          <w:sz w:val="24"/>
          <w:szCs w:val="24"/>
        </w:rPr>
        <w:t>e</w:t>
      </w:r>
      <w:r w:rsidR="00D736E5" w:rsidRPr="00D42B64">
        <w:rPr>
          <w:rFonts w:ascii="Arial" w:eastAsia="Times New Roman" w:hAnsi="Arial" w:cs="Arial"/>
          <w:sz w:val="24"/>
          <w:szCs w:val="24"/>
        </w:rPr>
        <w:t>ra</w:t>
      </w:r>
      <w:r w:rsidR="00D736E5" w:rsidRPr="00D42B64">
        <w:rPr>
          <w:rFonts w:ascii="Arial" w:eastAsia="Times New Roman" w:hAnsi="Arial" w:cs="Arial"/>
          <w:spacing w:val="-3"/>
          <w:sz w:val="24"/>
          <w:szCs w:val="24"/>
        </w:rPr>
        <w:t>g</w:t>
      </w:r>
      <w:r w:rsidR="00D736E5" w:rsidRPr="00D42B64">
        <w:rPr>
          <w:rFonts w:ascii="Arial" w:eastAsia="Times New Roman" w:hAnsi="Arial" w:cs="Arial"/>
          <w:spacing w:val="-1"/>
          <w:sz w:val="24"/>
          <w:szCs w:val="24"/>
        </w:rPr>
        <w:t>e</w:t>
      </w:r>
      <w:r>
        <w:rPr>
          <w:rFonts w:ascii="Arial" w:eastAsia="Times New Roman" w:hAnsi="Arial" w:cs="Arial"/>
          <w:spacing w:val="-1"/>
          <w:sz w:val="24"/>
          <w:szCs w:val="24"/>
        </w:rPr>
        <w:t xml:space="preserve"> and</w:t>
      </w:r>
      <w:r w:rsidR="00662F90">
        <w:rPr>
          <w:rFonts w:ascii="Arial" w:eastAsia="Times New Roman" w:hAnsi="Arial" w:cs="Arial"/>
          <w:spacing w:val="-1"/>
          <w:sz w:val="24"/>
          <w:szCs w:val="24"/>
        </w:rPr>
        <w:t>,</w:t>
      </w:r>
      <w:r>
        <w:rPr>
          <w:rFonts w:ascii="Arial" w:eastAsia="Times New Roman" w:hAnsi="Arial" w:cs="Arial"/>
          <w:spacing w:val="-1"/>
          <w:sz w:val="24"/>
          <w:szCs w:val="24"/>
        </w:rPr>
        <w:t xml:space="preserve"> </w:t>
      </w:r>
      <w:r w:rsidR="001226AA">
        <w:rPr>
          <w:rFonts w:ascii="Arial" w:eastAsia="Times New Roman" w:hAnsi="Arial" w:cs="Arial"/>
          <w:spacing w:val="-1"/>
          <w:sz w:val="24"/>
          <w:szCs w:val="24"/>
        </w:rPr>
        <w:t xml:space="preserve">particularly </w:t>
      </w:r>
      <w:r>
        <w:rPr>
          <w:rFonts w:ascii="Arial" w:eastAsia="Times New Roman" w:hAnsi="Arial" w:cs="Arial"/>
          <w:spacing w:val="-1"/>
          <w:sz w:val="24"/>
          <w:szCs w:val="24"/>
        </w:rPr>
        <w:t xml:space="preserve">during this most recent </w:t>
      </w:r>
      <w:r w:rsidR="00C7762A">
        <w:rPr>
          <w:rFonts w:ascii="Arial" w:eastAsia="Times New Roman" w:hAnsi="Arial" w:cs="Arial"/>
          <w:spacing w:val="-1"/>
          <w:sz w:val="24"/>
          <w:szCs w:val="24"/>
        </w:rPr>
        <w:t>d</w:t>
      </w:r>
      <w:r>
        <w:rPr>
          <w:rFonts w:ascii="Arial" w:eastAsia="Times New Roman" w:hAnsi="Arial" w:cs="Arial"/>
          <w:spacing w:val="-1"/>
          <w:sz w:val="24"/>
          <w:szCs w:val="24"/>
        </w:rPr>
        <w:t xml:space="preserve">emonstration </w:t>
      </w:r>
      <w:r w:rsidR="00C7762A">
        <w:rPr>
          <w:rFonts w:ascii="Arial" w:eastAsia="Times New Roman" w:hAnsi="Arial" w:cs="Arial"/>
          <w:spacing w:val="-1"/>
          <w:sz w:val="24"/>
          <w:szCs w:val="24"/>
        </w:rPr>
        <w:t>p</w:t>
      </w:r>
      <w:r>
        <w:rPr>
          <w:rFonts w:ascii="Arial" w:eastAsia="Times New Roman" w:hAnsi="Arial" w:cs="Arial"/>
          <w:spacing w:val="-1"/>
          <w:sz w:val="24"/>
          <w:szCs w:val="24"/>
        </w:rPr>
        <w:t xml:space="preserve">eriod, has provided federal </w:t>
      </w:r>
      <w:r w:rsidR="00BF7F5F">
        <w:rPr>
          <w:rFonts w:ascii="Arial" w:eastAsia="Times New Roman" w:hAnsi="Arial" w:cs="Arial"/>
          <w:spacing w:val="-1"/>
          <w:sz w:val="24"/>
          <w:szCs w:val="24"/>
        </w:rPr>
        <w:t xml:space="preserve">waiver and expenditure </w:t>
      </w:r>
      <w:r>
        <w:rPr>
          <w:rFonts w:ascii="Arial" w:eastAsia="Times New Roman" w:hAnsi="Arial" w:cs="Arial"/>
          <w:spacing w:val="-1"/>
          <w:sz w:val="24"/>
          <w:szCs w:val="24"/>
        </w:rPr>
        <w:t xml:space="preserve">authority to test innovations in payment and care delivery.    </w:t>
      </w:r>
    </w:p>
    <w:p w14:paraId="2F0D7C51" w14:textId="77777777" w:rsidR="00907F46" w:rsidRDefault="00907F46" w:rsidP="00D736E5">
      <w:pPr>
        <w:widowControl w:val="0"/>
        <w:spacing w:after="0"/>
        <w:ind w:right="164"/>
        <w:divId w:val="1213691618"/>
        <w:rPr>
          <w:rFonts w:ascii="Arial" w:eastAsia="Times New Roman" w:hAnsi="Arial" w:cs="Arial"/>
          <w:spacing w:val="-1"/>
          <w:sz w:val="24"/>
          <w:szCs w:val="24"/>
        </w:rPr>
      </w:pPr>
    </w:p>
    <w:p w14:paraId="3366F543" w14:textId="77777777" w:rsidR="00D736E5" w:rsidRPr="00D42B64" w:rsidRDefault="00907F46" w:rsidP="00D736E5">
      <w:pPr>
        <w:widowControl w:val="0"/>
        <w:spacing w:after="0"/>
        <w:ind w:right="164"/>
        <w:divId w:val="1213691618"/>
        <w:rPr>
          <w:rFonts w:ascii="Arial" w:eastAsia="Times New Roman" w:hAnsi="Arial" w:cs="Arial"/>
          <w:sz w:val="24"/>
          <w:szCs w:val="24"/>
        </w:rPr>
      </w:pPr>
      <w:r>
        <w:rPr>
          <w:rFonts w:ascii="Arial" w:eastAsia="Times New Roman" w:hAnsi="Arial" w:cs="Arial"/>
          <w:sz w:val="24"/>
          <w:szCs w:val="24"/>
        </w:rPr>
        <w:t xml:space="preserve">Since the initial implementation of the </w:t>
      </w:r>
      <w:r w:rsidR="00C7762A">
        <w:rPr>
          <w:rFonts w:ascii="Arial" w:eastAsia="Times New Roman" w:hAnsi="Arial" w:cs="Arial"/>
          <w:sz w:val="24"/>
          <w:szCs w:val="24"/>
        </w:rPr>
        <w:t>d</w:t>
      </w:r>
      <w:r>
        <w:rPr>
          <w:rFonts w:ascii="Arial" w:eastAsia="Times New Roman" w:hAnsi="Arial" w:cs="Arial"/>
          <w:sz w:val="24"/>
          <w:szCs w:val="24"/>
        </w:rPr>
        <w:t>emonstration in 1997, w</w:t>
      </w:r>
      <w:r w:rsidR="00D736E5" w:rsidRPr="00D42B64">
        <w:rPr>
          <w:rFonts w:ascii="Arial" w:eastAsia="Times New Roman" w:hAnsi="Arial" w:cs="Arial"/>
          <w:spacing w:val="1"/>
          <w:sz w:val="24"/>
          <w:szCs w:val="24"/>
        </w:rPr>
        <w:t xml:space="preserve">orking </w:t>
      </w:r>
      <w:r>
        <w:rPr>
          <w:rFonts w:ascii="Arial" w:eastAsia="Times New Roman" w:hAnsi="Arial" w:cs="Arial"/>
          <w:spacing w:val="1"/>
          <w:sz w:val="24"/>
          <w:szCs w:val="24"/>
        </w:rPr>
        <w:t xml:space="preserve">in partnership </w:t>
      </w:r>
      <w:r w:rsidR="00D736E5" w:rsidRPr="00D42B64">
        <w:rPr>
          <w:rFonts w:ascii="Arial" w:eastAsia="Times New Roman" w:hAnsi="Arial" w:cs="Arial"/>
          <w:spacing w:val="1"/>
          <w:sz w:val="24"/>
          <w:szCs w:val="24"/>
        </w:rPr>
        <w:t xml:space="preserve">with the federal government, </w:t>
      </w:r>
      <w:r>
        <w:rPr>
          <w:rFonts w:ascii="Arial" w:eastAsia="Times New Roman" w:hAnsi="Arial" w:cs="Arial"/>
          <w:spacing w:val="1"/>
          <w:sz w:val="24"/>
          <w:szCs w:val="24"/>
        </w:rPr>
        <w:t>the Common</w:t>
      </w:r>
      <w:r w:rsidR="00F57E35">
        <w:rPr>
          <w:rFonts w:ascii="Arial" w:eastAsia="Times New Roman" w:hAnsi="Arial" w:cs="Arial"/>
          <w:spacing w:val="1"/>
          <w:sz w:val="24"/>
          <w:szCs w:val="24"/>
        </w:rPr>
        <w:t>w</w:t>
      </w:r>
      <w:r>
        <w:rPr>
          <w:rFonts w:ascii="Arial" w:eastAsia="Times New Roman" w:hAnsi="Arial" w:cs="Arial"/>
          <w:spacing w:val="1"/>
          <w:sz w:val="24"/>
          <w:szCs w:val="24"/>
        </w:rPr>
        <w:t>ealth has made significant</w:t>
      </w:r>
      <w:r w:rsidR="00D736E5" w:rsidRPr="00D42B64">
        <w:rPr>
          <w:rFonts w:ascii="Arial" w:eastAsia="Times New Roman" w:hAnsi="Arial" w:cs="Arial"/>
          <w:spacing w:val="1"/>
          <w:sz w:val="24"/>
          <w:szCs w:val="24"/>
        </w:rPr>
        <w:t xml:space="preserve"> progress toward the goal of near universal health care coverage for our residents.  </w:t>
      </w:r>
      <w:r w:rsidR="002B6BC1">
        <w:rPr>
          <w:rFonts w:ascii="Arial" w:eastAsia="Times New Roman" w:hAnsi="Arial" w:cs="Arial"/>
          <w:spacing w:val="1"/>
          <w:sz w:val="24"/>
          <w:szCs w:val="24"/>
        </w:rPr>
        <w:t>Over 98</w:t>
      </w:r>
      <w:r w:rsidR="00D736E5" w:rsidRPr="00D42B64">
        <w:rPr>
          <w:rFonts w:ascii="Arial" w:eastAsia="Times New Roman" w:hAnsi="Arial" w:cs="Arial"/>
          <w:spacing w:val="1"/>
          <w:sz w:val="24"/>
          <w:szCs w:val="24"/>
        </w:rPr>
        <w:t xml:space="preserve"> percent of </w:t>
      </w:r>
      <w:r w:rsidR="00FF4BBC">
        <w:rPr>
          <w:rFonts w:ascii="Arial" w:eastAsia="Times New Roman" w:hAnsi="Arial" w:cs="Arial"/>
          <w:spacing w:val="1"/>
          <w:sz w:val="24"/>
          <w:szCs w:val="24"/>
        </w:rPr>
        <w:t>the Commonwealth’s</w:t>
      </w:r>
      <w:r w:rsidR="00D736E5" w:rsidRPr="00D42B64">
        <w:rPr>
          <w:rFonts w:ascii="Arial" w:eastAsia="Times New Roman" w:hAnsi="Arial" w:cs="Arial"/>
          <w:spacing w:val="1"/>
          <w:sz w:val="24"/>
          <w:szCs w:val="24"/>
        </w:rPr>
        <w:t xml:space="preserve"> children and youth and more than 9</w:t>
      </w:r>
      <w:r>
        <w:rPr>
          <w:rFonts w:ascii="Arial" w:eastAsia="Times New Roman" w:hAnsi="Arial" w:cs="Arial"/>
          <w:spacing w:val="1"/>
          <w:sz w:val="24"/>
          <w:szCs w:val="24"/>
        </w:rPr>
        <w:t>7</w:t>
      </w:r>
      <w:r w:rsidR="00D736E5" w:rsidRPr="00D42B64">
        <w:rPr>
          <w:rFonts w:ascii="Arial" w:eastAsia="Times New Roman" w:hAnsi="Arial" w:cs="Arial"/>
          <w:spacing w:val="1"/>
          <w:sz w:val="24"/>
          <w:szCs w:val="24"/>
        </w:rPr>
        <w:t xml:space="preserve"> percent of </w:t>
      </w:r>
      <w:proofErr w:type="gramStart"/>
      <w:r w:rsidR="00D736E5" w:rsidRPr="00D42B64">
        <w:rPr>
          <w:rFonts w:ascii="Arial" w:eastAsia="Times New Roman" w:hAnsi="Arial" w:cs="Arial"/>
          <w:spacing w:val="1"/>
          <w:sz w:val="24"/>
          <w:szCs w:val="24"/>
        </w:rPr>
        <w:t>all of</w:t>
      </w:r>
      <w:proofErr w:type="gramEnd"/>
      <w:r w:rsidR="00D736E5" w:rsidRPr="00D42B64">
        <w:rPr>
          <w:rFonts w:ascii="Arial" w:eastAsia="Times New Roman" w:hAnsi="Arial" w:cs="Arial"/>
          <w:spacing w:val="1"/>
          <w:sz w:val="24"/>
          <w:szCs w:val="24"/>
        </w:rPr>
        <w:t xml:space="preserve"> </w:t>
      </w:r>
      <w:r w:rsidR="00FF4BBC">
        <w:rPr>
          <w:rFonts w:ascii="Arial" w:eastAsia="Times New Roman" w:hAnsi="Arial" w:cs="Arial"/>
          <w:spacing w:val="1"/>
          <w:sz w:val="24"/>
          <w:szCs w:val="24"/>
        </w:rPr>
        <w:t xml:space="preserve">its </w:t>
      </w:r>
      <w:r w:rsidR="00D736E5" w:rsidRPr="00D42B64">
        <w:rPr>
          <w:rFonts w:ascii="Arial" w:eastAsia="Times New Roman" w:hAnsi="Arial" w:cs="Arial"/>
          <w:spacing w:val="1"/>
          <w:sz w:val="24"/>
          <w:szCs w:val="24"/>
        </w:rPr>
        <w:t>residents have health care insurance, the highest percentages in the country.</w:t>
      </w:r>
      <w:r w:rsidR="002B6BC1">
        <w:rPr>
          <w:rStyle w:val="FootnoteReference"/>
          <w:rFonts w:ascii="Arial" w:eastAsia="Times New Roman" w:hAnsi="Arial" w:cs="Arial"/>
          <w:spacing w:val="1"/>
          <w:sz w:val="24"/>
          <w:szCs w:val="24"/>
        </w:rPr>
        <w:footnoteReference w:id="1"/>
      </w:r>
      <w:r w:rsidR="00D736E5" w:rsidRPr="00D42B64">
        <w:rPr>
          <w:rFonts w:ascii="Arial" w:eastAsia="Times New Roman" w:hAnsi="Arial" w:cs="Arial"/>
          <w:position w:val="11"/>
          <w:sz w:val="24"/>
          <w:szCs w:val="24"/>
        </w:rPr>
        <w:t xml:space="preserve">  </w:t>
      </w:r>
      <w:r w:rsidR="00D736E5" w:rsidRPr="00D42B64">
        <w:rPr>
          <w:rFonts w:ascii="Arial" w:eastAsia="Times New Roman" w:hAnsi="Arial" w:cs="Arial"/>
          <w:spacing w:val="1"/>
          <w:position w:val="11"/>
          <w:sz w:val="24"/>
          <w:szCs w:val="24"/>
        </w:rPr>
        <w:t xml:space="preserve"> </w:t>
      </w:r>
      <w:r w:rsidR="00D736E5" w:rsidRPr="00D42B64">
        <w:rPr>
          <w:rFonts w:ascii="Arial" w:eastAsia="Times New Roman" w:hAnsi="Arial" w:cs="Arial"/>
          <w:sz w:val="24"/>
          <w:szCs w:val="24"/>
        </w:rPr>
        <w:t>M</w:t>
      </w:r>
      <w:r w:rsidR="00D736E5" w:rsidRPr="00D42B64">
        <w:rPr>
          <w:rFonts w:ascii="Arial" w:eastAsia="Times New Roman" w:hAnsi="Arial" w:cs="Arial"/>
          <w:spacing w:val="-1"/>
          <w:sz w:val="24"/>
          <w:szCs w:val="24"/>
        </w:rPr>
        <w:t>a</w:t>
      </w:r>
      <w:r w:rsidR="00D736E5" w:rsidRPr="00D42B64">
        <w:rPr>
          <w:rFonts w:ascii="Arial" w:eastAsia="Times New Roman" w:hAnsi="Arial" w:cs="Arial"/>
          <w:sz w:val="24"/>
          <w:szCs w:val="24"/>
        </w:rPr>
        <w:t>ssH</w:t>
      </w:r>
      <w:r w:rsidR="00D736E5" w:rsidRPr="00D42B64">
        <w:rPr>
          <w:rFonts w:ascii="Arial" w:eastAsia="Times New Roman" w:hAnsi="Arial" w:cs="Arial"/>
          <w:spacing w:val="-1"/>
          <w:sz w:val="24"/>
          <w:szCs w:val="24"/>
        </w:rPr>
        <w:t>e</w:t>
      </w:r>
      <w:r w:rsidR="00D736E5" w:rsidRPr="00D42B64">
        <w:rPr>
          <w:rFonts w:ascii="Arial" w:eastAsia="Times New Roman" w:hAnsi="Arial" w:cs="Arial"/>
          <w:spacing w:val="1"/>
          <w:sz w:val="24"/>
          <w:szCs w:val="24"/>
        </w:rPr>
        <w:t>a</w:t>
      </w:r>
      <w:r w:rsidR="00D736E5" w:rsidRPr="00D42B64">
        <w:rPr>
          <w:rFonts w:ascii="Arial" w:eastAsia="Times New Roman" w:hAnsi="Arial" w:cs="Arial"/>
          <w:sz w:val="24"/>
          <w:szCs w:val="24"/>
        </w:rPr>
        <w:t xml:space="preserve">lth, </w:t>
      </w:r>
      <w:r w:rsidR="00FF4BBC">
        <w:rPr>
          <w:rFonts w:ascii="Arial" w:eastAsia="Times New Roman" w:hAnsi="Arial" w:cs="Arial"/>
          <w:sz w:val="24"/>
          <w:szCs w:val="24"/>
        </w:rPr>
        <w:t>the</w:t>
      </w:r>
      <w:r w:rsidR="00FF4BBC">
        <w:rPr>
          <w:rFonts w:ascii="Arial" w:eastAsia="Times New Roman" w:hAnsi="Arial" w:cs="Arial"/>
          <w:spacing w:val="-1"/>
          <w:sz w:val="24"/>
          <w:szCs w:val="24"/>
        </w:rPr>
        <w:t xml:space="preserve"> Massachusetts </w:t>
      </w:r>
      <w:r w:rsidR="00D736E5" w:rsidRPr="00D42B64">
        <w:rPr>
          <w:rFonts w:ascii="Arial" w:eastAsia="Times New Roman" w:hAnsi="Arial" w:cs="Arial"/>
          <w:sz w:val="24"/>
          <w:szCs w:val="24"/>
        </w:rPr>
        <w:t>Me</w:t>
      </w:r>
      <w:r w:rsidR="00D736E5" w:rsidRPr="00D42B64">
        <w:rPr>
          <w:rFonts w:ascii="Arial" w:eastAsia="Times New Roman" w:hAnsi="Arial" w:cs="Arial"/>
          <w:spacing w:val="-1"/>
          <w:sz w:val="24"/>
          <w:szCs w:val="24"/>
        </w:rPr>
        <w:t>d</w:t>
      </w:r>
      <w:r w:rsidR="00D736E5" w:rsidRPr="00D42B64">
        <w:rPr>
          <w:rFonts w:ascii="Arial" w:eastAsia="Times New Roman" w:hAnsi="Arial" w:cs="Arial"/>
          <w:sz w:val="24"/>
          <w:szCs w:val="24"/>
        </w:rPr>
        <w:t>ic</w:t>
      </w:r>
      <w:r w:rsidR="00D736E5" w:rsidRPr="00D42B64">
        <w:rPr>
          <w:rFonts w:ascii="Arial" w:eastAsia="Times New Roman" w:hAnsi="Arial" w:cs="Arial"/>
          <w:spacing w:val="-2"/>
          <w:sz w:val="24"/>
          <w:szCs w:val="24"/>
        </w:rPr>
        <w:t>a</w:t>
      </w:r>
      <w:r w:rsidR="00D736E5" w:rsidRPr="00D42B64">
        <w:rPr>
          <w:rFonts w:ascii="Arial" w:eastAsia="Times New Roman" w:hAnsi="Arial" w:cs="Arial"/>
          <w:sz w:val="24"/>
          <w:szCs w:val="24"/>
        </w:rPr>
        <w:t>id and C</w:t>
      </w:r>
      <w:r w:rsidR="00D736E5" w:rsidRPr="00D42B64">
        <w:rPr>
          <w:rFonts w:ascii="Arial" w:eastAsia="Times New Roman" w:hAnsi="Arial" w:cs="Arial"/>
          <w:spacing w:val="2"/>
          <w:sz w:val="24"/>
          <w:szCs w:val="24"/>
        </w:rPr>
        <w:t>h</w:t>
      </w:r>
      <w:r w:rsidR="00D736E5" w:rsidRPr="00D42B64">
        <w:rPr>
          <w:rFonts w:ascii="Arial" w:eastAsia="Times New Roman" w:hAnsi="Arial" w:cs="Arial"/>
          <w:sz w:val="24"/>
          <w:szCs w:val="24"/>
        </w:rPr>
        <w:t>ild</w:t>
      </w:r>
      <w:r w:rsidR="00D736E5" w:rsidRPr="00D42B64">
        <w:rPr>
          <w:rFonts w:ascii="Arial" w:eastAsia="Times New Roman" w:hAnsi="Arial" w:cs="Arial"/>
          <w:spacing w:val="-1"/>
          <w:sz w:val="24"/>
          <w:szCs w:val="24"/>
        </w:rPr>
        <w:t>re</w:t>
      </w:r>
      <w:r w:rsidR="00D736E5" w:rsidRPr="00D42B64">
        <w:rPr>
          <w:rFonts w:ascii="Arial" w:eastAsia="Times New Roman" w:hAnsi="Arial" w:cs="Arial"/>
          <w:sz w:val="24"/>
          <w:szCs w:val="24"/>
        </w:rPr>
        <w:t>n</w:t>
      </w:r>
      <w:r w:rsidR="00D736E5" w:rsidRPr="00D42B64">
        <w:rPr>
          <w:rFonts w:ascii="Arial" w:eastAsia="Times New Roman" w:hAnsi="Arial" w:cs="Arial"/>
          <w:spacing w:val="-1"/>
          <w:sz w:val="24"/>
          <w:szCs w:val="24"/>
        </w:rPr>
        <w:t>’</w:t>
      </w:r>
      <w:r w:rsidR="00D736E5" w:rsidRPr="00D42B64">
        <w:rPr>
          <w:rFonts w:ascii="Arial" w:eastAsia="Times New Roman" w:hAnsi="Arial" w:cs="Arial"/>
          <w:sz w:val="24"/>
          <w:szCs w:val="24"/>
        </w:rPr>
        <w:t>s H</w:t>
      </w:r>
      <w:r w:rsidR="00D736E5" w:rsidRPr="00D42B64">
        <w:rPr>
          <w:rFonts w:ascii="Arial" w:eastAsia="Times New Roman" w:hAnsi="Arial" w:cs="Arial"/>
          <w:spacing w:val="-2"/>
          <w:sz w:val="24"/>
          <w:szCs w:val="24"/>
        </w:rPr>
        <w:t>e</w:t>
      </w:r>
      <w:r w:rsidR="00D736E5" w:rsidRPr="00D42B64">
        <w:rPr>
          <w:rFonts w:ascii="Arial" w:eastAsia="Times New Roman" w:hAnsi="Arial" w:cs="Arial"/>
          <w:spacing w:val="-1"/>
          <w:sz w:val="24"/>
          <w:szCs w:val="24"/>
        </w:rPr>
        <w:t>a</w:t>
      </w:r>
      <w:r w:rsidR="00D736E5" w:rsidRPr="00D42B64">
        <w:rPr>
          <w:rFonts w:ascii="Arial" w:eastAsia="Times New Roman" w:hAnsi="Arial" w:cs="Arial"/>
          <w:sz w:val="24"/>
          <w:szCs w:val="24"/>
        </w:rPr>
        <w:t>lth</w:t>
      </w:r>
      <w:r w:rsidR="00D736E5" w:rsidRPr="00D42B64">
        <w:rPr>
          <w:rFonts w:ascii="Arial" w:eastAsia="Times New Roman" w:hAnsi="Arial" w:cs="Arial"/>
          <w:spacing w:val="2"/>
          <w:sz w:val="24"/>
          <w:szCs w:val="24"/>
        </w:rPr>
        <w:t xml:space="preserve"> </w:t>
      </w:r>
      <w:r w:rsidR="00D736E5" w:rsidRPr="00D42B64">
        <w:rPr>
          <w:rFonts w:ascii="Arial" w:eastAsia="Times New Roman" w:hAnsi="Arial" w:cs="Arial"/>
          <w:spacing w:val="-4"/>
          <w:sz w:val="24"/>
          <w:szCs w:val="24"/>
        </w:rPr>
        <w:t>I</w:t>
      </w:r>
      <w:r w:rsidR="00D736E5" w:rsidRPr="00D42B64">
        <w:rPr>
          <w:rFonts w:ascii="Arial" w:eastAsia="Times New Roman" w:hAnsi="Arial" w:cs="Arial"/>
          <w:sz w:val="24"/>
          <w:szCs w:val="24"/>
        </w:rPr>
        <w:t>ns</w:t>
      </w:r>
      <w:r w:rsidR="00D736E5" w:rsidRPr="00D42B64">
        <w:rPr>
          <w:rFonts w:ascii="Arial" w:eastAsia="Times New Roman" w:hAnsi="Arial" w:cs="Arial"/>
          <w:spacing w:val="2"/>
          <w:sz w:val="24"/>
          <w:szCs w:val="24"/>
        </w:rPr>
        <w:t>u</w:t>
      </w:r>
      <w:r w:rsidR="00D736E5" w:rsidRPr="00D42B64">
        <w:rPr>
          <w:rFonts w:ascii="Arial" w:eastAsia="Times New Roman" w:hAnsi="Arial" w:cs="Arial"/>
          <w:sz w:val="24"/>
          <w:szCs w:val="24"/>
        </w:rPr>
        <w:t>r</w:t>
      </w:r>
      <w:r w:rsidR="00D736E5" w:rsidRPr="00D42B64">
        <w:rPr>
          <w:rFonts w:ascii="Arial" w:eastAsia="Times New Roman" w:hAnsi="Arial" w:cs="Arial"/>
          <w:spacing w:val="-2"/>
          <w:sz w:val="24"/>
          <w:szCs w:val="24"/>
        </w:rPr>
        <w:t>a</w:t>
      </w:r>
      <w:r w:rsidR="00D736E5" w:rsidRPr="00D42B64">
        <w:rPr>
          <w:rFonts w:ascii="Arial" w:eastAsia="Times New Roman" w:hAnsi="Arial" w:cs="Arial"/>
          <w:sz w:val="24"/>
          <w:szCs w:val="24"/>
        </w:rPr>
        <w:t>n</w:t>
      </w:r>
      <w:r w:rsidR="00D736E5" w:rsidRPr="00D42B64">
        <w:rPr>
          <w:rFonts w:ascii="Arial" w:eastAsia="Times New Roman" w:hAnsi="Arial" w:cs="Arial"/>
          <w:spacing w:val="1"/>
          <w:sz w:val="24"/>
          <w:szCs w:val="24"/>
        </w:rPr>
        <w:t>c</w:t>
      </w:r>
      <w:r w:rsidR="00D736E5" w:rsidRPr="00D42B64">
        <w:rPr>
          <w:rFonts w:ascii="Arial" w:eastAsia="Times New Roman" w:hAnsi="Arial" w:cs="Arial"/>
          <w:sz w:val="24"/>
          <w:szCs w:val="24"/>
        </w:rPr>
        <w:t>e</w:t>
      </w:r>
      <w:r w:rsidR="00D736E5" w:rsidRPr="00D42B64">
        <w:rPr>
          <w:rFonts w:ascii="Arial" w:eastAsia="Times New Roman" w:hAnsi="Arial" w:cs="Arial"/>
          <w:spacing w:val="1"/>
          <w:sz w:val="24"/>
          <w:szCs w:val="24"/>
        </w:rPr>
        <w:t xml:space="preserve"> </w:t>
      </w:r>
      <w:r w:rsidR="00D736E5" w:rsidRPr="00D42B64">
        <w:rPr>
          <w:rFonts w:ascii="Arial" w:eastAsia="Times New Roman" w:hAnsi="Arial" w:cs="Arial"/>
          <w:sz w:val="24"/>
          <w:szCs w:val="24"/>
        </w:rPr>
        <w:t>Pro</w:t>
      </w:r>
      <w:r w:rsidR="00D736E5" w:rsidRPr="00D42B64">
        <w:rPr>
          <w:rFonts w:ascii="Arial" w:eastAsia="Times New Roman" w:hAnsi="Arial" w:cs="Arial"/>
          <w:spacing w:val="-4"/>
          <w:sz w:val="24"/>
          <w:szCs w:val="24"/>
        </w:rPr>
        <w:t>g</w:t>
      </w:r>
      <w:r w:rsidR="00D736E5" w:rsidRPr="00D42B64">
        <w:rPr>
          <w:rFonts w:ascii="Arial" w:eastAsia="Times New Roman" w:hAnsi="Arial" w:cs="Arial"/>
          <w:spacing w:val="1"/>
          <w:sz w:val="24"/>
          <w:szCs w:val="24"/>
        </w:rPr>
        <w:t>r</w:t>
      </w:r>
      <w:r w:rsidR="00D736E5" w:rsidRPr="00D42B64">
        <w:rPr>
          <w:rFonts w:ascii="Arial" w:eastAsia="Times New Roman" w:hAnsi="Arial" w:cs="Arial"/>
          <w:spacing w:val="-1"/>
          <w:sz w:val="24"/>
          <w:szCs w:val="24"/>
        </w:rPr>
        <w:t>a</w:t>
      </w:r>
      <w:r w:rsidR="00D736E5" w:rsidRPr="00D42B64">
        <w:rPr>
          <w:rFonts w:ascii="Arial" w:eastAsia="Times New Roman" w:hAnsi="Arial" w:cs="Arial"/>
          <w:sz w:val="24"/>
          <w:szCs w:val="24"/>
        </w:rPr>
        <w:t>m</w:t>
      </w:r>
      <w:r w:rsidR="00FF4BBC">
        <w:rPr>
          <w:rFonts w:ascii="Arial" w:eastAsia="Times New Roman" w:hAnsi="Arial" w:cs="Arial"/>
          <w:sz w:val="24"/>
          <w:szCs w:val="24"/>
        </w:rPr>
        <w:t>s</w:t>
      </w:r>
      <w:r w:rsidR="00D736E5" w:rsidRPr="00D42B64">
        <w:rPr>
          <w:rFonts w:ascii="Arial" w:eastAsia="Times New Roman" w:hAnsi="Arial" w:cs="Arial"/>
          <w:sz w:val="24"/>
          <w:szCs w:val="24"/>
        </w:rPr>
        <w:t xml:space="preserve">, covers </w:t>
      </w:r>
      <w:r w:rsidR="002B6BC1">
        <w:rPr>
          <w:rFonts w:ascii="Arial" w:eastAsia="Times New Roman" w:hAnsi="Arial" w:cs="Arial"/>
          <w:sz w:val="24"/>
          <w:szCs w:val="24"/>
        </w:rPr>
        <w:t xml:space="preserve">approximately </w:t>
      </w:r>
      <w:r w:rsidR="00D736E5" w:rsidRPr="00D42B64">
        <w:rPr>
          <w:rFonts w:ascii="Arial" w:eastAsia="Times New Roman" w:hAnsi="Arial" w:cs="Arial"/>
          <w:sz w:val="24"/>
          <w:szCs w:val="24"/>
        </w:rPr>
        <w:t>1.9 million indi</w:t>
      </w:r>
      <w:r w:rsidR="00D736E5" w:rsidRPr="00D42B64">
        <w:rPr>
          <w:rFonts w:ascii="Arial" w:eastAsia="Times New Roman" w:hAnsi="Arial" w:cs="Arial"/>
          <w:spacing w:val="-2"/>
          <w:sz w:val="24"/>
          <w:szCs w:val="24"/>
        </w:rPr>
        <w:t>v</w:t>
      </w:r>
      <w:r w:rsidR="00D736E5" w:rsidRPr="00D42B64">
        <w:rPr>
          <w:rFonts w:ascii="Arial" w:eastAsia="Times New Roman" w:hAnsi="Arial" w:cs="Arial"/>
          <w:sz w:val="24"/>
          <w:szCs w:val="24"/>
        </w:rPr>
        <w:t>iduals, or n</w:t>
      </w:r>
      <w:r w:rsidR="00D736E5" w:rsidRPr="00D42B64">
        <w:rPr>
          <w:rFonts w:ascii="Arial" w:eastAsia="Times New Roman" w:hAnsi="Arial" w:cs="Arial"/>
          <w:spacing w:val="-2"/>
          <w:sz w:val="24"/>
          <w:szCs w:val="24"/>
        </w:rPr>
        <w:t>e</w:t>
      </w:r>
      <w:r w:rsidR="00D736E5" w:rsidRPr="00D42B64">
        <w:rPr>
          <w:rFonts w:ascii="Arial" w:eastAsia="Times New Roman" w:hAnsi="Arial" w:cs="Arial"/>
          <w:spacing w:val="-1"/>
          <w:sz w:val="24"/>
          <w:szCs w:val="24"/>
        </w:rPr>
        <w:t>a</w:t>
      </w:r>
      <w:r w:rsidR="00D736E5" w:rsidRPr="00D42B64">
        <w:rPr>
          <w:rFonts w:ascii="Arial" w:eastAsia="Times New Roman" w:hAnsi="Arial" w:cs="Arial"/>
          <w:sz w:val="24"/>
          <w:szCs w:val="24"/>
        </w:rPr>
        <w:t>r</w:t>
      </w:r>
      <w:r w:rsidR="00D736E5" w:rsidRPr="00D42B64">
        <w:rPr>
          <w:rFonts w:ascii="Arial" w:eastAsia="Times New Roman" w:hAnsi="Arial" w:cs="Arial"/>
          <w:spacing w:val="1"/>
          <w:sz w:val="24"/>
          <w:szCs w:val="24"/>
        </w:rPr>
        <w:t>l</w:t>
      </w:r>
      <w:r w:rsidR="00D736E5" w:rsidRPr="00D42B64">
        <w:rPr>
          <w:rFonts w:ascii="Arial" w:eastAsia="Times New Roman" w:hAnsi="Arial" w:cs="Arial"/>
          <w:sz w:val="24"/>
          <w:szCs w:val="24"/>
        </w:rPr>
        <w:t>y</w:t>
      </w:r>
      <w:r w:rsidR="00D736E5" w:rsidRPr="00D42B64">
        <w:rPr>
          <w:rFonts w:ascii="Arial" w:eastAsia="Times New Roman" w:hAnsi="Arial" w:cs="Arial"/>
          <w:spacing w:val="-5"/>
          <w:sz w:val="24"/>
          <w:szCs w:val="24"/>
        </w:rPr>
        <w:t xml:space="preserve"> </w:t>
      </w:r>
      <w:r w:rsidR="00D736E5" w:rsidRPr="00D42B64">
        <w:rPr>
          <w:rFonts w:ascii="Arial" w:eastAsia="Times New Roman" w:hAnsi="Arial" w:cs="Arial"/>
          <w:sz w:val="24"/>
          <w:szCs w:val="24"/>
        </w:rPr>
        <w:t>3</w:t>
      </w:r>
      <w:r w:rsidR="00D736E5" w:rsidRPr="00D42B64">
        <w:rPr>
          <w:rFonts w:ascii="Arial" w:eastAsia="Times New Roman" w:hAnsi="Arial" w:cs="Arial"/>
          <w:spacing w:val="3"/>
          <w:sz w:val="24"/>
          <w:szCs w:val="24"/>
        </w:rPr>
        <w:t>0</w:t>
      </w:r>
      <w:r w:rsidR="00D736E5" w:rsidRPr="00D42B64">
        <w:rPr>
          <w:rFonts w:ascii="Arial" w:eastAsia="Times New Roman" w:hAnsi="Arial" w:cs="Arial"/>
          <w:sz w:val="24"/>
          <w:szCs w:val="24"/>
        </w:rPr>
        <w:t xml:space="preserve"> percent</w:t>
      </w:r>
      <w:r w:rsidR="00D736E5" w:rsidRPr="00D42B64">
        <w:rPr>
          <w:rFonts w:ascii="Arial" w:eastAsia="Times New Roman" w:hAnsi="Arial" w:cs="Arial"/>
          <w:spacing w:val="-1"/>
          <w:sz w:val="24"/>
          <w:szCs w:val="24"/>
        </w:rPr>
        <w:t xml:space="preserve"> </w:t>
      </w:r>
      <w:r w:rsidR="00D736E5" w:rsidRPr="00D42B64">
        <w:rPr>
          <w:rFonts w:ascii="Arial" w:eastAsia="Times New Roman" w:hAnsi="Arial" w:cs="Arial"/>
          <w:sz w:val="24"/>
          <w:szCs w:val="24"/>
        </w:rPr>
        <w:t>of</w:t>
      </w:r>
      <w:r w:rsidR="00D736E5" w:rsidRPr="00D42B64">
        <w:rPr>
          <w:rFonts w:ascii="Arial" w:eastAsia="Times New Roman" w:hAnsi="Arial" w:cs="Arial"/>
          <w:spacing w:val="-1"/>
          <w:sz w:val="24"/>
          <w:szCs w:val="24"/>
        </w:rPr>
        <w:t xml:space="preserve"> </w:t>
      </w:r>
      <w:r w:rsidR="00D736E5" w:rsidRPr="00D42B64">
        <w:rPr>
          <w:rFonts w:ascii="Arial" w:eastAsia="Times New Roman" w:hAnsi="Arial" w:cs="Arial"/>
          <w:sz w:val="24"/>
          <w:szCs w:val="24"/>
        </w:rPr>
        <w:t>the Commo</w:t>
      </w:r>
      <w:r w:rsidR="00D736E5" w:rsidRPr="00D42B64">
        <w:rPr>
          <w:rFonts w:ascii="Arial" w:eastAsia="Times New Roman" w:hAnsi="Arial" w:cs="Arial"/>
          <w:spacing w:val="2"/>
          <w:sz w:val="24"/>
          <w:szCs w:val="24"/>
        </w:rPr>
        <w:t>n</w:t>
      </w:r>
      <w:r w:rsidR="00D736E5" w:rsidRPr="00D42B64">
        <w:rPr>
          <w:rFonts w:ascii="Arial" w:eastAsia="Times New Roman" w:hAnsi="Arial" w:cs="Arial"/>
          <w:sz w:val="24"/>
          <w:szCs w:val="24"/>
        </w:rPr>
        <w:t>w</w:t>
      </w:r>
      <w:r w:rsidR="00D736E5" w:rsidRPr="00D42B64">
        <w:rPr>
          <w:rFonts w:ascii="Arial" w:eastAsia="Times New Roman" w:hAnsi="Arial" w:cs="Arial"/>
          <w:spacing w:val="-2"/>
          <w:sz w:val="24"/>
          <w:szCs w:val="24"/>
        </w:rPr>
        <w:t>e</w:t>
      </w:r>
      <w:r w:rsidR="00D736E5" w:rsidRPr="00D42B64">
        <w:rPr>
          <w:rFonts w:ascii="Arial" w:eastAsia="Times New Roman" w:hAnsi="Arial" w:cs="Arial"/>
          <w:spacing w:val="-1"/>
          <w:sz w:val="24"/>
          <w:szCs w:val="24"/>
        </w:rPr>
        <w:t>a</w:t>
      </w:r>
      <w:r w:rsidR="00D736E5" w:rsidRPr="00D42B64">
        <w:rPr>
          <w:rFonts w:ascii="Arial" w:eastAsia="Times New Roman" w:hAnsi="Arial" w:cs="Arial"/>
          <w:sz w:val="24"/>
          <w:szCs w:val="24"/>
        </w:rPr>
        <w:t>lth</w:t>
      </w:r>
      <w:r w:rsidR="00D736E5" w:rsidRPr="00D42B64">
        <w:rPr>
          <w:rFonts w:ascii="Arial" w:eastAsia="Times New Roman" w:hAnsi="Arial" w:cs="Arial"/>
          <w:spacing w:val="-1"/>
          <w:sz w:val="24"/>
          <w:szCs w:val="24"/>
        </w:rPr>
        <w:t>’</w:t>
      </w:r>
      <w:r w:rsidR="00D736E5" w:rsidRPr="00D42B64">
        <w:rPr>
          <w:rFonts w:ascii="Arial" w:eastAsia="Times New Roman" w:hAnsi="Arial" w:cs="Arial"/>
          <w:sz w:val="24"/>
          <w:szCs w:val="24"/>
        </w:rPr>
        <w:t>s r</w:t>
      </w:r>
      <w:r w:rsidR="00D736E5" w:rsidRPr="00D42B64">
        <w:rPr>
          <w:rFonts w:ascii="Arial" w:eastAsia="Times New Roman" w:hAnsi="Arial" w:cs="Arial"/>
          <w:spacing w:val="-2"/>
          <w:sz w:val="24"/>
          <w:szCs w:val="24"/>
        </w:rPr>
        <w:t>e</w:t>
      </w:r>
      <w:r w:rsidR="00D736E5" w:rsidRPr="00D42B64">
        <w:rPr>
          <w:rFonts w:ascii="Arial" w:eastAsia="Times New Roman" w:hAnsi="Arial" w:cs="Arial"/>
          <w:sz w:val="24"/>
          <w:szCs w:val="24"/>
        </w:rPr>
        <w:t>si</w:t>
      </w:r>
      <w:r w:rsidR="00D736E5" w:rsidRPr="00D42B64">
        <w:rPr>
          <w:rFonts w:ascii="Arial" w:eastAsia="Times New Roman" w:hAnsi="Arial" w:cs="Arial"/>
          <w:spacing w:val="2"/>
          <w:sz w:val="24"/>
          <w:szCs w:val="24"/>
        </w:rPr>
        <w:t>d</w:t>
      </w:r>
      <w:r w:rsidR="00D736E5" w:rsidRPr="00D42B64">
        <w:rPr>
          <w:rFonts w:ascii="Arial" w:eastAsia="Times New Roman" w:hAnsi="Arial" w:cs="Arial"/>
          <w:spacing w:val="-1"/>
          <w:sz w:val="24"/>
          <w:szCs w:val="24"/>
        </w:rPr>
        <w:t>e</w:t>
      </w:r>
      <w:r w:rsidR="00D736E5" w:rsidRPr="00D42B64">
        <w:rPr>
          <w:rFonts w:ascii="Arial" w:eastAsia="Times New Roman" w:hAnsi="Arial" w:cs="Arial"/>
          <w:sz w:val="24"/>
          <w:szCs w:val="24"/>
        </w:rPr>
        <w:t>nts.</w:t>
      </w:r>
    </w:p>
    <w:p w14:paraId="0FDBC9E9" w14:textId="77777777" w:rsidR="00D736E5" w:rsidRPr="00D42B64" w:rsidRDefault="00D736E5" w:rsidP="00D736E5">
      <w:pPr>
        <w:widowControl w:val="0"/>
        <w:spacing w:after="0"/>
        <w:ind w:right="164"/>
        <w:divId w:val="1213691618"/>
        <w:rPr>
          <w:rFonts w:ascii="Arial" w:eastAsia="Times New Roman" w:hAnsi="Arial" w:cs="Arial"/>
          <w:sz w:val="24"/>
          <w:szCs w:val="24"/>
        </w:rPr>
      </w:pPr>
    </w:p>
    <w:p w14:paraId="7DDD9674" w14:textId="77777777" w:rsidR="003E2E44" w:rsidRDefault="002B6BC1" w:rsidP="003E2E44">
      <w:pPr>
        <w:divId w:val="1213691618"/>
        <w:rPr>
          <w:rFonts w:ascii="Arial" w:hAnsi="Arial" w:cs="Arial"/>
          <w:sz w:val="24"/>
          <w:szCs w:val="24"/>
        </w:rPr>
      </w:pPr>
      <w:r>
        <w:rPr>
          <w:rFonts w:ascii="Arial" w:hAnsi="Arial" w:cs="Arial"/>
          <w:sz w:val="24"/>
          <w:szCs w:val="24"/>
        </w:rPr>
        <w:t xml:space="preserve">In 2018 MassHealth </w:t>
      </w:r>
      <w:r w:rsidR="00BF7F5F">
        <w:rPr>
          <w:rFonts w:ascii="Arial" w:hAnsi="Arial" w:cs="Arial"/>
          <w:sz w:val="24"/>
          <w:szCs w:val="24"/>
        </w:rPr>
        <w:t>launched its</w:t>
      </w:r>
      <w:r>
        <w:rPr>
          <w:rFonts w:ascii="Arial" w:hAnsi="Arial" w:cs="Arial"/>
          <w:sz w:val="24"/>
          <w:szCs w:val="24"/>
        </w:rPr>
        <w:t xml:space="preserve"> Accountable Care Organization (ACO) </w:t>
      </w:r>
      <w:r w:rsidR="00BF7F5F">
        <w:rPr>
          <w:rFonts w:ascii="Arial" w:hAnsi="Arial" w:cs="Arial"/>
          <w:sz w:val="24"/>
          <w:szCs w:val="24"/>
        </w:rPr>
        <w:t xml:space="preserve">program </w:t>
      </w:r>
      <w:r>
        <w:rPr>
          <w:rFonts w:ascii="Arial" w:hAnsi="Arial" w:cs="Arial"/>
          <w:sz w:val="24"/>
          <w:szCs w:val="24"/>
        </w:rPr>
        <w:t xml:space="preserve">across the state to </w:t>
      </w:r>
      <w:r w:rsidR="00D736E5" w:rsidRPr="00D42B64">
        <w:rPr>
          <w:rFonts w:ascii="Arial" w:hAnsi="Arial" w:cs="Arial"/>
          <w:sz w:val="24"/>
          <w:szCs w:val="24"/>
        </w:rPr>
        <w:t xml:space="preserve">promote integration and coordination of care for members, while holding providers accountable for their quality and cost. MassHealth’s ACOs integrate their efforts with community-based health and social service organizations to improve behavioral health, long-term </w:t>
      </w:r>
      <w:proofErr w:type="gramStart"/>
      <w:r w:rsidR="00D736E5" w:rsidRPr="00D42B64">
        <w:rPr>
          <w:rFonts w:ascii="Arial" w:hAnsi="Arial" w:cs="Arial"/>
          <w:sz w:val="24"/>
          <w:szCs w:val="24"/>
        </w:rPr>
        <w:t>supports</w:t>
      </w:r>
      <w:proofErr w:type="gramEnd"/>
      <w:r w:rsidR="00D736E5" w:rsidRPr="00D42B64">
        <w:rPr>
          <w:rFonts w:ascii="Arial" w:hAnsi="Arial" w:cs="Arial"/>
          <w:sz w:val="24"/>
          <w:szCs w:val="24"/>
        </w:rPr>
        <w:t xml:space="preserve"> and health-related social needs for MassHealth members. </w:t>
      </w:r>
      <w:r>
        <w:rPr>
          <w:rFonts w:ascii="Arial" w:hAnsi="Arial" w:cs="Arial"/>
          <w:sz w:val="24"/>
          <w:szCs w:val="24"/>
        </w:rPr>
        <w:t xml:space="preserve">While formal evaluation results of this payment and care delivery model are not yet available, </w:t>
      </w:r>
      <w:r w:rsidR="00BF7F5F">
        <w:rPr>
          <w:rFonts w:ascii="Arial" w:hAnsi="Arial" w:cs="Arial"/>
          <w:sz w:val="24"/>
          <w:szCs w:val="24"/>
        </w:rPr>
        <w:t>early experience</w:t>
      </w:r>
      <w:r>
        <w:rPr>
          <w:rFonts w:ascii="Arial" w:hAnsi="Arial" w:cs="Arial"/>
          <w:sz w:val="24"/>
          <w:szCs w:val="24"/>
        </w:rPr>
        <w:t xml:space="preserve"> indicates the model has resulted in improved care to members and </w:t>
      </w:r>
      <w:r w:rsidR="001226AA">
        <w:rPr>
          <w:rFonts w:ascii="Arial" w:hAnsi="Arial" w:cs="Arial"/>
          <w:sz w:val="24"/>
          <w:szCs w:val="24"/>
        </w:rPr>
        <w:t xml:space="preserve">improved </w:t>
      </w:r>
      <w:r>
        <w:rPr>
          <w:rFonts w:ascii="Arial" w:hAnsi="Arial" w:cs="Arial"/>
          <w:sz w:val="24"/>
          <w:szCs w:val="24"/>
        </w:rPr>
        <w:t>fiscal sustainability for the Commonwealth</w:t>
      </w:r>
      <w:r w:rsidR="00662F90">
        <w:rPr>
          <w:rFonts w:ascii="Arial" w:hAnsi="Arial" w:cs="Arial"/>
          <w:sz w:val="24"/>
          <w:szCs w:val="24"/>
        </w:rPr>
        <w:t xml:space="preserve"> and federal government</w:t>
      </w:r>
      <w:r>
        <w:rPr>
          <w:rFonts w:ascii="Arial" w:hAnsi="Arial" w:cs="Arial"/>
          <w:sz w:val="24"/>
          <w:szCs w:val="24"/>
        </w:rPr>
        <w:t>.</w:t>
      </w:r>
      <w:r w:rsidR="003E2E44" w:rsidRPr="003E2E44">
        <w:rPr>
          <w:rFonts w:ascii="Arial" w:hAnsi="Arial" w:cs="Arial"/>
          <w:sz w:val="24"/>
          <w:szCs w:val="24"/>
        </w:rPr>
        <w:t xml:space="preserve"> </w:t>
      </w:r>
      <w:r w:rsidR="003E2E44">
        <w:rPr>
          <w:rFonts w:ascii="Arial" w:hAnsi="Arial" w:cs="Arial"/>
          <w:sz w:val="24"/>
          <w:szCs w:val="24"/>
        </w:rPr>
        <w:t>For example, early results suggest that primary care utilization is higher for ACO members than non-ACO members, and that primary care utilization increased from CY18 to CY19.  Additionally, potentially avoidable admissions decreased from CY18 to CY19, especially for ACO members.</w:t>
      </w:r>
    </w:p>
    <w:p w14:paraId="38E1E3CA" w14:textId="77777777" w:rsidR="002B6BC1" w:rsidRPr="00D42B64" w:rsidRDefault="002B6BC1" w:rsidP="00D736E5">
      <w:pPr>
        <w:divId w:val="1213691618"/>
        <w:rPr>
          <w:rFonts w:ascii="Arial" w:hAnsi="Arial" w:cs="Arial"/>
          <w:sz w:val="24"/>
          <w:szCs w:val="24"/>
        </w:rPr>
      </w:pPr>
      <w:r>
        <w:rPr>
          <w:rFonts w:ascii="Arial" w:hAnsi="Arial" w:cs="Arial"/>
          <w:sz w:val="24"/>
          <w:szCs w:val="24"/>
        </w:rPr>
        <w:t xml:space="preserve">While the Commonwealth is beginning the process to prepare a request to further extend the 1115 </w:t>
      </w:r>
      <w:r w:rsidR="00C7762A">
        <w:rPr>
          <w:rFonts w:ascii="Arial" w:hAnsi="Arial" w:cs="Arial"/>
          <w:sz w:val="24"/>
          <w:szCs w:val="24"/>
        </w:rPr>
        <w:t>d</w:t>
      </w:r>
      <w:r>
        <w:rPr>
          <w:rFonts w:ascii="Arial" w:hAnsi="Arial" w:cs="Arial"/>
          <w:sz w:val="24"/>
          <w:szCs w:val="24"/>
        </w:rPr>
        <w:t xml:space="preserve">emonstration beyond </w:t>
      </w:r>
      <w:r w:rsidR="00662F90">
        <w:rPr>
          <w:rFonts w:ascii="Arial" w:hAnsi="Arial" w:cs="Arial"/>
          <w:sz w:val="24"/>
          <w:szCs w:val="24"/>
        </w:rPr>
        <w:t>June 30, 2022</w:t>
      </w:r>
      <w:r>
        <w:rPr>
          <w:rFonts w:ascii="Arial" w:hAnsi="Arial" w:cs="Arial"/>
          <w:sz w:val="24"/>
          <w:szCs w:val="24"/>
        </w:rPr>
        <w:t xml:space="preserve">, there are a </w:t>
      </w:r>
      <w:r w:rsidR="00BF7F5F">
        <w:rPr>
          <w:rFonts w:ascii="Arial" w:hAnsi="Arial" w:cs="Arial"/>
          <w:sz w:val="24"/>
          <w:szCs w:val="24"/>
        </w:rPr>
        <w:t xml:space="preserve">small </w:t>
      </w:r>
      <w:r>
        <w:rPr>
          <w:rFonts w:ascii="Arial" w:hAnsi="Arial" w:cs="Arial"/>
          <w:sz w:val="24"/>
          <w:szCs w:val="24"/>
        </w:rPr>
        <w:t xml:space="preserve">number of flexibilities that require amendment to the </w:t>
      </w:r>
      <w:r w:rsidR="00C7762A">
        <w:rPr>
          <w:rFonts w:ascii="Arial" w:hAnsi="Arial" w:cs="Arial"/>
          <w:sz w:val="24"/>
          <w:szCs w:val="24"/>
        </w:rPr>
        <w:t>d</w:t>
      </w:r>
      <w:r>
        <w:rPr>
          <w:rFonts w:ascii="Arial" w:hAnsi="Arial" w:cs="Arial"/>
          <w:sz w:val="24"/>
          <w:szCs w:val="24"/>
        </w:rPr>
        <w:t xml:space="preserve">emonstration that the Commonwealth wishes to implement prior to </w:t>
      </w:r>
      <w:r w:rsidR="00662F90">
        <w:rPr>
          <w:rFonts w:ascii="Arial" w:hAnsi="Arial" w:cs="Arial"/>
          <w:sz w:val="24"/>
          <w:szCs w:val="24"/>
        </w:rPr>
        <w:t>July 1, 2022</w:t>
      </w:r>
      <w:r>
        <w:rPr>
          <w:rFonts w:ascii="Arial" w:hAnsi="Arial" w:cs="Arial"/>
          <w:sz w:val="24"/>
          <w:szCs w:val="24"/>
        </w:rPr>
        <w:t xml:space="preserve">. These flexibilities include responses to recent state law changes and to lessons learned during the COVID-19 pandemic.  </w:t>
      </w:r>
    </w:p>
    <w:p w14:paraId="4CEC9BC4" w14:textId="77777777" w:rsidR="00D736E5" w:rsidRDefault="00D736E5" w:rsidP="00D736E5">
      <w:pPr>
        <w:spacing w:after="0"/>
        <w:divId w:val="1213691618"/>
        <w:rPr>
          <w:rFonts w:ascii="Arial" w:eastAsia="Times New Roman" w:hAnsi="Arial" w:cs="Arial"/>
          <w:sz w:val="24"/>
          <w:szCs w:val="24"/>
        </w:rPr>
      </w:pPr>
    </w:p>
    <w:p w14:paraId="2C2090CF" w14:textId="77777777" w:rsidR="00D736E5" w:rsidRPr="00D42B64" w:rsidRDefault="00D736E5" w:rsidP="00D736E5">
      <w:pPr>
        <w:divId w:val="1213691618"/>
        <w:rPr>
          <w:rFonts w:ascii="Arial" w:hAnsi="Arial" w:cs="Arial"/>
          <w:sz w:val="24"/>
          <w:szCs w:val="24"/>
        </w:rPr>
      </w:pPr>
      <w:r w:rsidRPr="00D42B64">
        <w:rPr>
          <w:rFonts w:ascii="Arial" w:hAnsi="Arial" w:cs="Arial"/>
          <w:sz w:val="24"/>
          <w:szCs w:val="24"/>
        </w:rPr>
        <w:t xml:space="preserve">MassHealth’s requests for flexibility through this amendment request include: </w:t>
      </w:r>
    </w:p>
    <w:p w14:paraId="78603089" w14:textId="77777777" w:rsidR="00D736E5" w:rsidRDefault="000B2AE7" w:rsidP="001D0E27">
      <w:pPr>
        <w:pStyle w:val="ColorfulShading-Accent31"/>
        <w:ind w:left="0"/>
        <w:divId w:val="1213691618"/>
        <w:rPr>
          <w:rFonts w:ascii="Arial" w:hAnsi="Arial" w:cs="Arial"/>
          <w:b/>
          <w:i/>
          <w:sz w:val="24"/>
          <w:szCs w:val="24"/>
        </w:rPr>
      </w:pPr>
      <w:r>
        <w:rPr>
          <w:rFonts w:ascii="Arial" w:hAnsi="Arial" w:cs="Arial"/>
          <w:b/>
          <w:i/>
          <w:sz w:val="24"/>
          <w:szCs w:val="24"/>
        </w:rPr>
        <w:lastRenderedPageBreak/>
        <w:br/>
      </w:r>
      <w:r w:rsidR="00BC48FA">
        <w:rPr>
          <w:rFonts w:ascii="Arial" w:hAnsi="Arial" w:cs="Arial"/>
          <w:b/>
          <w:i/>
          <w:sz w:val="24"/>
          <w:szCs w:val="24"/>
        </w:rPr>
        <w:t xml:space="preserve">Expanding </w:t>
      </w:r>
      <w:r w:rsidR="00DD5E64">
        <w:rPr>
          <w:rFonts w:ascii="Arial" w:hAnsi="Arial" w:cs="Arial"/>
          <w:b/>
          <w:i/>
          <w:sz w:val="24"/>
          <w:szCs w:val="24"/>
        </w:rPr>
        <w:t>eligibility</w:t>
      </w:r>
      <w:r w:rsidR="00BF7F5F">
        <w:rPr>
          <w:rFonts w:ascii="Arial" w:hAnsi="Arial" w:cs="Arial"/>
          <w:b/>
          <w:i/>
          <w:sz w:val="24"/>
          <w:szCs w:val="24"/>
        </w:rPr>
        <w:t xml:space="preserve"> </w:t>
      </w:r>
    </w:p>
    <w:p w14:paraId="1D32E1B8" w14:textId="77777777" w:rsidR="00D201D1" w:rsidRPr="00D201D1" w:rsidRDefault="00D201D1" w:rsidP="00D201D1">
      <w:pPr>
        <w:pStyle w:val="ColorfulShading-Accent31"/>
        <w:ind w:left="360"/>
        <w:divId w:val="1213691618"/>
        <w:rPr>
          <w:rFonts w:ascii="Arial" w:hAnsi="Arial" w:cs="Arial"/>
          <w:bCs/>
          <w:iCs/>
          <w:sz w:val="24"/>
          <w:szCs w:val="24"/>
        </w:rPr>
      </w:pPr>
      <w:r>
        <w:rPr>
          <w:rFonts w:ascii="Arial" w:hAnsi="Arial" w:cs="Arial"/>
          <w:bCs/>
          <w:iCs/>
          <w:sz w:val="24"/>
          <w:szCs w:val="24"/>
        </w:rPr>
        <w:br/>
        <w:t xml:space="preserve">1.   Updates </w:t>
      </w:r>
      <w:r>
        <w:rPr>
          <w:rFonts w:ascii="Arial" w:hAnsi="Arial" w:cs="Arial"/>
          <w:sz w:val="24"/>
          <w:szCs w:val="24"/>
        </w:rPr>
        <w:t>to Medicare Savings Program language to comply with state law</w:t>
      </w:r>
    </w:p>
    <w:p w14:paraId="440A23B0" w14:textId="77777777" w:rsidR="00D201D1" w:rsidRPr="00D201D1" w:rsidRDefault="00CE390F" w:rsidP="00D201D1">
      <w:pPr>
        <w:pStyle w:val="ColorfulShading-Accent31"/>
        <w:ind w:left="1080"/>
        <w:divId w:val="1213691618"/>
        <w:rPr>
          <w:rFonts w:ascii="Arial" w:hAnsi="Arial" w:cs="Arial"/>
          <w:strike/>
          <w:sz w:val="24"/>
          <w:szCs w:val="24"/>
        </w:rPr>
      </w:pPr>
      <w:r>
        <w:rPr>
          <w:rFonts w:ascii="Arial" w:hAnsi="Arial" w:cs="Arial"/>
          <w:sz w:val="24"/>
          <w:szCs w:val="24"/>
        </w:rPr>
        <w:t xml:space="preserve">A.  </w:t>
      </w:r>
      <w:r w:rsidR="00BC48FA" w:rsidRPr="00DC758D">
        <w:rPr>
          <w:rFonts w:ascii="Arial" w:hAnsi="Arial" w:cs="Arial"/>
          <w:sz w:val="24"/>
          <w:szCs w:val="24"/>
        </w:rPr>
        <w:t xml:space="preserve">Increase the income limit for Medicare Savings Program benefits </w:t>
      </w:r>
      <w:r w:rsidR="00D201D1">
        <w:rPr>
          <w:rFonts w:ascii="Arial" w:hAnsi="Arial" w:cs="Arial"/>
          <w:sz w:val="24"/>
          <w:szCs w:val="24"/>
        </w:rPr>
        <w:br/>
        <w:t xml:space="preserve">      </w:t>
      </w:r>
      <w:r w:rsidR="00DD5E64">
        <w:rPr>
          <w:rFonts w:ascii="Arial" w:hAnsi="Arial" w:cs="Arial"/>
          <w:sz w:val="24"/>
          <w:szCs w:val="24"/>
        </w:rPr>
        <w:t xml:space="preserve">without an asset test </w:t>
      </w:r>
      <w:r w:rsidR="00BC48FA" w:rsidRPr="00DC758D">
        <w:rPr>
          <w:rFonts w:ascii="Arial" w:hAnsi="Arial" w:cs="Arial"/>
          <w:sz w:val="24"/>
          <w:szCs w:val="24"/>
        </w:rPr>
        <w:t>from 135% to 165%</w:t>
      </w:r>
    </w:p>
    <w:p w14:paraId="5407FA97" w14:textId="77777777" w:rsidR="00BC48FA" w:rsidRPr="001D0E27" w:rsidRDefault="00DD5E64" w:rsidP="00D201D1">
      <w:pPr>
        <w:pStyle w:val="ColorfulShading-Accent31"/>
        <w:ind w:firstLine="360"/>
        <w:divId w:val="1213691618"/>
        <w:rPr>
          <w:rFonts w:ascii="Arial" w:hAnsi="Arial" w:cs="Arial"/>
          <w:strike/>
          <w:sz w:val="24"/>
          <w:szCs w:val="24"/>
        </w:rPr>
      </w:pPr>
      <w:r>
        <w:rPr>
          <w:rFonts w:ascii="Arial" w:hAnsi="Arial" w:cs="Arial"/>
          <w:sz w:val="24"/>
          <w:szCs w:val="24"/>
        </w:rPr>
        <w:t>B</w:t>
      </w:r>
      <w:r w:rsidR="00CE390F">
        <w:rPr>
          <w:rFonts w:ascii="Arial" w:hAnsi="Arial" w:cs="Arial"/>
          <w:sz w:val="24"/>
          <w:szCs w:val="24"/>
        </w:rPr>
        <w:t xml:space="preserve">. </w:t>
      </w:r>
      <w:r w:rsidR="00D201D1">
        <w:rPr>
          <w:rFonts w:ascii="Arial" w:hAnsi="Arial" w:cs="Arial"/>
          <w:sz w:val="24"/>
          <w:szCs w:val="24"/>
        </w:rPr>
        <w:t xml:space="preserve"> </w:t>
      </w:r>
      <w:r w:rsidR="00E62468" w:rsidRPr="004B4B8A">
        <w:rPr>
          <w:rFonts w:ascii="Arial" w:hAnsi="Arial" w:cs="Arial"/>
          <w:sz w:val="24"/>
          <w:szCs w:val="24"/>
        </w:rPr>
        <w:t>A</w:t>
      </w:r>
      <w:r w:rsidR="00121CE4" w:rsidRPr="004B4B8A">
        <w:rPr>
          <w:rFonts w:ascii="Arial" w:hAnsi="Arial" w:cs="Arial"/>
          <w:sz w:val="24"/>
          <w:szCs w:val="24"/>
        </w:rPr>
        <w:t xml:space="preserve">llow Standard members </w:t>
      </w:r>
      <w:r w:rsidR="00F57E35" w:rsidRPr="004B4B8A">
        <w:rPr>
          <w:rFonts w:ascii="Arial" w:hAnsi="Arial" w:cs="Arial"/>
          <w:sz w:val="24"/>
          <w:szCs w:val="24"/>
        </w:rPr>
        <w:t xml:space="preserve">eligible through the State Plan </w:t>
      </w:r>
      <w:r w:rsidR="00121CE4" w:rsidRPr="004B4B8A">
        <w:rPr>
          <w:rFonts w:ascii="Arial" w:hAnsi="Arial" w:cs="Arial"/>
          <w:sz w:val="24"/>
          <w:szCs w:val="24"/>
        </w:rPr>
        <w:t xml:space="preserve">to also be </w:t>
      </w:r>
      <w:r w:rsidR="00D201D1">
        <w:rPr>
          <w:rFonts w:ascii="Arial" w:hAnsi="Arial" w:cs="Arial"/>
          <w:sz w:val="24"/>
          <w:szCs w:val="24"/>
        </w:rPr>
        <w:t xml:space="preserve">   </w:t>
      </w:r>
      <w:r w:rsidR="00D201D1">
        <w:rPr>
          <w:rFonts w:ascii="Arial" w:hAnsi="Arial" w:cs="Arial"/>
          <w:sz w:val="24"/>
          <w:szCs w:val="24"/>
        </w:rPr>
        <w:br/>
        <w:t xml:space="preserve">           </w:t>
      </w:r>
      <w:r w:rsidR="00121CE4" w:rsidRPr="004B4B8A">
        <w:rPr>
          <w:rFonts w:ascii="Arial" w:hAnsi="Arial" w:cs="Arial"/>
          <w:sz w:val="24"/>
          <w:szCs w:val="24"/>
        </w:rPr>
        <w:t xml:space="preserve">eligible for </w:t>
      </w:r>
      <w:r w:rsidR="004B4B8A" w:rsidRPr="004B4B8A">
        <w:rPr>
          <w:rFonts w:ascii="Arial" w:hAnsi="Arial" w:cs="Arial"/>
          <w:sz w:val="24"/>
          <w:szCs w:val="24"/>
        </w:rPr>
        <w:t xml:space="preserve">Qualified Individual </w:t>
      </w:r>
      <w:r w:rsidR="00121CE4" w:rsidRPr="004B4B8A">
        <w:rPr>
          <w:rFonts w:ascii="Arial" w:hAnsi="Arial" w:cs="Arial"/>
          <w:sz w:val="24"/>
          <w:szCs w:val="24"/>
        </w:rPr>
        <w:t>Medicare Saving Program benefits</w:t>
      </w:r>
    </w:p>
    <w:p w14:paraId="51256306" w14:textId="77777777" w:rsidR="00333618" w:rsidRPr="00D66BD3" w:rsidRDefault="00CE390F" w:rsidP="00333618">
      <w:pPr>
        <w:tabs>
          <w:tab w:val="left" w:pos="270"/>
        </w:tabs>
        <w:divId w:val="1213691618"/>
        <w:rPr>
          <w:rFonts w:ascii="Arial" w:hAnsi="Arial" w:cs="Arial"/>
          <w:sz w:val="24"/>
          <w:szCs w:val="24"/>
        </w:rPr>
      </w:pPr>
      <w:r>
        <w:rPr>
          <w:rFonts w:ascii="Arial" w:hAnsi="Arial" w:cs="Arial"/>
          <w:sz w:val="24"/>
          <w:szCs w:val="24"/>
        </w:rPr>
        <w:t xml:space="preserve">        </w:t>
      </w:r>
      <w:r w:rsidR="00D201D1">
        <w:rPr>
          <w:rFonts w:ascii="Arial" w:hAnsi="Arial" w:cs="Arial"/>
          <w:sz w:val="24"/>
          <w:szCs w:val="24"/>
        </w:rPr>
        <w:br/>
      </w:r>
      <w:r w:rsidR="00333618">
        <w:rPr>
          <w:rFonts w:ascii="Arial" w:hAnsi="Arial" w:cs="Arial"/>
          <w:sz w:val="24"/>
          <w:szCs w:val="24"/>
        </w:rPr>
        <w:t xml:space="preserve">     </w:t>
      </w:r>
      <w:r w:rsidR="00333618" w:rsidRPr="00D66BD3">
        <w:rPr>
          <w:rFonts w:ascii="Arial" w:hAnsi="Arial" w:cs="Arial"/>
          <w:sz w:val="24"/>
          <w:szCs w:val="24"/>
        </w:rPr>
        <w:t xml:space="preserve">2. </w:t>
      </w:r>
      <w:r w:rsidR="00333618" w:rsidRPr="00F52B8E">
        <w:rPr>
          <w:rFonts w:ascii="Arial" w:hAnsi="Arial" w:cs="Arial"/>
          <w:sz w:val="24"/>
          <w:szCs w:val="24"/>
        </w:rPr>
        <w:t xml:space="preserve"> Up</w:t>
      </w:r>
      <w:r w:rsidR="00333618" w:rsidRPr="00D66BD3">
        <w:rPr>
          <w:rFonts w:ascii="Arial" w:hAnsi="Arial" w:cs="Arial"/>
          <w:sz w:val="24"/>
          <w:szCs w:val="24"/>
        </w:rPr>
        <w:t>dates to eligibility for postpartum coverage</w:t>
      </w:r>
    </w:p>
    <w:p w14:paraId="2254B3CD" w14:textId="77777777" w:rsidR="00333618" w:rsidRPr="00D66BD3" w:rsidRDefault="00333618" w:rsidP="00333618">
      <w:pPr>
        <w:divId w:val="1213691618"/>
        <w:rPr>
          <w:rFonts w:ascii="Arial" w:hAnsi="Arial" w:cs="Arial"/>
          <w:sz w:val="24"/>
          <w:szCs w:val="24"/>
        </w:rPr>
      </w:pPr>
      <w:r w:rsidRPr="00D66BD3">
        <w:rPr>
          <w:rFonts w:ascii="Arial" w:hAnsi="Arial" w:cs="Arial"/>
          <w:sz w:val="24"/>
          <w:szCs w:val="24"/>
        </w:rPr>
        <w:tab/>
      </w:r>
      <w:r>
        <w:rPr>
          <w:rFonts w:ascii="Arial" w:hAnsi="Arial" w:cs="Arial"/>
          <w:sz w:val="24"/>
          <w:szCs w:val="24"/>
        </w:rPr>
        <w:t xml:space="preserve">     </w:t>
      </w:r>
      <w:r w:rsidRPr="00D66BD3">
        <w:rPr>
          <w:rFonts w:ascii="Arial" w:hAnsi="Arial" w:cs="Arial"/>
          <w:sz w:val="24"/>
          <w:szCs w:val="24"/>
        </w:rPr>
        <w:t xml:space="preserve">A.  Extend eligibility for postpartum coverage to 12 </w:t>
      </w:r>
      <w:proofErr w:type="gramStart"/>
      <w:r w:rsidRPr="00D66BD3">
        <w:rPr>
          <w:rFonts w:ascii="Arial" w:hAnsi="Arial" w:cs="Arial"/>
          <w:sz w:val="24"/>
          <w:szCs w:val="24"/>
        </w:rPr>
        <w:t>months</w:t>
      </w:r>
      <w:proofErr w:type="gramEnd"/>
    </w:p>
    <w:p w14:paraId="2682720D" w14:textId="77777777" w:rsidR="00333618" w:rsidRDefault="00333618" w:rsidP="00C67605">
      <w:pPr>
        <w:ind w:firstLine="720"/>
        <w:divId w:val="1213691618"/>
        <w:rPr>
          <w:rFonts w:ascii="Arial" w:hAnsi="Arial" w:cs="Arial"/>
          <w:b/>
          <w:bCs/>
          <w:i/>
          <w:iCs/>
          <w:sz w:val="24"/>
          <w:szCs w:val="24"/>
        </w:rPr>
      </w:pPr>
      <w:r>
        <w:rPr>
          <w:rFonts w:ascii="Arial" w:hAnsi="Arial" w:cs="Arial"/>
          <w:sz w:val="24"/>
          <w:szCs w:val="24"/>
        </w:rPr>
        <w:t xml:space="preserve">     </w:t>
      </w:r>
      <w:r w:rsidRPr="00D66BD3">
        <w:rPr>
          <w:rFonts w:ascii="Arial" w:hAnsi="Arial" w:cs="Arial"/>
          <w:sz w:val="24"/>
          <w:szCs w:val="24"/>
        </w:rPr>
        <w:t xml:space="preserve">B.  Authorize postpartum coverage for members not otherwise eligible due to </w:t>
      </w:r>
      <w:r>
        <w:rPr>
          <w:rFonts w:ascii="Arial" w:hAnsi="Arial" w:cs="Arial"/>
          <w:sz w:val="24"/>
          <w:szCs w:val="24"/>
        </w:rPr>
        <w:br/>
        <w:t xml:space="preserve">                     </w:t>
      </w:r>
      <w:r w:rsidRPr="00D66BD3">
        <w:rPr>
          <w:rFonts w:ascii="Arial" w:hAnsi="Arial" w:cs="Arial"/>
          <w:sz w:val="24"/>
          <w:szCs w:val="24"/>
        </w:rPr>
        <w:t>immigration status</w:t>
      </w:r>
      <w:r w:rsidRPr="00D66BD3">
        <w:rPr>
          <w:rFonts w:ascii="Arial" w:hAnsi="Arial" w:cs="Arial"/>
          <w:sz w:val="24"/>
          <w:szCs w:val="24"/>
        </w:rPr>
        <w:br/>
      </w:r>
    </w:p>
    <w:p w14:paraId="755E2780" w14:textId="77777777" w:rsidR="001D0E27" w:rsidRPr="00DD5E64" w:rsidRDefault="008B3C43" w:rsidP="00D201D1">
      <w:pPr>
        <w:pStyle w:val="ColorfulShading-Accent31"/>
        <w:ind w:left="0"/>
        <w:divId w:val="1213691618"/>
        <w:rPr>
          <w:rFonts w:ascii="Arial" w:hAnsi="Arial" w:cs="Arial"/>
          <w:b/>
          <w:bCs/>
          <w:i/>
          <w:iCs/>
          <w:sz w:val="24"/>
          <w:szCs w:val="24"/>
        </w:rPr>
      </w:pPr>
      <w:r>
        <w:rPr>
          <w:rFonts w:ascii="Arial" w:hAnsi="Arial" w:cs="Arial"/>
          <w:b/>
          <w:bCs/>
          <w:i/>
          <w:iCs/>
          <w:sz w:val="24"/>
          <w:szCs w:val="24"/>
        </w:rPr>
        <w:t>Enhancing</w:t>
      </w:r>
      <w:r w:rsidRPr="00DD5E64">
        <w:rPr>
          <w:rFonts w:ascii="Arial" w:hAnsi="Arial" w:cs="Arial"/>
          <w:b/>
          <w:bCs/>
          <w:i/>
          <w:iCs/>
          <w:sz w:val="24"/>
          <w:szCs w:val="24"/>
        </w:rPr>
        <w:t xml:space="preserve"> </w:t>
      </w:r>
      <w:r>
        <w:rPr>
          <w:rFonts w:ascii="Arial" w:hAnsi="Arial" w:cs="Arial"/>
          <w:b/>
          <w:bCs/>
          <w:i/>
          <w:iCs/>
          <w:sz w:val="24"/>
          <w:szCs w:val="24"/>
        </w:rPr>
        <w:t>services for specialized populations</w:t>
      </w:r>
    </w:p>
    <w:p w14:paraId="381E3DFB" w14:textId="77777777" w:rsidR="00D736E5" w:rsidRDefault="00333618" w:rsidP="00CE390F">
      <w:pPr>
        <w:pStyle w:val="ColorfulShading-Accent31"/>
        <w:ind w:left="360"/>
        <w:divId w:val="1213691618"/>
        <w:rPr>
          <w:rFonts w:ascii="Arial" w:hAnsi="Arial" w:cs="Arial"/>
          <w:sz w:val="24"/>
          <w:szCs w:val="24"/>
        </w:rPr>
      </w:pPr>
      <w:r>
        <w:rPr>
          <w:rFonts w:ascii="Arial" w:hAnsi="Arial" w:cs="Arial"/>
          <w:sz w:val="24"/>
          <w:szCs w:val="24"/>
        </w:rPr>
        <w:t>3</w:t>
      </w:r>
      <w:r w:rsidR="00CE390F">
        <w:rPr>
          <w:rFonts w:ascii="Arial" w:hAnsi="Arial" w:cs="Arial"/>
          <w:sz w:val="24"/>
          <w:szCs w:val="24"/>
        </w:rPr>
        <w:t xml:space="preserve">. </w:t>
      </w:r>
      <w:r w:rsidR="00D201D1">
        <w:rPr>
          <w:rFonts w:ascii="Arial" w:hAnsi="Arial" w:cs="Arial"/>
          <w:sz w:val="24"/>
          <w:szCs w:val="24"/>
        </w:rPr>
        <w:t xml:space="preserve">  </w:t>
      </w:r>
      <w:r w:rsidR="00BC48FA">
        <w:rPr>
          <w:rFonts w:ascii="Arial" w:hAnsi="Arial" w:cs="Arial"/>
          <w:sz w:val="24"/>
          <w:szCs w:val="24"/>
        </w:rPr>
        <w:t>Provide C</w:t>
      </w:r>
      <w:r w:rsidR="001226AA">
        <w:rPr>
          <w:rFonts w:ascii="Arial" w:hAnsi="Arial" w:cs="Arial"/>
          <w:sz w:val="24"/>
          <w:szCs w:val="24"/>
        </w:rPr>
        <w:t xml:space="preserve">ommunity </w:t>
      </w:r>
      <w:r w:rsidR="00BC48FA">
        <w:rPr>
          <w:rFonts w:ascii="Arial" w:hAnsi="Arial" w:cs="Arial"/>
          <w:sz w:val="24"/>
          <w:szCs w:val="24"/>
        </w:rPr>
        <w:t>S</w:t>
      </w:r>
      <w:r w:rsidR="001226AA">
        <w:rPr>
          <w:rFonts w:ascii="Arial" w:hAnsi="Arial" w:cs="Arial"/>
          <w:sz w:val="24"/>
          <w:szCs w:val="24"/>
        </w:rPr>
        <w:t xml:space="preserve">upport </w:t>
      </w:r>
      <w:r w:rsidR="00BC48FA">
        <w:rPr>
          <w:rFonts w:ascii="Arial" w:hAnsi="Arial" w:cs="Arial"/>
          <w:sz w:val="24"/>
          <w:szCs w:val="24"/>
        </w:rPr>
        <w:t>P</w:t>
      </w:r>
      <w:r w:rsidR="001226AA">
        <w:rPr>
          <w:rFonts w:ascii="Arial" w:hAnsi="Arial" w:cs="Arial"/>
          <w:sz w:val="24"/>
          <w:szCs w:val="24"/>
        </w:rPr>
        <w:t>rogram benefits</w:t>
      </w:r>
      <w:r w:rsidR="00BC48FA">
        <w:rPr>
          <w:rFonts w:ascii="Arial" w:hAnsi="Arial" w:cs="Arial"/>
          <w:sz w:val="24"/>
          <w:szCs w:val="24"/>
        </w:rPr>
        <w:t xml:space="preserve"> </w:t>
      </w:r>
      <w:r w:rsidR="009D01E1">
        <w:rPr>
          <w:rFonts w:ascii="Arial" w:hAnsi="Arial" w:cs="Arial"/>
          <w:sz w:val="24"/>
          <w:szCs w:val="24"/>
        </w:rPr>
        <w:t xml:space="preserve">with </w:t>
      </w:r>
      <w:r w:rsidR="0098697E">
        <w:rPr>
          <w:rFonts w:ascii="Arial" w:hAnsi="Arial" w:cs="Arial"/>
          <w:sz w:val="24"/>
          <w:szCs w:val="24"/>
        </w:rPr>
        <w:t xml:space="preserve">a </w:t>
      </w:r>
      <w:r w:rsidR="009D01E1">
        <w:rPr>
          <w:rFonts w:ascii="Arial" w:hAnsi="Arial" w:cs="Arial"/>
          <w:sz w:val="24"/>
          <w:szCs w:val="24"/>
        </w:rPr>
        <w:t xml:space="preserve">particularized focus for </w:t>
      </w:r>
      <w:r w:rsidR="00D201D1">
        <w:rPr>
          <w:rFonts w:ascii="Arial" w:hAnsi="Arial" w:cs="Arial"/>
          <w:sz w:val="24"/>
          <w:szCs w:val="24"/>
        </w:rPr>
        <w:br/>
        <w:t xml:space="preserve">      </w:t>
      </w:r>
      <w:r w:rsidR="00BC48FA">
        <w:rPr>
          <w:rFonts w:ascii="Arial" w:hAnsi="Arial" w:cs="Arial"/>
          <w:sz w:val="24"/>
          <w:szCs w:val="24"/>
        </w:rPr>
        <w:t xml:space="preserve">individuals </w:t>
      </w:r>
      <w:r w:rsidR="009D01E1">
        <w:rPr>
          <w:rFonts w:ascii="Arial" w:hAnsi="Arial" w:cs="Arial"/>
          <w:sz w:val="24"/>
          <w:szCs w:val="24"/>
        </w:rPr>
        <w:t>with justice involvement living in the community</w:t>
      </w:r>
      <w:r w:rsidR="001D0E27">
        <w:rPr>
          <w:rFonts w:ascii="Arial" w:hAnsi="Arial" w:cs="Arial"/>
          <w:sz w:val="24"/>
          <w:szCs w:val="24"/>
        </w:rPr>
        <w:br/>
      </w:r>
    </w:p>
    <w:p w14:paraId="7B3C8FFC" w14:textId="77777777" w:rsidR="00D736E5" w:rsidRPr="00D42B64" w:rsidRDefault="000B2AE7" w:rsidP="001D0E27">
      <w:pPr>
        <w:pStyle w:val="ColorfulShading-Accent31"/>
        <w:ind w:left="0"/>
        <w:divId w:val="1213691618"/>
        <w:rPr>
          <w:rFonts w:ascii="Arial" w:hAnsi="Arial" w:cs="Arial"/>
          <w:b/>
          <w:i/>
          <w:sz w:val="24"/>
          <w:szCs w:val="24"/>
        </w:rPr>
      </w:pPr>
      <w:r>
        <w:rPr>
          <w:rFonts w:ascii="Arial" w:hAnsi="Arial" w:cs="Arial"/>
          <w:b/>
          <w:i/>
          <w:sz w:val="24"/>
          <w:szCs w:val="24"/>
        </w:rPr>
        <w:br/>
      </w:r>
      <w:r w:rsidR="008B3C43">
        <w:rPr>
          <w:rFonts w:ascii="Arial" w:hAnsi="Arial" w:cs="Arial"/>
          <w:b/>
          <w:i/>
          <w:sz w:val="24"/>
          <w:szCs w:val="24"/>
        </w:rPr>
        <w:t xml:space="preserve">Providing flexibilities </w:t>
      </w:r>
      <w:r w:rsidR="00BC48FA">
        <w:rPr>
          <w:rFonts w:ascii="Arial" w:hAnsi="Arial" w:cs="Arial"/>
          <w:b/>
          <w:i/>
          <w:sz w:val="24"/>
          <w:szCs w:val="24"/>
        </w:rPr>
        <w:t xml:space="preserve">related to place of </w:t>
      </w:r>
      <w:proofErr w:type="gramStart"/>
      <w:r w:rsidR="00BC48FA">
        <w:rPr>
          <w:rFonts w:ascii="Arial" w:hAnsi="Arial" w:cs="Arial"/>
          <w:b/>
          <w:i/>
          <w:sz w:val="24"/>
          <w:szCs w:val="24"/>
        </w:rPr>
        <w:t>service</w:t>
      </w:r>
      <w:proofErr w:type="gramEnd"/>
    </w:p>
    <w:p w14:paraId="5D6CB387" w14:textId="77777777" w:rsidR="00E44281" w:rsidRDefault="00333618" w:rsidP="00333618">
      <w:pPr>
        <w:pStyle w:val="ColorfulShading-Accent31"/>
        <w:ind w:left="360"/>
        <w:divId w:val="1213691618"/>
        <w:rPr>
          <w:rFonts w:ascii="Arial" w:hAnsi="Arial" w:cs="Arial"/>
          <w:sz w:val="24"/>
          <w:szCs w:val="24"/>
        </w:rPr>
      </w:pPr>
      <w:r>
        <w:rPr>
          <w:rFonts w:ascii="Arial" w:hAnsi="Arial" w:cs="Arial"/>
          <w:sz w:val="24"/>
          <w:szCs w:val="24"/>
        </w:rPr>
        <w:t xml:space="preserve">4. </w:t>
      </w:r>
      <w:r w:rsidR="00BC48FA" w:rsidRPr="00E44281">
        <w:rPr>
          <w:rFonts w:ascii="Arial" w:hAnsi="Arial" w:cs="Arial"/>
          <w:sz w:val="24"/>
          <w:szCs w:val="24"/>
        </w:rPr>
        <w:t xml:space="preserve">Permit the state to make payments for clinic services delivered via telehealth </w:t>
      </w:r>
      <w:r w:rsidR="009D01E1">
        <w:rPr>
          <w:rFonts w:ascii="Arial" w:hAnsi="Arial" w:cs="Arial"/>
          <w:sz w:val="24"/>
          <w:szCs w:val="24"/>
        </w:rPr>
        <w:t>and</w:t>
      </w:r>
      <w:r w:rsidR="009D01E1" w:rsidRPr="00E44281">
        <w:rPr>
          <w:rFonts w:ascii="Arial" w:hAnsi="Arial" w:cs="Arial"/>
          <w:sz w:val="24"/>
          <w:szCs w:val="24"/>
        </w:rPr>
        <w:t xml:space="preserve"> </w:t>
      </w:r>
      <w:r>
        <w:rPr>
          <w:rFonts w:ascii="Arial" w:hAnsi="Arial" w:cs="Arial"/>
          <w:sz w:val="24"/>
          <w:szCs w:val="24"/>
        </w:rPr>
        <w:t xml:space="preserve">  </w:t>
      </w:r>
      <w:r>
        <w:rPr>
          <w:rFonts w:ascii="Arial" w:hAnsi="Arial" w:cs="Arial"/>
          <w:sz w:val="24"/>
          <w:szCs w:val="24"/>
        </w:rPr>
        <w:br/>
        <w:t xml:space="preserve">    </w:t>
      </w:r>
      <w:r w:rsidR="00BC48FA" w:rsidRPr="00E44281">
        <w:rPr>
          <w:rFonts w:ascii="Arial" w:hAnsi="Arial" w:cs="Arial"/>
          <w:sz w:val="24"/>
          <w:szCs w:val="24"/>
        </w:rPr>
        <w:t>in other non-clinic locations</w:t>
      </w:r>
    </w:p>
    <w:p w14:paraId="2E301AFC" w14:textId="77777777" w:rsidR="00BC48FA" w:rsidRDefault="00333618" w:rsidP="00333618">
      <w:pPr>
        <w:pStyle w:val="ColorfulShading-Accent31"/>
        <w:ind w:left="0" w:firstLine="360"/>
        <w:divId w:val="1213691618"/>
        <w:rPr>
          <w:rFonts w:ascii="Arial" w:hAnsi="Arial" w:cs="Arial"/>
          <w:sz w:val="24"/>
          <w:szCs w:val="24"/>
        </w:rPr>
      </w:pPr>
      <w:r>
        <w:rPr>
          <w:rFonts w:ascii="Arial" w:hAnsi="Arial" w:cs="Arial"/>
          <w:sz w:val="24"/>
          <w:szCs w:val="24"/>
        </w:rPr>
        <w:t xml:space="preserve">5. </w:t>
      </w:r>
      <w:r w:rsidR="00126229">
        <w:rPr>
          <w:rFonts w:ascii="Arial" w:hAnsi="Arial" w:cs="Arial"/>
          <w:sz w:val="24"/>
          <w:szCs w:val="24"/>
        </w:rPr>
        <w:t xml:space="preserve">Authorize a </w:t>
      </w:r>
      <w:r w:rsidR="00BC48FA" w:rsidRPr="00E44281">
        <w:rPr>
          <w:rFonts w:ascii="Arial" w:hAnsi="Arial" w:cs="Arial"/>
          <w:sz w:val="24"/>
          <w:szCs w:val="24"/>
        </w:rPr>
        <w:t>Hospital at Home</w:t>
      </w:r>
      <w:r w:rsidR="00126229">
        <w:rPr>
          <w:rFonts w:ascii="Arial" w:hAnsi="Arial" w:cs="Arial"/>
          <w:sz w:val="24"/>
          <w:szCs w:val="24"/>
        </w:rPr>
        <w:t xml:space="preserve"> program to </w:t>
      </w:r>
      <w:r w:rsidR="00520E6F">
        <w:rPr>
          <w:rFonts w:ascii="Arial" w:hAnsi="Arial" w:cs="Arial"/>
          <w:color w:val="000000"/>
          <w:sz w:val="24"/>
          <w:szCs w:val="24"/>
        </w:rPr>
        <w:t xml:space="preserve">reduce cost, improve quality and safety, </w:t>
      </w:r>
      <w:r>
        <w:rPr>
          <w:rFonts w:ascii="Arial" w:hAnsi="Arial" w:cs="Arial"/>
          <w:color w:val="000000"/>
          <w:sz w:val="24"/>
          <w:szCs w:val="24"/>
        </w:rPr>
        <w:br/>
        <w:t xml:space="preserve">         </w:t>
      </w:r>
      <w:r w:rsidR="00520E6F">
        <w:rPr>
          <w:rFonts w:ascii="Arial" w:hAnsi="Arial" w:cs="Arial"/>
          <w:color w:val="000000"/>
          <w:sz w:val="24"/>
          <w:szCs w:val="24"/>
        </w:rPr>
        <w:t xml:space="preserve">and improve patient experience </w:t>
      </w:r>
    </w:p>
    <w:p w14:paraId="06880054" w14:textId="77777777" w:rsidR="00FF4B6D" w:rsidRDefault="00FF4B6D" w:rsidP="002D670B">
      <w:pPr>
        <w:divId w:val="1213691618"/>
      </w:pPr>
      <w:bookmarkStart w:id="1" w:name="_Toc492641280"/>
    </w:p>
    <w:p w14:paraId="2A8154A2" w14:textId="77777777" w:rsidR="000B2AE7" w:rsidRDefault="000B2AE7" w:rsidP="002D670B">
      <w:pPr>
        <w:divId w:val="1213691618"/>
      </w:pPr>
    </w:p>
    <w:p w14:paraId="3E989495" w14:textId="77777777" w:rsidR="000B2AE7" w:rsidRDefault="000B2AE7" w:rsidP="002D670B">
      <w:pPr>
        <w:divId w:val="1213691618"/>
      </w:pPr>
    </w:p>
    <w:p w14:paraId="7E88E7C6" w14:textId="77777777" w:rsidR="000B2AE7" w:rsidRDefault="000B2AE7" w:rsidP="002D670B">
      <w:pPr>
        <w:divId w:val="1213691618"/>
      </w:pPr>
    </w:p>
    <w:p w14:paraId="65309A5A" w14:textId="77777777" w:rsidR="000B2AE7" w:rsidRDefault="000B2AE7" w:rsidP="002D670B">
      <w:pPr>
        <w:divId w:val="1213691618"/>
      </w:pPr>
    </w:p>
    <w:p w14:paraId="149E5F9D" w14:textId="18108388" w:rsidR="000B2AE7" w:rsidRDefault="000B2AE7" w:rsidP="002D670B">
      <w:pPr>
        <w:divId w:val="1213691618"/>
      </w:pPr>
    </w:p>
    <w:p w14:paraId="4C92B480" w14:textId="77777777" w:rsidR="00CA6A0E" w:rsidRPr="00CA6A0E" w:rsidRDefault="00CA6A0E" w:rsidP="002D670B">
      <w:pPr>
        <w:divId w:val="1213691618"/>
      </w:pPr>
    </w:p>
    <w:p w14:paraId="1AC6D99D" w14:textId="77777777" w:rsidR="000B2AE7" w:rsidRDefault="000B2AE7" w:rsidP="002D670B">
      <w:pPr>
        <w:divId w:val="1213691618"/>
      </w:pPr>
    </w:p>
    <w:p w14:paraId="59970BC3" w14:textId="77777777" w:rsidR="00D736E5" w:rsidRPr="00C7762A" w:rsidRDefault="00D736E5" w:rsidP="00A13119">
      <w:pPr>
        <w:pStyle w:val="Heading2"/>
        <w:divId w:val="1213691618"/>
      </w:pPr>
      <w:r w:rsidRPr="00D42B64">
        <w:lastRenderedPageBreak/>
        <w:t xml:space="preserve">Proposed </w:t>
      </w:r>
      <w:bookmarkEnd w:id="1"/>
      <w:r w:rsidR="00C7762A">
        <w:t>Changes to the Demonstration</w:t>
      </w:r>
    </w:p>
    <w:p w14:paraId="12AB2CBB" w14:textId="77777777" w:rsidR="00E44281" w:rsidRPr="00E44281" w:rsidRDefault="00662F90" w:rsidP="00E44281">
      <w:pPr>
        <w:pStyle w:val="ColorfulShading-Accent31"/>
        <w:ind w:left="0"/>
        <w:divId w:val="1213691618"/>
        <w:rPr>
          <w:rFonts w:ascii="Arial" w:hAnsi="Arial" w:cs="Arial"/>
          <w:b/>
          <w:bCs/>
          <w:sz w:val="24"/>
          <w:szCs w:val="24"/>
        </w:rPr>
      </w:pPr>
      <w:r>
        <w:rPr>
          <w:rFonts w:ascii="Arial" w:hAnsi="Arial" w:cs="Arial"/>
          <w:b/>
          <w:bCs/>
          <w:sz w:val="24"/>
          <w:szCs w:val="24"/>
        </w:rPr>
        <w:br/>
      </w:r>
      <w:r w:rsidR="00E44281" w:rsidRPr="00E44281">
        <w:rPr>
          <w:rFonts w:ascii="Arial" w:hAnsi="Arial" w:cs="Arial"/>
          <w:b/>
          <w:bCs/>
          <w:sz w:val="24"/>
          <w:szCs w:val="24"/>
        </w:rPr>
        <w:t xml:space="preserve">Increase the income limit for Medicare Savings Program </w:t>
      </w:r>
      <w:r w:rsidR="005E081B">
        <w:rPr>
          <w:rFonts w:ascii="Arial" w:hAnsi="Arial" w:cs="Arial"/>
          <w:b/>
          <w:bCs/>
          <w:sz w:val="24"/>
          <w:szCs w:val="24"/>
        </w:rPr>
        <w:t xml:space="preserve">(MSP) </w:t>
      </w:r>
      <w:r w:rsidR="00E44281" w:rsidRPr="00E44281">
        <w:rPr>
          <w:rFonts w:ascii="Arial" w:hAnsi="Arial" w:cs="Arial"/>
          <w:b/>
          <w:bCs/>
          <w:sz w:val="24"/>
          <w:szCs w:val="24"/>
        </w:rPr>
        <w:t xml:space="preserve">benefits </w:t>
      </w:r>
      <w:r w:rsidR="00CE390F">
        <w:rPr>
          <w:rFonts w:ascii="Arial" w:hAnsi="Arial" w:cs="Arial"/>
          <w:b/>
          <w:bCs/>
          <w:sz w:val="24"/>
          <w:szCs w:val="24"/>
        </w:rPr>
        <w:t>with</w:t>
      </w:r>
      <w:r w:rsidR="00C637D6">
        <w:rPr>
          <w:rFonts w:ascii="Arial" w:hAnsi="Arial" w:cs="Arial"/>
          <w:b/>
          <w:bCs/>
          <w:sz w:val="24"/>
          <w:szCs w:val="24"/>
        </w:rPr>
        <w:t>out</w:t>
      </w:r>
      <w:r w:rsidR="00CE390F">
        <w:rPr>
          <w:rFonts w:ascii="Arial" w:hAnsi="Arial" w:cs="Arial"/>
          <w:b/>
          <w:bCs/>
          <w:sz w:val="24"/>
          <w:szCs w:val="24"/>
        </w:rPr>
        <w:t xml:space="preserve"> an asset test </w:t>
      </w:r>
      <w:r w:rsidR="00E44281" w:rsidRPr="00E44281">
        <w:rPr>
          <w:rFonts w:ascii="Arial" w:hAnsi="Arial" w:cs="Arial"/>
          <w:b/>
          <w:bCs/>
          <w:sz w:val="24"/>
          <w:szCs w:val="24"/>
        </w:rPr>
        <w:t xml:space="preserve">to 165% </w:t>
      </w:r>
      <w:r w:rsidR="005E5878">
        <w:rPr>
          <w:rFonts w:ascii="Arial" w:hAnsi="Arial" w:cs="Arial"/>
          <w:b/>
          <w:bCs/>
          <w:sz w:val="24"/>
          <w:szCs w:val="24"/>
        </w:rPr>
        <w:t xml:space="preserve">to comply with state </w:t>
      </w:r>
      <w:proofErr w:type="gramStart"/>
      <w:r w:rsidR="005E5878">
        <w:rPr>
          <w:rFonts w:ascii="Arial" w:hAnsi="Arial" w:cs="Arial"/>
          <w:b/>
          <w:bCs/>
          <w:sz w:val="24"/>
          <w:szCs w:val="24"/>
        </w:rPr>
        <w:t>law</w:t>
      </w:r>
      <w:proofErr w:type="gramEnd"/>
    </w:p>
    <w:p w14:paraId="4BDFC332" w14:textId="77777777" w:rsidR="005E081B" w:rsidRDefault="00E44281" w:rsidP="00E44281">
      <w:pPr>
        <w:contextualSpacing/>
        <w:divId w:val="1213691618"/>
        <w:rPr>
          <w:rFonts w:ascii="Arial" w:hAnsi="Arial" w:cs="Arial"/>
          <w:sz w:val="24"/>
          <w:szCs w:val="24"/>
        </w:rPr>
      </w:pPr>
      <w:r w:rsidRPr="00E44281">
        <w:rPr>
          <w:rFonts w:ascii="Arial" w:hAnsi="Arial" w:cs="Arial"/>
          <w:sz w:val="24"/>
          <w:szCs w:val="24"/>
        </w:rPr>
        <w:t>The FY2019 State Budget included language to expand the</w:t>
      </w:r>
      <w:r w:rsidR="00023C3E">
        <w:rPr>
          <w:rFonts w:ascii="Arial" w:hAnsi="Arial" w:cs="Arial"/>
          <w:sz w:val="24"/>
          <w:szCs w:val="24"/>
        </w:rPr>
        <w:t xml:space="preserve"> standard</w:t>
      </w:r>
      <w:r w:rsidRPr="00E44281">
        <w:rPr>
          <w:rFonts w:ascii="Arial" w:hAnsi="Arial" w:cs="Arial"/>
          <w:sz w:val="24"/>
          <w:szCs w:val="24"/>
        </w:rPr>
        <w:t xml:space="preserve"> income limits for the three Medicare Savings Program</w:t>
      </w:r>
      <w:r w:rsidR="00023C3E">
        <w:rPr>
          <w:rFonts w:ascii="Arial" w:hAnsi="Arial" w:cs="Arial"/>
          <w:sz w:val="24"/>
          <w:szCs w:val="24"/>
        </w:rPr>
        <w:t>s</w:t>
      </w:r>
      <w:r w:rsidRPr="00E44281">
        <w:rPr>
          <w:rFonts w:ascii="Arial" w:hAnsi="Arial" w:cs="Arial"/>
          <w:sz w:val="24"/>
          <w:szCs w:val="24"/>
        </w:rPr>
        <w:t xml:space="preserve"> by disregarding 30% of the Federal Poverty Limit (FPL) from an applicant’s gross income and doubling the asset limits.  </w:t>
      </w:r>
      <w:r w:rsidR="00FF4BBC">
        <w:rPr>
          <w:rFonts w:ascii="Arial" w:hAnsi="Arial" w:cs="Arial"/>
          <w:sz w:val="24"/>
          <w:szCs w:val="24"/>
        </w:rPr>
        <w:t xml:space="preserve">In practice, this goal was achieved by raising income limits. </w:t>
      </w:r>
      <w:r w:rsidRPr="00E44281">
        <w:rPr>
          <w:rFonts w:ascii="Arial" w:hAnsi="Arial" w:cs="Arial"/>
          <w:sz w:val="24"/>
          <w:szCs w:val="24"/>
        </w:rPr>
        <w:t xml:space="preserve">The new income limits are therefore 130% FPL for the Qualified Medicare Beneficiary (QMB) program, 150% FPL for the Specified Low-Income Medicare Beneficiary (SLMB) program and 165% FPL for the Qualified Individual (QI) program. </w:t>
      </w:r>
      <w:r w:rsidR="005E081B">
        <w:rPr>
          <w:rFonts w:ascii="Arial" w:hAnsi="Arial" w:cs="Arial"/>
          <w:sz w:val="24"/>
          <w:szCs w:val="24"/>
        </w:rPr>
        <w:br/>
      </w:r>
      <w:r w:rsidR="005E081B">
        <w:rPr>
          <w:rFonts w:ascii="Arial" w:hAnsi="Arial" w:cs="Arial"/>
          <w:sz w:val="24"/>
          <w:szCs w:val="24"/>
        </w:rPr>
        <w:br/>
      </w:r>
      <w:r w:rsidRPr="00E44281">
        <w:rPr>
          <w:rFonts w:ascii="Arial" w:hAnsi="Arial" w:cs="Arial"/>
          <w:sz w:val="24"/>
          <w:szCs w:val="24"/>
        </w:rPr>
        <w:t xml:space="preserve">Under the currently approved 1115 </w:t>
      </w:r>
      <w:r w:rsidR="00C7762A">
        <w:rPr>
          <w:rFonts w:ascii="Arial" w:hAnsi="Arial" w:cs="Arial"/>
          <w:sz w:val="24"/>
          <w:szCs w:val="24"/>
        </w:rPr>
        <w:t>d</w:t>
      </w:r>
      <w:r w:rsidRPr="00E44281">
        <w:rPr>
          <w:rFonts w:ascii="Arial" w:hAnsi="Arial" w:cs="Arial"/>
          <w:sz w:val="24"/>
          <w:szCs w:val="24"/>
        </w:rPr>
        <w:t xml:space="preserve">emonstration, all MassHealth Standard members with income up to 133% FPL are eligible for QMB benefits without an asset test. The approved 1115 also authorizes </w:t>
      </w:r>
      <w:r w:rsidR="005E081B">
        <w:rPr>
          <w:rFonts w:ascii="Arial" w:hAnsi="Arial" w:cs="Arial"/>
          <w:sz w:val="24"/>
          <w:szCs w:val="24"/>
        </w:rPr>
        <w:t xml:space="preserve">the Commonwealth to pay for Medicare Part B premiums for </w:t>
      </w:r>
      <w:r w:rsidRPr="00E44281">
        <w:rPr>
          <w:rFonts w:ascii="Arial" w:hAnsi="Arial" w:cs="Arial"/>
          <w:sz w:val="24"/>
          <w:szCs w:val="24"/>
        </w:rPr>
        <w:t>CommonHealth members with income over the Standard limit and up to 135% FPL without an asset test</w:t>
      </w:r>
      <w:r w:rsidR="005E081B">
        <w:rPr>
          <w:rFonts w:ascii="Arial" w:hAnsi="Arial" w:cs="Arial"/>
          <w:sz w:val="24"/>
          <w:szCs w:val="24"/>
        </w:rPr>
        <w:t xml:space="preserve"> through the QI program</w:t>
      </w:r>
      <w:r w:rsidRPr="00E44281">
        <w:rPr>
          <w:rFonts w:ascii="Arial" w:hAnsi="Arial" w:cs="Arial"/>
          <w:sz w:val="24"/>
          <w:szCs w:val="24"/>
        </w:rPr>
        <w:t xml:space="preserve">. This amendment would increase the income limit for </w:t>
      </w:r>
      <w:r w:rsidR="005E081B">
        <w:rPr>
          <w:rFonts w:ascii="Arial" w:hAnsi="Arial" w:cs="Arial"/>
          <w:sz w:val="24"/>
          <w:szCs w:val="24"/>
        </w:rPr>
        <w:t xml:space="preserve">payment of the Medicare Part B premium </w:t>
      </w:r>
      <w:r w:rsidR="00CE390F">
        <w:rPr>
          <w:rFonts w:ascii="Arial" w:hAnsi="Arial" w:cs="Arial"/>
          <w:sz w:val="24"/>
          <w:szCs w:val="24"/>
        </w:rPr>
        <w:t xml:space="preserve">without an asset test </w:t>
      </w:r>
      <w:r w:rsidR="001D0E27">
        <w:rPr>
          <w:rFonts w:ascii="Arial" w:hAnsi="Arial" w:cs="Arial"/>
          <w:sz w:val="24"/>
          <w:szCs w:val="24"/>
        </w:rPr>
        <w:t xml:space="preserve">for CommonHealth members, including those 65 and over, </w:t>
      </w:r>
      <w:r w:rsidR="00CE390F">
        <w:rPr>
          <w:rFonts w:ascii="Arial" w:hAnsi="Arial" w:cs="Arial"/>
          <w:sz w:val="24"/>
          <w:szCs w:val="24"/>
        </w:rPr>
        <w:t xml:space="preserve">and for Standard members of any age that did not have asset test to determine their Standard eligibility </w:t>
      </w:r>
      <w:r w:rsidR="001D0E27">
        <w:rPr>
          <w:rFonts w:ascii="Arial" w:hAnsi="Arial" w:cs="Arial"/>
          <w:sz w:val="24"/>
          <w:szCs w:val="24"/>
        </w:rPr>
        <w:t xml:space="preserve">to 165% FPL </w:t>
      </w:r>
      <w:r w:rsidR="005E081B">
        <w:rPr>
          <w:rFonts w:ascii="Arial" w:hAnsi="Arial" w:cs="Arial"/>
          <w:sz w:val="24"/>
          <w:szCs w:val="24"/>
        </w:rPr>
        <w:t>(through SLMB for members over 1</w:t>
      </w:r>
      <w:r w:rsidRPr="00E44281">
        <w:rPr>
          <w:rFonts w:ascii="Arial" w:hAnsi="Arial" w:cs="Arial"/>
          <w:sz w:val="24"/>
          <w:szCs w:val="24"/>
        </w:rPr>
        <w:t>3</w:t>
      </w:r>
      <w:r w:rsidR="001D0E27">
        <w:rPr>
          <w:rFonts w:ascii="Arial" w:hAnsi="Arial" w:cs="Arial"/>
          <w:sz w:val="24"/>
          <w:szCs w:val="24"/>
        </w:rPr>
        <w:t>3</w:t>
      </w:r>
      <w:r w:rsidRPr="00E44281">
        <w:rPr>
          <w:rFonts w:ascii="Arial" w:hAnsi="Arial" w:cs="Arial"/>
          <w:sz w:val="24"/>
          <w:szCs w:val="24"/>
        </w:rPr>
        <w:t xml:space="preserve">% FPL </w:t>
      </w:r>
      <w:r w:rsidR="005E081B">
        <w:rPr>
          <w:rFonts w:ascii="Arial" w:hAnsi="Arial" w:cs="Arial"/>
          <w:sz w:val="24"/>
          <w:szCs w:val="24"/>
        </w:rPr>
        <w:t xml:space="preserve">and up to 150% </w:t>
      </w:r>
      <w:r w:rsidR="001D0E27">
        <w:rPr>
          <w:rFonts w:ascii="Arial" w:hAnsi="Arial" w:cs="Arial"/>
          <w:sz w:val="24"/>
          <w:szCs w:val="24"/>
        </w:rPr>
        <w:t xml:space="preserve">FPL </w:t>
      </w:r>
      <w:r w:rsidR="005E081B">
        <w:rPr>
          <w:rFonts w:ascii="Arial" w:hAnsi="Arial" w:cs="Arial"/>
          <w:sz w:val="24"/>
          <w:szCs w:val="24"/>
        </w:rPr>
        <w:t xml:space="preserve">and through QI for  members over 150% and up </w:t>
      </w:r>
      <w:r w:rsidRPr="00E44281">
        <w:rPr>
          <w:rFonts w:ascii="Arial" w:hAnsi="Arial" w:cs="Arial"/>
          <w:sz w:val="24"/>
          <w:szCs w:val="24"/>
        </w:rPr>
        <w:t>to 165% FPL</w:t>
      </w:r>
      <w:r w:rsidR="005E081B">
        <w:rPr>
          <w:rFonts w:ascii="Arial" w:hAnsi="Arial" w:cs="Arial"/>
          <w:sz w:val="24"/>
          <w:szCs w:val="24"/>
        </w:rPr>
        <w:t>)</w:t>
      </w:r>
      <w:r w:rsidRPr="00E44281">
        <w:rPr>
          <w:rFonts w:ascii="Arial" w:hAnsi="Arial" w:cs="Arial"/>
          <w:sz w:val="24"/>
          <w:szCs w:val="24"/>
        </w:rPr>
        <w:t xml:space="preserve"> to comply with the state budget language requiring the expansion of the income limits for the MSP programs. </w:t>
      </w:r>
      <w:r w:rsidR="00CE390F">
        <w:rPr>
          <w:rFonts w:ascii="Arial" w:hAnsi="Arial" w:cs="Arial"/>
          <w:sz w:val="24"/>
          <w:szCs w:val="24"/>
        </w:rPr>
        <w:t xml:space="preserve"> </w:t>
      </w:r>
    </w:p>
    <w:p w14:paraId="62503705" w14:textId="77777777" w:rsidR="004B4B8A" w:rsidRDefault="004B4B8A" w:rsidP="00E44281">
      <w:pPr>
        <w:contextualSpacing/>
        <w:divId w:val="1213691618"/>
        <w:rPr>
          <w:rFonts w:ascii="Arial" w:hAnsi="Arial" w:cs="Arial"/>
          <w:sz w:val="24"/>
          <w:szCs w:val="24"/>
        </w:rPr>
      </w:pPr>
    </w:p>
    <w:p w14:paraId="3A5B9D33" w14:textId="77777777" w:rsidR="001D0E27" w:rsidRDefault="001D0E27" w:rsidP="001D0E27">
      <w:pPr>
        <w:contextualSpacing/>
        <w:divId w:val="1213691618"/>
        <w:rPr>
          <w:rFonts w:ascii="Arial" w:hAnsi="Arial" w:cs="Arial"/>
          <w:sz w:val="24"/>
          <w:szCs w:val="24"/>
        </w:rPr>
      </w:pPr>
      <w:bookmarkStart w:id="2" w:name="_Hlk60316440"/>
      <w:r w:rsidRPr="00703270">
        <w:rPr>
          <w:rFonts w:ascii="Arial" w:hAnsi="Arial" w:cs="Arial"/>
          <w:sz w:val="24"/>
          <w:szCs w:val="24"/>
        </w:rPr>
        <w:t>This requ</w:t>
      </w:r>
      <w:r>
        <w:rPr>
          <w:rFonts w:ascii="Arial" w:hAnsi="Arial" w:cs="Arial"/>
          <w:sz w:val="24"/>
          <w:szCs w:val="24"/>
        </w:rPr>
        <w:t xml:space="preserve">est would </w:t>
      </w:r>
      <w:r w:rsidR="00CE390F">
        <w:rPr>
          <w:rFonts w:ascii="Arial" w:hAnsi="Arial" w:cs="Arial"/>
          <w:sz w:val="24"/>
          <w:szCs w:val="24"/>
        </w:rPr>
        <w:t xml:space="preserve">also </w:t>
      </w:r>
      <w:r>
        <w:rPr>
          <w:rFonts w:ascii="Arial" w:hAnsi="Arial" w:cs="Arial"/>
          <w:sz w:val="24"/>
          <w:szCs w:val="24"/>
        </w:rPr>
        <w:t>waive the language under Section 1902 of the Social Security Act prohibiting the provision of Qualified Individual benefits to individuals eligible for State Plan Medicaid, including individuals 65 and over.  CMS approved an amendment to the state’s Medicaid State Plan to allow the provision of QI benefits to individuals with income up to 165%</w:t>
      </w:r>
      <w:r w:rsidR="00CE390F">
        <w:rPr>
          <w:rFonts w:ascii="Arial" w:hAnsi="Arial" w:cs="Arial"/>
          <w:sz w:val="24"/>
          <w:szCs w:val="24"/>
        </w:rPr>
        <w:t xml:space="preserve"> to allow the state to comply with state law</w:t>
      </w:r>
      <w:r>
        <w:rPr>
          <w:rFonts w:ascii="Arial" w:hAnsi="Arial" w:cs="Arial"/>
          <w:sz w:val="24"/>
          <w:szCs w:val="24"/>
        </w:rPr>
        <w:t xml:space="preserve">. However, the prohibition under Section 1902 means that State Plan Standard members with income over 150% FPL and up to 165% FPL (and therefore over income for SLMB under the expansion) who pay a deductible to spend down to Standard eligibility will not receive assistance with their Part B premium, while individuals without State Plan eligibility in that income range can receive this benefit.  Individuals who pay a deductible to be eligible for MassHealth Standard are more likely to need medical care than those with QI only.  </w:t>
      </w:r>
    </w:p>
    <w:p w14:paraId="67AA73F5" w14:textId="77777777" w:rsidR="001D0E27" w:rsidRDefault="001D0E27" w:rsidP="001D0E27">
      <w:pPr>
        <w:contextualSpacing/>
        <w:divId w:val="1213691618"/>
        <w:rPr>
          <w:rFonts w:ascii="Arial" w:hAnsi="Arial" w:cs="Arial"/>
          <w:sz w:val="24"/>
          <w:szCs w:val="24"/>
        </w:rPr>
      </w:pPr>
    </w:p>
    <w:p w14:paraId="112F7452" w14:textId="77777777" w:rsidR="001D0E27" w:rsidRDefault="001D0E27" w:rsidP="00DC758D">
      <w:pPr>
        <w:contextualSpacing/>
        <w:divId w:val="1213691618"/>
        <w:rPr>
          <w:rFonts w:ascii="Arial" w:hAnsi="Arial" w:cs="Arial"/>
          <w:b/>
          <w:bCs/>
          <w:sz w:val="24"/>
          <w:szCs w:val="24"/>
        </w:rPr>
      </w:pPr>
    </w:p>
    <w:p w14:paraId="648E19FF" w14:textId="77777777" w:rsidR="00DC758D" w:rsidRPr="004B4B8A" w:rsidRDefault="00DC758D" w:rsidP="004B4B8A">
      <w:pPr>
        <w:contextualSpacing/>
        <w:divId w:val="1213691618"/>
        <w:rPr>
          <w:rFonts w:ascii="Arial" w:hAnsi="Arial" w:cs="Arial"/>
          <w:sz w:val="24"/>
          <w:szCs w:val="24"/>
        </w:rPr>
      </w:pPr>
    </w:p>
    <w:bookmarkEnd w:id="2"/>
    <w:p w14:paraId="3A882BEC" w14:textId="77777777" w:rsidR="004B4B8A" w:rsidRPr="00A6031B" w:rsidRDefault="004B4B8A" w:rsidP="004B4B8A">
      <w:pPr>
        <w:contextualSpacing/>
        <w:divId w:val="1213691618"/>
        <w:rPr>
          <w:rFonts w:ascii="Arial" w:hAnsi="Arial" w:cs="Arial"/>
          <w:b/>
          <w:bCs/>
          <w:sz w:val="24"/>
          <w:szCs w:val="24"/>
        </w:rPr>
      </w:pPr>
    </w:p>
    <w:p w14:paraId="1509BFE0" w14:textId="77777777" w:rsidR="00333618" w:rsidRPr="00333618" w:rsidRDefault="00333618" w:rsidP="00333618">
      <w:pPr>
        <w:divId w:val="1213691618"/>
        <w:rPr>
          <w:rFonts w:ascii="Arial" w:hAnsi="Arial" w:cs="Arial"/>
          <w:b/>
          <w:bCs/>
          <w:sz w:val="24"/>
          <w:szCs w:val="24"/>
        </w:rPr>
      </w:pPr>
      <w:r w:rsidRPr="00333618">
        <w:rPr>
          <w:rFonts w:ascii="Arial" w:hAnsi="Arial" w:cs="Arial"/>
          <w:b/>
          <w:bCs/>
          <w:sz w:val="24"/>
          <w:szCs w:val="24"/>
        </w:rPr>
        <w:lastRenderedPageBreak/>
        <w:t xml:space="preserve">Extend eligibility for postpartum coverage to 12 </w:t>
      </w:r>
      <w:proofErr w:type="gramStart"/>
      <w:r w:rsidRPr="00333618">
        <w:rPr>
          <w:rFonts w:ascii="Arial" w:hAnsi="Arial" w:cs="Arial"/>
          <w:b/>
          <w:bCs/>
          <w:sz w:val="24"/>
          <w:szCs w:val="24"/>
        </w:rPr>
        <w:t>months</w:t>
      </w:r>
      <w:proofErr w:type="gramEnd"/>
      <w:r w:rsidRPr="00333618">
        <w:rPr>
          <w:rFonts w:ascii="Arial" w:hAnsi="Arial" w:cs="Arial"/>
          <w:b/>
          <w:bCs/>
          <w:sz w:val="24"/>
          <w:szCs w:val="24"/>
        </w:rPr>
        <w:t xml:space="preserve"> </w:t>
      </w:r>
    </w:p>
    <w:p w14:paraId="32129E43" w14:textId="77777777" w:rsidR="00333618" w:rsidRPr="00333618" w:rsidRDefault="00333618" w:rsidP="00333618">
      <w:pPr>
        <w:divId w:val="1213691618"/>
        <w:rPr>
          <w:rFonts w:ascii="Arial" w:hAnsi="Arial" w:cs="Arial"/>
          <w:sz w:val="24"/>
          <w:szCs w:val="24"/>
        </w:rPr>
      </w:pPr>
      <w:r w:rsidRPr="00333618">
        <w:rPr>
          <w:rFonts w:ascii="Arial" w:hAnsi="Arial" w:cs="Arial"/>
          <w:sz w:val="24"/>
          <w:szCs w:val="24"/>
        </w:rPr>
        <w:t xml:space="preserve">MassHealth proposes to provide 12 months postpartum coverage, regardless of immigration status, to individuals with income up to 200% FPL. This extension of coverage will significantly improve access to health care and continuity of care, particularly in the vulnerable period after childbirth. Additionally, this will bring Medicaid into alignment with the seamless insurance coverage experienced by postpartum enrollees in commercial insurance plan. </w:t>
      </w:r>
    </w:p>
    <w:p w14:paraId="0F4E386D" w14:textId="77777777" w:rsidR="00333618" w:rsidRPr="00333618" w:rsidRDefault="00333618" w:rsidP="00333618">
      <w:pPr>
        <w:divId w:val="1213691618"/>
        <w:rPr>
          <w:rFonts w:ascii="Arial" w:hAnsi="Arial" w:cs="Arial"/>
          <w:b/>
          <w:bCs/>
          <w:sz w:val="24"/>
          <w:szCs w:val="24"/>
        </w:rPr>
      </w:pPr>
      <w:r w:rsidRPr="00333618">
        <w:rPr>
          <w:rFonts w:ascii="Arial" w:hAnsi="Arial" w:cs="Arial"/>
          <w:sz w:val="24"/>
          <w:szCs w:val="24"/>
        </w:rPr>
        <w:t xml:space="preserve">Under the American Rescue Plan, the new state plan option to extend postpartum coverage for 12 months for citizens and lawfully present immigrants goes into effect on April 1, 2022. Therefore, effective upon approval and through 3/31/2022*, MassHealth proposes to provide 12-months uninterrupted postpartum coverage for </w:t>
      </w:r>
      <w:r w:rsidR="007A2D44">
        <w:rPr>
          <w:rFonts w:ascii="Arial" w:hAnsi="Arial" w:cs="Arial"/>
          <w:sz w:val="24"/>
          <w:szCs w:val="24"/>
        </w:rPr>
        <w:t>members</w:t>
      </w:r>
      <w:r w:rsidRPr="00333618">
        <w:rPr>
          <w:rFonts w:ascii="Arial" w:hAnsi="Arial" w:cs="Arial"/>
          <w:sz w:val="24"/>
          <w:szCs w:val="24"/>
        </w:rPr>
        <w:t xml:space="preserve"> who are </w:t>
      </w:r>
      <w:r w:rsidR="007A2D44">
        <w:rPr>
          <w:rFonts w:ascii="Arial" w:hAnsi="Arial" w:cs="Arial"/>
          <w:sz w:val="24"/>
          <w:szCs w:val="24"/>
        </w:rPr>
        <w:t xml:space="preserve">citizens or </w:t>
      </w:r>
      <w:r w:rsidRPr="00333618">
        <w:rPr>
          <w:rFonts w:ascii="Arial" w:hAnsi="Arial" w:cs="Arial"/>
          <w:sz w:val="24"/>
          <w:szCs w:val="24"/>
        </w:rPr>
        <w:t xml:space="preserve">lawfully present </w:t>
      </w:r>
      <w:r w:rsidR="007A2D44">
        <w:rPr>
          <w:rFonts w:ascii="Arial" w:hAnsi="Arial" w:cs="Arial"/>
          <w:sz w:val="24"/>
          <w:szCs w:val="24"/>
        </w:rPr>
        <w:t xml:space="preserve">immigrants </w:t>
      </w:r>
      <w:r w:rsidRPr="00333618">
        <w:rPr>
          <w:rFonts w:ascii="Arial" w:hAnsi="Arial" w:cs="Arial"/>
          <w:sz w:val="24"/>
          <w:szCs w:val="24"/>
        </w:rPr>
        <w:t xml:space="preserve">and </w:t>
      </w:r>
      <w:r w:rsidR="007A2D44">
        <w:rPr>
          <w:rFonts w:ascii="Arial" w:hAnsi="Arial" w:cs="Arial"/>
          <w:sz w:val="24"/>
          <w:szCs w:val="24"/>
        </w:rPr>
        <w:t xml:space="preserve">who </w:t>
      </w:r>
      <w:r w:rsidRPr="00333618">
        <w:rPr>
          <w:rFonts w:ascii="Arial" w:hAnsi="Arial" w:cs="Arial"/>
          <w:sz w:val="24"/>
          <w:szCs w:val="24"/>
        </w:rPr>
        <w:t xml:space="preserve">have attested modified adjusted gross income (MAGI) at or below 200% of the federal poverty level (FPL).  </w:t>
      </w:r>
    </w:p>
    <w:p w14:paraId="46D75708" w14:textId="77777777" w:rsidR="00333618" w:rsidRPr="00333618" w:rsidRDefault="00333618" w:rsidP="00333618">
      <w:pPr>
        <w:divId w:val="1213691618"/>
        <w:rPr>
          <w:rFonts w:ascii="Arial" w:hAnsi="Arial" w:cs="Arial"/>
          <w:sz w:val="24"/>
          <w:szCs w:val="24"/>
        </w:rPr>
      </w:pPr>
      <w:r w:rsidRPr="00333618">
        <w:rPr>
          <w:rFonts w:ascii="Arial" w:hAnsi="Arial" w:cs="Arial"/>
          <w:sz w:val="24"/>
          <w:szCs w:val="24"/>
        </w:rPr>
        <w:t>In addition, effective upon approval, MassHealth proposes to provide 12-months uninterrupted postpartum coverage for members not otherwise eligible due to immigration status and who have attested MAGI at or below 200% of the federal poverty level (FPL).</w:t>
      </w:r>
      <w:r w:rsidR="00717040">
        <w:rPr>
          <w:rStyle w:val="FootnoteReference"/>
          <w:rFonts w:ascii="Arial" w:hAnsi="Arial" w:cs="Arial"/>
          <w:sz w:val="24"/>
          <w:szCs w:val="24"/>
        </w:rPr>
        <w:footnoteReference w:id="2"/>
      </w:r>
    </w:p>
    <w:p w14:paraId="4E32B8E7" w14:textId="77777777" w:rsidR="00333618" w:rsidRDefault="00333618" w:rsidP="00E44281">
      <w:pPr>
        <w:contextualSpacing/>
        <w:divId w:val="1213691618"/>
        <w:rPr>
          <w:rFonts w:ascii="Arial" w:hAnsi="Arial" w:cs="Arial"/>
          <w:b/>
          <w:bCs/>
          <w:sz w:val="24"/>
          <w:szCs w:val="24"/>
        </w:rPr>
      </w:pPr>
    </w:p>
    <w:p w14:paraId="0AEC5E72" w14:textId="77777777" w:rsidR="0000504B" w:rsidRPr="0000504B" w:rsidRDefault="0000504B" w:rsidP="00E44281">
      <w:pPr>
        <w:contextualSpacing/>
        <w:divId w:val="1213691618"/>
        <w:rPr>
          <w:rFonts w:ascii="Arial" w:hAnsi="Arial" w:cs="Arial"/>
          <w:b/>
          <w:bCs/>
          <w:sz w:val="24"/>
          <w:szCs w:val="24"/>
        </w:rPr>
      </w:pPr>
      <w:r w:rsidRPr="0000504B">
        <w:rPr>
          <w:rFonts w:ascii="Arial" w:hAnsi="Arial" w:cs="Arial"/>
          <w:b/>
          <w:bCs/>
          <w:sz w:val="24"/>
          <w:szCs w:val="24"/>
        </w:rPr>
        <w:t xml:space="preserve">Provide Community Support Program Services (CSP) </w:t>
      </w:r>
      <w:r w:rsidR="009D01E1">
        <w:rPr>
          <w:rFonts w:ascii="Arial" w:hAnsi="Arial" w:cs="Arial"/>
          <w:b/>
          <w:bCs/>
          <w:sz w:val="24"/>
          <w:szCs w:val="24"/>
        </w:rPr>
        <w:t>with a Particularized Focus for</w:t>
      </w:r>
      <w:r w:rsidR="009D01E1" w:rsidRPr="0000504B">
        <w:rPr>
          <w:rFonts w:ascii="Arial" w:hAnsi="Arial" w:cs="Arial"/>
          <w:b/>
          <w:bCs/>
          <w:sz w:val="24"/>
          <w:szCs w:val="24"/>
        </w:rPr>
        <w:t xml:space="preserve"> </w:t>
      </w:r>
      <w:r w:rsidRPr="0000504B">
        <w:rPr>
          <w:rFonts w:ascii="Arial" w:hAnsi="Arial" w:cs="Arial"/>
          <w:b/>
          <w:bCs/>
          <w:sz w:val="24"/>
          <w:szCs w:val="24"/>
        </w:rPr>
        <w:t>Individuals</w:t>
      </w:r>
      <w:r w:rsidR="009D01E1">
        <w:rPr>
          <w:rFonts w:ascii="Arial" w:hAnsi="Arial" w:cs="Arial"/>
          <w:b/>
          <w:bCs/>
          <w:sz w:val="24"/>
          <w:szCs w:val="24"/>
        </w:rPr>
        <w:t xml:space="preserve"> with Justice Involvement Living in the Community</w:t>
      </w:r>
    </w:p>
    <w:p w14:paraId="28EFFDCD" w14:textId="77777777" w:rsidR="00E44281" w:rsidRDefault="00E44281" w:rsidP="00E44281">
      <w:pPr>
        <w:contextualSpacing/>
        <w:divId w:val="1213691618"/>
        <w:rPr>
          <w:rFonts w:ascii="Times New Roman" w:hAnsi="Times New Roman"/>
          <w:sz w:val="24"/>
          <w:szCs w:val="24"/>
        </w:rPr>
      </w:pPr>
    </w:p>
    <w:p w14:paraId="19E878C4" w14:textId="77777777" w:rsidR="00F31F6E" w:rsidRPr="0098697E" w:rsidRDefault="008D5715" w:rsidP="008D5715">
      <w:pPr>
        <w:divId w:val="1213691618"/>
        <w:rPr>
          <w:rFonts w:ascii="Times" w:eastAsia="Times New Roman" w:hAnsi="Times"/>
          <w:sz w:val="20"/>
          <w:szCs w:val="20"/>
        </w:rPr>
      </w:pPr>
      <w:r>
        <w:rPr>
          <w:rFonts w:ascii="Arial" w:hAnsi="Arial" w:cs="Arial"/>
          <w:sz w:val="24"/>
          <w:szCs w:val="24"/>
        </w:rPr>
        <w:t xml:space="preserve">For MassHealth-eligible individuals </w:t>
      </w:r>
      <w:r w:rsidR="00BF7F5F">
        <w:rPr>
          <w:rFonts w:ascii="Arial" w:hAnsi="Arial" w:cs="Arial"/>
          <w:sz w:val="24"/>
          <w:szCs w:val="24"/>
        </w:rPr>
        <w:t xml:space="preserve">who have been </w:t>
      </w:r>
      <w:r>
        <w:rPr>
          <w:rFonts w:ascii="Arial" w:hAnsi="Arial" w:cs="Arial"/>
          <w:sz w:val="24"/>
          <w:szCs w:val="24"/>
        </w:rPr>
        <w:t>incarcerat</w:t>
      </w:r>
      <w:r w:rsidR="00BF7F5F">
        <w:rPr>
          <w:rFonts w:ascii="Arial" w:hAnsi="Arial" w:cs="Arial"/>
          <w:sz w:val="24"/>
          <w:szCs w:val="24"/>
        </w:rPr>
        <w:t>ed</w:t>
      </w:r>
      <w:r>
        <w:rPr>
          <w:rFonts w:ascii="Arial" w:hAnsi="Arial" w:cs="Arial"/>
          <w:sz w:val="24"/>
          <w:szCs w:val="24"/>
        </w:rPr>
        <w:t xml:space="preserve">, returning to the community can be fraught with barriers to accessing health care. </w:t>
      </w:r>
      <w:r w:rsidRPr="00203BB5">
        <w:rPr>
          <w:rFonts w:ascii="Arial" w:hAnsi="Arial" w:cs="Arial"/>
          <w:sz w:val="24"/>
          <w:szCs w:val="24"/>
        </w:rPr>
        <w:t>A significant portion of</w:t>
      </w:r>
      <w:r>
        <w:rPr>
          <w:rFonts w:ascii="Arial" w:hAnsi="Arial" w:cs="Arial"/>
          <w:sz w:val="24"/>
          <w:szCs w:val="24"/>
        </w:rPr>
        <w:t xml:space="preserve"> individuals who have experienced incarceration </w:t>
      </w:r>
      <w:r w:rsidRPr="00203BB5">
        <w:rPr>
          <w:rFonts w:ascii="Arial" w:hAnsi="Arial" w:cs="Arial"/>
          <w:sz w:val="24"/>
          <w:szCs w:val="24"/>
        </w:rPr>
        <w:t>have diagnosed mental health condition</w:t>
      </w:r>
      <w:r>
        <w:rPr>
          <w:rFonts w:ascii="Arial" w:hAnsi="Arial" w:cs="Arial"/>
          <w:sz w:val="24"/>
          <w:szCs w:val="24"/>
        </w:rPr>
        <w:t>s</w:t>
      </w:r>
      <w:r w:rsidRPr="00203BB5">
        <w:rPr>
          <w:rFonts w:ascii="Arial" w:hAnsi="Arial" w:cs="Arial"/>
          <w:sz w:val="24"/>
          <w:szCs w:val="24"/>
        </w:rPr>
        <w:t xml:space="preserve"> </w:t>
      </w:r>
      <w:r>
        <w:rPr>
          <w:rFonts w:ascii="Arial" w:hAnsi="Arial" w:cs="Arial"/>
          <w:sz w:val="24"/>
          <w:szCs w:val="24"/>
        </w:rPr>
        <w:t>and/</w:t>
      </w:r>
      <w:r w:rsidRPr="00203BB5">
        <w:rPr>
          <w:rFonts w:ascii="Arial" w:hAnsi="Arial" w:cs="Arial"/>
          <w:sz w:val="24"/>
          <w:szCs w:val="24"/>
        </w:rPr>
        <w:t xml:space="preserve">or </w:t>
      </w:r>
      <w:proofErr w:type="gramStart"/>
      <w:r w:rsidRPr="00203BB5">
        <w:rPr>
          <w:rFonts w:ascii="Arial" w:hAnsi="Arial" w:cs="Arial"/>
          <w:sz w:val="24"/>
          <w:szCs w:val="24"/>
        </w:rPr>
        <w:t>Substance Use Disorder</w:t>
      </w:r>
      <w:r>
        <w:rPr>
          <w:rFonts w:ascii="Arial" w:hAnsi="Arial" w:cs="Arial"/>
          <w:sz w:val="24"/>
          <w:szCs w:val="24"/>
        </w:rPr>
        <w:t>s</w:t>
      </w:r>
      <w:proofErr w:type="gramEnd"/>
      <w:r w:rsidRPr="00203BB5">
        <w:rPr>
          <w:rFonts w:ascii="Arial" w:hAnsi="Arial" w:cs="Arial"/>
          <w:sz w:val="24"/>
          <w:szCs w:val="24"/>
        </w:rPr>
        <w:t xml:space="preserve"> (SUD). Notably, the risk of opioid-related death for </w:t>
      </w:r>
      <w:r>
        <w:rPr>
          <w:rFonts w:ascii="Arial" w:hAnsi="Arial" w:cs="Arial"/>
          <w:sz w:val="24"/>
          <w:szCs w:val="24"/>
        </w:rPr>
        <w:t>Massachusetts residents returning to the community from incarceration</w:t>
      </w:r>
      <w:r w:rsidRPr="00203BB5">
        <w:rPr>
          <w:rFonts w:ascii="Arial" w:hAnsi="Arial" w:cs="Arial"/>
          <w:sz w:val="24"/>
          <w:szCs w:val="24"/>
        </w:rPr>
        <w:t xml:space="preserve"> is </w:t>
      </w:r>
      <w:r>
        <w:rPr>
          <w:rFonts w:ascii="Arial" w:hAnsi="Arial" w:cs="Arial"/>
          <w:sz w:val="24"/>
          <w:szCs w:val="24"/>
        </w:rPr>
        <w:t>120 times</w:t>
      </w:r>
      <w:r w:rsidRPr="00203BB5">
        <w:rPr>
          <w:rFonts w:ascii="Arial" w:hAnsi="Arial" w:cs="Arial"/>
          <w:sz w:val="24"/>
          <w:szCs w:val="24"/>
        </w:rPr>
        <w:t xml:space="preserve"> greater when compared to the rates for the general population. </w:t>
      </w:r>
      <w:r w:rsidR="00F17FD7">
        <w:rPr>
          <w:rFonts w:ascii="Arial" w:hAnsi="Arial" w:cs="Arial"/>
          <w:sz w:val="24"/>
          <w:szCs w:val="24"/>
        </w:rPr>
        <w:t xml:space="preserve">By far, </w:t>
      </w:r>
      <w:r w:rsidR="00311928" w:rsidRPr="009D708F">
        <w:rPr>
          <w:rFonts w:ascii="Arial" w:hAnsi="Arial" w:cs="Arial"/>
          <w:sz w:val="24"/>
          <w:szCs w:val="24"/>
        </w:rPr>
        <w:t>the</w:t>
      </w:r>
      <w:r w:rsidR="00311928">
        <w:rPr>
          <w:rFonts w:ascii="Arial" w:hAnsi="Arial" w:cs="Arial"/>
          <w:sz w:val="24"/>
          <w:szCs w:val="24"/>
        </w:rPr>
        <w:t xml:space="preserve"> </w:t>
      </w:r>
      <w:r w:rsidR="00F17FD7">
        <w:rPr>
          <w:rFonts w:ascii="Arial" w:hAnsi="Arial" w:cs="Arial"/>
          <w:sz w:val="24"/>
          <w:szCs w:val="24"/>
        </w:rPr>
        <w:t xml:space="preserve">risk is greatest </w:t>
      </w:r>
      <w:r>
        <w:rPr>
          <w:rFonts w:ascii="Arial" w:hAnsi="Arial" w:cs="Arial"/>
          <w:sz w:val="24"/>
          <w:szCs w:val="24"/>
        </w:rPr>
        <w:t>during the first month of release.</w:t>
      </w:r>
      <w:r>
        <w:rPr>
          <w:rStyle w:val="FootnoteReference"/>
          <w:rFonts w:ascii="Arial" w:hAnsi="Arial" w:cs="Arial"/>
          <w:sz w:val="24"/>
          <w:szCs w:val="24"/>
        </w:rPr>
        <w:footnoteReference w:id="3"/>
      </w:r>
      <w:r>
        <w:rPr>
          <w:rFonts w:ascii="Arial" w:hAnsi="Arial" w:cs="Arial"/>
          <w:sz w:val="24"/>
          <w:szCs w:val="24"/>
        </w:rPr>
        <w:t xml:space="preserve"> </w:t>
      </w:r>
      <w:r w:rsidR="00F31F6E" w:rsidRPr="00F31F6E">
        <w:rPr>
          <w:rFonts w:ascii="Arial" w:eastAsia="Times New Roman" w:hAnsi="Arial" w:cs="Arial"/>
          <w:color w:val="000000"/>
          <w:sz w:val="24"/>
          <w:szCs w:val="24"/>
          <w:shd w:val="clear" w:color="auto" w:fill="FFFFFF"/>
        </w:rPr>
        <w:t>MassHealth members with incarceration history have a much higher risk of opioid overdose than other MassHealth members.</w:t>
      </w:r>
      <w:r w:rsidR="00F31F6E">
        <w:rPr>
          <w:rStyle w:val="FootnoteReference"/>
          <w:rFonts w:ascii="Arial" w:hAnsi="Arial" w:cs="Arial"/>
          <w:sz w:val="24"/>
          <w:szCs w:val="24"/>
        </w:rPr>
        <w:footnoteReference w:id="4"/>
      </w:r>
    </w:p>
    <w:p w14:paraId="066DC223" w14:textId="77777777" w:rsidR="008D5715" w:rsidRDefault="00065704" w:rsidP="008D5715">
      <w:pPr>
        <w:contextualSpacing/>
        <w:divId w:val="1213691618"/>
        <w:rPr>
          <w:rFonts w:ascii="Arial" w:hAnsi="Arial" w:cs="Arial"/>
          <w:sz w:val="24"/>
          <w:szCs w:val="24"/>
        </w:rPr>
      </w:pPr>
      <w:r>
        <w:rPr>
          <w:rFonts w:ascii="Arial" w:hAnsi="Arial" w:cs="Arial"/>
          <w:sz w:val="24"/>
          <w:szCs w:val="24"/>
        </w:rPr>
        <w:t>T</w:t>
      </w:r>
      <w:r w:rsidR="008D5715">
        <w:rPr>
          <w:rFonts w:ascii="Arial" w:hAnsi="Arial" w:cs="Arial"/>
          <w:sz w:val="24"/>
          <w:szCs w:val="24"/>
        </w:rPr>
        <w:t xml:space="preserve">he first months following re-entry </w:t>
      </w:r>
      <w:r w:rsidR="009D01E1">
        <w:rPr>
          <w:rFonts w:ascii="Arial" w:hAnsi="Arial" w:cs="Arial"/>
          <w:sz w:val="24"/>
          <w:szCs w:val="24"/>
        </w:rPr>
        <w:t xml:space="preserve">into the community </w:t>
      </w:r>
      <w:r w:rsidR="00AA444C">
        <w:rPr>
          <w:rFonts w:ascii="Arial" w:hAnsi="Arial" w:cs="Arial"/>
          <w:sz w:val="24"/>
          <w:szCs w:val="24"/>
        </w:rPr>
        <w:t xml:space="preserve">are </w:t>
      </w:r>
      <w:r w:rsidR="008D5715">
        <w:rPr>
          <w:rFonts w:ascii="Arial" w:hAnsi="Arial" w:cs="Arial"/>
          <w:sz w:val="24"/>
          <w:szCs w:val="24"/>
        </w:rPr>
        <w:t xml:space="preserve">a time of transition for MassHealth-eligible individuals – transition into full MassHealth coverage; enrollment in </w:t>
      </w:r>
      <w:r w:rsidR="008D5715">
        <w:rPr>
          <w:rFonts w:ascii="Arial" w:hAnsi="Arial" w:cs="Arial"/>
          <w:sz w:val="24"/>
          <w:szCs w:val="24"/>
        </w:rPr>
        <w:lastRenderedPageBreak/>
        <w:t>managed care; and connecti</w:t>
      </w:r>
      <w:r w:rsidR="00A622D4">
        <w:rPr>
          <w:rFonts w:ascii="Arial" w:hAnsi="Arial" w:cs="Arial"/>
          <w:sz w:val="24"/>
          <w:szCs w:val="24"/>
        </w:rPr>
        <w:t>on</w:t>
      </w:r>
      <w:r w:rsidR="008D5715">
        <w:rPr>
          <w:rFonts w:ascii="Arial" w:hAnsi="Arial" w:cs="Arial"/>
          <w:sz w:val="24"/>
          <w:szCs w:val="24"/>
        </w:rPr>
        <w:t xml:space="preserve"> with community mental health, SUD treatment, and other providers. </w:t>
      </w:r>
    </w:p>
    <w:p w14:paraId="3BBD5E68" w14:textId="77777777" w:rsidR="008D5715" w:rsidRDefault="008D5715" w:rsidP="008D5715">
      <w:pPr>
        <w:contextualSpacing/>
        <w:divId w:val="1213691618"/>
        <w:rPr>
          <w:rFonts w:ascii="Arial" w:hAnsi="Arial" w:cs="Arial"/>
          <w:sz w:val="24"/>
          <w:szCs w:val="24"/>
        </w:rPr>
      </w:pPr>
    </w:p>
    <w:p w14:paraId="6ADB7D44" w14:textId="77777777" w:rsidR="008D5715" w:rsidRDefault="008D5715" w:rsidP="008D5715">
      <w:pPr>
        <w:contextualSpacing/>
        <w:divId w:val="1213691618"/>
        <w:rPr>
          <w:rFonts w:ascii="Arial" w:hAnsi="Arial" w:cs="Arial"/>
          <w:sz w:val="24"/>
          <w:szCs w:val="24"/>
        </w:rPr>
      </w:pPr>
      <w:r w:rsidRPr="00E75BC9">
        <w:rPr>
          <w:rFonts w:ascii="Arial" w:hAnsi="Arial" w:cs="Arial"/>
          <w:sz w:val="24"/>
          <w:szCs w:val="24"/>
        </w:rPr>
        <w:t xml:space="preserve">In 2019, MassHealth began </w:t>
      </w:r>
      <w:r>
        <w:rPr>
          <w:rFonts w:ascii="Arial" w:hAnsi="Arial" w:cs="Arial"/>
          <w:sz w:val="24"/>
          <w:szCs w:val="24"/>
        </w:rPr>
        <w:t>a state-funded demonstration to provide Behavioral Health Supports for Individuals who are Justice Involved (</w:t>
      </w:r>
      <w:r w:rsidR="009D01E1">
        <w:rPr>
          <w:rFonts w:ascii="Arial" w:hAnsi="Arial" w:cs="Arial"/>
          <w:sz w:val="24"/>
          <w:szCs w:val="24"/>
        </w:rPr>
        <w:t>BH-</w:t>
      </w:r>
      <w:r>
        <w:rPr>
          <w:rFonts w:ascii="Arial" w:hAnsi="Arial" w:cs="Arial"/>
          <w:sz w:val="24"/>
          <w:szCs w:val="24"/>
        </w:rPr>
        <w:t xml:space="preserve">JI) in Worcester and Middlesex </w:t>
      </w:r>
      <w:r w:rsidRPr="00E75BC9">
        <w:rPr>
          <w:rFonts w:ascii="Arial" w:hAnsi="Arial" w:cs="Arial"/>
          <w:sz w:val="24"/>
          <w:szCs w:val="24"/>
        </w:rPr>
        <w:t>counties</w:t>
      </w:r>
      <w:r w:rsidR="009D01E1">
        <w:rPr>
          <w:rFonts w:ascii="Arial" w:hAnsi="Arial" w:cs="Arial"/>
          <w:sz w:val="24"/>
          <w:szCs w:val="24"/>
        </w:rPr>
        <w:t xml:space="preserve"> through</w:t>
      </w:r>
      <w:r w:rsidR="009D01E1" w:rsidRPr="009D01E1">
        <w:rPr>
          <w:rFonts w:ascii="Arial" w:hAnsi="Arial" w:cs="Arial"/>
          <w:sz w:val="24"/>
          <w:szCs w:val="24"/>
        </w:rPr>
        <w:t xml:space="preserve"> </w:t>
      </w:r>
      <w:r w:rsidR="009D01E1">
        <w:rPr>
          <w:rFonts w:ascii="Arial" w:hAnsi="Arial" w:cs="Arial"/>
          <w:sz w:val="24"/>
          <w:szCs w:val="24"/>
        </w:rPr>
        <w:t xml:space="preserve">a partnership </w:t>
      </w:r>
      <w:r w:rsidR="00065704">
        <w:rPr>
          <w:rFonts w:ascii="Arial" w:hAnsi="Arial" w:cs="Arial"/>
          <w:sz w:val="24"/>
          <w:szCs w:val="24"/>
        </w:rPr>
        <w:t xml:space="preserve">among </w:t>
      </w:r>
      <w:r w:rsidR="009D01E1">
        <w:rPr>
          <w:rFonts w:ascii="Arial" w:hAnsi="Arial" w:cs="Arial"/>
          <w:sz w:val="24"/>
          <w:szCs w:val="24"/>
        </w:rPr>
        <w:t>MassHealth and Massachusetts’ Executive Office of the Trial Court, Massachusetts Parole Board, the Massachusetts Department of Corrections, and county Sheriffs</w:t>
      </w:r>
      <w:r w:rsidR="00FF0D64">
        <w:rPr>
          <w:rFonts w:ascii="Arial" w:hAnsi="Arial" w:cs="Arial"/>
          <w:sz w:val="24"/>
          <w:szCs w:val="24"/>
        </w:rPr>
        <w:t>’</w:t>
      </w:r>
      <w:r w:rsidR="009D01E1">
        <w:rPr>
          <w:rFonts w:ascii="Arial" w:hAnsi="Arial" w:cs="Arial"/>
          <w:sz w:val="24"/>
          <w:szCs w:val="24"/>
        </w:rPr>
        <w:t xml:space="preserve"> Offices</w:t>
      </w:r>
      <w:r w:rsidRPr="00E75BC9">
        <w:rPr>
          <w:rFonts w:ascii="Arial" w:hAnsi="Arial" w:cs="Arial"/>
          <w:sz w:val="24"/>
          <w:szCs w:val="24"/>
        </w:rPr>
        <w:t xml:space="preserve">. </w:t>
      </w:r>
      <w:r w:rsidR="009D01E1">
        <w:rPr>
          <w:rFonts w:ascii="Arial" w:hAnsi="Arial" w:cs="Arial"/>
          <w:sz w:val="24"/>
          <w:szCs w:val="24"/>
        </w:rPr>
        <w:t>BH-</w:t>
      </w:r>
      <w:r>
        <w:rPr>
          <w:rFonts w:ascii="Arial" w:hAnsi="Arial" w:cs="Arial"/>
          <w:sz w:val="24"/>
          <w:szCs w:val="24"/>
        </w:rPr>
        <w:t>JI includes</w:t>
      </w:r>
      <w:r w:rsidR="00706EB8">
        <w:rPr>
          <w:rFonts w:ascii="Arial" w:hAnsi="Arial" w:cs="Arial"/>
          <w:sz w:val="24"/>
          <w:szCs w:val="24"/>
        </w:rPr>
        <w:t xml:space="preserve"> two primary areas of support</w:t>
      </w:r>
      <w:r w:rsidR="00706EB8" w:rsidRPr="00706EB8">
        <w:rPr>
          <w:rFonts w:ascii="Arial" w:hAnsi="Arial" w:cs="Arial"/>
          <w:sz w:val="24"/>
          <w:szCs w:val="24"/>
        </w:rPr>
        <w:t xml:space="preserve"> </w:t>
      </w:r>
      <w:r w:rsidR="00706EB8">
        <w:rPr>
          <w:rFonts w:ascii="Arial" w:hAnsi="Arial" w:cs="Arial"/>
          <w:sz w:val="24"/>
          <w:szCs w:val="24"/>
        </w:rPr>
        <w:t>provided by navigators trained in supporting individuals with incarceration experience: (1)</w:t>
      </w:r>
      <w:r>
        <w:rPr>
          <w:rFonts w:ascii="Arial" w:hAnsi="Arial" w:cs="Arial"/>
          <w:sz w:val="24"/>
          <w:szCs w:val="24"/>
        </w:rPr>
        <w:t xml:space="preserve"> in-reach </w:t>
      </w:r>
      <w:r w:rsidR="00706EB8">
        <w:rPr>
          <w:rFonts w:ascii="Arial" w:hAnsi="Arial" w:cs="Arial"/>
          <w:sz w:val="24"/>
          <w:szCs w:val="24"/>
        </w:rPr>
        <w:t xml:space="preserve">activities which take place in correctional facilities prior to a participants’ release, </w:t>
      </w:r>
      <w:r>
        <w:rPr>
          <w:rFonts w:ascii="Arial" w:hAnsi="Arial" w:cs="Arial"/>
          <w:sz w:val="24"/>
          <w:szCs w:val="24"/>
        </w:rPr>
        <w:t>and</w:t>
      </w:r>
      <w:r w:rsidR="00706EB8">
        <w:rPr>
          <w:rFonts w:ascii="Arial" w:hAnsi="Arial" w:cs="Arial"/>
          <w:sz w:val="24"/>
          <w:szCs w:val="24"/>
        </w:rPr>
        <w:t xml:space="preserve"> (2)</w:t>
      </w:r>
      <w:r>
        <w:rPr>
          <w:rFonts w:ascii="Arial" w:hAnsi="Arial" w:cs="Arial"/>
          <w:sz w:val="24"/>
          <w:szCs w:val="24"/>
        </w:rPr>
        <w:t xml:space="preserve"> community supports</w:t>
      </w:r>
      <w:r w:rsidR="00706EB8">
        <w:rPr>
          <w:rFonts w:ascii="Arial" w:hAnsi="Arial" w:cs="Arial"/>
          <w:sz w:val="24"/>
          <w:szCs w:val="24"/>
        </w:rPr>
        <w:t xml:space="preserve"> provided to participants after release from incarceration and for individuals on probation or parole.</w:t>
      </w:r>
      <w:r>
        <w:rPr>
          <w:rStyle w:val="FootnoteReference"/>
          <w:rFonts w:ascii="Arial" w:hAnsi="Arial" w:cs="Arial"/>
          <w:sz w:val="24"/>
          <w:szCs w:val="24"/>
        </w:rPr>
        <w:footnoteReference w:id="5"/>
      </w:r>
      <w:r>
        <w:rPr>
          <w:rFonts w:ascii="Arial" w:hAnsi="Arial" w:cs="Arial"/>
          <w:sz w:val="24"/>
          <w:szCs w:val="24"/>
        </w:rPr>
        <w:t xml:space="preserve"> Through this effort, over </w:t>
      </w:r>
      <w:r w:rsidR="00380224">
        <w:rPr>
          <w:rFonts w:ascii="Arial" w:hAnsi="Arial" w:cs="Arial"/>
          <w:sz w:val="24"/>
          <w:szCs w:val="24"/>
        </w:rPr>
        <w:t>725</w:t>
      </w:r>
      <w:r>
        <w:rPr>
          <w:rFonts w:ascii="Arial" w:hAnsi="Arial" w:cs="Arial"/>
          <w:sz w:val="24"/>
          <w:szCs w:val="24"/>
        </w:rPr>
        <w:t xml:space="preserve"> individuals have been </w:t>
      </w:r>
      <w:r w:rsidRPr="00E75BC9">
        <w:rPr>
          <w:rFonts w:ascii="Arial" w:hAnsi="Arial" w:cs="Arial"/>
          <w:sz w:val="24"/>
          <w:szCs w:val="24"/>
        </w:rPr>
        <w:t xml:space="preserve">supported with navigation to health care and </w:t>
      </w:r>
      <w:r>
        <w:rPr>
          <w:rFonts w:ascii="Arial" w:hAnsi="Arial" w:cs="Arial"/>
          <w:sz w:val="24"/>
          <w:szCs w:val="24"/>
        </w:rPr>
        <w:t xml:space="preserve">improved access to resources </w:t>
      </w:r>
      <w:r w:rsidR="00065704">
        <w:rPr>
          <w:rFonts w:ascii="Arial" w:hAnsi="Arial" w:cs="Arial"/>
          <w:sz w:val="24"/>
          <w:szCs w:val="24"/>
        </w:rPr>
        <w:t>for</w:t>
      </w:r>
      <w:r>
        <w:rPr>
          <w:rFonts w:ascii="Arial" w:hAnsi="Arial" w:cs="Arial"/>
          <w:sz w:val="24"/>
          <w:szCs w:val="24"/>
        </w:rPr>
        <w:t xml:space="preserve"> health</w:t>
      </w:r>
      <w:r w:rsidR="00065704">
        <w:rPr>
          <w:rFonts w:ascii="Arial" w:hAnsi="Arial" w:cs="Arial"/>
          <w:sz w:val="24"/>
          <w:szCs w:val="24"/>
        </w:rPr>
        <w:t>-related social needs</w:t>
      </w:r>
      <w:r w:rsidR="009D01E1">
        <w:rPr>
          <w:rFonts w:ascii="Arial" w:hAnsi="Arial" w:cs="Arial"/>
          <w:sz w:val="24"/>
          <w:szCs w:val="24"/>
        </w:rPr>
        <w:t xml:space="preserve"> </w:t>
      </w:r>
      <w:r w:rsidR="00065704">
        <w:rPr>
          <w:rFonts w:ascii="Arial" w:hAnsi="Arial" w:cs="Arial"/>
          <w:sz w:val="24"/>
          <w:szCs w:val="24"/>
        </w:rPr>
        <w:t>as participants return to</w:t>
      </w:r>
      <w:r w:rsidR="00706EB8">
        <w:rPr>
          <w:rFonts w:ascii="Arial" w:hAnsi="Arial" w:cs="Arial"/>
          <w:sz w:val="24"/>
          <w:szCs w:val="24"/>
        </w:rPr>
        <w:t xml:space="preserve"> the community</w:t>
      </w:r>
      <w:r>
        <w:rPr>
          <w:rFonts w:ascii="Arial" w:hAnsi="Arial" w:cs="Arial"/>
          <w:sz w:val="24"/>
          <w:szCs w:val="24"/>
        </w:rPr>
        <w:t xml:space="preserve">. </w:t>
      </w:r>
      <w:r w:rsidR="00B8172B">
        <w:rPr>
          <w:rFonts w:ascii="Arial" w:hAnsi="Arial" w:cs="Arial"/>
          <w:sz w:val="24"/>
          <w:szCs w:val="24"/>
        </w:rPr>
        <w:t xml:space="preserve">Typically, these supports are more intensive during the first month of enrollment and/or first month of release from </w:t>
      </w:r>
      <w:proofErr w:type="gramStart"/>
      <w:r w:rsidR="00B8172B">
        <w:rPr>
          <w:rFonts w:ascii="Arial" w:hAnsi="Arial" w:cs="Arial"/>
          <w:sz w:val="24"/>
          <w:szCs w:val="24"/>
        </w:rPr>
        <w:t>a correctional facility</w:t>
      </w:r>
      <w:proofErr w:type="gramEnd"/>
      <w:r w:rsidR="00B8172B">
        <w:rPr>
          <w:rFonts w:ascii="Arial" w:hAnsi="Arial" w:cs="Arial"/>
          <w:sz w:val="24"/>
          <w:szCs w:val="24"/>
        </w:rPr>
        <w:t xml:space="preserve">, in which individuals are at </w:t>
      </w:r>
      <w:r w:rsidR="00B8172B" w:rsidRPr="00F31F6E">
        <w:rPr>
          <w:rFonts w:ascii="Arial" w:eastAsia="Times New Roman" w:hAnsi="Arial" w:cs="Arial"/>
          <w:color w:val="000000"/>
          <w:sz w:val="24"/>
          <w:szCs w:val="24"/>
          <w:shd w:val="clear" w:color="auto" w:fill="FFFFFF"/>
        </w:rPr>
        <w:t>higher risk of opioid overdose</w:t>
      </w:r>
      <w:r w:rsidR="00B8172B">
        <w:rPr>
          <w:rFonts w:ascii="Arial" w:hAnsi="Arial" w:cs="Arial"/>
          <w:sz w:val="24"/>
          <w:szCs w:val="24"/>
        </w:rPr>
        <w:t xml:space="preserve">. Length of engagement is based on medical </w:t>
      </w:r>
      <w:proofErr w:type="gramStart"/>
      <w:r w:rsidR="00B8172B">
        <w:rPr>
          <w:rFonts w:ascii="Arial" w:hAnsi="Arial" w:cs="Arial"/>
          <w:sz w:val="24"/>
          <w:szCs w:val="24"/>
        </w:rPr>
        <w:t>necessity, but</w:t>
      </w:r>
      <w:proofErr w:type="gramEnd"/>
      <w:r w:rsidR="00B8172B">
        <w:rPr>
          <w:rFonts w:ascii="Arial" w:hAnsi="Arial" w:cs="Arial"/>
          <w:sz w:val="24"/>
          <w:szCs w:val="24"/>
        </w:rPr>
        <w:t xml:space="preserve"> is on average about six months.</w:t>
      </w:r>
      <w:r>
        <w:rPr>
          <w:rFonts w:ascii="Arial" w:hAnsi="Arial" w:cs="Arial"/>
          <w:sz w:val="24"/>
          <w:szCs w:val="24"/>
        </w:rPr>
        <w:t xml:space="preserve"> </w:t>
      </w:r>
    </w:p>
    <w:p w14:paraId="01619078" w14:textId="77777777" w:rsidR="008D5715" w:rsidRDefault="008D5715" w:rsidP="008D5715">
      <w:pPr>
        <w:contextualSpacing/>
        <w:divId w:val="1213691618"/>
        <w:rPr>
          <w:rFonts w:ascii="Arial" w:hAnsi="Arial" w:cs="Arial"/>
          <w:sz w:val="24"/>
          <w:szCs w:val="24"/>
        </w:rPr>
      </w:pPr>
    </w:p>
    <w:p w14:paraId="16EFFB53" w14:textId="77777777" w:rsidR="008D5715" w:rsidRDefault="009D01E1" w:rsidP="008D5715">
      <w:pPr>
        <w:contextualSpacing/>
        <w:divId w:val="1213691618"/>
        <w:rPr>
          <w:rFonts w:ascii="Arial" w:hAnsi="Arial" w:cs="Arial"/>
          <w:sz w:val="24"/>
          <w:szCs w:val="24"/>
        </w:rPr>
      </w:pPr>
      <w:r>
        <w:rPr>
          <w:rFonts w:ascii="Arial" w:hAnsi="Arial" w:cs="Arial"/>
          <w:sz w:val="24"/>
          <w:szCs w:val="24"/>
        </w:rPr>
        <w:t>MassHealth believes that a</w:t>
      </w:r>
      <w:r w:rsidRPr="00203BB5">
        <w:rPr>
          <w:rFonts w:ascii="Arial" w:hAnsi="Arial" w:cs="Arial"/>
          <w:sz w:val="24"/>
          <w:szCs w:val="24"/>
        </w:rPr>
        <w:t xml:space="preserve">ccess </w:t>
      </w:r>
      <w:r w:rsidR="008D5715" w:rsidRPr="00203BB5">
        <w:rPr>
          <w:rFonts w:ascii="Arial" w:hAnsi="Arial" w:cs="Arial"/>
          <w:sz w:val="24"/>
          <w:szCs w:val="24"/>
        </w:rPr>
        <w:t xml:space="preserve">to </w:t>
      </w:r>
      <w:r>
        <w:rPr>
          <w:rFonts w:ascii="Arial" w:hAnsi="Arial" w:cs="Arial"/>
          <w:sz w:val="24"/>
          <w:szCs w:val="24"/>
        </w:rPr>
        <w:t xml:space="preserve">community </w:t>
      </w:r>
      <w:r w:rsidR="008D5715" w:rsidRPr="00203BB5">
        <w:rPr>
          <w:rFonts w:ascii="Arial" w:hAnsi="Arial" w:cs="Arial"/>
          <w:sz w:val="24"/>
          <w:szCs w:val="24"/>
        </w:rPr>
        <w:t>supports</w:t>
      </w:r>
      <w:r>
        <w:rPr>
          <w:rFonts w:ascii="Arial" w:hAnsi="Arial" w:cs="Arial"/>
          <w:sz w:val="24"/>
          <w:szCs w:val="24"/>
        </w:rPr>
        <w:t>, such as those provided through BH-JI,</w:t>
      </w:r>
      <w:r w:rsidR="008D5715" w:rsidRPr="00203BB5">
        <w:rPr>
          <w:rFonts w:ascii="Arial" w:hAnsi="Arial" w:cs="Arial"/>
          <w:sz w:val="24"/>
          <w:szCs w:val="24"/>
        </w:rPr>
        <w:t xml:space="preserve"> </w:t>
      </w:r>
      <w:r>
        <w:rPr>
          <w:rFonts w:ascii="Arial" w:hAnsi="Arial" w:cs="Arial"/>
          <w:sz w:val="24"/>
          <w:szCs w:val="24"/>
        </w:rPr>
        <w:t>will be</w:t>
      </w:r>
      <w:r w:rsidR="008D5715" w:rsidRPr="00203BB5">
        <w:rPr>
          <w:rFonts w:ascii="Arial" w:hAnsi="Arial" w:cs="Arial"/>
          <w:sz w:val="24"/>
          <w:szCs w:val="24"/>
        </w:rPr>
        <w:t xml:space="preserve"> critical to improving and maintaining the health and stability of th</w:t>
      </w:r>
      <w:r w:rsidR="008D5715">
        <w:rPr>
          <w:rFonts w:ascii="Arial" w:hAnsi="Arial" w:cs="Arial"/>
          <w:sz w:val="24"/>
          <w:szCs w:val="24"/>
        </w:rPr>
        <w:t>is</w:t>
      </w:r>
      <w:r w:rsidR="008D5715" w:rsidRPr="00203BB5">
        <w:rPr>
          <w:rFonts w:ascii="Arial" w:hAnsi="Arial" w:cs="Arial"/>
          <w:sz w:val="24"/>
          <w:szCs w:val="24"/>
        </w:rPr>
        <w:t xml:space="preserve"> population, aiding their transition back to</w:t>
      </w:r>
      <w:r w:rsidR="002C0D90">
        <w:rPr>
          <w:rFonts w:ascii="Arial" w:hAnsi="Arial" w:cs="Arial"/>
          <w:sz w:val="24"/>
          <w:szCs w:val="24"/>
        </w:rPr>
        <w:t xml:space="preserve"> the community</w:t>
      </w:r>
      <w:r w:rsidR="008D5715" w:rsidRPr="00203BB5">
        <w:rPr>
          <w:rFonts w:ascii="Arial" w:hAnsi="Arial" w:cs="Arial"/>
          <w:sz w:val="24"/>
          <w:szCs w:val="24"/>
        </w:rPr>
        <w:t xml:space="preserve"> and promoting successful community tenure. </w:t>
      </w:r>
      <w:r w:rsidR="008D5715">
        <w:rPr>
          <w:rFonts w:ascii="Arial" w:hAnsi="Arial" w:cs="Arial"/>
          <w:sz w:val="24"/>
          <w:szCs w:val="24"/>
        </w:rPr>
        <w:t xml:space="preserve"> Preliminary results from </w:t>
      </w:r>
      <w:r w:rsidR="00D86296">
        <w:rPr>
          <w:rFonts w:ascii="Arial" w:hAnsi="Arial" w:cs="Arial"/>
          <w:sz w:val="24"/>
          <w:szCs w:val="24"/>
        </w:rPr>
        <w:t xml:space="preserve">the </w:t>
      </w:r>
      <w:r w:rsidR="008D5715">
        <w:rPr>
          <w:rFonts w:ascii="Arial" w:hAnsi="Arial" w:cs="Arial"/>
          <w:sz w:val="24"/>
          <w:szCs w:val="24"/>
        </w:rPr>
        <w:t xml:space="preserve">Massachusetts’ </w:t>
      </w:r>
      <w:r>
        <w:rPr>
          <w:rFonts w:ascii="Arial" w:hAnsi="Arial" w:cs="Arial"/>
          <w:sz w:val="24"/>
          <w:szCs w:val="24"/>
        </w:rPr>
        <w:t>BH-</w:t>
      </w:r>
      <w:r w:rsidR="008D5715">
        <w:rPr>
          <w:rFonts w:ascii="Arial" w:hAnsi="Arial" w:cs="Arial"/>
          <w:sz w:val="24"/>
          <w:szCs w:val="24"/>
        </w:rPr>
        <w:t xml:space="preserve">JI demonstration indicate a decrease in inpatient and emergency room utilization, and increased connection to more appropriate outpatient behavioral health services. </w:t>
      </w:r>
    </w:p>
    <w:p w14:paraId="0F896DAF" w14:textId="77777777" w:rsidR="008D5715" w:rsidRDefault="008D5715" w:rsidP="008D5715">
      <w:pPr>
        <w:contextualSpacing/>
        <w:divId w:val="1213691618"/>
        <w:rPr>
          <w:rFonts w:ascii="Arial" w:hAnsi="Arial" w:cs="Arial"/>
          <w:sz w:val="24"/>
          <w:szCs w:val="24"/>
        </w:rPr>
      </w:pPr>
    </w:p>
    <w:p w14:paraId="264178FA" w14:textId="77777777" w:rsidR="00DC0AC4" w:rsidRDefault="008D5715" w:rsidP="008D5715">
      <w:pPr>
        <w:contextualSpacing/>
        <w:divId w:val="1213691618"/>
        <w:rPr>
          <w:rFonts w:ascii="Arial" w:hAnsi="Arial" w:cs="Arial"/>
          <w:sz w:val="24"/>
          <w:szCs w:val="24"/>
        </w:rPr>
      </w:pPr>
      <w:r>
        <w:rPr>
          <w:rFonts w:ascii="Arial" w:hAnsi="Arial" w:cs="Arial"/>
          <w:sz w:val="24"/>
          <w:szCs w:val="24"/>
        </w:rPr>
        <w:t xml:space="preserve">Massachusetts intends to continue its </w:t>
      </w:r>
      <w:r w:rsidR="00706EB8">
        <w:rPr>
          <w:rFonts w:ascii="Arial" w:hAnsi="Arial" w:cs="Arial"/>
          <w:sz w:val="24"/>
          <w:szCs w:val="24"/>
        </w:rPr>
        <w:t>BH-</w:t>
      </w:r>
      <w:r>
        <w:rPr>
          <w:rFonts w:ascii="Arial" w:hAnsi="Arial" w:cs="Arial"/>
          <w:sz w:val="24"/>
          <w:szCs w:val="24"/>
        </w:rPr>
        <w:t>JI demonstration</w:t>
      </w:r>
      <w:r w:rsidR="00A701EF">
        <w:rPr>
          <w:rFonts w:ascii="Arial" w:hAnsi="Arial" w:cs="Arial"/>
          <w:sz w:val="24"/>
          <w:szCs w:val="24"/>
        </w:rPr>
        <w:t xml:space="preserve"> </w:t>
      </w:r>
      <w:r>
        <w:rPr>
          <w:rFonts w:ascii="Arial" w:hAnsi="Arial" w:cs="Arial"/>
          <w:sz w:val="24"/>
          <w:szCs w:val="24"/>
        </w:rPr>
        <w:t xml:space="preserve">and expand it statewide. A portion of this project (in-reach supports and </w:t>
      </w:r>
      <w:r w:rsidR="00706EB8">
        <w:rPr>
          <w:rFonts w:ascii="Arial" w:hAnsi="Arial" w:cs="Arial"/>
          <w:sz w:val="24"/>
          <w:szCs w:val="24"/>
        </w:rPr>
        <w:t xml:space="preserve">community </w:t>
      </w:r>
      <w:r>
        <w:rPr>
          <w:rFonts w:ascii="Arial" w:hAnsi="Arial" w:cs="Arial"/>
          <w:sz w:val="24"/>
          <w:szCs w:val="24"/>
        </w:rPr>
        <w:t xml:space="preserve">supports provided to fee-for-service members) would continue to be funded with state-only dollars. </w:t>
      </w:r>
      <w:r w:rsidR="00DC0AC4">
        <w:rPr>
          <w:rFonts w:ascii="Arial" w:hAnsi="Arial" w:cs="Arial"/>
          <w:sz w:val="24"/>
          <w:szCs w:val="24"/>
        </w:rPr>
        <w:t xml:space="preserve">Eligible individuals </w:t>
      </w:r>
      <w:r w:rsidR="00FF0D64">
        <w:rPr>
          <w:rFonts w:ascii="Arial" w:hAnsi="Arial" w:cs="Arial"/>
          <w:sz w:val="24"/>
          <w:szCs w:val="24"/>
        </w:rPr>
        <w:t xml:space="preserve">for whom services cannot be funded through </w:t>
      </w:r>
      <w:r w:rsidR="00DC0AC4">
        <w:rPr>
          <w:rFonts w:ascii="Arial" w:hAnsi="Arial" w:cs="Arial"/>
          <w:sz w:val="24"/>
          <w:szCs w:val="24"/>
        </w:rPr>
        <w:t>Medicaid under subdivision (A) following paragraph (30) of section 1905(a) of the Social Security Act (42 U.S.C. 1396d) will be covered by state-only funding through the BH-JI program.</w:t>
      </w:r>
    </w:p>
    <w:p w14:paraId="38CAD8F6" w14:textId="77777777" w:rsidR="00DC0AC4" w:rsidRDefault="00DC0AC4" w:rsidP="008D5715">
      <w:pPr>
        <w:contextualSpacing/>
        <w:divId w:val="1213691618"/>
        <w:rPr>
          <w:rFonts w:ascii="Arial" w:hAnsi="Arial" w:cs="Arial"/>
          <w:sz w:val="24"/>
          <w:szCs w:val="24"/>
        </w:rPr>
      </w:pPr>
    </w:p>
    <w:p w14:paraId="58F23829" w14:textId="77777777" w:rsidR="008D5715" w:rsidRPr="009E1282" w:rsidRDefault="008D5715" w:rsidP="008D5715">
      <w:pPr>
        <w:contextualSpacing/>
        <w:divId w:val="1213691618"/>
        <w:rPr>
          <w:rFonts w:ascii="Arial" w:hAnsi="Arial" w:cs="Arial"/>
          <w:sz w:val="24"/>
          <w:szCs w:val="24"/>
        </w:rPr>
      </w:pPr>
      <w:r>
        <w:rPr>
          <w:rFonts w:ascii="Arial" w:hAnsi="Arial" w:cs="Arial"/>
          <w:sz w:val="24"/>
          <w:szCs w:val="24"/>
        </w:rPr>
        <w:t xml:space="preserve">This amendment would authorize Medicaid funding </w:t>
      </w:r>
      <w:r w:rsidR="00706EB8">
        <w:rPr>
          <w:rFonts w:ascii="Arial" w:hAnsi="Arial" w:cs="Arial"/>
          <w:sz w:val="24"/>
          <w:szCs w:val="24"/>
        </w:rPr>
        <w:t xml:space="preserve">for the community supports provided to </w:t>
      </w:r>
      <w:r w:rsidR="00DC0AC4">
        <w:rPr>
          <w:rFonts w:ascii="Arial" w:hAnsi="Arial" w:cs="Arial"/>
          <w:sz w:val="24"/>
          <w:szCs w:val="24"/>
        </w:rPr>
        <w:t xml:space="preserve">MassHealth </w:t>
      </w:r>
      <w:r w:rsidR="00706EB8">
        <w:rPr>
          <w:rFonts w:ascii="Arial" w:hAnsi="Arial" w:cs="Arial"/>
          <w:sz w:val="24"/>
          <w:szCs w:val="24"/>
        </w:rPr>
        <w:t xml:space="preserve">managed care enrolled individuals through the Community Support Program (CSP) already authorized under the Commonwealth’s 1115 </w:t>
      </w:r>
      <w:r w:rsidR="00C7762A">
        <w:rPr>
          <w:rFonts w:ascii="Arial" w:hAnsi="Arial" w:cs="Arial"/>
          <w:sz w:val="24"/>
          <w:szCs w:val="24"/>
        </w:rPr>
        <w:lastRenderedPageBreak/>
        <w:t>d</w:t>
      </w:r>
      <w:r w:rsidR="00706EB8">
        <w:rPr>
          <w:rFonts w:ascii="Arial" w:hAnsi="Arial" w:cs="Arial"/>
          <w:sz w:val="24"/>
          <w:szCs w:val="24"/>
        </w:rPr>
        <w:t xml:space="preserve">emonstration waiver.  </w:t>
      </w:r>
      <w:r w:rsidRPr="009E1282">
        <w:rPr>
          <w:rFonts w:ascii="Arial" w:hAnsi="Arial" w:cs="Arial"/>
          <w:sz w:val="24"/>
          <w:szCs w:val="24"/>
        </w:rPr>
        <w:t>Like the currently approved CSP</w:t>
      </w:r>
      <w:r w:rsidR="00706EB8">
        <w:rPr>
          <w:rFonts w:ascii="Arial" w:hAnsi="Arial" w:cs="Arial"/>
          <w:sz w:val="24"/>
          <w:szCs w:val="24"/>
        </w:rPr>
        <w:t xml:space="preserve"> services provided to</w:t>
      </w:r>
      <w:r w:rsidRPr="009E1282">
        <w:rPr>
          <w:rFonts w:ascii="Arial" w:hAnsi="Arial" w:cs="Arial"/>
          <w:sz w:val="24"/>
          <w:szCs w:val="24"/>
        </w:rPr>
        <w:t xml:space="preserve"> </w:t>
      </w:r>
      <w:r w:rsidR="00706EB8">
        <w:rPr>
          <w:rFonts w:ascii="Arial" w:hAnsi="Arial" w:cs="Arial"/>
          <w:sz w:val="24"/>
          <w:szCs w:val="24"/>
        </w:rPr>
        <w:t>chronically homeless individuals</w:t>
      </w:r>
      <w:r>
        <w:rPr>
          <w:rFonts w:ascii="Arial" w:hAnsi="Arial" w:cs="Arial"/>
          <w:sz w:val="24"/>
          <w:szCs w:val="24"/>
        </w:rPr>
        <w:t>,</w:t>
      </w:r>
      <w:r w:rsidRPr="009E1282">
        <w:rPr>
          <w:rFonts w:ascii="Arial" w:hAnsi="Arial" w:cs="Arial"/>
          <w:sz w:val="24"/>
          <w:szCs w:val="24"/>
        </w:rPr>
        <w:t xml:space="preserve"> the CSP service domains for </w:t>
      </w:r>
      <w:r w:rsidR="00706EB8">
        <w:rPr>
          <w:rFonts w:ascii="Arial" w:hAnsi="Arial" w:cs="Arial"/>
          <w:sz w:val="24"/>
          <w:szCs w:val="24"/>
        </w:rPr>
        <w:t>individuals with justice involvement</w:t>
      </w:r>
      <w:r w:rsidR="00DC0AC4">
        <w:rPr>
          <w:rFonts w:ascii="Arial" w:hAnsi="Arial" w:cs="Arial"/>
          <w:sz w:val="24"/>
          <w:szCs w:val="24"/>
        </w:rPr>
        <w:t xml:space="preserve"> (CSP-JI)</w:t>
      </w:r>
      <w:r w:rsidR="00706EB8">
        <w:rPr>
          <w:rFonts w:ascii="Arial" w:hAnsi="Arial" w:cs="Arial"/>
          <w:sz w:val="24"/>
          <w:szCs w:val="24"/>
        </w:rPr>
        <w:t xml:space="preserve"> </w:t>
      </w:r>
      <w:r w:rsidRPr="009E1282">
        <w:rPr>
          <w:rFonts w:ascii="Arial" w:hAnsi="Arial" w:cs="Arial"/>
          <w:sz w:val="24"/>
          <w:szCs w:val="24"/>
        </w:rPr>
        <w:t>would include:</w:t>
      </w:r>
    </w:p>
    <w:p w14:paraId="5F615682" w14:textId="77777777" w:rsidR="008D5715" w:rsidRPr="009E1282" w:rsidRDefault="008D5715" w:rsidP="008D5715">
      <w:pPr>
        <w:numPr>
          <w:ilvl w:val="0"/>
          <w:numId w:val="25"/>
        </w:numPr>
        <w:spacing w:after="0" w:line="240" w:lineRule="auto"/>
        <w:contextualSpacing/>
        <w:divId w:val="1213691618"/>
        <w:rPr>
          <w:rFonts w:ascii="Arial" w:hAnsi="Arial" w:cs="Arial"/>
          <w:sz w:val="24"/>
          <w:szCs w:val="24"/>
        </w:rPr>
      </w:pPr>
      <w:r w:rsidRPr="009E1282">
        <w:rPr>
          <w:rFonts w:ascii="Arial" w:hAnsi="Arial" w:cs="Arial"/>
          <w:sz w:val="24"/>
          <w:szCs w:val="24"/>
        </w:rPr>
        <w:t>Assisting Members in enhancing daily living skills</w:t>
      </w:r>
    </w:p>
    <w:p w14:paraId="34409C5C" w14:textId="77777777" w:rsidR="008D5715" w:rsidRPr="009E1282" w:rsidRDefault="008D5715" w:rsidP="008D5715">
      <w:pPr>
        <w:numPr>
          <w:ilvl w:val="0"/>
          <w:numId w:val="25"/>
        </w:numPr>
        <w:spacing w:after="0" w:line="240" w:lineRule="auto"/>
        <w:contextualSpacing/>
        <w:divId w:val="1213691618"/>
        <w:rPr>
          <w:rFonts w:ascii="Arial" w:hAnsi="Arial" w:cs="Arial"/>
          <w:sz w:val="24"/>
          <w:szCs w:val="24"/>
        </w:rPr>
      </w:pPr>
      <w:r w:rsidRPr="009E1282">
        <w:rPr>
          <w:rFonts w:ascii="Arial" w:hAnsi="Arial" w:cs="Arial"/>
          <w:sz w:val="24"/>
          <w:szCs w:val="24"/>
        </w:rPr>
        <w:t>Providing service coordination and linkages</w:t>
      </w:r>
    </w:p>
    <w:p w14:paraId="2DBB34D0" w14:textId="77777777" w:rsidR="008D5715" w:rsidRPr="009E1282" w:rsidRDefault="008D5715" w:rsidP="008D5715">
      <w:pPr>
        <w:numPr>
          <w:ilvl w:val="0"/>
          <w:numId w:val="25"/>
        </w:numPr>
        <w:spacing w:after="0" w:line="240" w:lineRule="auto"/>
        <w:contextualSpacing/>
        <w:divId w:val="1213691618"/>
        <w:rPr>
          <w:rFonts w:ascii="Arial" w:hAnsi="Arial" w:cs="Arial"/>
          <w:sz w:val="24"/>
          <w:szCs w:val="24"/>
        </w:rPr>
      </w:pPr>
      <w:r w:rsidRPr="009E1282">
        <w:rPr>
          <w:rFonts w:ascii="Arial" w:hAnsi="Arial" w:cs="Arial"/>
          <w:sz w:val="24"/>
          <w:szCs w:val="24"/>
        </w:rPr>
        <w:t>Assisting Members with obtaining benefits, housing, and health care</w:t>
      </w:r>
    </w:p>
    <w:p w14:paraId="01E5DCAB" w14:textId="77777777" w:rsidR="008D5715" w:rsidRPr="009E1282" w:rsidRDefault="008D5715" w:rsidP="008D5715">
      <w:pPr>
        <w:numPr>
          <w:ilvl w:val="0"/>
          <w:numId w:val="25"/>
        </w:numPr>
        <w:spacing w:after="0" w:line="240" w:lineRule="auto"/>
        <w:contextualSpacing/>
        <w:divId w:val="1213691618"/>
        <w:rPr>
          <w:rFonts w:ascii="Arial" w:hAnsi="Arial" w:cs="Arial"/>
          <w:sz w:val="24"/>
          <w:szCs w:val="24"/>
        </w:rPr>
      </w:pPr>
      <w:r w:rsidRPr="009E1282">
        <w:rPr>
          <w:rFonts w:ascii="Arial" w:hAnsi="Arial" w:cs="Arial"/>
          <w:sz w:val="24"/>
          <w:szCs w:val="24"/>
        </w:rPr>
        <w:t xml:space="preserve">Developing a crisis plan in the event of a psychiatric </w:t>
      </w:r>
      <w:proofErr w:type="gramStart"/>
      <w:r w:rsidRPr="009E1282">
        <w:rPr>
          <w:rFonts w:ascii="Arial" w:hAnsi="Arial" w:cs="Arial"/>
          <w:sz w:val="24"/>
          <w:szCs w:val="24"/>
        </w:rPr>
        <w:t>crisis</w:t>
      </w:r>
      <w:proofErr w:type="gramEnd"/>
    </w:p>
    <w:p w14:paraId="6A4F3C13" w14:textId="77777777" w:rsidR="008D5715" w:rsidRPr="009E1282" w:rsidRDefault="008D5715" w:rsidP="008D5715">
      <w:pPr>
        <w:numPr>
          <w:ilvl w:val="0"/>
          <w:numId w:val="25"/>
        </w:numPr>
        <w:spacing w:after="0" w:line="240" w:lineRule="auto"/>
        <w:contextualSpacing/>
        <w:divId w:val="1213691618"/>
        <w:rPr>
          <w:rFonts w:ascii="Arial" w:hAnsi="Arial" w:cs="Arial"/>
        </w:rPr>
      </w:pPr>
      <w:r w:rsidRPr="009E1282">
        <w:rPr>
          <w:rFonts w:ascii="Arial" w:hAnsi="Arial" w:cs="Arial"/>
          <w:sz w:val="24"/>
          <w:szCs w:val="24"/>
        </w:rPr>
        <w:t>Providing prevention and intervention</w:t>
      </w:r>
    </w:p>
    <w:p w14:paraId="7CC08855" w14:textId="77777777" w:rsidR="008D5715" w:rsidRPr="009E1282" w:rsidRDefault="008D5715" w:rsidP="008D5715">
      <w:pPr>
        <w:numPr>
          <w:ilvl w:val="0"/>
          <w:numId w:val="25"/>
        </w:numPr>
        <w:spacing w:after="0" w:line="240" w:lineRule="auto"/>
        <w:contextualSpacing/>
        <w:divId w:val="1213691618"/>
        <w:rPr>
          <w:rFonts w:ascii="Arial" w:hAnsi="Arial" w:cs="Arial"/>
          <w:sz w:val="24"/>
          <w:szCs w:val="24"/>
        </w:rPr>
      </w:pPr>
      <w:r w:rsidRPr="009E1282">
        <w:rPr>
          <w:rFonts w:ascii="Arial" w:hAnsi="Arial" w:cs="Arial"/>
          <w:sz w:val="24"/>
          <w:szCs w:val="24"/>
        </w:rPr>
        <w:t>Fostering empowerment and recovery, including linkages to peer support and self-help groups</w:t>
      </w:r>
      <w:r w:rsidRPr="009E1282">
        <w:rPr>
          <w:rFonts w:ascii="Arial" w:hAnsi="Arial" w:cs="Arial"/>
          <w:sz w:val="24"/>
          <w:szCs w:val="24"/>
        </w:rPr>
        <w:br/>
      </w:r>
    </w:p>
    <w:p w14:paraId="013B1726" w14:textId="77777777" w:rsidR="008D5715" w:rsidRDefault="00EF7440" w:rsidP="008D5715">
      <w:pPr>
        <w:contextualSpacing/>
        <w:divId w:val="1213691618"/>
        <w:rPr>
          <w:rFonts w:ascii="Arial" w:hAnsi="Arial" w:cs="Arial"/>
          <w:sz w:val="24"/>
          <w:szCs w:val="24"/>
        </w:rPr>
      </w:pPr>
      <w:r>
        <w:rPr>
          <w:rFonts w:ascii="Arial" w:hAnsi="Arial" w:cs="Arial"/>
          <w:sz w:val="24"/>
          <w:szCs w:val="24"/>
        </w:rPr>
        <w:t xml:space="preserve">Current CSP providers with particularized skills and training will be leveraged to provide this specialized form of CSP to individuals with justice involvement. </w:t>
      </w:r>
      <w:r w:rsidR="008D5715">
        <w:rPr>
          <w:rFonts w:ascii="Arial" w:hAnsi="Arial" w:cs="Arial"/>
          <w:sz w:val="24"/>
          <w:szCs w:val="24"/>
        </w:rPr>
        <w:t xml:space="preserve">In anticipation of offering CSP-JI statewide, MassHealth has partnered with the University of Massachusetts to provide specialized training in which over 50 </w:t>
      </w:r>
      <w:r w:rsidR="00065704">
        <w:rPr>
          <w:rFonts w:ascii="Arial" w:hAnsi="Arial" w:cs="Arial"/>
          <w:sz w:val="24"/>
          <w:szCs w:val="24"/>
        </w:rPr>
        <w:t xml:space="preserve">CSP and other MassHealth </w:t>
      </w:r>
      <w:r w:rsidR="008D5715">
        <w:rPr>
          <w:rFonts w:ascii="Arial" w:hAnsi="Arial" w:cs="Arial"/>
          <w:sz w:val="24"/>
          <w:szCs w:val="24"/>
        </w:rPr>
        <w:t>providers across the Commonwealth have participate</w:t>
      </w:r>
      <w:r w:rsidR="006F1A09">
        <w:rPr>
          <w:rFonts w:ascii="Arial" w:hAnsi="Arial" w:cs="Arial"/>
          <w:sz w:val="24"/>
          <w:szCs w:val="24"/>
        </w:rPr>
        <w:t>d</w:t>
      </w:r>
      <w:r w:rsidR="008D5715">
        <w:rPr>
          <w:rFonts w:ascii="Arial" w:hAnsi="Arial" w:cs="Arial"/>
          <w:sz w:val="24"/>
          <w:szCs w:val="24"/>
        </w:rPr>
        <w:t xml:space="preserve"> to date.</w:t>
      </w:r>
    </w:p>
    <w:p w14:paraId="52F3C06E" w14:textId="77777777" w:rsidR="008D5715" w:rsidRDefault="008D5715" w:rsidP="008D5715">
      <w:pPr>
        <w:contextualSpacing/>
        <w:divId w:val="1213691618"/>
        <w:rPr>
          <w:rFonts w:ascii="Arial" w:hAnsi="Arial" w:cs="Arial"/>
          <w:sz w:val="24"/>
          <w:szCs w:val="24"/>
        </w:rPr>
      </w:pPr>
    </w:p>
    <w:p w14:paraId="6C2A1B91" w14:textId="77777777" w:rsidR="008D5715" w:rsidRPr="00E75BC9" w:rsidRDefault="008D5715" w:rsidP="008D5715">
      <w:pPr>
        <w:contextualSpacing/>
        <w:divId w:val="1213691618"/>
        <w:rPr>
          <w:rFonts w:ascii="Arial" w:hAnsi="Arial" w:cs="Arial"/>
          <w:sz w:val="24"/>
          <w:szCs w:val="24"/>
        </w:rPr>
      </w:pPr>
      <w:r>
        <w:rPr>
          <w:rFonts w:ascii="Arial" w:hAnsi="Arial" w:cs="Arial"/>
          <w:sz w:val="24"/>
          <w:szCs w:val="24"/>
        </w:rPr>
        <w:t xml:space="preserve">In addition to improving </w:t>
      </w:r>
      <w:r w:rsidR="00EF7440">
        <w:rPr>
          <w:rFonts w:ascii="Arial" w:hAnsi="Arial" w:cs="Arial"/>
          <w:sz w:val="24"/>
          <w:szCs w:val="24"/>
        </w:rPr>
        <w:t xml:space="preserve">navigation </w:t>
      </w:r>
      <w:r>
        <w:rPr>
          <w:rFonts w:ascii="Arial" w:hAnsi="Arial" w:cs="Arial"/>
          <w:sz w:val="24"/>
          <w:szCs w:val="24"/>
        </w:rPr>
        <w:t xml:space="preserve">to appropriate levels of care for MassHealth members, CSP-JI will aid in addressing racial and ethnic health disparities. There is growing evidence that the justice system affects Black and Hispanic communities differently than White communities. </w:t>
      </w:r>
      <w:bookmarkStart w:id="3" w:name="_Hlk64622487"/>
      <w:r>
        <w:rPr>
          <w:rFonts w:ascii="Arial" w:hAnsi="Arial" w:cs="Arial"/>
          <w:sz w:val="24"/>
          <w:szCs w:val="24"/>
        </w:rPr>
        <w:t xml:space="preserve">A </w:t>
      </w:r>
      <w:r w:rsidR="00311928" w:rsidRPr="00F218E9">
        <w:rPr>
          <w:rFonts w:ascii="Arial" w:hAnsi="Arial" w:cs="Arial"/>
          <w:sz w:val="24"/>
          <w:szCs w:val="24"/>
        </w:rPr>
        <w:t>Sept</w:t>
      </w:r>
      <w:r w:rsidR="005A6085" w:rsidRPr="00F218E9">
        <w:rPr>
          <w:rFonts w:ascii="Arial" w:hAnsi="Arial" w:cs="Arial"/>
          <w:sz w:val="24"/>
          <w:szCs w:val="24"/>
        </w:rPr>
        <w:t>ember</w:t>
      </w:r>
      <w:r w:rsidR="00311928" w:rsidRPr="00F218E9">
        <w:rPr>
          <w:rFonts w:ascii="Arial" w:hAnsi="Arial" w:cs="Arial"/>
          <w:sz w:val="24"/>
          <w:szCs w:val="24"/>
        </w:rPr>
        <w:t xml:space="preserve"> 2020 </w:t>
      </w:r>
      <w:r w:rsidRPr="00F218E9">
        <w:rPr>
          <w:rFonts w:ascii="Arial" w:hAnsi="Arial" w:cs="Arial"/>
          <w:sz w:val="24"/>
          <w:szCs w:val="24"/>
        </w:rPr>
        <w:t>report</w:t>
      </w:r>
      <w:r>
        <w:rPr>
          <w:rFonts w:ascii="Arial" w:hAnsi="Arial" w:cs="Arial"/>
          <w:sz w:val="24"/>
          <w:szCs w:val="24"/>
        </w:rPr>
        <w:t xml:space="preserve"> issued at the request of the late Massachusetts Supreme Judicial Court Chief Justice Robert Gants notes that “the Commonwealth significantly outpaced national race and ethnicity disparity rates in incarceration, imprisoning Black people at a rate 7.9 times that of White people and Latinx people at 4.9 times that of White people.”</w:t>
      </w:r>
      <w:r>
        <w:rPr>
          <w:rStyle w:val="FootnoteReference"/>
          <w:rFonts w:ascii="Arial" w:hAnsi="Arial" w:cs="Arial"/>
          <w:sz w:val="24"/>
          <w:szCs w:val="24"/>
        </w:rPr>
        <w:footnoteReference w:id="6"/>
      </w:r>
      <w:r>
        <w:rPr>
          <w:rFonts w:ascii="Arial" w:hAnsi="Arial" w:cs="Arial"/>
          <w:sz w:val="24"/>
          <w:szCs w:val="24"/>
        </w:rPr>
        <w:t xml:space="preserve"> As Massachusetts continues to address racial and ethnic disparities in its criminal justice system, recognizing the mental health and SUD risks of re-entry, and specifically addressing them through intervention with trained navigators, is an important part of addressing the collateral consequences of incarceration related to access </w:t>
      </w:r>
      <w:r w:rsidR="00065704">
        <w:rPr>
          <w:rFonts w:ascii="Arial" w:hAnsi="Arial" w:cs="Arial"/>
          <w:sz w:val="24"/>
          <w:szCs w:val="24"/>
        </w:rPr>
        <w:t>to</w:t>
      </w:r>
      <w:r>
        <w:rPr>
          <w:rFonts w:ascii="Arial" w:hAnsi="Arial" w:cs="Arial"/>
          <w:sz w:val="24"/>
          <w:szCs w:val="24"/>
        </w:rPr>
        <w:t xml:space="preserve"> health care. </w:t>
      </w:r>
      <w:bookmarkEnd w:id="3"/>
    </w:p>
    <w:p w14:paraId="26708CA7" w14:textId="77777777" w:rsidR="008D5715" w:rsidRDefault="008D5715" w:rsidP="008D5715">
      <w:pPr>
        <w:contextualSpacing/>
        <w:divId w:val="1213691618"/>
        <w:rPr>
          <w:rFonts w:ascii="Arial" w:hAnsi="Arial" w:cs="Arial"/>
          <w:sz w:val="24"/>
          <w:szCs w:val="24"/>
        </w:rPr>
      </w:pPr>
    </w:p>
    <w:p w14:paraId="46D0A9A0" w14:textId="77777777" w:rsidR="008D5715" w:rsidRDefault="008D5715" w:rsidP="008D5715">
      <w:pPr>
        <w:contextualSpacing/>
        <w:divId w:val="1213691618"/>
        <w:rPr>
          <w:rFonts w:ascii="Arial" w:hAnsi="Arial" w:cs="Arial"/>
          <w:sz w:val="24"/>
          <w:szCs w:val="24"/>
        </w:rPr>
      </w:pPr>
    </w:p>
    <w:p w14:paraId="4E08397D" w14:textId="77777777" w:rsidR="00333618" w:rsidRDefault="00333618" w:rsidP="008D5715">
      <w:pPr>
        <w:contextualSpacing/>
        <w:divId w:val="1213691618"/>
        <w:rPr>
          <w:rFonts w:ascii="Arial" w:hAnsi="Arial" w:cs="Arial"/>
          <w:sz w:val="24"/>
          <w:szCs w:val="24"/>
        </w:rPr>
      </w:pPr>
    </w:p>
    <w:p w14:paraId="2C924C80" w14:textId="77777777" w:rsidR="00333618" w:rsidRDefault="00333618" w:rsidP="008D5715">
      <w:pPr>
        <w:contextualSpacing/>
        <w:divId w:val="1213691618"/>
        <w:rPr>
          <w:rFonts w:ascii="Arial" w:hAnsi="Arial" w:cs="Arial"/>
          <w:sz w:val="24"/>
          <w:szCs w:val="24"/>
        </w:rPr>
      </w:pPr>
    </w:p>
    <w:p w14:paraId="038D870C" w14:textId="77777777" w:rsidR="00333618" w:rsidRDefault="00333618" w:rsidP="008D5715">
      <w:pPr>
        <w:contextualSpacing/>
        <w:divId w:val="1213691618"/>
        <w:rPr>
          <w:rFonts w:ascii="Arial" w:hAnsi="Arial" w:cs="Arial"/>
          <w:sz w:val="24"/>
          <w:szCs w:val="24"/>
        </w:rPr>
      </w:pPr>
    </w:p>
    <w:p w14:paraId="678281D7" w14:textId="77777777" w:rsidR="00333618" w:rsidRDefault="00333618" w:rsidP="008D5715">
      <w:pPr>
        <w:contextualSpacing/>
        <w:divId w:val="1213691618"/>
        <w:rPr>
          <w:rFonts w:ascii="Arial" w:hAnsi="Arial" w:cs="Arial"/>
          <w:sz w:val="24"/>
          <w:szCs w:val="24"/>
        </w:rPr>
      </w:pPr>
    </w:p>
    <w:p w14:paraId="14BC14F0" w14:textId="77777777" w:rsidR="00333618" w:rsidRDefault="00333618" w:rsidP="008D5715">
      <w:pPr>
        <w:contextualSpacing/>
        <w:divId w:val="1213691618"/>
        <w:rPr>
          <w:rFonts w:ascii="Arial" w:hAnsi="Arial" w:cs="Arial"/>
          <w:sz w:val="24"/>
          <w:szCs w:val="24"/>
        </w:rPr>
      </w:pPr>
    </w:p>
    <w:p w14:paraId="0E7BEA05" w14:textId="77777777" w:rsidR="00333618" w:rsidRDefault="00333618" w:rsidP="008D5715">
      <w:pPr>
        <w:contextualSpacing/>
        <w:divId w:val="1213691618"/>
        <w:rPr>
          <w:rFonts w:ascii="Arial" w:hAnsi="Arial" w:cs="Arial"/>
          <w:sz w:val="24"/>
          <w:szCs w:val="24"/>
        </w:rPr>
      </w:pPr>
    </w:p>
    <w:p w14:paraId="42CD8973" w14:textId="77777777" w:rsidR="00B430D4" w:rsidRPr="009E1282" w:rsidRDefault="00F5259E" w:rsidP="00915C22">
      <w:pPr>
        <w:pStyle w:val="LightGrid-Accent31"/>
        <w:widowControl/>
        <w:autoSpaceDE/>
        <w:autoSpaceDN/>
        <w:spacing w:after="200" w:line="276" w:lineRule="auto"/>
        <w:ind w:left="0" w:firstLine="0"/>
        <w:contextualSpacing/>
        <w:divId w:val="1213691618"/>
        <w:rPr>
          <w:rFonts w:ascii="Arial" w:hAnsi="Arial" w:cs="Arial"/>
          <w:b/>
          <w:bCs/>
          <w:sz w:val="24"/>
          <w:szCs w:val="24"/>
        </w:rPr>
      </w:pPr>
      <w:r>
        <w:rPr>
          <w:rFonts w:ascii="Arial" w:hAnsi="Arial" w:cs="Arial"/>
          <w:b/>
          <w:bCs/>
          <w:sz w:val="24"/>
          <w:szCs w:val="24"/>
        </w:rPr>
        <w:lastRenderedPageBreak/>
        <w:t>Expenditure authority</w:t>
      </w:r>
      <w:r w:rsidR="00B430D4" w:rsidRPr="009E1282">
        <w:rPr>
          <w:rFonts w:ascii="Arial" w:hAnsi="Arial" w:cs="Arial"/>
          <w:b/>
          <w:bCs/>
          <w:sz w:val="24"/>
          <w:szCs w:val="24"/>
        </w:rPr>
        <w:t xml:space="preserve"> for clinic services</w:t>
      </w:r>
      <w:r>
        <w:rPr>
          <w:rFonts w:ascii="Arial" w:hAnsi="Arial" w:cs="Arial"/>
          <w:b/>
          <w:bCs/>
          <w:sz w:val="24"/>
          <w:szCs w:val="24"/>
        </w:rPr>
        <w:t xml:space="preserve"> delivered outside of clinic </w:t>
      </w:r>
      <w:proofErr w:type="gramStart"/>
      <w:r>
        <w:rPr>
          <w:rFonts w:ascii="Arial" w:hAnsi="Arial" w:cs="Arial"/>
          <w:b/>
          <w:bCs/>
          <w:sz w:val="24"/>
          <w:szCs w:val="24"/>
        </w:rPr>
        <w:t>locations</w:t>
      </w:r>
      <w:proofErr w:type="gramEnd"/>
    </w:p>
    <w:p w14:paraId="621ECD21" w14:textId="77777777" w:rsidR="00EF7440" w:rsidRPr="00730555" w:rsidRDefault="00EF7440" w:rsidP="00EF7440">
      <w:pPr>
        <w:pStyle w:val="MediumGrid2-Accent11"/>
        <w:spacing w:line="276" w:lineRule="auto"/>
        <w:divId w:val="1213691618"/>
        <w:rPr>
          <w:rFonts w:ascii="Arial" w:hAnsi="Arial" w:cs="Arial"/>
          <w:sz w:val="24"/>
          <w:szCs w:val="24"/>
        </w:rPr>
      </w:pPr>
      <w:r w:rsidRPr="00B878BE">
        <w:rPr>
          <w:rFonts w:ascii="Arial" w:hAnsi="Arial" w:cs="Arial"/>
          <w:sz w:val="24"/>
          <w:szCs w:val="24"/>
        </w:rPr>
        <w:t xml:space="preserve">The COVID-19 </w:t>
      </w:r>
      <w:r>
        <w:rPr>
          <w:rFonts w:ascii="Arial" w:hAnsi="Arial" w:cs="Arial"/>
          <w:sz w:val="24"/>
          <w:szCs w:val="24"/>
        </w:rPr>
        <w:t>public health emergency</w:t>
      </w:r>
      <w:r w:rsidRPr="00B878BE">
        <w:rPr>
          <w:rFonts w:ascii="Arial" w:hAnsi="Arial" w:cs="Arial"/>
          <w:sz w:val="24"/>
          <w:szCs w:val="24"/>
        </w:rPr>
        <w:t xml:space="preserve"> has exacerbated behavioral health conditions for many individuals and </w:t>
      </w:r>
      <w:r w:rsidR="005F739B">
        <w:rPr>
          <w:rFonts w:ascii="Arial" w:hAnsi="Arial" w:cs="Arial"/>
          <w:sz w:val="24"/>
          <w:szCs w:val="24"/>
        </w:rPr>
        <w:t xml:space="preserve">has </w:t>
      </w:r>
      <w:r w:rsidR="005F739B" w:rsidRPr="00B878BE">
        <w:rPr>
          <w:rFonts w:ascii="Arial" w:hAnsi="Arial" w:cs="Arial"/>
          <w:sz w:val="24"/>
          <w:szCs w:val="24"/>
        </w:rPr>
        <w:t>highlight</w:t>
      </w:r>
      <w:r w:rsidR="005F739B">
        <w:rPr>
          <w:rFonts w:ascii="Arial" w:hAnsi="Arial" w:cs="Arial"/>
          <w:sz w:val="24"/>
          <w:szCs w:val="24"/>
        </w:rPr>
        <w:t>ed, on a national level,</w:t>
      </w:r>
      <w:r w:rsidR="005F739B" w:rsidRPr="00B878BE">
        <w:rPr>
          <w:rFonts w:ascii="Arial" w:hAnsi="Arial" w:cs="Arial"/>
          <w:sz w:val="24"/>
          <w:szCs w:val="24"/>
        </w:rPr>
        <w:t xml:space="preserve"> </w:t>
      </w:r>
      <w:r w:rsidRPr="00B878BE">
        <w:rPr>
          <w:rFonts w:ascii="Arial" w:hAnsi="Arial" w:cs="Arial"/>
          <w:sz w:val="24"/>
          <w:szCs w:val="24"/>
        </w:rPr>
        <w:t>both pre-existing barriers to accessing behavioral health treatment</w:t>
      </w:r>
      <w:r w:rsidR="005F739B">
        <w:rPr>
          <w:rFonts w:ascii="Arial" w:hAnsi="Arial" w:cs="Arial"/>
          <w:sz w:val="24"/>
          <w:szCs w:val="24"/>
        </w:rPr>
        <w:t>,</w:t>
      </w:r>
      <w:r w:rsidRPr="00B878BE">
        <w:rPr>
          <w:rFonts w:ascii="Arial" w:hAnsi="Arial" w:cs="Arial"/>
          <w:sz w:val="24"/>
          <w:szCs w:val="24"/>
        </w:rPr>
        <w:t xml:space="preserve"> as well as creating new ones.</w:t>
      </w:r>
      <w:r>
        <w:rPr>
          <w:rStyle w:val="FootnoteReference"/>
          <w:rFonts w:ascii="Arial" w:hAnsi="Arial" w:cs="Arial"/>
          <w:sz w:val="24"/>
          <w:szCs w:val="24"/>
        </w:rPr>
        <w:footnoteReference w:id="7"/>
      </w:r>
      <w:r>
        <w:rPr>
          <w:rFonts w:ascii="Arial" w:hAnsi="Arial" w:cs="Arial"/>
          <w:sz w:val="24"/>
          <w:szCs w:val="24"/>
        </w:rPr>
        <w:t xml:space="preserve"> </w:t>
      </w:r>
      <w:r w:rsidR="005F739B">
        <w:rPr>
          <w:rFonts w:ascii="Arial" w:hAnsi="Arial" w:cs="Arial"/>
          <w:sz w:val="24"/>
          <w:szCs w:val="24"/>
        </w:rPr>
        <w:t>For example, during the pandemic, social distancing and infection control efforts limited the ability of many to seek in-person care, including behavioral health care.</w:t>
      </w:r>
      <w:r w:rsidR="005F739B" w:rsidRPr="00B878BE" w:rsidDel="005F739B">
        <w:rPr>
          <w:rFonts w:ascii="Arial" w:hAnsi="Arial" w:cs="Arial"/>
          <w:sz w:val="24"/>
          <w:szCs w:val="24"/>
        </w:rPr>
        <w:t xml:space="preserve"> </w:t>
      </w:r>
      <w:r w:rsidR="005F739B">
        <w:rPr>
          <w:rFonts w:ascii="Arial" w:hAnsi="Arial" w:cs="Arial"/>
          <w:sz w:val="24"/>
          <w:szCs w:val="24"/>
        </w:rPr>
        <w:t>In response, d</w:t>
      </w:r>
      <w:r w:rsidR="005F739B" w:rsidRPr="00C02ED9">
        <w:rPr>
          <w:rFonts w:ascii="Arial" w:hAnsi="Arial" w:cs="Arial"/>
          <w:sz w:val="24"/>
          <w:szCs w:val="24"/>
        </w:rPr>
        <w:t xml:space="preserve">uring </w:t>
      </w:r>
      <w:r w:rsidRPr="00C02ED9">
        <w:rPr>
          <w:rFonts w:ascii="Arial" w:hAnsi="Arial" w:cs="Arial"/>
          <w:sz w:val="24"/>
          <w:szCs w:val="24"/>
        </w:rPr>
        <w:t>the COVID-19 Public Health Emergency</w:t>
      </w:r>
      <w:r w:rsidR="00F5259E">
        <w:rPr>
          <w:rFonts w:ascii="Arial" w:hAnsi="Arial" w:cs="Arial"/>
          <w:sz w:val="24"/>
          <w:szCs w:val="24"/>
        </w:rPr>
        <w:t xml:space="preserve"> (PHE)</w:t>
      </w:r>
      <w:r>
        <w:rPr>
          <w:rFonts w:ascii="Arial" w:hAnsi="Arial" w:cs="Arial"/>
          <w:sz w:val="24"/>
          <w:szCs w:val="24"/>
        </w:rPr>
        <w:t xml:space="preserve">, </w:t>
      </w:r>
      <w:r w:rsidRPr="00C02ED9">
        <w:rPr>
          <w:rFonts w:ascii="Arial" w:hAnsi="Arial" w:cs="Arial"/>
          <w:sz w:val="24"/>
          <w:szCs w:val="24"/>
        </w:rPr>
        <w:t xml:space="preserve">CMS </w:t>
      </w:r>
      <w:r>
        <w:rPr>
          <w:rFonts w:ascii="Arial" w:hAnsi="Arial" w:cs="Arial"/>
          <w:sz w:val="24"/>
          <w:szCs w:val="24"/>
        </w:rPr>
        <w:t xml:space="preserve">offered states the opportunity to </w:t>
      </w:r>
      <w:r w:rsidRPr="00C02ED9">
        <w:rPr>
          <w:rFonts w:ascii="Arial" w:hAnsi="Arial" w:cs="Arial"/>
          <w:sz w:val="24"/>
          <w:szCs w:val="24"/>
        </w:rPr>
        <w:t>request modif</w:t>
      </w:r>
      <w:r>
        <w:rPr>
          <w:rFonts w:ascii="Arial" w:hAnsi="Arial" w:cs="Arial"/>
          <w:sz w:val="24"/>
          <w:szCs w:val="24"/>
        </w:rPr>
        <w:t>ication of</w:t>
      </w:r>
      <w:r w:rsidRPr="00C02ED9">
        <w:rPr>
          <w:rFonts w:ascii="Arial" w:hAnsi="Arial" w:cs="Arial"/>
          <w:sz w:val="24"/>
          <w:szCs w:val="24"/>
        </w:rPr>
        <w:t xml:space="preserve"> the “facility” requirement in 42 CFR </w:t>
      </w:r>
      <w:r w:rsidRPr="002B56E4">
        <w:rPr>
          <w:rFonts w:ascii="Arial" w:eastAsia="Times New Roman" w:hAnsi="Arial" w:cs="Arial"/>
          <w:sz w:val="24"/>
          <w:szCs w:val="24"/>
        </w:rPr>
        <w:t>§ 440.90</w:t>
      </w:r>
      <w:r w:rsidRPr="00C02ED9">
        <w:rPr>
          <w:rFonts w:ascii="Arial" w:eastAsia="Times New Roman" w:hAnsi="Arial" w:cs="Arial"/>
          <w:sz w:val="24"/>
          <w:szCs w:val="24"/>
        </w:rPr>
        <w:t xml:space="preserve"> </w:t>
      </w:r>
      <w:proofErr w:type="gramStart"/>
      <w:r w:rsidRPr="00C02ED9">
        <w:rPr>
          <w:rFonts w:ascii="Arial" w:eastAsia="Times New Roman" w:hAnsi="Arial" w:cs="Arial"/>
          <w:sz w:val="24"/>
          <w:szCs w:val="24"/>
        </w:rPr>
        <w:t>in order to</w:t>
      </w:r>
      <w:proofErr w:type="gramEnd"/>
      <w:r w:rsidRPr="00C02ED9">
        <w:rPr>
          <w:rFonts w:ascii="Arial" w:eastAsia="Times New Roman" w:hAnsi="Arial" w:cs="Arial"/>
          <w:sz w:val="24"/>
          <w:szCs w:val="24"/>
        </w:rPr>
        <w:t xml:space="preserve"> permit the state to temporarily designate a clinic practitioner’s location as part of the clinic facility. This flexibility was intended to help ensure continued Medicaid coverage for clinic services during the PHE</w:t>
      </w:r>
      <w:r w:rsidR="005F739B">
        <w:rPr>
          <w:rFonts w:ascii="Arial" w:eastAsia="Times New Roman" w:hAnsi="Arial" w:cs="Arial"/>
          <w:sz w:val="24"/>
          <w:szCs w:val="24"/>
        </w:rPr>
        <w:t xml:space="preserve"> but also allowed individuals to obtain behavioral health care flexibly, without the added costs or time of traveling to the clinic location</w:t>
      </w:r>
      <w:r w:rsidRPr="00C02ED9">
        <w:rPr>
          <w:rFonts w:ascii="Arial" w:eastAsia="Times New Roman" w:hAnsi="Arial" w:cs="Arial"/>
          <w:sz w:val="24"/>
          <w:szCs w:val="24"/>
        </w:rPr>
        <w:t>.</w:t>
      </w:r>
    </w:p>
    <w:p w14:paraId="52B04859" w14:textId="77777777" w:rsidR="002B56E4" w:rsidRPr="00C02ED9" w:rsidRDefault="002B56E4" w:rsidP="002C0D90">
      <w:pPr>
        <w:pStyle w:val="MediumGrid2-Accent11"/>
        <w:spacing w:line="276" w:lineRule="auto"/>
        <w:divId w:val="1213691618"/>
        <w:rPr>
          <w:rFonts w:ascii="Arial" w:eastAsia="Times New Roman" w:hAnsi="Arial" w:cs="Arial"/>
          <w:sz w:val="24"/>
          <w:szCs w:val="24"/>
        </w:rPr>
      </w:pPr>
    </w:p>
    <w:p w14:paraId="4FD4649C" w14:textId="77777777" w:rsidR="00B878BE" w:rsidRPr="00B878BE" w:rsidRDefault="00EF7440" w:rsidP="00B878BE">
      <w:pPr>
        <w:divId w:val="1213691618"/>
        <w:rPr>
          <w:rFonts w:ascii="Arial" w:hAnsi="Arial" w:cs="Arial"/>
          <w:sz w:val="24"/>
          <w:szCs w:val="24"/>
        </w:rPr>
      </w:pPr>
      <w:r>
        <w:rPr>
          <w:rFonts w:ascii="Arial" w:eastAsia="Times New Roman" w:hAnsi="Arial" w:cs="Arial"/>
          <w:sz w:val="24"/>
          <w:szCs w:val="24"/>
        </w:rPr>
        <w:t xml:space="preserve">Through this amendment, </w:t>
      </w:r>
      <w:r w:rsidR="00B038A3">
        <w:rPr>
          <w:rFonts w:ascii="Arial" w:eastAsia="Times New Roman" w:hAnsi="Arial" w:cs="Arial"/>
          <w:sz w:val="24"/>
          <w:szCs w:val="24"/>
        </w:rPr>
        <w:t xml:space="preserve">MassHealth is </w:t>
      </w:r>
      <w:r w:rsidR="00F5259E">
        <w:rPr>
          <w:rFonts w:ascii="Arial" w:eastAsia="Times New Roman" w:hAnsi="Arial" w:cs="Arial"/>
          <w:sz w:val="24"/>
          <w:szCs w:val="24"/>
        </w:rPr>
        <w:t xml:space="preserve">seeking to extend and expand on the </w:t>
      </w:r>
      <w:r w:rsidR="00B038A3">
        <w:rPr>
          <w:rFonts w:ascii="Arial" w:eastAsia="Times New Roman" w:hAnsi="Arial" w:cs="Arial"/>
          <w:sz w:val="24"/>
          <w:szCs w:val="24"/>
        </w:rPr>
        <w:t>flexibility</w:t>
      </w:r>
      <w:r w:rsidR="00F5259E">
        <w:rPr>
          <w:rFonts w:ascii="Arial" w:eastAsia="Times New Roman" w:hAnsi="Arial" w:cs="Arial"/>
          <w:sz w:val="24"/>
          <w:szCs w:val="24"/>
        </w:rPr>
        <w:t xml:space="preserve"> granted to the Commonwealth under its approved 1135 waiver,</w:t>
      </w:r>
      <w:r w:rsidR="00B038A3">
        <w:rPr>
          <w:rFonts w:ascii="Arial" w:eastAsia="Times New Roman" w:hAnsi="Arial" w:cs="Arial"/>
          <w:sz w:val="24"/>
          <w:szCs w:val="24"/>
        </w:rPr>
        <w:t xml:space="preserve"> to </w:t>
      </w:r>
      <w:r w:rsidR="00C02ED9">
        <w:rPr>
          <w:rFonts w:ascii="Arial" w:eastAsia="Times New Roman" w:hAnsi="Arial" w:cs="Arial"/>
          <w:sz w:val="24"/>
          <w:szCs w:val="24"/>
        </w:rPr>
        <w:t xml:space="preserve">allow the continued provision of </w:t>
      </w:r>
      <w:r w:rsidR="00915C22">
        <w:rPr>
          <w:rFonts w:ascii="Arial" w:eastAsia="Times New Roman" w:hAnsi="Arial" w:cs="Arial"/>
          <w:sz w:val="24"/>
          <w:szCs w:val="24"/>
        </w:rPr>
        <w:t xml:space="preserve">medically necessary clinic </w:t>
      </w:r>
      <w:r w:rsidR="00C02ED9">
        <w:rPr>
          <w:rFonts w:ascii="Arial" w:eastAsia="Times New Roman" w:hAnsi="Arial" w:cs="Arial"/>
          <w:sz w:val="24"/>
          <w:szCs w:val="24"/>
        </w:rPr>
        <w:t>services</w:t>
      </w:r>
      <w:r w:rsidR="00915C22">
        <w:rPr>
          <w:rFonts w:ascii="Arial" w:eastAsia="Times New Roman" w:hAnsi="Arial" w:cs="Arial"/>
          <w:sz w:val="24"/>
          <w:szCs w:val="24"/>
        </w:rPr>
        <w:t xml:space="preserve"> provided outside of the clinic</w:t>
      </w:r>
      <w:r w:rsidR="00C02ED9">
        <w:rPr>
          <w:rFonts w:ascii="Arial" w:eastAsia="Times New Roman" w:hAnsi="Arial" w:cs="Arial"/>
          <w:sz w:val="24"/>
          <w:szCs w:val="24"/>
        </w:rPr>
        <w:t xml:space="preserve">, </w:t>
      </w:r>
      <w:r w:rsidR="00B038A3">
        <w:rPr>
          <w:rFonts w:ascii="Arial" w:eastAsia="Times New Roman" w:hAnsi="Arial" w:cs="Arial"/>
          <w:sz w:val="24"/>
          <w:szCs w:val="24"/>
        </w:rPr>
        <w:t>after</w:t>
      </w:r>
      <w:r w:rsidR="00C02ED9">
        <w:rPr>
          <w:rFonts w:ascii="Arial" w:eastAsia="Times New Roman" w:hAnsi="Arial" w:cs="Arial"/>
          <w:sz w:val="24"/>
          <w:szCs w:val="24"/>
        </w:rPr>
        <w:t xml:space="preserve"> federal PHE period ends. </w:t>
      </w:r>
      <w:r w:rsidR="00B038A3">
        <w:rPr>
          <w:rFonts w:ascii="Arial" w:eastAsia="Times New Roman" w:hAnsi="Arial" w:cs="Arial"/>
          <w:sz w:val="24"/>
          <w:szCs w:val="24"/>
        </w:rPr>
        <w:t>W</w:t>
      </w:r>
      <w:r w:rsidR="004B6426" w:rsidRPr="00C02ED9">
        <w:rPr>
          <w:rFonts w:ascii="Arial" w:eastAsia="Times New Roman" w:hAnsi="Arial" w:cs="Arial"/>
          <w:sz w:val="24"/>
          <w:szCs w:val="24"/>
        </w:rPr>
        <w:t>ith this amendment</w:t>
      </w:r>
      <w:r w:rsidR="00310795">
        <w:rPr>
          <w:rFonts w:ascii="Arial" w:eastAsia="Times New Roman" w:hAnsi="Arial" w:cs="Arial"/>
          <w:sz w:val="24"/>
          <w:szCs w:val="24"/>
        </w:rPr>
        <w:t>,</w:t>
      </w:r>
      <w:r w:rsidR="004B6426" w:rsidRPr="00C02ED9">
        <w:rPr>
          <w:rFonts w:ascii="Arial" w:eastAsia="Times New Roman" w:hAnsi="Arial" w:cs="Arial"/>
          <w:sz w:val="24"/>
          <w:szCs w:val="24"/>
        </w:rPr>
        <w:t xml:space="preserve"> t</w:t>
      </w:r>
      <w:r w:rsidR="004B6426" w:rsidRPr="002B56E4">
        <w:rPr>
          <w:rFonts w:ascii="Arial" w:eastAsia="Times New Roman" w:hAnsi="Arial" w:cs="Arial"/>
          <w:sz w:val="24"/>
          <w:szCs w:val="24"/>
        </w:rPr>
        <w:t xml:space="preserve">he state </w:t>
      </w:r>
      <w:r w:rsidR="00796C88">
        <w:rPr>
          <w:rFonts w:ascii="Arial" w:eastAsia="Times New Roman" w:hAnsi="Arial" w:cs="Arial"/>
          <w:sz w:val="24"/>
          <w:szCs w:val="24"/>
        </w:rPr>
        <w:t xml:space="preserve">is requesting authority to cover clinic services delivered via telehealth (when neither the provider nor the member </w:t>
      </w:r>
      <w:r w:rsidR="00E61785">
        <w:rPr>
          <w:rFonts w:ascii="Arial" w:eastAsia="Times New Roman" w:hAnsi="Arial" w:cs="Arial"/>
          <w:sz w:val="24"/>
          <w:szCs w:val="24"/>
        </w:rPr>
        <w:t xml:space="preserve">is </w:t>
      </w:r>
      <w:r w:rsidR="00796C88">
        <w:rPr>
          <w:rFonts w:ascii="Arial" w:eastAsia="Times New Roman" w:hAnsi="Arial" w:cs="Arial"/>
          <w:sz w:val="24"/>
          <w:szCs w:val="24"/>
        </w:rPr>
        <w:t>at the clinic) and in non-clinic locations</w:t>
      </w:r>
      <w:r w:rsidR="004B6426" w:rsidRPr="002B56E4">
        <w:rPr>
          <w:rFonts w:ascii="Arial" w:eastAsia="Times New Roman" w:hAnsi="Arial" w:cs="Arial"/>
          <w:sz w:val="24"/>
          <w:szCs w:val="24"/>
        </w:rPr>
        <w:t>, including but not limited to</w:t>
      </w:r>
      <w:r w:rsidR="00B038A3">
        <w:rPr>
          <w:rFonts w:ascii="Arial" w:eastAsia="Times New Roman" w:hAnsi="Arial" w:cs="Arial"/>
          <w:sz w:val="24"/>
          <w:szCs w:val="24"/>
        </w:rPr>
        <w:t xml:space="preserve"> </w:t>
      </w:r>
      <w:r>
        <w:rPr>
          <w:rFonts w:ascii="Arial" w:eastAsia="Times New Roman" w:hAnsi="Arial" w:cs="Arial"/>
          <w:sz w:val="24"/>
          <w:szCs w:val="24"/>
        </w:rPr>
        <w:t xml:space="preserve">the </w:t>
      </w:r>
      <w:r w:rsidR="00B038A3">
        <w:rPr>
          <w:rFonts w:ascii="Arial" w:eastAsia="Times New Roman" w:hAnsi="Arial" w:cs="Arial"/>
          <w:sz w:val="24"/>
          <w:szCs w:val="24"/>
        </w:rPr>
        <w:t>member</w:t>
      </w:r>
      <w:r w:rsidR="004B6426" w:rsidRPr="002B56E4">
        <w:rPr>
          <w:rFonts w:ascii="Arial" w:eastAsia="Times New Roman" w:hAnsi="Arial" w:cs="Arial"/>
          <w:sz w:val="24"/>
          <w:szCs w:val="24"/>
        </w:rPr>
        <w:t>’s home</w:t>
      </w:r>
      <w:r>
        <w:rPr>
          <w:rFonts w:ascii="Arial" w:eastAsia="Times New Roman" w:hAnsi="Arial" w:cs="Arial"/>
          <w:sz w:val="24"/>
          <w:szCs w:val="24"/>
        </w:rPr>
        <w:t xml:space="preserve">, and other </w:t>
      </w:r>
      <w:r w:rsidR="00796C88">
        <w:rPr>
          <w:rFonts w:ascii="Arial" w:eastAsia="Times New Roman" w:hAnsi="Arial" w:cs="Arial"/>
          <w:sz w:val="24"/>
          <w:szCs w:val="24"/>
        </w:rPr>
        <w:t>community</w:t>
      </w:r>
      <w:r>
        <w:rPr>
          <w:rFonts w:ascii="Arial" w:eastAsia="Times New Roman" w:hAnsi="Arial" w:cs="Arial"/>
          <w:sz w:val="24"/>
          <w:szCs w:val="24"/>
        </w:rPr>
        <w:t xml:space="preserve"> locations</w:t>
      </w:r>
      <w:r w:rsidR="00B038A3">
        <w:rPr>
          <w:rFonts w:ascii="Arial" w:eastAsia="Times New Roman" w:hAnsi="Arial" w:cs="Arial"/>
          <w:sz w:val="24"/>
          <w:szCs w:val="24"/>
        </w:rPr>
        <w:t>.</w:t>
      </w:r>
      <w:r w:rsidR="00310795">
        <w:rPr>
          <w:rFonts w:ascii="Arial" w:eastAsia="Times New Roman" w:hAnsi="Arial" w:cs="Arial"/>
          <w:sz w:val="24"/>
          <w:szCs w:val="24"/>
        </w:rPr>
        <w:t xml:space="preserve">  T</w:t>
      </w:r>
      <w:r w:rsidR="00310795" w:rsidRPr="002B56E4">
        <w:rPr>
          <w:rFonts w:ascii="Arial" w:eastAsia="Times New Roman" w:hAnsi="Arial" w:cs="Arial"/>
          <w:sz w:val="24"/>
          <w:szCs w:val="24"/>
        </w:rPr>
        <w:t>he flexibility requested</w:t>
      </w:r>
      <w:r w:rsidR="00310795">
        <w:rPr>
          <w:rFonts w:ascii="Arial" w:eastAsia="Times New Roman" w:hAnsi="Arial" w:cs="Arial"/>
          <w:sz w:val="24"/>
          <w:szCs w:val="24"/>
        </w:rPr>
        <w:t xml:space="preserve"> </w:t>
      </w:r>
      <w:r w:rsidR="00310795" w:rsidRPr="002B56E4">
        <w:rPr>
          <w:rFonts w:ascii="Arial" w:eastAsia="Times New Roman" w:hAnsi="Arial" w:cs="Arial"/>
          <w:sz w:val="24"/>
          <w:szCs w:val="24"/>
        </w:rPr>
        <w:t>will allow providers to continue providing</w:t>
      </w:r>
      <w:r w:rsidR="005A6085">
        <w:rPr>
          <w:rFonts w:ascii="Arial" w:eastAsia="Times New Roman" w:hAnsi="Arial" w:cs="Arial"/>
          <w:sz w:val="24"/>
          <w:szCs w:val="24"/>
        </w:rPr>
        <w:t>,</w:t>
      </w:r>
      <w:r w:rsidR="00311928">
        <w:rPr>
          <w:rFonts w:ascii="Arial" w:eastAsia="Times New Roman" w:hAnsi="Arial" w:cs="Arial"/>
          <w:sz w:val="24"/>
          <w:szCs w:val="24"/>
        </w:rPr>
        <w:t xml:space="preserve"> </w:t>
      </w:r>
      <w:r w:rsidR="00310795" w:rsidRPr="002B56E4">
        <w:rPr>
          <w:rFonts w:ascii="Arial" w:eastAsia="Times New Roman" w:hAnsi="Arial" w:cs="Arial"/>
          <w:sz w:val="24"/>
          <w:szCs w:val="24"/>
        </w:rPr>
        <w:t xml:space="preserve">and members to continue </w:t>
      </w:r>
      <w:r w:rsidR="005A6085">
        <w:rPr>
          <w:rFonts w:ascii="Arial" w:eastAsia="Times New Roman" w:hAnsi="Arial" w:cs="Arial"/>
          <w:sz w:val="24"/>
          <w:szCs w:val="24"/>
        </w:rPr>
        <w:t>receiving,</w:t>
      </w:r>
      <w:r w:rsidR="00310795" w:rsidRPr="002B56E4">
        <w:rPr>
          <w:rFonts w:ascii="Arial" w:eastAsia="Times New Roman" w:hAnsi="Arial" w:cs="Arial"/>
          <w:sz w:val="24"/>
          <w:szCs w:val="24"/>
        </w:rPr>
        <w:t xml:space="preserve"> </w:t>
      </w:r>
      <w:r w:rsidR="00310795">
        <w:rPr>
          <w:rFonts w:ascii="Arial" w:eastAsia="Times New Roman" w:hAnsi="Arial" w:cs="Arial"/>
          <w:sz w:val="24"/>
          <w:szCs w:val="24"/>
        </w:rPr>
        <w:t xml:space="preserve">medically </w:t>
      </w:r>
      <w:r w:rsidR="00310795" w:rsidRPr="002B56E4">
        <w:rPr>
          <w:rFonts w:ascii="Arial" w:eastAsia="Times New Roman" w:hAnsi="Arial" w:cs="Arial"/>
          <w:sz w:val="24"/>
          <w:szCs w:val="24"/>
        </w:rPr>
        <w:t xml:space="preserve">necessary </w:t>
      </w:r>
      <w:r w:rsidR="00796C88">
        <w:rPr>
          <w:rFonts w:ascii="Arial" w:eastAsia="Times New Roman" w:hAnsi="Arial" w:cs="Arial"/>
          <w:sz w:val="24"/>
          <w:szCs w:val="24"/>
        </w:rPr>
        <w:t xml:space="preserve">clinic </w:t>
      </w:r>
      <w:r w:rsidR="00310795" w:rsidRPr="002B56E4">
        <w:rPr>
          <w:rFonts w:ascii="Arial" w:eastAsia="Times New Roman" w:hAnsi="Arial" w:cs="Arial"/>
          <w:sz w:val="24"/>
          <w:szCs w:val="24"/>
        </w:rPr>
        <w:t>services</w:t>
      </w:r>
      <w:r w:rsidR="00310795">
        <w:rPr>
          <w:rFonts w:ascii="Arial" w:eastAsia="Times New Roman" w:hAnsi="Arial" w:cs="Arial"/>
          <w:sz w:val="24"/>
          <w:szCs w:val="24"/>
        </w:rPr>
        <w:t xml:space="preserve"> in non-clinic settings</w:t>
      </w:r>
      <w:r w:rsidR="00310795" w:rsidRPr="002B56E4">
        <w:rPr>
          <w:rFonts w:ascii="Arial" w:eastAsia="Times New Roman" w:hAnsi="Arial" w:cs="Arial"/>
          <w:sz w:val="24"/>
          <w:szCs w:val="24"/>
        </w:rPr>
        <w:t xml:space="preserve"> </w:t>
      </w:r>
      <w:r w:rsidR="00310795" w:rsidRPr="00C02ED9">
        <w:rPr>
          <w:rFonts w:ascii="Arial" w:eastAsia="Times New Roman" w:hAnsi="Arial" w:cs="Arial"/>
          <w:sz w:val="24"/>
          <w:szCs w:val="24"/>
        </w:rPr>
        <w:t xml:space="preserve">for telehealth and in-person services. </w:t>
      </w:r>
      <w:r w:rsidR="00B878BE">
        <w:rPr>
          <w:rFonts w:ascii="Arial" w:eastAsia="Times New Roman" w:hAnsi="Arial" w:cs="Arial"/>
          <w:sz w:val="24"/>
          <w:szCs w:val="24"/>
        </w:rPr>
        <w:t xml:space="preserve"> </w:t>
      </w:r>
    </w:p>
    <w:p w14:paraId="22248C31" w14:textId="77777777" w:rsidR="004B6426" w:rsidRPr="002B56E4" w:rsidRDefault="004B6426" w:rsidP="00915C22">
      <w:pPr>
        <w:shd w:val="clear" w:color="auto" w:fill="FFFFFF"/>
        <w:spacing w:after="0"/>
        <w:divId w:val="1213691618"/>
        <w:rPr>
          <w:rFonts w:ascii="Arial" w:eastAsia="Times New Roman" w:hAnsi="Arial" w:cs="Arial"/>
          <w:sz w:val="24"/>
          <w:szCs w:val="24"/>
        </w:rPr>
      </w:pPr>
    </w:p>
    <w:p w14:paraId="6F22ED45" w14:textId="77777777" w:rsidR="00310795" w:rsidRDefault="002B56E4" w:rsidP="00915C22">
      <w:pPr>
        <w:shd w:val="clear" w:color="auto" w:fill="FFFFFF"/>
        <w:spacing w:after="0"/>
        <w:divId w:val="1213691618"/>
        <w:rPr>
          <w:rFonts w:ascii="Arial" w:eastAsia="Times New Roman" w:hAnsi="Arial" w:cs="Arial"/>
          <w:sz w:val="24"/>
          <w:szCs w:val="24"/>
        </w:rPr>
      </w:pPr>
      <w:r w:rsidRPr="002B56E4">
        <w:rPr>
          <w:rFonts w:ascii="Arial" w:eastAsia="Times New Roman" w:hAnsi="Arial" w:cs="Arial"/>
          <w:sz w:val="24"/>
          <w:szCs w:val="24"/>
        </w:rPr>
        <w:t>The state predominately provides outpatient behavioral health services as clinic</w:t>
      </w:r>
      <w:r w:rsidR="0029486B">
        <w:rPr>
          <w:rFonts w:ascii="Arial" w:eastAsia="Times New Roman" w:hAnsi="Arial" w:cs="Arial"/>
          <w:sz w:val="24"/>
          <w:szCs w:val="24"/>
        </w:rPr>
        <w:t>-</w:t>
      </w:r>
      <w:r w:rsidR="001A6447">
        <w:rPr>
          <w:rFonts w:ascii="Arial" w:eastAsia="Times New Roman" w:hAnsi="Arial" w:cs="Arial"/>
          <w:sz w:val="24"/>
          <w:szCs w:val="24"/>
        </w:rPr>
        <w:t>based</w:t>
      </w:r>
      <w:r w:rsidR="001A6447" w:rsidRPr="002B56E4">
        <w:rPr>
          <w:rFonts w:ascii="Arial" w:eastAsia="Times New Roman" w:hAnsi="Arial" w:cs="Arial"/>
          <w:sz w:val="24"/>
          <w:szCs w:val="24"/>
        </w:rPr>
        <w:t xml:space="preserve"> services</w:t>
      </w:r>
      <w:r w:rsidR="00EF7440">
        <w:rPr>
          <w:rFonts w:ascii="Arial" w:eastAsia="Times New Roman" w:hAnsi="Arial" w:cs="Arial"/>
          <w:sz w:val="24"/>
          <w:szCs w:val="24"/>
        </w:rPr>
        <w:t>. The state is planning significant improvements to its behavioral health continuum, including the</w:t>
      </w:r>
      <w:r w:rsidR="00796C88">
        <w:rPr>
          <w:rFonts w:ascii="Arial" w:eastAsia="Times New Roman" w:hAnsi="Arial" w:cs="Arial"/>
          <w:sz w:val="24"/>
          <w:szCs w:val="24"/>
        </w:rPr>
        <w:t xml:space="preserve"> planned</w:t>
      </w:r>
      <w:r w:rsidR="00EF7440">
        <w:rPr>
          <w:rFonts w:ascii="Arial" w:eastAsia="Times New Roman" w:hAnsi="Arial" w:cs="Arial"/>
          <w:sz w:val="24"/>
          <w:szCs w:val="24"/>
        </w:rPr>
        <w:t xml:space="preserve"> introduction of Community Behavioral Health C</w:t>
      </w:r>
      <w:r w:rsidR="002D554B">
        <w:rPr>
          <w:rFonts w:ascii="Arial" w:eastAsia="Times New Roman" w:hAnsi="Arial" w:cs="Arial"/>
          <w:sz w:val="24"/>
          <w:szCs w:val="24"/>
        </w:rPr>
        <w:t>enters</w:t>
      </w:r>
      <w:r w:rsidR="00EF7440">
        <w:rPr>
          <w:rFonts w:ascii="Arial" w:eastAsia="Times New Roman" w:hAnsi="Arial" w:cs="Arial"/>
          <w:sz w:val="24"/>
          <w:szCs w:val="24"/>
        </w:rPr>
        <w:t xml:space="preserve">, </w:t>
      </w:r>
      <w:r w:rsidR="00311928" w:rsidRPr="005E348C">
        <w:rPr>
          <w:rFonts w:ascii="Arial" w:eastAsia="Times New Roman" w:hAnsi="Arial" w:cs="Arial"/>
          <w:sz w:val="24"/>
          <w:szCs w:val="24"/>
        </w:rPr>
        <w:t xml:space="preserve">which </w:t>
      </w:r>
      <w:r w:rsidR="002D554B" w:rsidRPr="005E348C">
        <w:rPr>
          <w:rFonts w:ascii="Arial" w:eastAsia="Times New Roman" w:hAnsi="Arial" w:cs="Arial"/>
          <w:sz w:val="24"/>
          <w:szCs w:val="24"/>
        </w:rPr>
        <w:t>will</w:t>
      </w:r>
      <w:r w:rsidR="00EF7440" w:rsidRPr="005E348C">
        <w:rPr>
          <w:rFonts w:ascii="Arial" w:eastAsia="Times New Roman" w:hAnsi="Arial" w:cs="Arial"/>
          <w:sz w:val="24"/>
          <w:szCs w:val="24"/>
        </w:rPr>
        <w:t xml:space="preserve"> provide</w:t>
      </w:r>
      <w:r w:rsidR="00EF7440">
        <w:rPr>
          <w:rFonts w:ascii="Arial" w:eastAsia="Times New Roman" w:hAnsi="Arial" w:cs="Arial"/>
          <w:sz w:val="24"/>
          <w:szCs w:val="24"/>
        </w:rPr>
        <w:t xml:space="preserve"> a local, centralized, community-based “front door” for individuals seeking behavioral health treatment.  Although these new providers will be based in a physical clinic location, the Commonwealth </w:t>
      </w:r>
      <w:r w:rsidR="00310795">
        <w:rPr>
          <w:rFonts w:ascii="Arial" w:eastAsia="Times New Roman" w:hAnsi="Arial" w:cs="Arial"/>
          <w:sz w:val="24"/>
          <w:szCs w:val="24"/>
        </w:rPr>
        <w:t>seeks</w:t>
      </w:r>
      <w:r w:rsidR="00EF7440">
        <w:rPr>
          <w:rFonts w:ascii="Arial" w:eastAsia="Times New Roman" w:hAnsi="Arial" w:cs="Arial"/>
          <w:sz w:val="24"/>
          <w:szCs w:val="24"/>
        </w:rPr>
        <w:t xml:space="preserve"> to </w:t>
      </w:r>
      <w:r w:rsidR="00310795">
        <w:rPr>
          <w:rFonts w:ascii="Arial" w:eastAsia="Times New Roman" w:hAnsi="Arial" w:cs="Arial"/>
          <w:sz w:val="24"/>
          <w:szCs w:val="24"/>
        </w:rPr>
        <w:t>encourage</w:t>
      </w:r>
      <w:r w:rsidR="00EF7440">
        <w:rPr>
          <w:rFonts w:ascii="Arial" w:eastAsia="Times New Roman" w:hAnsi="Arial" w:cs="Arial"/>
          <w:sz w:val="24"/>
          <w:szCs w:val="24"/>
        </w:rPr>
        <w:t xml:space="preserve"> the </w:t>
      </w:r>
      <w:r w:rsidR="00796C88">
        <w:rPr>
          <w:rFonts w:ascii="Arial" w:eastAsia="Times New Roman" w:hAnsi="Arial" w:cs="Arial"/>
          <w:sz w:val="24"/>
          <w:szCs w:val="24"/>
        </w:rPr>
        <w:t xml:space="preserve">clinicians </w:t>
      </w:r>
      <w:r w:rsidR="00EF7440">
        <w:rPr>
          <w:rFonts w:ascii="Arial" w:eastAsia="Times New Roman" w:hAnsi="Arial" w:cs="Arial"/>
          <w:sz w:val="24"/>
          <w:szCs w:val="24"/>
        </w:rPr>
        <w:t xml:space="preserve">from these clinics to provide services in a mobile, community-focused way, with the flexibility to meet individuals where they are </w:t>
      </w:r>
      <w:r w:rsidR="00310795" w:rsidRPr="00B878BE">
        <w:rPr>
          <w:rFonts w:ascii="Arial" w:hAnsi="Arial" w:cs="Arial"/>
          <w:sz w:val="24"/>
          <w:szCs w:val="24"/>
        </w:rPr>
        <w:t>either in a community-based location</w:t>
      </w:r>
      <w:r w:rsidR="00310795">
        <w:rPr>
          <w:rFonts w:ascii="Arial" w:hAnsi="Arial" w:cs="Arial"/>
          <w:sz w:val="24"/>
          <w:szCs w:val="24"/>
        </w:rPr>
        <w:t xml:space="preserve"> (</w:t>
      </w:r>
      <w:proofErr w:type="gramStart"/>
      <w:r w:rsidR="00310795">
        <w:rPr>
          <w:rFonts w:ascii="Arial" w:hAnsi="Arial" w:cs="Arial"/>
          <w:sz w:val="24"/>
          <w:szCs w:val="24"/>
        </w:rPr>
        <w:t>e.g.</w:t>
      </w:r>
      <w:proofErr w:type="gramEnd"/>
      <w:r w:rsidR="00310795">
        <w:rPr>
          <w:rFonts w:ascii="Arial" w:hAnsi="Arial" w:cs="Arial"/>
          <w:sz w:val="24"/>
          <w:szCs w:val="24"/>
        </w:rPr>
        <w:t xml:space="preserve"> home or mobile site)</w:t>
      </w:r>
      <w:r w:rsidR="00310795" w:rsidRPr="00B878BE">
        <w:rPr>
          <w:rFonts w:ascii="Arial" w:hAnsi="Arial" w:cs="Arial"/>
          <w:sz w:val="24"/>
          <w:szCs w:val="24"/>
        </w:rPr>
        <w:t xml:space="preserve"> or via </w:t>
      </w:r>
      <w:r w:rsidR="00FF0D64" w:rsidRPr="00B878BE">
        <w:rPr>
          <w:rFonts w:ascii="Arial" w:hAnsi="Arial" w:cs="Arial"/>
          <w:sz w:val="24"/>
          <w:szCs w:val="24"/>
        </w:rPr>
        <w:t>tele</w:t>
      </w:r>
      <w:r w:rsidR="00FF0D64">
        <w:rPr>
          <w:rFonts w:ascii="Arial" w:hAnsi="Arial" w:cs="Arial"/>
          <w:sz w:val="24"/>
          <w:szCs w:val="24"/>
        </w:rPr>
        <w:t>health</w:t>
      </w:r>
      <w:r w:rsidR="00796C88">
        <w:rPr>
          <w:rFonts w:ascii="Arial" w:hAnsi="Arial" w:cs="Arial"/>
          <w:sz w:val="24"/>
          <w:szCs w:val="24"/>
        </w:rPr>
        <w:t xml:space="preserve">.  The Commonwealth believes this service delivery model will </w:t>
      </w:r>
      <w:r w:rsidR="00065704">
        <w:rPr>
          <w:rFonts w:ascii="Arial" w:hAnsi="Arial" w:cs="Arial"/>
          <w:sz w:val="24"/>
          <w:szCs w:val="24"/>
        </w:rPr>
        <w:t xml:space="preserve">expand </w:t>
      </w:r>
      <w:r w:rsidR="00310795">
        <w:rPr>
          <w:rFonts w:ascii="Arial" w:hAnsi="Arial" w:cs="Arial"/>
          <w:sz w:val="24"/>
          <w:szCs w:val="24"/>
        </w:rPr>
        <w:t xml:space="preserve">member access and </w:t>
      </w:r>
      <w:r w:rsidR="00796C88">
        <w:rPr>
          <w:rFonts w:ascii="Arial" w:hAnsi="Arial" w:cs="Arial"/>
          <w:sz w:val="24"/>
          <w:szCs w:val="24"/>
        </w:rPr>
        <w:t xml:space="preserve">improve </w:t>
      </w:r>
      <w:r w:rsidR="00310795">
        <w:rPr>
          <w:rFonts w:ascii="Arial" w:hAnsi="Arial" w:cs="Arial"/>
          <w:sz w:val="24"/>
          <w:szCs w:val="24"/>
        </w:rPr>
        <w:t>retention in ongoing behavioral health treatment</w:t>
      </w:r>
      <w:r w:rsidR="00796C88">
        <w:rPr>
          <w:rFonts w:ascii="Arial" w:hAnsi="Arial" w:cs="Arial"/>
          <w:sz w:val="24"/>
          <w:szCs w:val="24"/>
        </w:rPr>
        <w:t xml:space="preserve"> and</w:t>
      </w:r>
      <w:r w:rsidR="00310795">
        <w:rPr>
          <w:rFonts w:ascii="Arial" w:hAnsi="Arial" w:cs="Arial"/>
          <w:sz w:val="24"/>
          <w:szCs w:val="24"/>
        </w:rPr>
        <w:t xml:space="preserve"> is particularly important </w:t>
      </w:r>
      <w:r w:rsidR="00796C88">
        <w:rPr>
          <w:rFonts w:ascii="Arial" w:hAnsi="Arial" w:cs="Arial"/>
          <w:sz w:val="24"/>
          <w:szCs w:val="24"/>
        </w:rPr>
        <w:t>in ensuring</w:t>
      </w:r>
      <w:r w:rsidR="00310795">
        <w:rPr>
          <w:rFonts w:ascii="Arial" w:hAnsi="Arial" w:cs="Arial"/>
          <w:sz w:val="24"/>
          <w:szCs w:val="24"/>
        </w:rPr>
        <w:t xml:space="preserve"> behavioral health treatment reach</w:t>
      </w:r>
      <w:r w:rsidR="00796C88">
        <w:rPr>
          <w:rFonts w:ascii="Arial" w:hAnsi="Arial" w:cs="Arial"/>
          <w:sz w:val="24"/>
          <w:szCs w:val="24"/>
        </w:rPr>
        <w:t>es</w:t>
      </w:r>
      <w:r w:rsidR="00310795">
        <w:rPr>
          <w:rFonts w:ascii="Arial" w:hAnsi="Arial" w:cs="Arial"/>
          <w:sz w:val="24"/>
          <w:szCs w:val="24"/>
        </w:rPr>
        <w:t xml:space="preserve"> vulnerable populations</w:t>
      </w:r>
      <w:r w:rsidR="00311928" w:rsidRPr="005E348C">
        <w:rPr>
          <w:rFonts w:ascii="Arial" w:hAnsi="Arial" w:cs="Arial"/>
          <w:sz w:val="24"/>
          <w:szCs w:val="24"/>
        </w:rPr>
        <w:t>,</w:t>
      </w:r>
      <w:r w:rsidR="00310795">
        <w:rPr>
          <w:rFonts w:ascii="Arial" w:hAnsi="Arial" w:cs="Arial"/>
          <w:sz w:val="24"/>
          <w:szCs w:val="24"/>
        </w:rPr>
        <w:t xml:space="preserve"> including older adults and persons with chronic and persistent </w:t>
      </w:r>
      <w:r w:rsidR="00310795">
        <w:rPr>
          <w:rFonts w:ascii="Arial" w:hAnsi="Arial" w:cs="Arial"/>
          <w:sz w:val="24"/>
          <w:szCs w:val="24"/>
        </w:rPr>
        <w:lastRenderedPageBreak/>
        <w:t>mental illness.</w:t>
      </w:r>
      <w:r w:rsidR="00310795">
        <w:rPr>
          <w:rStyle w:val="FootnoteReference"/>
          <w:rFonts w:ascii="Arial" w:hAnsi="Arial" w:cs="Arial"/>
          <w:sz w:val="24"/>
          <w:szCs w:val="24"/>
        </w:rPr>
        <w:footnoteReference w:id="8"/>
      </w:r>
      <w:r w:rsidR="00310795">
        <w:rPr>
          <w:rFonts w:ascii="Arial" w:hAnsi="Arial" w:cs="Arial"/>
          <w:sz w:val="24"/>
          <w:szCs w:val="24"/>
        </w:rPr>
        <w:t xml:space="preserve"> </w:t>
      </w:r>
      <w:r w:rsidR="00311928" w:rsidRPr="005E348C">
        <w:rPr>
          <w:rFonts w:ascii="Arial" w:hAnsi="Arial" w:cs="Arial"/>
          <w:sz w:val="24"/>
          <w:szCs w:val="24"/>
        </w:rPr>
        <w:t>Simultaneously</w:t>
      </w:r>
      <w:r w:rsidR="00310795" w:rsidRPr="005E348C">
        <w:rPr>
          <w:rFonts w:ascii="Arial" w:hAnsi="Arial" w:cs="Arial"/>
          <w:sz w:val="24"/>
          <w:szCs w:val="24"/>
        </w:rPr>
        <w:t>,</w:t>
      </w:r>
      <w:r w:rsidR="00310795">
        <w:rPr>
          <w:rFonts w:ascii="Arial" w:hAnsi="Arial" w:cs="Arial"/>
          <w:sz w:val="24"/>
          <w:szCs w:val="24"/>
        </w:rPr>
        <w:t xml:space="preserve"> these services and providers remain anchored to behavioral health clinics that provide a robust architecture for clinical oversight and quality assurance</w:t>
      </w:r>
      <w:r w:rsidR="00EF7440">
        <w:rPr>
          <w:rFonts w:ascii="Arial" w:eastAsia="Times New Roman" w:hAnsi="Arial" w:cs="Arial"/>
          <w:sz w:val="24"/>
          <w:szCs w:val="24"/>
        </w:rPr>
        <w:t xml:space="preserve">.  </w:t>
      </w:r>
      <w:r w:rsidR="00310795">
        <w:rPr>
          <w:rFonts w:ascii="Arial" w:eastAsia="Times New Roman" w:hAnsi="Arial" w:cs="Arial"/>
          <w:sz w:val="24"/>
          <w:szCs w:val="24"/>
        </w:rPr>
        <w:t xml:space="preserve">The state believes this continued flexibility, born in the </w:t>
      </w:r>
      <w:r w:rsidR="00796C88">
        <w:rPr>
          <w:rFonts w:ascii="Arial" w:eastAsia="Times New Roman" w:hAnsi="Arial" w:cs="Arial"/>
          <w:sz w:val="24"/>
          <w:szCs w:val="24"/>
        </w:rPr>
        <w:t xml:space="preserve">needs </w:t>
      </w:r>
      <w:r w:rsidR="00310795">
        <w:rPr>
          <w:rFonts w:ascii="Arial" w:eastAsia="Times New Roman" w:hAnsi="Arial" w:cs="Arial"/>
          <w:sz w:val="24"/>
          <w:szCs w:val="24"/>
        </w:rPr>
        <w:t xml:space="preserve">of the public health emergency, can play </w:t>
      </w:r>
      <w:r w:rsidR="00310795" w:rsidRPr="005E348C">
        <w:rPr>
          <w:rFonts w:ascii="Arial" w:eastAsia="Times New Roman" w:hAnsi="Arial" w:cs="Arial"/>
          <w:sz w:val="24"/>
          <w:szCs w:val="24"/>
        </w:rPr>
        <w:t>a</w:t>
      </w:r>
      <w:r w:rsidR="00311928" w:rsidRPr="005E348C">
        <w:rPr>
          <w:rFonts w:ascii="Arial" w:eastAsia="Times New Roman" w:hAnsi="Arial" w:cs="Arial"/>
          <w:sz w:val="24"/>
          <w:szCs w:val="24"/>
        </w:rPr>
        <w:t xml:space="preserve"> crucial</w:t>
      </w:r>
      <w:r w:rsidR="00310795">
        <w:rPr>
          <w:rFonts w:ascii="Arial" w:eastAsia="Times New Roman" w:hAnsi="Arial" w:cs="Arial"/>
          <w:sz w:val="24"/>
          <w:szCs w:val="24"/>
        </w:rPr>
        <w:t xml:space="preserve"> ongoing role in improving initiation of and engagement in vital behavioral health services for MassHealth members.</w:t>
      </w:r>
    </w:p>
    <w:p w14:paraId="29F5561F" w14:textId="77777777" w:rsidR="00310795" w:rsidRDefault="00310795" w:rsidP="00915C22">
      <w:pPr>
        <w:shd w:val="clear" w:color="auto" w:fill="FFFFFF"/>
        <w:spacing w:after="0"/>
        <w:divId w:val="1213691618"/>
        <w:rPr>
          <w:rFonts w:ascii="Arial" w:eastAsia="Times New Roman" w:hAnsi="Arial" w:cs="Arial"/>
          <w:sz w:val="24"/>
          <w:szCs w:val="24"/>
        </w:rPr>
      </w:pPr>
    </w:p>
    <w:p w14:paraId="43F5A606" w14:textId="77777777" w:rsidR="002B56E4" w:rsidRPr="002B56E4" w:rsidRDefault="002B56E4" w:rsidP="00915C22">
      <w:pPr>
        <w:shd w:val="clear" w:color="auto" w:fill="FFFFFF"/>
        <w:spacing w:after="0"/>
        <w:divId w:val="1213691618"/>
        <w:rPr>
          <w:rFonts w:ascii="Arial" w:eastAsia="Times New Roman" w:hAnsi="Arial" w:cs="Arial"/>
          <w:sz w:val="24"/>
          <w:szCs w:val="24"/>
        </w:rPr>
      </w:pPr>
    </w:p>
    <w:p w14:paraId="41EF07F3" w14:textId="77777777" w:rsidR="00C02ED9" w:rsidRDefault="00C02ED9" w:rsidP="00B430D4">
      <w:pPr>
        <w:pStyle w:val="MediumGrid2-Accent11"/>
        <w:divId w:val="1213691618"/>
        <w:rPr>
          <w:rFonts w:ascii="Times New Roman" w:hAnsi="Times New Roman"/>
          <w:sz w:val="24"/>
          <w:szCs w:val="24"/>
        </w:rPr>
      </w:pPr>
    </w:p>
    <w:p w14:paraId="0A10D1F8" w14:textId="77777777" w:rsidR="00B430D4" w:rsidRPr="0011703B" w:rsidRDefault="00520942" w:rsidP="00B430D4">
      <w:pPr>
        <w:divId w:val="1213691618"/>
        <w:rPr>
          <w:rFonts w:ascii="Arial" w:hAnsi="Arial" w:cs="Arial"/>
          <w:b/>
          <w:bCs/>
          <w:sz w:val="24"/>
          <w:szCs w:val="24"/>
        </w:rPr>
      </w:pPr>
      <w:r>
        <w:rPr>
          <w:rFonts w:ascii="Arial" w:hAnsi="Arial" w:cs="Arial"/>
          <w:b/>
          <w:bCs/>
          <w:sz w:val="24"/>
          <w:szCs w:val="24"/>
        </w:rPr>
        <w:t>Authorization</w:t>
      </w:r>
      <w:r w:rsidRPr="0011703B">
        <w:rPr>
          <w:rFonts w:ascii="Arial" w:hAnsi="Arial" w:cs="Arial"/>
          <w:b/>
          <w:bCs/>
          <w:sz w:val="24"/>
          <w:szCs w:val="24"/>
        </w:rPr>
        <w:t xml:space="preserve"> </w:t>
      </w:r>
      <w:r w:rsidR="00B430D4" w:rsidRPr="0011703B">
        <w:rPr>
          <w:rFonts w:ascii="Arial" w:hAnsi="Arial" w:cs="Arial"/>
          <w:b/>
          <w:bCs/>
          <w:sz w:val="24"/>
          <w:szCs w:val="24"/>
        </w:rPr>
        <w:t xml:space="preserve">to </w:t>
      </w:r>
      <w:r>
        <w:rPr>
          <w:rFonts w:ascii="Arial" w:hAnsi="Arial" w:cs="Arial"/>
          <w:b/>
          <w:bCs/>
          <w:sz w:val="24"/>
          <w:szCs w:val="24"/>
        </w:rPr>
        <w:t xml:space="preserve">reimburse </w:t>
      </w:r>
      <w:r w:rsidR="00C87D9A">
        <w:rPr>
          <w:rFonts w:ascii="Arial" w:hAnsi="Arial" w:cs="Arial"/>
          <w:b/>
          <w:bCs/>
          <w:sz w:val="24"/>
          <w:szCs w:val="24"/>
        </w:rPr>
        <w:t xml:space="preserve">qualified acute inpatient hospitals </w:t>
      </w:r>
      <w:r>
        <w:rPr>
          <w:rFonts w:ascii="Arial" w:hAnsi="Arial" w:cs="Arial"/>
          <w:b/>
          <w:bCs/>
          <w:sz w:val="24"/>
          <w:szCs w:val="24"/>
        </w:rPr>
        <w:t xml:space="preserve">rendering acute inpatient hospital services in a member’s home </w:t>
      </w:r>
      <w:r w:rsidR="00C87D9A">
        <w:rPr>
          <w:rFonts w:ascii="Arial" w:hAnsi="Arial" w:cs="Arial"/>
          <w:b/>
          <w:bCs/>
          <w:sz w:val="24"/>
          <w:szCs w:val="24"/>
        </w:rPr>
        <w:t xml:space="preserve">when clinically </w:t>
      </w:r>
      <w:proofErr w:type="gramStart"/>
      <w:r w:rsidR="00C87D9A">
        <w:rPr>
          <w:rFonts w:ascii="Arial" w:hAnsi="Arial" w:cs="Arial"/>
          <w:b/>
          <w:bCs/>
          <w:sz w:val="24"/>
          <w:szCs w:val="24"/>
        </w:rPr>
        <w:t>appropriate</w:t>
      </w:r>
      <w:proofErr w:type="gramEnd"/>
    </w:p>
    <w:p w14:paraId="4253BEA8" w14:textId="77777777" w:rsidR="001226AA" w:rsidRDefault="00B430D4" w:rsidP="001226AA">
      <w:pPr>
        <w:spacing w:after="0"/>
        <w:contextualSpacing/>
        <w:divId w:val="1213691618"/>
        <w:rPr>
          <w:rFonts w:ascii="Arial" w:hAnsi="Arial" w:cs="Arial"/>
          <w:color w:val="000000"/>
          <w:sz w:val="24"/>
          <w:szCs w:val="24"/>
        </w:rPr>
      </w:pPr>
      <w:r w:rsidRPr="009E1282">
        <w:rPr>
          <w:rFonts w:ascii="Arial" w:hAnsi="Arial" w:cs="Arial"/>
          <w:color w:val="000000"/>
          <w:sz w:val="24"/>
          <w:szCs w:val="24"/>
        </w:rPr>
        <w:t>​</w:t>
      </w:r>
      <w:r w:rsidR="001226AA" w:rsidRPr="009E1282">
        <w:rPr>
          <w:rFonts w:ascii="Arial" w:hAnsi="Arial" w:cs="Arial"/>
          <w:color w:val="000000"/>
          <w:sz w:val="24"/>
          <w:szCs w:val="24"/>
        </w:rPr>
        <w:t xml:space="preserve">This amendment would authorize a </w:t>
      </w:r>
      <w:r w:rsidR="00520942">
        <w:rPr>
          <w:rFonts w:ascii="Arial" w:hAnsi="Arial" w:cs="Arial"/>
          <w:color w:val="000000"/>
          <w:sz w:val="24"/>
          <w:szCs w:val="24"/>
        </w:rPr>
        <w:t>h</w:t>
      </w:r>
      <w:r w:rsidR="00520942" w:rsidRPr="009E1282">
        <w:rPr>
          <w:rFonts w:ascii="Arial" w:hAnsi="Arial" w:cs="Arial"/>
          <w:color w:val="000000"/>
          <w:sz w:val="24"/>
          <w:szCs w:val="24"/>
        </w:rPr>
        <w:t xml:space="preserve">ospital </w:t>
      </w:r>
      <w:r w:rsidR="001226AA" w:rsidRPr="009E1282">
        <w:rPr>
          <w:rFonts w:ascii="Arial" w:hAnsi="Arial" w:cs="Arial"/>
          <w:color w:val="000000"/>
          <w:sz w:val="24"/>
          <w:szCs w:val="24"/>
        </w:rPr>
        <w:t xml:space="preserve">at </w:t>
      </w:r>
      <w:r w:rsidR="00520942">
        <w:rPr>
          <w:rFonts w:ascii="Arial" w:hAnsi="Arial" w:cs="Arial"/>
          <w:color w:val="000000"/>
          <w:sz w:val="24"/>
          <w:szCs w:val="24"/>
        </w:rPr>
        <w:t>h</w:t>
      </w:r>
      <w:r w:rsidR="00520942" w:rsidRPr="009E1282">
        <w:rPr>
          <w:rFonts w:ascii="Arial" w:hAnsi="Arial" w:cs="Arial"/>
          <w:color w:val="000000"/>
          <w:sz w:val="24"/>
          <w:szCs w:val="24"/>
        </w:rPr>
        <w:t xml:space="preserve">ome </w:t>
      </w:r>
      <w:r w:rsidR="001226AA" w:rsidRPr="009E1282">
        <w:rPr>
          <w:rFonts w:ascii="Arial" w:hAnsi="Arial" w:cs="Arial"/>
          <w:color w:val="000000"/>
          <w:sz w:val="24"/>
          <w:szCs w:val="24"/>
        </w:rPr>
        <w:t>program</w:t>
      </w:r>
      <w:r w:rsidR="00520942">
        <w:rPr>
          <w:rFonts w:ascii="Arial" w:hAnsi="Arial" w:cs="Arial"/>
          <w:color w:val="000000"/>
          <w:sz w:val="24"/>
          <w:szCs w:val="24"/>
        </w:rPr>
        <w:t>,</w:t>
      </w:r>
      <w:r w:rsidR="001226AA" w:rsidRPr="009E1282">
        <w:rPr>
          <w:rFonts w:ascii="Arial" w:hAnsi="Arial" w:cs="Arial"/>
          <w:color w:val="000000"/>
          <w:sz w:val="24"/>
          <w:szCs w:val="24"/>
        </w:rPr>
        <w:t xml:space="preserve"> through which </w:t>
      </w:r>
      <w:r w:rsidR="00C87D9A">
        <w:rPr>
          <w:rFonts w:ascii="Arial" w:hAnsi="Arial" w:cs="Arial"/>
          <w:color w:val="000000"/>
          <w:sz w:val="24"/>
          <w:szCs w:val="24"/>
        </w:rPr>
        <w:t xml:space="preserve">qualified </w:t>
      </w:r>
      <w:r w:rsidR="001226AA" w:rsidRPr="009E1282">
        <w:rPr>
          <w:rFonts w:ascii="Arial" w:hAnsi="Arial" w:cs="Arial"/>
          <w:color w:val="000000"/>
          <w:sz w:val="24"/>
          <w:szCs w:val="24"/>
        </w:rPr>
        <w:t>acute inpatient​ hospital</w:t>
      </w:r>
      <w:r w:rsidR="00311928">
        <w:rPr>
          <w:rFonts w:ascii="Arial" w:hAnsi="Arial" w:cs="Arial"/>
          <w:color w:val="000000"/>
          <w:sz w:val="24"/>
          <w:szCs w:val="24"/>
        </w:rPr>
        <w:t xml:space="preserve"> </w:t>
      </w:r>
      <w:r w:rsidR="00311928" w:rsidRPr="00AE623B">
        <w:rPr>
          <w:rFonts w:ascii="Arial" w:hAnsi="Arial" w:cs="Arial"/>
          <w:color w:val="000000"/>
          <w:sz w:val="24"/>
          <w:szCs w:val="24"/>
        </w:rPr>
        <w:t>provider</w:t>
      </w:r>
      <w:r w:rsidR="001226AA" w:rsidRPr="00AE623B">
        <w:rPr>
          <w:rFonts w:ascii="Arial" w:hAnsi="Arial" w:cs="Arial"/>
          <w:color w:val="000000"/>
          <w:sz w:val="24"/>
          <w:szCs w:val="24"/>
        </w:rPr>
        <w:t>s</w:t>
      </w:r>
      <w:r w:rsidR="001226AA" w:rsidRPr="009E1282">
        <w:rPr>
          <w:rFonts w:ascii="Arial" w:hAnsi="Arial" w:cs="Arial"/>
          <w:color w:val="000000"/>
          <w:sz w:val="24"/>
          <w:szCs w:val="24"/>
        </w:rPr>
        <w:t xml:space="preserve"> would deliver ​acute inpatient hospital services in </w:t>
      </w:r>
      <w:r w:rsidR="00C87D9A">
        <w:rPr>
          <w:rFonts w:ascii="Arial" w:hAnsi="Arial" w:cs="Arial"/>
          <w:color w:val="000000"/>
          <w:sz w:val="24"/>
          <w:szCs w:val="24"/>
        </w:rPr>
        <w:t xml:space="preserve">a member’s </w:t>
      </w:r>
      <w:r w:rsidR="001226AA" w:rsidRPr="009E1282">
        <w:rPr>
          <w:rFonts w:ascii="Arial" w:hAnsi="Arial" w:cs="Arial"/>
          <w:color w:val="000000"/>
          <w:sz w:val="24"/>
          <w:szCs w:val="24"/>
        </w:rPr>
        <w:t>home</w:t>
      </w:r>
      <w:r w:rsidR="00E3045C">
        <w:rPr>
          <w:rFonts w:ascii="Arial" w:hAnsi="Arial" w:cs="Arial"/>
          <w:color w:val="000000"/>
          <w:sz w:val="24"/>
          <w:szCs w:val="24"/>
        </w:rPr>
        <w:t>, outside of the institution,</w:t>
      </w:r>
      <w:r w:rsidR="00C87D9A">
        <w:rPr>
          <w:rFonts w:ascii="Arial" w:hAnsi="Arial" w:cs="Arial"/>
          <w:color w:val="000000"/>
          <w:sz w:val="24"/>
          <w:szCs w:val="24"/>
        </w:rPr>
        <w:t xml:space="preserve"> </w:t>
      </w:r>
      <w:r w:rsidR="00C87D9A" w:rsidRPr="00C87D9A">
        <w:rPr>
          <w:rFonts w:ascii="Arial" w:hAnsi="Arial" w:cs="Arial"/>
          <w:color w:val="000000"/>
          <w:sz w:val="24"/>
          <w:szCs w:val="24"/>
        </w:rPr>
        <w:t>to members for whom such services are clinically appropriate</w:t>
      </w:r>
      <w:r w:rsidR="001226AA">
        <w:rPr>
          <w:rFonts w:ascii="Arial" w:hAnsi="Arial" w:cs="Arial"/>
          <w:color w:val="000000"/>
          <w:sz w:val="24"/>
          <w:szCs w:val="24"/>
        </w:rPr>
        <w:t xml:space="preserve">.  </w:t>
      </w:r>
    </w:p>
    <w:p w14:paraId="21C60947" w14:textId="77777777" w:rsidR="004A7FB9" w:rsidRDefault="004A7FB9" w:rsidP="001226AA">
      <w:pPr>
        <w:spacing w:after="0"/>
        <w:contextualSpacing/>
        <w:divId w:val="1213691618"/>
        <w:rPr>
          <w:rFonts w:ascii="Arial" w:hAnsi="Arial" w:cs="Arial"/>
          <w:color w:val="000000"/>
          <w:sz w:val="24"/>
          <w:szCs w:val="24"/>
        </w:rPr>
      </w:pPr>
    </w:p>
    <w:p w14:paraId="455E9EE4" w14:textId="77777777" w:rsidR="0020352E" w:rsidRDefault="0020352E" w:rsidP="001226AA">
      <w:pPr>
        <w:pStyle w:val="MediumGrid2-Accent11"/>
        <w:spacing w:line="276" w:lineRule="auto"/>
        <w:divId w:val="1213691618"/>
        <w:rPr>
          <w:rFonts w:ascii="Arial" w:hAnsi="Arial" w:cs="Arial"/>
          <w:color w:val="000000"/>
          <w:sz w:val="24"/>
          <w:szCs w:val="24"/>
        </w:rPr>
      </w:pPr>
      <w:r>
        <w:rPr>
          <w:rFonts w:ascii="Arial" w:hAnsi="Arial" w:cs="Arial"/>
          <w:color w:val="000000"/>
          <w:sz w:val="24"/>
          <w:szCs w:val="24"/>
        </w:rPr>
        <w:t xml:space="preserve">Acute, brick-and-mortar hospitals have long been the primary venue for treating </w:t>
      </w:r>
      <w:r w:rsidR="00311928" w:rsidRPr="00AE623B">
        <w:rPr>
          <w:rFonts w:ascii="Arial" w:hAnsi="Arial" w:cs="Arial"/>
          <w:color w:val="000000"/>
          <w:sz w:val="24"/>
          <w:szCs w:val="24"/>
        </w:rPr>
        <w:t>serious</w:t>
      </w:r>
      <w:r w:rsidR="00311928">
        <w:rPr>
          <w:rFonts w:ascii="Arial" w:hAnsi="Arial" w:cs="Arial"/>
          <w:color w:val="000000"/>
          <w:sz w:val="24"/>
          <w:szCs w:val="24"/>
        </w:rPr>
        <w:t xml:space="preserve"> </w:t>
      </w:r>
      <w:r w:rsidR="00311928" w:rsidRPr="00AE623B">
        <w:rPr>
          <w:rFonts w:ascii="Arial" w:hAnsi="Arial" w:cs="Arial"/>
          <w:color w:val="000000"/>
          <w:sz w:val="24"/>
          <w:szCs w:val="24"/>
        </w:rPr>
        <w:t>acute</w:t>
      </w:r>
      <w:r>
        <w:rPr>
          <w:rFonts w:ascii="Arial" w:hAnsi="Arial" w:cs="Arial"/>
          <w:color w:val="000000"/>
          <w:sz w:val="24"/>
          <w:szCs w:val="24"/>
        </w:rPr>
        <w:t xml:space="preserve"> illness</w:t>
      </w:r>
      <w:r w:rsidR="00B30D82">
        <w:rPr>
          <w:rFonts w:ascii="Arial" w:hAnsi="Arial" w:cs="Arial"/>
          <w:color w:val="000000"/>
          <w:sz w:val="24"/>
          <w:szCs w:val="24"/>
        </w:rPr>
        <w:t xml:space="preserve"> in the United States</w:t>
      </w:r>
      <w:r>
        <w:rPr>
          <w:rFonts w:ascii="Arial" w:hAnsi="Arial" w:cs="Arial"/>
          <w:color w:val="000000"/>
          <w:sz w:val="24"/>
          <w:szCs w:val="24"/>
        </w:rPr>
        <w:t xml:space="preserve">.  However, </w:t>
      </w:r>
      <w:r w:rsidR="00B30D82">
        <w:rPr>
          <w:rFonts w:ascii="Arial" w:hAnsi="Arial" w:cs="Arial"/>
          <w:color w:val="000000"/>
          <w:sz w:val="24"/>
          <w:szCs w:val="24"/>
        </w:rPr>
        <w:t xml:space="preserve">hospitalization in </w:t>
      </w:r>
      <w:r>
        <w:rPr>
          <w:rFonts w:ascii="Arial" w:hAnsi="Arial" w:cs="Arial"/>
          <w:color w:val="000000"/>
          <w:sz w:val="24"/>
          <w:szCs w:val="24"/>
        </w:rPr>
        <w:t xml:space="preserve">inpatient settings </w:t>
      </w:r>
      <w:r w:rsidR="00C803B3">
        <w:rPr>
          <w:rFonts w:ascii="Arial" w:hAnsi="Arial" w:cs="Arial"/>
          <w:color w:val="000000"/>
          <w:sz w:val="24"/>
          <w:szCs w:val="24"/>
        </w:rPr>
        <w:t>can be associated with complications including hospital-acquired delirium,</w:t>
      </w:r>
      <w:r w:rsidR="00C803B3">
        <w:rPr>
          <w:rStyle w:val="FootnoteReference"/>
          <w:rFonts w:ascii="Arial" w:hAnsi="Arial" w:cs="Arial"/>
          <w:color w:val="000000"/>
          <w:sz w:val="24"/>
          <w:szCs w:val="24"/>
        </w:rPr>
        <w:footnoteReference w:id="9"/>
      </w:r>
      <w:r w:rsidR="00C803B3">
        <w:rPr>
          <w:rFonts w:ascii="Arial" w:hAnsi="Arial" w:cs="Arial"/>
          <w:color w:val="000000"/>
          <w:sz w:val="24"/>
          <w:szCs w:val="24"/>
        </w:rPr>
        <w:t xml:space="preserve"> hospital-acquired infections,</w:t>
      </w:r>
      <w:r w:rsidR="00B30D82">
        <w:rPr>
          <w:rStyle w:val="FootnoteReference"/>
          <w:rFonts w:ascii="Arial" w:hAnsi="Arial" w:cs="Arial"/>
          <w:color w:val="000000"/>
          <w:sz w:val="24"/>
          <w:szCs w:val="24"/>
        </w:rPr>
        <w:footnoteReference w:id="10"/>
      </w:r>
      <w:r w:rsidR="00C803B3">
        <w:rPr>
          <w:rFonts w:ascii="Arial" w:hAnsi="Arial" w:cs="Arial"/>
          <w:color w:val="000000"/>
          <w:sz w:val="24"/>
          <w:szCs w:val="24"/>
        </w:rPr>
        <w:t xml:space="preserve"> and </w:t>
      </w:r>
      <w:r w:rsidR="00311928" w:rsidRPr="00AE623B">
        <w:rPr>
          <w:rFonts w:ascii="Arial" w:hAnsi="Arial" w:cs="Arial"/>
          <w:color w:val="000000"/>
          <w:sz w:val="24"/>
          <w:szCs w:val="24"/>
        </w:rPr>
        <w:t>functional status los</w:t>
      </w:r>
      <w:r w:rsidR="00C803B3" w:rsidRPr="00AE623B">
        <w:rPr>
          <w:rFonts w:ascii="Arial" w:hAnsi="Arial" w:cs="Arial"/>
          <w:color w:val="000000"/>
          <w:sz w:val="24"/>
          <w:szCs w:val="24"/>
        </w:rPr>
        <w:t>s</w:t>
      </w:r>
      <w:r w:rsidR="0038541B">
        <w:rPr>
          <w:rFonts w:ascii="Arial" w:hAnsi="Arial" w:cs="Arial"/>
          <w:color w:val="000000"/>
          <w:sz w:val="24"/>
          <w:szCs w:val="24"/>
        </w:rPr>
        <w:t xml:space="preserve"> (sometimes permanently) due to inactivity</w:t>
      </w:r>
      <w:r w:rsidR="00C803B3">
        <w:rPr>
          <w:rFonts w:ascii="Arial" w:hAnsi="Arial" w:cs="Arial"/>
          <w:color w:val="000000"/>
          <w:sz w:val="24"/>
          <w:szCs w:val="24"/>
        </w:rPr>
        <w:t xml:space="preserve">.  </w:t>
      </w:r>
      <w:r w:rsidR="00F4217F">
        <w:rPr>
          <w:rFonts w:ascii="Arial" w:hAnsi="Arial" w:cs="Arial"/>
          <w:color w:val="000000"/>
          <w:sz w:val="24"/>
          <w:szCs w:val="24"/>
        </w:rPr>
        <w:t>L</w:t>
      </w:r>
      <w:r w:rsidR="00C803B3">
        <w:rPr>
          <w:rFonts w:ascii="Arial" w:hAnsi="Arial" w:cs="Arial"/>
          <w:color w:val="000000"/>
          <w:sz w:val="24"/>
          <w:szCs w:val="24"/>
        </w:rPr>
        <w:t xml:space="preserve">imited hospital capacity </w:t>
      </w:r>
      <w:r w:rsidR="00F4217F">
        <w:rPr>
          <w:rFonts w:ascii="Arial" w:hAnsi="Arial" w:cs="Arial"/>
          <w:color w:val="000000"/>
          <w:sz w:val="24"/>
          <w:szCs w:val="24"/>
        </w:rPr>
        <w:t>can</w:t>
      </w:r>
      <w:r w:rsidR="00C803B3">
        <w:rPr>
          <w:rFonts w:ascii="Arial" w:hAnsi="Arial" w:cs="Arial"/>
          <w:color w:val="000000"/>
          <w:sz w:val="24"/>
          <w:szCs w:val="24"/>
        </w:rPr>
        <w:t xml:space="preserve"> result in prolonged waits in emergency departments</w:t>
      </w:r>
      <w:r w:rsidR="00E2699C">
        <w:rPr>
          <w:rFonts w:ascii="Arial" w:hAnsi="Arial" w:cs="Arial"/>
          <w:color w:val="000000"/>
          <w:sz w:val="24"/>
          <w:szCs w:val="24"/>
        </w:rPr>
        <w:t xml:space="preserve"> and delays in inpatient care.</w:t>
      </w:r>
      <w:r w:rsidR="00F4217F">
        <w:rPr>
          <w:rStyle w:val="FootnoteReference"/>
          <w:rFonts w:ascii="Arial" w:hAnsi="Arial" w:cs="Arial"/>
          <w:color w:val="000000"/>
          <w:sz w:val="24"/>
          <w:szCs w:val="24"/>
        </w:rPr>
        <w:footnoteReference w:id="11"/>
      </w:r>
      <w:r w:rsidR="00C803B3">
        <w:rPr>
          <w:rFonts w:ascii="Arial" w:hAnsi="Arial" w:cs="Arial"/>
          <w:color w:val="000000"/>
          <w:sz w:val="24"/>
          <w:szCs w:val="24"/>
        </w:rPr>
        <w:t xml:space="preserve">  </w:t>
      </w:r>
      <w:r w:rsidR="00F4217F">
        <w:rPr>
          <w:rFonts w:ascii="Arial" w:hAnsi="Arial" w:cs="Arial"/>
          <w:color w:val="000000"/>
          <w:sz w:val="24"/>
          <w:szCs w:val="24"/>
        </w:rPr>
        <w:t xml:space="preserve">Acute hospitalizations are also expensive, accounting for </w:t>
      </w:r>
      <w:r w:rsidR="00F573A5">
        <w:rPr>
          <w:rFonts w:ascii="Arial" w:hAnsi="Arial" w:cs="Arial"/>
          <w:color w:val="000000"/>
          <w:sz w:val="24"/>
          <w:szCs w:val="24"/>
        </w:rPr>
        <w:t xml:space="preserve">a substantial and rising proportion </w:t>
      </w:r>
      <w:r w:rsidR="00F4217F">
        <w:rPr>
          <w:rFonts w:ascii="Arial" w:hAnsi="Arial" w:cs="Arial"/>
          <w:color w:val="000000"/>
          <w:sz w:val="24"/>
          <w:szCs w:val="24"/>
        </w:rPr>
        <w:t>of total medical expenditure.</w:t>
      </w:r>
      <w:r w:rsidR="004E44E7">
        <w:rPr>
          <w:rStyle w:val="FootnoteReference"/>
          <w:rFonts w:ascii="Arial" w:hAnsi="Arial" w:cs="Arial"/>
          <w:color w:val="000000"/>
          <w:sz w:val="24"/>
          <w:szCs w:val="24"/>
        </w:rPr>
        <w:footnoteReference w:id="12"/>
      </w:r>
      <w:r w:rsidR="0038541B">
        <w:rPr>
          <w:rFonts w:ascii="Arial" w:hAnsi="Arial" w:cs="Arial"/>
          <w:color w:val="000000"/>
          <w:sz w:val="24"/>
          <w:szCs w:val="24"/>
        </w:rPr>
        <w:t xml:space="preserve">  </w:t>
      </w:r>
    </w:p>
    <w:p w14:paraId="5A027036" w14:textId="77777777" w:rsidR="0020352E" w:rsidRDefault="0020352E" w:rsidP="001226AA">
      <w:pPr>
        <w:pStyle w:val="MediumGrid2-Accent11"/>
        <w:spacing w:line="276" w:lineRule="auto"/>
        <w:divId w:val="1213691618"/>
        <w:rPr>
          <w:rFonts w:ascii="Arial" w:hAnsi="Arial" w:cs="Arial"/>
          <w:color w:val="000000"/>
          <w:sz w:val="24"/>
          <w:szCs w:val="24"/>
        </w:rPr>
      </w:pPr>
    </w:p>
    <w:p w14:paraId="2A97AA39" w14:textId="77777777" w:rsidR="0038541B" w:rsidRDefault="0020352E" w:rsidP="0038541B">
      <w:pPr>
        <w:pStyle w:val="MediumGrid2-Accent11"/>
        <w:spacing w:line="276" w:lineRule="auto"/>
        <w:divId w:val="1213691618"/>
        <w:rPr>
          <w:rFonts w:ascii="Arial" w:hAnsi="Arial" w:cs="Arial"/>
          <w:color w:val="000000"/>
          <w:sz w:val="24"/>
          <w:szCs w:val="24"/>
        </w:rPr>
      </w:pPr>
      <w:r w:rsidRPr="0020352E">
        <w:rPr>
          <w:rFonts w:ascii="Arial" w:hAnsi="Arial" w:cs="Arial"/>
          <w:color w:val="000000"/>
          <w:sz w:val="24"/>
          <w:szCs w:val="24"/>
        </w:rPr>
        <w:t>The “hospital at home (</w:t>
      </w:r>
      <w:proofErr w:type="spellStart"/>
      <w:r w:rsidRPr="0020352E">
        <w:rPr>
          <w:rFonts w:ascii="Arial" w:hAnsi="Arial" w:cs="Arial"/>
          <w:color w:val="000000"/>
          <w:sz w:val="24"/>
          <w:szCs w:val="24"/>
        </w:rPr>
        <w:t>HaH</w:t>
      </w:r>
      <w:proofErr w:type="spellEnd"/>
      <w:r w:rsidRPr="0020352E">
        <w:rPr>
          <w:rFonts w:ascii="Arial" w:hAnsi="Arial" w:cs="Arial"/>
          <w:color w:val="000000"/>
          <w:sz w:val="24"/>
          <w:szCs w:val="24"/>
        </w:rPr>
        <w:t xml:space="preserve">)” model of care refers to the </w:t>
      </w:r>
      <w:r w:rsidR="00F4217F">
        <w:rPr>
          <w:rFonts w:ascii="Arial" w:hAnsi="Arial" w:cs="Arial"/>
          <w:color w:val="000000"/>
          <w:sz w:val="24"/>
          <w:szCs w:val="24"/>
        </w:rPr>
        <w:t xml:space="preserve">home-based </w:t>
      </w:r>
      <w:r w:rsidRPr="0020352E">
        <w:rPr>
          <w:rFonts w:ascii="Arial" w:hAnsi="Arial" w:cs="Arial"/>
          <w:color w:val="000000"/>
          <w:sz w:val="24"/>
          <w:szCs w:val="24"/>
        </w:rPr>
        <w:t xml:space="preserve">delivery of </w:t>
      </w:r>
      <w:r w:rsidR="00D9299B">
        <w:rPr>
          <w:rFonts w:ascii="Arial" w:hAnsi="Arial" w:cs="Arial"/>
          <w:color w:val="000000"/>
          <w:sz w:val="24"/>
          <w:szCs w:val="24"/>
        </w:rPr>
        <w:t xml:space="preserve">medically necessary acute inpatient </w:t>
      </w:r>
      <w:r w:rsidRPr="0020352E">
        <w:rPr>
          <w:rFonts w:ascii="Arial" w:hAnsi="Arial" w:cs="Arial"/>
          <w:color w:val="000000"/>
          <w:sz w:val="24"/>
          <w:szCs w:val="24"/>
        </w:rPr>
        <w:t>hospital</w:t>
      </w:r>
      <w:r w:rsidR="00D9299B">
        <w:rPr>
          <w:rFonts w:ascii="Arial" w:hAnsi="Arial" w:cs="Arial"/>
          <w:color w:val="000000"/>
          <w:sz w:val="24"/>
          <w:szCs w:val="24"/>
        </w:rPr>
        <w:t xml:space="preserve"> services to patients for whom such services are clinically appropriate</w:t>
      </w:r>
      <w:r>
        <w:rPr>
          <w:rFonts w:ascii="Arial" w:hAnsi="Arial" w:cs="Arial"/>
          <w:color w:val="000000"/>
          <w:sz w:val="24"/>
          <w:szCs w:val="24"/>
        </w:rPr>
        <w:t>.</w:t>
      </w:r>
      <w:r w:rsidR="00FF1CC1">
        <w:rPr>
          <w:rFonts w:ascii="Arial" w:hAnsi="Arial" w:cs="Arial"/>
          <w:color w:val="000000"/>
          <w:sz w:val="24"/>
          <w:szCs w:val="24"/>
        </w:rPr>
        <w:t xml:space="preserve"> </w:t>
      </w:r>
      <w:r w:rsidR="0038541B">
        <w:rPr>
          <w:rFonts w:ascii="Arial" w:hAnsi="Arial" w:cs="Arial"/>
          <w:color w:val="000000"/>
          <w:sz w:val="24"/>
          <w:szCs w:val="24"/>
        </w:rPr>
        <w:t>The model has been employed for several decades to provide care for patients with both acute and chronic conditions requiring inpatient level of care</w:t>
      </w:r>
      <w:r w:rsidR="000E5716">
        <w:rPr>
          <w:rFonts w:ascii="Arial" w:hAnsi="Arial" w:cs="Arial"/>
          <w:color w:val="000000"/>
          <w:sz w:val="24"/>
          <w:szCs w:val="24"/>
        </w:rPr>
        <w:t>, both nationally and locally.   In the Commonwealth, several health systems have introduced hospital at home programs in recent years.  Mass General Brigham (formerly Partners Healthcare) has delivered hospital services at home for several years</w:t>
      </w:r>
      <w:r w:rsidR="002B0FAB">
        <w:rPr>
          <w:rFonts w:ascii="Arial" w:hAnsi="Arial" w:cs="Arial"/>
          <w:color w:val="000000"/>
          <w:sz w:val="24"/>
          <w:szCs w:val="24"/>
        </w:rPr>
        <w:t xml:space="preserve"> through Brigham and Women’s and Massachusetts General Hospitals </w:t>
      </w:r>
      <w:r w:rsidR="000E5716">
        <w:rPr>
          <w:rFonts w:ascii="Arial" w:hAnsi="Arial" w:cs="Arial"/>
          <w:color w:val="000000"/>
          <w:sz w:val="24"/>
          <w:szCs w:val="24"/>
        </w:rPr>
        <w:t>with an increase in scale in 2020 to care for patients during the COVID</w:t>
      </w:r>
      <w:r w:rsidR="00AA444C">
        <w:rPr>
          <w:rFonts w:ascii="Arial" w:hAnsi="Arial" w:cs="Arial"/>
          <w:color w:val="000000"/>
          <w:sz w:val="24"/>
          <w:szCs w:val="24"/>
        </w:rPr>
        <w:t>-</w:t>
      </w:r>
      <w:r w:rsidR="000E5716">
        <w:rPr>
          <w:rFonts w:ascii="Arial" w:hAnsi="Arial" w:cs="Arial"/>
          <w:color w:val="000000"/>
          <w:sz w:val="24"/>
          <w:szCs w:val="24"/>
        </w:rPr>
        <w:t>19 pandemic.</w:t>
      </w:r>
      <w:r w:rsidR="0038541B">
        <w:rPr>
          <w:rFonts w:ascii="Arial" w:hAnsi="Arial" w:cs="Arial"/>
          <w:color w:val="000000"/>
          <w:sz w:val="24"/>
          <w:szCs w:val="24"/>
        </w:rPr>
        <w:t xml:space="preserve"> </w:t>
      </w:r>
      <w:r>
        <w:rPr>
          <w:rFonts w:ascii="Arial" w:hAnsi="Arial" w:cs="Arial"/>
          <w:color w:val="000000"/>
          <w:sz w:val="24"/>
          <w:szCs w:val="24"/>
        </w:rPr>
        <w:t xml:space="preserve"> </w:t>
      </w:r>
      <w:proofErr w:type="spellStart"/>
      <w:r w:rsidR="000E5716">
        <w:rPr>
          <w:rFonts w:ascii="Arial" w:hAnsi="Arial" w:cs="Arial"/>
          <w:color w:val="000000"/>
          <w:sz w:val="24"/>
          <w:szCs w:val="24"/>
        </w:rPr>
        <w:t>Atrius</w:t>
      </w:r>
      <w:proofErr w:type="spellEnd"/>
      <w:r w:rsidR="000E5716">
        <w:rPr>
          <w:rFonts w:ascii="Arial" w:hAnsi="Arial" w:cs="Arial"/>
          <w:color w:val="000000"/>
          <w:sz w:val="24"/>
          <w:szCs w:val="24"/>
        </w:rPr>
        <w:t xml:space="preserve"> Health in </w:t>
      </w:r>
      <w:r w:rsidR="000E5716">
        <w:rPr>
          <w:rFonts w:ascii="Arial" w:hAnsi="Arial" w:cs="Arial"/>
          <w:color w:val="000000"/>
          <w:sz w:val="24"/>
          <w:szCs w:val="24"/>
        </w:rPr>
        <w:lastRenderedPageBreak/>
        <w:t xml:space="preserve">recent years has partnered with its subsidiary VNA Care as well as the Medically Home Group to deliver hospital services in the home.  </w:t>
      </w:r>
      <w:r w:rsidR="0038541B">
        <w:rPr>
          <w:rFonts w:ascii="Arial" w:hAnsi="Arial" w:cs="Arial"/>
          <w:color w:val="000000"/>
          <w:sz w:val="24"/>
          <w:szCs w:val="24"/>
        </w:rPr>
        <w:t>Hospital at home programs have demonstrated reduced cost</w:t>
      </w:r>
      <w:r w:rsidR="004E44E7">
        <w:rPr>
          <w:rFonts w:ascii="Arial" w:hAnsi="Arial" w:cs="Arial"/>
          <w:color w:val="000000"/>
          <w:sz w:val="24"/>
          <w:szCs w:val="24"/>
        </w:rPr>
        <w:t>, maintained or improved quality and safety</w:t>
      </w:r>
      <w:r w:rsidR="0038541B">
        <w:rPr>
          <w:rFonts w:ascii="Arial" w:hAnsi="Arial" w:cs="Arial"/>
          <w:color w:val="000000"/>
          <w:sz w:val="24"/>
          <w:szCs w:val="24"/>
        </w:rPr>
        <w:t>,</w:t>
      </w:r>
      <w:r w:rsidR="004E44E7">
        <w:rPr>
          <w:rStyle w:val="FootnoteReference"/>
          <w:rFonts w:ascii="Arial" w:hAnsi="Arial" w:cs="Arial"/>
          <w:color w:val="000000"/>
          <w:sz w:val="24"/>
          <w:szCs w:val="24"/>
        </w:rPr>
        <w:footnoteReference w:id="13"/>
      </w:r>
      <w:r w:rsidR="0038541B">
        <w:rPr>
          <w:rFonts w:ascii="Arial" w:hAnsi="Arial" w:cs="Arial"/>
          <w:color w:val="000000"/>
          <w:sz w:val="24"/>
          <w:szCs w:val="24"/>
        </w:rPr>
        <w:t xml:space="preserve"> and improved patient experience for individuals for whom </w:t>
      </w:r>
      <w:r w:rsidR="0038541B" w:rsidRPr="00C87D9A">
        <w:rPr>
          <w:rFonts w:ascii="Arial" w:hAnsi="Arial" w:cs="Arial"/>
          <w:color w:val="000000"/>
          <w:sz w:val="24"/>
          <w:szCs w:val="24"/>
        </w:rPr>
        <w:t xml:space="preserve">hospital-at-home services are clinically </w:t>
      </w:r>
      <w:r w:rsidR="0038541B">
        <w:rPr>
          <w:rFonts w:ascii="Arial" w:hAnsi="Arial" w:cs="Arial"/>
          <w:color w:val="000000"/>
          <w:sz w:val="24"/>
          <w:szCs w:val="24"/>
        </w:rPr>
        <w:t>appropriate</w:t>
      </w:r>
      <w:r w:rsidR="0038541B">
        <w:rPr>
          <w:rStyle w:val="FootnoteReference"/>
          <w:rFonts w:ascii="Arial" w:hAnsi="Arial" w:cs="Arial"/>
          <w:color w:val="000000"/>
          <w:sz w:val="24"/>
          <w:szCs w:val="24"/>
        </w:rPr>
        <w:footnoteReference w:id="14"/>
      </w:r>
      <w:r w:rsidR="0038541B">
        <w:rPr>
          <w:rFonts w:ascii="Arial" w:hAnsi="Arial" w:cs="Arial"/>
          <w:color w:val="000000"/>
          <w:sz w:val="24"/>
          <w:szCs w:val="24"/>
        </w:rPr>
        <w:t xml:space="preserve"> - with benefits including </w:t>
      </w:r>
      <w:r w:rsidR="00A446C9">
        <w:rPr>
          <w:rFonts w:ascii="Arial" w:hAnsi="Arial" w:cs="Arial"/>
          <w:color w:val="000000"/>
          <w:sz w:val="24"/>
          <w:szCs w:val="24"/>
        </w:rPr>
        <w:t>a reduction in unnecessary</w:t>
      </w:r>
      <w:r w:rsidR="0038541B">
        <w:rPr>
          <w:rFonts w:ascii="Arial" w:hAnsi="Arial" w:cs="Arial"/>
          <w:color w:val="000000"/>
          <w:sz w:val="24"/>
          <w:szCs w:val="24"/>
        </w:rPr>
        <w:t xml:space="preserve"> laboratory orders and imaging studies, less sedentary time for patients, </w:t>
      </w:r>
      <w:r w:rsidR="00A446C9">
        <w:rPr>
          <w:rFonts w:ascii="Arial" w:hAnsi="Arial" w:cs="Arial"/>
          <w:color w:val="000000"/>
          <w:sz w:val="24"/>
          <w:szCs w:val="24"/>
        </w:rPr>
        <w:t>fewer</w:t>
      </w:r>
      <w:r w:rsidR="0038541B">
        <w:rPr>
          <w:rFonts w:ascii="Arial" w:hAnsi="Arial" w:cs="Arial"/>
          <w:color w:val="000000"/>
          <w:sz w:val="24"/>
          <w:szCs w:val="24"/>
        </w:rPr>
        <w:t xml:space="preserve"> readmissions</w:t>
      </w:r>
      <w:r w:rsidR="004E44E7">
        <w:rPr>
          <w:rFonts w:ascii="Arial" w:hAnsi="Arial" w:cs="Arial"/>
          <w:color w:val="000000"/>
          <w:sz w:val="24"/>
          <w:szCs w:val="24"/>
        </w:rPr>
        <w:t>,</w:t>
      </w:r>
      <w:r w:rsidR="0038541B">
        <w:rPr>
          <w:rStyle w:val="FootnoteReference"/>
          <w:rFonts w:ascii="Arial" w:hAnsi="Arial" w:cs="Arial"/>
          <w:color w:val="000000"/>
          <w:sz w:val="24"/>
          <w:szCs w:val="24"/>
        </w:rPr>
        <w:footnoteReference w:id="15"/>
      </w:r>
      <w:r w:rsidR="004E44E7">
        <w:rPr>
          <w:rFonts w:ascii="Arial" w:hAnsi="Arial" w:cs="Arial"/>
          <w:color w:val="000000"/>
          <w:sz w:val="24"/>
          <w:szCs w:val="24"/>
        </w:rPr>
        <w:t xml:space="preserve"> and </w:t>
      </w:r>
      <w:r w:rsidR="00405509">
        <w:rPr>
          <w:rFonts w:ascii="Arial" w:hAnsi="Arial" w:cs="Arial"/>
          <w:color w:val="000000"/>
          <w:sz w:val="24"/>
          <w:szCs w:val="24"/>
        </w:rPr>
        <w:t xml:space="preserve">unchanged or </w:t>
      </w:r>
      <w:r w:rsidR="004E44E7">
        <w:rPr>
          <w:rFonts w:ascii="Arial" w:hAnsi="Arial" w:cs="Arial"/>
          <w:color w:val="000000"/>
          <w:sz w:val="24"/>
          <w:szCs w:val="24"/>
        </w:rPr>
        <w:t>reduced mortality.</w:t>
      </w:r>
      <w:r w:rsidR="004E44E7">
        <w:rPr>
          <w:rStyle w:val="FootnoteReference"/>
          <w:rFonts w:ascii="Arial" w:hAnsi="Arial" w:cs="Arial"/>
          <w:color w:val="000000"/>
          <w:sz w:val="24"/>
          <w:szCs w:val="24"/>
        </w:rPr>
        <w:footnoteReference w:id="16"/>
      </w:r>
      <w:r w:rsidR="0038541B">
        <w:rPr>
          <w:rFonts w:ascii="Arial" w:hAnsi="Arial" w:cs="Arial"/>
          <w:color w:val="000000"/>
          <w:sz w:val="24"/>
          <w:szCs w:val="24"/>
        </w:rPr>
        <w:t xml:space="preserve">  The need to increase facility capacity and reduce infectious exposures caused by the COVID-19 pandemic has only accelerated interest in hospital-at-home programming.</w:t>
      </w:r>
      <w:r w:rsidR="0038541B">
        <w:rPr>
          <w:rStyle w:val="FootnoteReference"/>
          <w:rFonts w:ascii="Arial" w:hAnsi="Arial" w:cs="Arial"/>
          <w:color w:val="000000"/>
          <w:sz w:val="24"/>
          <w:szCs w:val="24"/>
        </w:rPr>
        <w:footnoteReference w:id="17"/>
      </w:r>
      <w:r w:rsidR="0038541B">
        <w:rPr>
          <w:rFonts w:ascii="Arial" w:hAnsi="Arial" w:cs="Arial"/>
          <w:color w:val="000000"/>
          <w:sz w:val="24"/>
          <w:szCs w:val="24"/>
        </w:rPr>
        <w:t xml:space="preserve">  </w:t>
      </w:r>
    </w:p>
    <w:p w14:paraId="176A280C" w14:textId="77777777" w:rsidR="001226AA" w:rsidRDefault="001226AA" w:rsidP="001226AA">
      <w:pPr>
        <w:pStyle w:val="MediumGrid2-Accent11"/>
        <w:spacing w:line="276" w:lineRule="auto"/>
        <w:divId w:val="1213691618"/>
        <w:rPr>
          <w:rFonts w:ascii="Arial" w:hAnsi="Arial" w:cs="Arial"/>
          <w:sz w:val="24"/>
          <w:szCs w:val="24"/>
        </w:rPr>
      </w:pPr>
    </w:p>
    <w:p w14:paraId="5E8F17F1" w14:textId="77777777" w:rsidR="00520942" w:rsidRDefault="00CD4B51" w:rsidP="001226AA">
      <w:pPr>
        <w:pStyle w:val="MediumGrid2-Accent11"/>
        <w:spacing w:line="276" w:lineRule="auto"/>
        <w:divId w:val="1213691618"/>
        <w:rPr>
          <w:rFonts w:ascii="Arial" w:eastAsia="Times New Roman" w:hAnsi="Arial" w:cs="Arial"/>
          <w:sz w:val="24"/>
          <w:szCs w:val="24"/>
        </w:rPr>
      </w:pPr>
      <w:r>
        <w:rPr>
          <w:rFonts w:ascii="Arial" w:hAnsi="Arial" w:cs="Arial"/>
          <w:sz w:val="24"/>
          <w:szCs w:val="24"/>
        </w:rPr>
        <w:t xml:space="preserve">Indeed, CMS has experience permitting acute inpatient hospitals to render services in nontraditional settings.  </w:t>
      </w:r>
      <w:r w:rsidR="001226AA">
        <w:rPr>
          <w:rFonts w:ascii="Arial" w:hAnsi="Arial" w:cs="Arial"/>
          <w:sz w:val="24"/>
          <w:szCs w:val="24"/>
        </w:rPr>
        <w:t>Through its “</w:t>
      </w:r>
      <w:r w:rsidR="001226AA" w:rsidRPr="00FE03C1">
        <w:rPr>
          <w:rFonts w:ascii="Arial" w:hAnsi="Arial" w:cs="Arial"/>
          <w:i/>
          <w:iCs/>
          <w:sz w:val="24"/>
          <w:szCs w:val="24"/>
        </w:rPr>
        <w:t>Hospital Without Walls (Temporary Expansion Sites)</w:t>
      </w:r>
      <w:r w:rsidR="001226AA">
        <w:rPr>
          <w:rFonts w:ascii="Arial" w:hAnsi="Arial" w:cs="Arial"/>
          <w:sz w:val="24"/>
          <w:szCs w:val="24"/>
        </w:rPr>
        <w:t xml:space="preserve">” initiative, </w:t>
      </w:r>
      <w:r w:rsidR="001226AA" w:rsidRPr="00C02ED9">
        <w:rPr>
          <w:rFonts w:ascii="Arial" w:hAnsi="Arial" w:cs="Arial"/>
          <w:sz w:val="24"/>
          <w:szCs w:val="24"/>
        </w:rPr>
        <w:t xml:space="preserve">CMS </w:t>
      </w:r>
      <w:r w:rsidR="001226AA">
        <w:rPr>
          <w:rFonts w:ascii="Arial" w:hAnsi="Arial" w:cs="Arial"/>
          <w:sz w:val="24"/>
          <w:szCs w:val="24"/>
        </w:rPr>
        <w:t>provided additional flexibilities for hospitals to “create surge capacity by allowing them to provide room and board, nursing, and other hospital services at remote locations or sites not normally considered parts of healthcare facilities, such as hotels or community facilities.”</w:t>
      </w:r>
      <w:r w:rsidR="001226AA">
        <w:rPr>
          <w:rStyle w:val="FootnoteReference"/>
          <w:rFonts w:ascii="Arial" w:hAnsi="Arial" w:cs="Arial"/>
          <w:sz w:val="24"/>
          <w:szCs w:val="24"/>
        </w:rPr>
        <w:footnoteReference w:id="18"/>
      </w:r>
      <w:r w:rsidR="001226AA" w:rsidRPr="00C02ED9">
        <w:rPr>
          <w:rFonts w:ascii="Arial" w:hAnsi="Arial" w:cs="Arial"/>
          <w:sz w:val="24"/>
          <w:szCs w:val="24"/>
        </w:rPr>
        <w:t xml:space="preserve"> </w:t>
      </w:r>
      <w:r w:rsidR="001226AA" w:rsidRPr="00C02ED9">
        <w:rPr>
          <w:rFonts w:ascii="Arial" w:eastAsia="Times New Roman" w:hAnsi="Arial" w:cs="Arial"/>
          <w:sz w:val="24"/>
          <w:szCs w:val="24"/>
        </w:rPr>
        <w:t xml:space="preserve"> </w:t>
      </w:r>
      <w:r w:rsidR="007A416D">
        <w:rPr>
          <w:rFonts w:ascii="Arial" w:eastAsia="Times New Roman" w:hAnsi="Arial" w:cs="Arial"/>
          <w:sz w:val="24"/>
          <w:szCs w:val="24"/>
        </w:rPr>
        <w:t xml:space="preserve">More recently, CMS announced the </w:t>
      </w:r>
      <w:hyperlink r:id="rId8" w:history="1">
        <w:r w:rsidR="007A416D" w:rsidRPr="007A416D">
          <w:rPr>
            <w:rStyle w:val="Hyperlink"/>
            <w:rFonts w:ascii="Arial" w:eastAsia="Times New Roman" w:hAnsi="Arial" w:cs="Arial"/>
            <w:sz w:val="24"/>
            <w:szCs w:val="24"/>
          </w:rPr>
          <w:t>Acute Hospital Care at Home</w:t>
        </w:r>
      </w:hyperlink>
      <w:r w:rsidR="007A416D">
        <w:rPr>
          <w:rFonts w:ascii="Arial" w:eastAsia="Times New Roman" w:hAnsi="Arial" w:cs="Arial"/>
          <w:sz w:val="24"/>
          <w:szCs w:val="24"/>
        </w:rPr>
        <w:t xml:space="preserve"> initiative, which provides regulatory flexibility allowing for safe hospital care for eligible patients in their homes during the public health emergency.  </w:t>
      </w:r>
      <w:r w:rsidR="0068502D">
        <w:rPr>
          <w:rFonts w:ascii="Arial" w:eastAsia="Times New Roman" w:hAnsi="Arial" w:cs="Arial"/>
          <w:sz w:val="24"/>
          <w:szCs w:val="24"/>
        </w:rPr>
        <w:t>MassHealth</w:t>
      </w:r>
      <w:r w:rsidR="0038541B">
        <w:rPr>
          <w:rFonts w:ascii="Arial" w:eastAsia="Times New Roman" w:hAnsi="Arial" w:cs="Arial"/>
          <w:sz w:val="24"/>
          <w:szCs w:val="24"/>
        </w:rPr>
        <w:t xml:space="preserve"> is aligning with CMS to </w:t>
      </w:r>
      <w:r w:rsidR="0068502D">
        <w:rPr>
          <w:rFonts w:ascii="Arial" w:eastAsia="Times New Roman" w:hAnsi="Arial" w:cs="Arial"/>
          <w:sz w:val="24"/>
          <w:szCs w:val="24"/>
        </w:rPr>
        <w:t xml:space="preserve">participate in this </w:t>
      </w:r>
      <w:r w:rsidR="0038541B">
        <w:rPr>
          <w:rFonts w:ascii="Arial" w:eastAsia="Times New Roman" w:hAnsi="Arial" w:cs="Arial"/>
          <w:sz w:val="24"/>
          <w:szCs w:val="24"/>
        </w:rPr>
        <w:t>initiative</w:t>
      </w:r>
      <w:r w:rsidR="00A446C9">
        <w:rPr>
          <w:rFonts w:ascii="Arial" w:eastAsia="Times New Roman" w:hAnsi="Arial" w:cs="Arial"/>
          <w:sz w:val="24"/>
          <w:szCs w:val="24"/>
        </w:rPr>
        <w:t>,</w:t>
      </w:r>
      <w:r w:rsidR="0038541B">
        <w:rPr>
          <w:rFonts w:ascii="Arial" w:eastAsia="Times New Roman" w:hAnsi="Arial" w:cs="Arial"/>
          <w:sz w:val="24"/>
          <w:szCs w:val="24"/>
        </w:rPr>
        <w:t xml:space="preserve"> recognizing</w:t>
      </w:r>
      <w:r w:rsidR="00A24F04">
        <w:rPr>
          <w:rFonts w:ascii="Arial" w:eastAsia="Times New Roman" w:hAnsi="Arial" w:cs="Arial"/>
          <w:sz w:val="24"/>
          <w:szCs w:val="24"/>
        </w:rPr>
        <w:t xml:space="preserve"> the</w:t>
      </w:r>
      <w:r w:rsidR="0068502D">
        <w:rPr>
          <w:rFonts w:ascii="Arial" w:eastAsia="Times New Roman" w:hAnsi="Arial" w:cs="Arial"/>
          <w:sz w:val="24"/>
          <w:szCs w:val="24"/>
        </w:rPr>
        <w:t xml:space="preserve"> benefits of this program, as well as the</w:t>
      </w:r>
      <w:r w:rsidR="00A24F04">
        <w:rPr>
          <w:rFonts w:ascii="Arial" w:eastAsia="Times New Roman" w:hAnsi="Arial" w:cs="Arial"/>
          <w:sz w:val="24"/>
          <w:szCs w:val="24"/>
        </w:rPr>
        <w:t xml:space="preserve"> efforts and expertise of </w:t>
      </w:r>
      <w:r w:rsidR="0038541B">
        <w:rPr>
          <w:rFonts w:ascii="Arial" w:eastAsia="Times New Roman" w:hAnsi="Arial" w:cs="Arial"/>
          <w:sz w:val="24"/>
          <w:szCs w:val="24"/>
        </w:rPr>
        <w:t>two local healthcare systems with extensive experience providing acute hospital care at home</w:t>
      </w:r>
      <w:r w:rsidR="0068502D">
        <w:rPr>
          <w:rFonts w:ascii="Arial" w:eastAsia="Times New Roman" w:hAnsi="Arial" w:cs="Arial"/>
          <w:sz w:val="24"/>
          <w:szCs w:val="24"/>
        </w:rPr>
        <w:t>,</w:t>
      </w:r>
      <w:r w:rsidR="0038541B">
        <w:rPr>
          <w:rFonts w:ascii="Arial" w:eastAsia="Times New Roman" w:hAnsi="Arial" w:cs="Arial"/>
          <w:sz w:val="24"/>
          <w:szCs w:val="24"/>
        </w:rPr>
        <w:t xml:space="preserve"> Brigham and Women’s Hospital and Massachusetts General Hospital</w:t>
      </w:r>
      <w:r w:rsidR="00A24F04">
        <w:rPr>
          <w:rFonts w:ascii="Arial" w:eastAsia="Times New Roman" w:hAnsi="Arial" w:cs="Arial"/>
          <w:sz w:val="24"/>
          <w:szCs w:val="24"/>
        </w:rPr>
        <w:t xml:space="preserve"> – both </w:t>
      </w:r>
      <w:r w:rsidR="00A446C9">
        <w:rPr>
          <w:rFonts w:ascii="Arial" w:eastAsia="Times New Roman" w:hAnsi="Arial" w:cs="Arial"/>
          <w:sz w:val="24"/>
          <w:szCs w:val="24"/>
        </w:rPr>
        <w:t xml:space="preserve">of </w:t>
      </w:r>
      <w:r w:rsidR="00AB413D">
        <w:rPr>
          <w:rFonts w:ascii="Arial" w:eastAsia="Times New Roman" w:hAnsi="Arial" w:cs="Arial"/>
          <w:sz w:val="24"/>
          <w:szCs w:val="24"/>
        </w:rPr>
        <w:t xml:space="preserve">which </w:t>
      </w:r>
      <w:r w:rsidR="0068502D">
        <w:rPr>
          <w:rFonts w:ascii="Arial" w:eastAsia="Times New Roman" w:hAnsi="Arial" w:cs="Arial"/>
          <w:sz w:val="24"/>
          <w:szCs w:val="24"/>
        </w:rPr>
        <w:t xml:space="preserve">CMS has approved to participate in this </w:t>
      </w:r>
      <w:r w:rsidR="00A24F04">
        <w:rPr>
          <w:rFonts w:ascii="Arial" w:eastAsia="Times New Roman" w:hAnsi="Arial" w:cs="Arial"/>
          <w:sz w:val="24"/>
          <w:szCs w:val="24"/>
        </w:rPr>
        <w:t xml:space="preserve">initiative.  </w:t>
      </w:r>
      <w:r w:rsidR="007A416D" w:rsidRPr="00C02ED9">
        <w:rPr>
          <w:rFonts w:ascii="Arial" w:eastAsia="Times New Roman" w:hAnsi="Arial" w:cs="Arial"/>
          <w:sz w:val="24"/>
          <w:szCs w:val="24"/>
        </w:rPr>
        <w:t>Th</w:t>
      </w:r>
      <w:r w:rsidR="007A416D">
        <w:rPr>
          <w:rFonts w:ascii="Arial" w:eastAsia="Times New Roman" w:hAnsi="Arial" w:cs="Arial"/>
          <w:sz w:val="24"/>
          <w:szCs w:val="24"/>
        </w:rPr>
        <w:t>ese</w:t>
      </w:r>
      <w:r w:rsidR="007A416D" w:rsidRPr="00C02ED9">
        <w:rPr>
          <w:rFonts w:ascii="Arial" w:eastAsia="Times New Roman" w:hAnsi="Arial" w:cs="Arial"/>
          <w:sz w:val="24"/>
          <w:szCs w:val="24"/>
        </w:rPr>
        <w:t xml:space="preserve"> flexibilit</w:t>
      </w:r>
      <w:r w:rsidR="007A416D">
        <w:rPr>
          <w:rFonts w:ascii="Arial" w:eastAsia="Times New Roman" w:hAnsi="Arial" w:cs="Arial"/>
          <w:sz w:val="24"/>
          <w:szCs w:val="24"/>
        </w:rPr>
        <w:t>ies</w:t>
      </w:r>
      <w:r w:rsidR="007A416D" w:rsidRPr="00C02ED9">
        <w:rPr>
          <w:rFonts w:ascii="Arial" w:eastAsia="Times New Roman" w:hAnsi="Arial" w:cs="Arial"/>
          <w:sz w:val="24"/>
          <w:szCs w:val="24"/>
        </w:rPr>
        <w:t xml:space="preserve"> </w:t>
      </w:r>
      <w:r w:rsidR="0038541B">
        <w:rPr>
          <w:rFonts w:ascii="Arial" w:eastAsia="Times New Roman" w:hAnsi="Arial" w:cs="Arial"/>
          <w:sz w:val="24"/>
          <w:szCs w:val="24"/>
        </w:rPr>
        <w:t>will help</w:t>
      </w:r>
      <w:r w:rsidR="007A416D" w:rsidRPr="00C02ED9">
        <w:rPr>
          <w:rFonts w:ascii="Arial" w:eastAsia="Times New Roman" w:hAnsi="Arial" w:cs="Arial"/>
          <w:sz w:val="24"/>
          <w:szCs w:val="24"/>
        </w:rPr>
        <w:t xml:space="preserve"> ensure </w:t>
      </w:r>
      <w:r w:rsidR="007A416D">
        <w:rPr>
          <w:rFonts w:ascii="Arial" w:eastAsia="Times New Roman" w:hAnsi="Arial" w:cs="Arial"/>
          <w:sz w:val="24"/>
          <w:szCs w:val="24"/>
        </w:rPr>
        <w:t>that local hospitals and health systems have the capacity to handle a potential surge of COVID-19 patients.</w:t>
      </w:r>
      <w:r w:rsidR="00C609E7">
        <w:rPr>
          <w:rStyle w:val="FootnoteReference"/>
          <w:rFonts w:ascii="Arial" w:eastAsia="Times New Roman" w:hAnsi="Arial" w:cs="Arial"/>
          <w:sz w:val="24"/>
          <w:szCs w:val="24"/>
        </w:rPr>
        <w:footnoteReference w:id="19"/>
      </w:r>
      <w:r w:rsidR="007A416D">
        <w:rPr>
          <w:rFonts w:ascii="Arial" w:eastAsia="Times New Roman" w:hAnsi="Arial" w:cs="Arial"/>
          <w:sz w:val="24"/>
          <w:szCs w:val="24"/>
        </w:rPr>
        <w:t xml:space="preserve">    </w:t>
      </w:r>
    </w:p>
    <w:p w14:paraId="3296729C" w14:textId="77777777" w:rsidR="00E706E1" w:rsidRDefault="00E706E1" w:rsidP="001226AA">
      <w:pPr>
        <w:pStyle w:val="MediumGrid2-Accent11"/>
        <w:spacing w:line="276" w:lineRule="auto"/>
        <w:divId w:val="1213691618"/>
        <w:rPr>
          <w:rFonts w:ascii="Arial" w:eastAsia="Times New Roman" w:hAnsi="Arial" w:cs="Arial"/>
          <w:sz w:val="24"/>
          <w:szCs w:val="24"/>
        </w:rPr>
      </w:pPr>
    </w:p>
    <w:p w14:paraId="50B7A064" w14:textId="77777777" w:rsidR="00660C22" w:rsidRDefault="004A7FB9" w:rsidP="00E7134D">
      <w:pPr>
        <w:pStyle w:val="MediumGrid2-Accent11"/>
        <w:spacing w:line="276" w:lineRule="auto"/>
        <w:divId w:val="1213691618"/>
        <w:rPr>
          <w:rFonts w:ascii="Arial" w:hAnsi="Arial" w:cs="Arial"/>
          <w:color w:val="000000"/>
          <w:sz w:val="24"/>
          <w:szCs w:val="24"/>
        </w:rPr>
      </w:pPr>
      <w:r>
        <w:rPr>
          <w:rFonts w:ascii="Arial" w:hAnsi="Arial" w:cs="Arial"/>
          <w:color w:val="000000"/>
          <w:sz w:val="24"/>
          <w:szCs w:val="24"/>
        </w:rPr>
        <w:t xml:space="preserve">Given the </w:t>
      </w:r>
      <w:r w:rsidR="00C609E7">
        <w:rPr>
          <w:rFonts w:ascii="Arial" w:hAnsi="Arial" w:cs="Arial"/>
          <w:color w:val="000000"/>
          <w:sz w:val="24"/>
          <w:szCs w:val="24"/>
        </w:rPr>
        <w:t>ample</w:t>
      </w:r>
      <w:r w:rsidR="00931AF9">
        <w:rPr>
          <w:rFonts w:ascii="Arial" w:hAnsi="Arial" w:cs="Arial"/>
          <w:color w:val="000000"/>
          <w:sz w:val="24"/>
          <w:szCs w:val="24"/>
        </w:rPr>
        <w:t xml:space="preserve"> </w:t>
      </w:r>
      <w:r>
        <w:rPr>
          <w:rFonts w:ascii="Arial" w:hAnsi="Arial" w:cs="Arial"/>
          <w:color w:val="000000"/>
          <w:sz w:val="24"/>
          <w:szCs w:val="24"/>
        </w:rPr>
        <w:t xml:space="preserve">evidence that </w:t>
      </w:r>
      <w:r w:rsidR="00C87D9A">
        <w:rPr>
          <w:rFonts w:ascii="Arial" w:hAnsi="Arial" w:cs="Arial"/>
          <w:color w:val="000000"/>
          <w:sz w:val="24"/>
          <w:szCs w:val="24"/>
        </w:rPr>
        <w:t>hospital-at-</w:t>
      </w:r>
      <w:r>
        <w:rPr>
          <w:rFonts w:ascii="Arial" w:hAnsi="Arial" w:cs="Arial"/>
          <w:color w:val="000000"/>
          <w:sz w:val="24"/>
          <w:szCs w:val="24"/>
        </w:rPr>
        <w:t xml:space="preserve">home programming can improve </w:t>
      </w:r>
      <w:r w:rsidR="00EF2E47">
        <w:rPr>
          <w:rFonts w:ascii="Arial" w:hAnsi="Arial" w:cs="Arial"/>
          <w:color w:val="000000"/>
          <w:sz w:val="24"/>
          <w:szCs w:val="24"/>
        </w:rPr>
        <w:t xml:space="preserve">patient </w:t>
      </w:r>
      <w:r>
        <w:rPr>
          <w:rFonts w:ascii="Arial" w:hAnsi="Arial" w:cs="Arial"/>
          <w:color w:val="000000"/>
          <w:sz w:val="24"/>
          <w:szCs w:val="24"/>
        </w:rPr>
        <w:t xml:space="preserve">outcomes and reduce costs, </w:t>
      </w:r>
      <w:r w:rsidR="00A24F04">
        <w:rPr>
          <w:rFonts w:ascii="Arial" w:hAnsi="Arial" w:cs="Arial"/>
          <w:color w:val="000000"/>
          <w:sz w:val="24"/>
          <w:szCs w:val="24"/>
        </w:rPr>
        <w:t>and</w:t>
      </w:r>
      <w:r w:rsidR="00A446C9">
        <w:rPr>
          <w:rFonts w:ascii="Arial" w:hAnsi="Arial" w:cs="Arial"/>
          <w:color w:val="000000"/>
          <w:sz w:val="24"/>
          <w:szCs w:val="24"/>
        </w:rPr>
        <w:t xml:space="preserve"> the</w:t>
      </w:r>
      <w:r w:rsidR="00A24F04">
        <w:rPr>
          <w:rFonts w:ascii="Arial" w:hAnsi="Arial" w:cs="Arial"/>
          <w:color w:val="000000"/>
          <w:sz w:val="24"/>
          <w:szCs w:val="24"/>
        </w:rPr>
        <w:t xml:space="preserve"> demonstrated potential for the program to be </w:t>
      </w:r>
      <w:r w:rsidR="00A24F04">
        <w:rPr>
          <w:rFonts w:ascii="Arial" w:hAnsi="Arial" w:cs="Arial"/>
          <w:color w:val="000000"/>
          <w:sz w:val="24"/>
          <w:szCs w:val="24"/>
        </w:rPr>
        <w:lastRenderedPageBreak/>
        <w:t xml:space="preserve">successful in our state as evidenced by active participation in the model of care by at least two institutions during the public health emergency under CMS’ Acute Hospital Care at Home initiative, </w:t>
      </w:r>
      <w:r w:rsidR="001226AA">
        <w:rPr>
          <w:rFonts w:ascii="Arial" w:hAnsi="Arial" w:cs="Arial"/>
          <w:color w:val="000000"/>
          <w:sz w:val="24"/>
          <w:szCs w:val="24"/>
        </w:rPr>
        <w:t xml:space="preserve">EOHHS is requesting ongoing flexibility for this initiative, not limited to designated public health emergencies, to allow </w:t>
      </w:r>
      <w:r w:rsidR="00C87D9A">
        <w:rPr>
          <w:rFonts w:ascii="Arial" w:hAnsi="Arial" w:cs="Arial"/>
          <w:color w:val="000000"/>
          <w:sz w:val="24"/>
          <w:szCs w:val="24"/>
        </w:rPr>
        <w:t xml:space="preserve">qualified </w:t>
      </w:r>
      <w:r w:rsidR="001226AA">
        <w:rPr>
          <w:rFonts w:ascii="Arial" w:hAnsi="Arial" w:cs="Arial"/>
          <w:color w:val="000000"/>
          <w:sz w:val="24"/>
          <w:szCs w:val="24"/>
        </w:rPr>
        <w:t xml:space="preserve">acute inpatient hospitals to </w:t>
      </w:r>
      <w:r w:rsidR="001226AA" w:rsidRPr="009E1282">
        <w:rPr>
          <w:rFonts w:ascii="Arial" w:hAnsi="Arial" w:cs="Arial"/>
          <w:color w:val="000000"/>
          <w:sz w:val="24"/>
          <w:szCs w:val="24"/>
        </w:rPr>
        <w:t xml:space="preserve">bill </w:t>
      </w:r>
      <w:r w:rsidR="00CD4B51">
        <w:rPr>
          <w:rFonts w:ascii="Arial" w:hAnsi="Arial" w:cs="Arial"/>
          <w:color w:val="000000"/>
          <w:sz w:val="24"/>
          <w:szCs w:val="24"/>
        </w:rPr>
        <w:t xml:space="preserve">MassHealth </w:t>
      </w:r>
      <w:r w:rsidR="001226AA" w:rsidRPr="009E1282">
        <w:rPr>
          <w:rFonts w:ascii="Arial" w:hAnsi="Arial" w:cs="Arial"/>
          <w:color w:val="000000"/>
          <w:sz w:val="24"/>
          <w:szCs w:val="24"/>
        </w:rPr>
        <w:t>for acute inpatient hospital services</w:t>
      </w:r>
      <w:r w:rsidR="00931AF9">
        <w:rPr>
          <w:rFonts w:ascii="Arial" w:hAnsi="Arial" w:cs="Arial"/>
          <w:color w:val="000000"/>
          <w:sz w:val="24"/>
          <w:szCs w:val="24"/>
        </w:rPr>
        <w:t xml:space="preserve"> rendered in a member’s home </w:t>
      </w:r>
      <w:r w:rsidR="00EF2E47">
        <w:rPr>
          <w:rFonts w:ascii="Arial" w:hAnsi="Arial" w:cs="Arial"/>
          <w:color w:val="000000"/>
          <w:sz w:val="24"/>
          <w:szCs w:val="24"/>
        </w:rPr>
        <w:t>to members for whom such services are clinically appropriate</w:t>
      </w:r>
      <w:r w:rsidR="001226AA" w:rsidRPr="009E1282">
        <w:rPr>
          <w:rFonts w:ascii="Arial" w:hAnsi="Arial" w:cs="Arial"/>
          <w:color w:val="000000"/>
          <w:sz w:val="24"/>
          <w:szCs w:val="24"/>
        </w:rPr>
        <w:t>. </w:t>
      </w:r>
      <w:r w:rsidR="00CB57D8" w:rsidRPr="00CB57D8">
        <w:rPr>
          <w:rFonts w:ascii="Arial" w:hAnsi="Arial" w:cs="Arial"/>
          <w:color w:val="000000"/>
          <w:sz w:val="24"/>
          <w:szCs w:val="24"/>
        </w:rPr>
        <w:t xml:space="preserve">EOHHS proposes to model its hospital-at-home program on CMS’ Acute Hospital Care at Home initiative, incorporating most of its requirements and limitations, such as requiring appropriate screening protocols for admission, setting clear expectations around clinical team evaluations (both in-person and virtual), ensuring patients can communicate with their clinical team in a timely fashion, and establishing </w:t>
      </w:r>
      <w:r w:rsidR="00311928" w:rsidRPr="00824A6D">
        <w:rPr>
          <w:rFonts w:ascii="Arial" w:hAnsi="Arial" w:cs="Arial"/>
          <w:color w:val="000000"/>
          <w:sz w:val="24"/>
          <w:szCs w:val="24"/>
        </w:rPr>
        <w:t>the</w:t>
      </w:r>
      <w:r w:rsidR="00311928">
        <w:rPr>
          <w:rFonts w:ascii="Arial" w:hAnsi="Arial" w:cs="Arial"/>
          <w:color w:val="000000"/>
          <w:sz w:val="24"/>
          <w:szCs w:val="24"/>
        </w:rPr>
        <w:t xml:space="preserve"> </w:t>
      </w:r>
      <w:r w:rsidR="00CB57D8" w:rsidRPr="00CB57D8">
        <w:rPr>
          <w:rFonts w:ascii="Arial" w:hAnsi="Arial" w:cs="Arial"/>
          <w:color w:val="000000"/>
          <w:sz w:val="24"/>
          <w:szCs w:val="24"/>
        </w:rPr>
        <w:t xml:space="preserve">necessary infrastructure to ensure patient safety. </w:t>
      </w:r>
      <w:r w:rsidR="00660C22">
        <w:rPr>
          <w:rFonts w:ascii="Arial" w:hAnsi="Arial" w:cs="Arial"/>
          <w:color w:val="000000"/>
          <w:sz w:val="24"/>
          <w:szCs w:val="24"/>
        </w:rPr>
        <w:t xml:space="preserve">  </w:t>
      </w:r>
    </w:p>
    <w:p w14:paraId="2F90EE60" w14:textId="77777777" w:rsidR="00660C22" w:rsidRDefault="00660C22" w:rsidP="00E7134D">
      <w:pPr>
        <w:pStyle w:val="MediumGrid2-Accent11"/>
        <w:spacing w:line="276" w:lineRule="auto"/>
        <w:divId w:val="1213691618"/>
        <w:rPr>
          <w:rFonts w:ascii="Arial" w:hAnsi="Arial" w:cs="Arial"/>
          <w:color w:val="000000"/>
          <w:sz w:val="24"/>
          <w:szCs w:val="24"/>
        </w:rPr>
      </w:pPr>
    </w:p>
    <w:p w14:paraId="6615AEBE" w14:textId="77777777" w:rsidR="00660C22" w:rsidRDefault="00660C22" w:rsidP="00660C22">
      <w:pPr>
        <w:spacing w:before="100" w:beforeAutospacing="1" w:after="100" w:afterAutospacing="1" w:line="240" w:lineRule="auto"/>
        <w:divId w:val="1213691618"/>
        <w:rPr>
          <w:rFonts w:ascii="Times New Roman" w:eastAsia="Times New Roman" w:hAnsi="Times New Roman"/>
          <w:sz w:val="24"/>
          <w:szCs w:val="24"/>
        </w:rPr>
      </w:pPr>
      <w:r w:rsidRPr="00660C22">
        <w:rPr>
          <w:rFonts w:ascii="Times New Roman" w:eastAsia="Times New Roman" w:hAnsi="Times New Roman"/>
          <w:sz w:val="24"/>
          <w:szCs w:val="24"/>
        </w:rPr>
        <w:t> </w:t>
      </w:r>
    </w:p>
    <w:p w14:paraId="68DD8F01" w14:textId="77777777" w:rsidR="00824A6D" w:rsidRDefault="00824A6D" w:rsidP="00660C22">
      <w:pPr>
        <w:spacing w:before="100" w:beforeAutospacing="1" w:after="100" w:afterAutospacing="1" w:line="240" w:lineRule="auto"/>
        <w:divId w:val="1213691618"/>
        <w:rPr>
          <w:rFonts w:ascii="Times New Roman" w:eastAsia="Times New Roman" w:hAnsi="Times New Roman"/>
          <w:sz w:val="24"/>
          <w:szCs w:val="24"/>
        </w:rPr>
      </w:pPr>
    </w:p>
    <w:p w14:paraId="16C40D5B" w14:textId="77777777" w:rsidR="00824A6D" w:rsidRDefault="00824A6D" w:rsidP="00660C22">
      <w:pPr>
        <w:spacing w:before="100" w:beforeAutospacing="1" w:after="100" w:afterAutospacing="1" w:line="240" w:lineRule="auto"/>
        <w:divId w:val="1213691618"/>
        <w:rPr>
          <w:rFonts w:ascii="Times New Roman" w:eastAsia="Times New Roman" w:hAnsi="Times New Roman"/>
          <w:sz w:val="24"/>
          <w:szCs w:val="24"/>
        </w:rPr>
      </w:pPr>
    </w:p>
    <w:p w14:paraId="7A41166D" w14:textId="77777777" w:rsidR="00824A6D" w:rsidRDefault="00824A6D" w:rsidP="00660C22">
      <w:pPr>
        <w:spacing w:before="100" w:beforeAutospacing="1" w:after="100" w:afterAutospacing="1" w:line="240" w:lineRule="auto"/>
        <w:divId w:val="1213691618"/>
        <w:rPr>
          <w:rFonts w:ascii="Times New Roman" w:eastAsia="Times New Roman" w:hAnsi="Times New Roman"/>
          <w:sz w:val="24"/>
          <w:szCs w:val="24"/>
        </w:rPr>
      </w:pPr>
    </w:p>
    <w:p w14:paraId="2E06408B" w14:textId="77777777" w:rsidR="00824A6D" w:rsidRDefault="00824A6D" w:rsidP="00660C22">
      <w:pPr>
        <w:spacing w:before="100" w:beforeAutospacing="1" w:after="100" w:afterAutospacing="1" w:line="240" w:lineRule="auto"/>
        <w:divId w:val="1213691618"/>
        <w:rPr>
          <w:rFonts w:ascii="Times New Roman" w:eastAsia="Times New Roman" w:hAnsi="Times New Roman"/>
          <w:sz w:val="24"/>
          <w:szCs w:val="24"/>
        </w:rPr>
      </w:pPr>
    </w:p>
    <w:p w14:paraId="40E6F288" w14:textId="77777777" w:rsidR="00824A6D" w:rsidRDefault="00824A6D" w:rsidP="00660C22">
      <w:pPr>
        <w:spacing w:before="100" w:beforeAutospacing="1" w:after="100" w:afterAutospacing="1" w:line="240" w:lineRule="auto"/>
        <w:divId w:val="1213691618"/>
        <w:rPr>
          <w:rFonts w:ascii="Times New Roman" w:eastAsia="Times New Roman" w:hAnsi="Times New Roman"/>
          <w:sz w:val="24"/>
          <w:szCs w:val="24"/>
        </w:rPr>
      </w:pPr>
    </w:p>
    <w:p w14:paraId="76F323AB" w14:textId="77777777" w:rsidR="00824A6D" w:rsidRDefault="00824A6D" w:rsidP="00660C22">
      <w:pPr>
        <w:spacing w:before="100" w:beforeAutospacing="1" w:after="100" w:afterAutospacing="1" w:line="240" w:lineRule="auto"/>
        <w:divId w:val="1213691618"/>
        <w:rPr>
          <w:rFonts w:ascii="Times New Roman" w:eastAsia="Times New Roman" w:hAnsi="Times New Roman"/>
          <w:sz w:val="24"/>
          <w:szCs w:val="24"/>
        </w:rPr>
      </w:pPr>
    </w:p>
    <w:p w14:paraId="68AC5646" w14:textId="77777777" w:rsidR="00824A6D" w:rsidRPr="00660C22" w:rsidRDefault="00824A6D" w:rsidP="00660C22">
      <w:pPr>
        <w:spacing w:before="100" w:beforeAutospacing="1" w:after="100" w:afterAutospacing="1" w:line="240" w:lineRule="auto"/>
        <w:divId w:val="1213691618"/>
        <w:rPr>
          <w:rFonts w:ascii="Times New Roman" w:eastAsia="Times New Roman" w:hAnsi="Times New Roman"/>
          <w:sz w:val="24"/>
          <w:szCs w:val="24"/>
        </w:rPr>
      </w:pPr>
    </w:p>
    <w:p w14:paraId="36769EB6" w14:textId="77777777" w:rsidR="00660C22" w:rsidRPr="001B5F90" w:rsidRDefault="00660C22" w:rsidP="00E7134D">
      <w:pPr>
        <w:pStyle w:val="MediumGrid2-Accent11"/>
        <w:spacing w:line="276" w:lineRule="auto"/>
        <w:divId w:val="1213691618"/>
      </w:pPr>
    </w:p>
    <w:p w14:paraId="7FB37971" w14:textId="77777777" w:rsidR="00333618" w:rsidRDefault="00E83D4C" w:rsidP="00AB3D37">
      <w:pPr>
        <w:divId w:val="1213691618"/>
        <w:rPr>
          <w:rFonts w:ascii="Arial" w:hAnsi="Arial" w:cs="Arial"/>
          <w:b/>
          <w:bCs/>
          <w:sz w:val="24"/>
          <w:szCs w:val="24"/>
          <w:u w:val="single"/>
        </w:rPr>
      </w:pPr>
      <w:bookmarkStart w:id="4" w:name="_Toc492641285"/>
      <w:r>
        <w:rPr>
          <w:rFonts w:ascii="Arial" w:hAnsi="Arial" w:cs="Arial"/>
          <w:sz w:val="24"/>
          <w:szCs w:val="24"/>
          <w:u w:val="single"/>
        </w:rPr>
        <w:br/>
      </w:r>
    </w:p>
    <w:p w14:paraId="2346CF46" w14:textId="77777777" w:rsidR="00333618" w:rsidRDefault="00333618" w:rsidP="00AB3D37">
      <w:pPr>
        <w:divId w:val="1213691618"/>
        <w:rPr>
          <w:rFonts w:ascii="Arial" w:hAnsi="Arial" w:cs="Arial"/>
          <w:b/>
          <w:bCs/>
          <w:sz w:val="24"/>
          <w:szCs w:val="24"/>
          <w:u w:val="single"/>
        </w:rPr>
      </w:pPr>
    </w:p>
    <w:p w14:paraId="6E8A8792" w14:textId="77777777" w:rsidR="00333618" w:rsidRDefault="00333618" w:rsidP="00AB3D37">
      <w:pPr>
        <w:divId w:val="1213691618"/>
        <w:rPr>
          <w:rFonts w:ascii="Arial" w:hAnsi="Arial" w:cs="Arial"/>
          <w:b/>
          <w:bCs/>
          <w:sz w:val="24"/>
          <w:szCs w:val="24"/>
          <w:u w:val="single"/>
        </w:rPr>
      </w:pPr>
    </w:p>
    <w:p w14:paraId="537FCF65" w14:textId="77777777" w:rsidR="00333618" w:rsidRDefault="00333618" w:rsidP="00AB3D37">
      <w:pPr>
        <w:divId w:val="1213691618"/>
        <w:rPr>
          <w:rFonts w:ascii="Arial" w:hAnsi="Arial" w:cs="Arial"/>
          <w:b/>
          <w:bCs/>
          <w:sz w:val="24"/>
          <w:szCs w:val="24"/>
          <w:u w:val="single"/>
        </w:rPr>
      </w:pPr>
    </w:p>
    <w:p w14:paraId="69442A22" w14:textId="77777777" w:rsidR="00333618" w:rsidRDefault="00333618" w:rsidP="00AB3D37">
      <w:pPr>
        <w:divId w:val="1213691618"/>
        <w:rPr>
          <w:rFonts w:ascii="Arial" w:hAnsi="Arial" w:cs="Arial"/>
          <w:b/>
          <w:bCs/>
          <w:sz w:val="24"/>
          <w:szCs w:val="24"/>
          <w:u w:val="single"/>
        </w:rPr>
      </w:pPr>
    </w:p>
    <w:p w14:paraId="77114F63" w14:textId="77777777" w:rsidR="00333618" w:rsidRDefault="00333618" w:rsidP="00AB3D37">
      <w:pPr>
        <w:divId w:val="1213691618"/>
        <w:rPr>
          <w:rFonts w:ascii="Arial" w:hAnsi="Arial" w:cs="Arial"/>
          <w:b/>
          <w:bCs/>
          <w:sz w:val="24"/>
          <w:szCs w:val="24"/>
          <w:u w:val="single"/>
        </w:rPr>
      </w:pPr>
    </w:p>
    <w:p w14:paraId="6E1F7E86" w14:textId="77777777" w:rsidR="00333618" w:rsidRDefault="00333618" w:rsidP="00AB3D37">
      <w:pPr>
        <w:divId w:val="1213691618"/>
        <w:rPr>
          <w:rFonts w:ascii="Arial" w:hAnsi="Arial" w:cs="Arial"/>
          <w:b/>
          <w:bCs/>
          <w:sz w:val="24"/>
          <w:szCs w:val="24"/>
          <w:u w:val="single"/>
        </w:rPr>
      </w:pPr>
    </w:p>
    <w:p w14:paraId="4945DABB" w14:textId="77777777" w:rsidR="00D736E5" w:rsidRPr="00C74C2E" w:rsidRDefault="00D736E5" w:rsidP="00AB3D37">
      <w:pPr>
        <w:divId w:val="1213691618"/>
        <w:rPr>
          <w:rFonts w:ascii="Arial" w:hAnsi="Arial" w:cs="Arial"/>
          <w:b/>
          <w:bCs/>
          <w:sz w:val="24"/>
          <w:szCs w:val="24"/>
          <w:u w:val="single"/>
        </w:rPr>
      </w:pPr>
      <w:r w:rsidRPr="00C74C2E">
        <w:rPr>
          <w:rFonts w:ascii="Arial" w:hAnsi="Arial" w:cs="Arial"/>
          <w:b/>
          <w:bCs/>
          <w:sz w:val="24"/>
          <w:szCs w:val="24"/>
          <w:u w:val="single"/>
        </w:rPr>
        <w:lastRenderedPageBreak/>
        <w:t xml:space="preserve">Summary of waiver and expenditure authorities </w:t>
      </w:r>
      <w:proofErr w:type="gramStart"/>
      <w:r w:rsidRPr="00C74C2E">
        <w:rPr>
          <w:rFonts w:ascii="Arial" w:hAnsi="Arial" w:cs="Arial"/>
          <w:b/>
          <w:bCs/>
          <w:sz w:val="24"/>
          <w:szCs w:val="24"/>
          <w:u w:val="single"/>
        </w:rPr>
        <w:t>requested</w:t>
      </w:r>
      <w:bookmarkEnd w:id="4"/>
      <w:proofErr w:type="gramEnd"/>
      <w:r w:rsidRPr="00C74C2E">
        <w:rPr>
          <w:rFonts w:ascii="Arial" w:hAnsi="Arial" w:cs="Arial"/>
          <w:b/>
          <w:bCs/>
          <w:sz w:val="24"/>
          <w:szCs w:val="24"/>
          <w:u w:val="single"/>
        </w:rPr>
        <w:t xml:space="preserve"> </w:t>
      </w:r>
    </w:p>
    <w:p w14:paraId="17E5221C" w14:textId="77777777" w:rsidR="00D736E5" w:rsidRPr="00D42B64" w:rsidRDefault="00D736E5" w:rsidP="00D736E5">
      <w:pPr>
        <w:divId w:val="1213691618"/>
        <w:rPr>
          <w:rFonts w:ascii="Arial" w:hAnsi="Arial" w:cs="Arial"/>
          <w:sz w:val="24"/>
          <w:szCs w:val="24"/>
        </w:rPr>
      </w:pPr>
      <w:r w:rsidRPr="00D42B64">
        <w:rPr>
          <w:rFonts w:ascii="Arial" w:hAnsi="Arial" w:cs="Arial"/>
          <w:sz w:val="24"/>
          <w:szCs w:val="24"/>
        </w:rPr>
        <w:t>The table below lists the waivers and expenditure authorities the Commonwealth is seeking to support the policies described above.</w:t>
      </w:r>
      <w:r w:rsidR="00824A6D">
        <w:rPr>
          <w:rFonts w:ascii="Arial" w:hAnsi="Arial" w:cs="Arial"/>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7"/>
        <w:gridCol w:w="3012"/>
        <w:gridCol w:w="3201"/>
      </w:tblGrid>
      <w:tr w:rsidR="00D736E5" w:rsidRPr="00D42B64" w14:paraId="1D35E1CA" w14:textId="77777777" w:rsidTr="00A13119">
        <w:trPr>
          <w:divId w:val="1213691618"/>
          <w:tblHeader/>
        </w:trPr>
        <w:tc>
          <w:tcPr>
            <w:tcW w:w="3235" w:type="dxa"/>
            <w:tcBorders>
              <w:top w:val="single" w:sz="4" w:space="0" w:color="auto"/>
              <w:left w:val="single" w:sz="4" w:space="0" w:color="auto"/>
              <w:bottom w:val="single" w:sz="4" w:space="0" w:color="auto"/>
              <w:right w:val="single" w:sz="4" w:space="0" w:color="auto"/>
            </w:tcBorders>
            <w:shd w:val="clear" w:color="auto" w:fill="auto"/>
          </w:tcPr>
          <w:p w14:paraId="4C5A4E68" w14:textId="77777777" w:rsidR="00D736E5" w:rsidRPr="00D42B64" w:rsidRDefault="00D736E5" w:rsidP="00D736E5">
            <w:pPr>
              <w:spacing w:after="0"/>
              <w:jc w:val="center"/>
              <w:rPr>
                <w:rFonts w:ascii="Arial" w:hAnsi="Arial" w:cs="Arial"/>
                <w:b/>
                <w:sz w:val="24"/>
                <w:szCs w:val="24"/>
              </w:rPr>
            </w:pPr>
            <w:r w:rsidRPr="00D42B64">
              <w:rPr>
                <w:rFonts w:ascii="Arial" w:hAnsi="Arial" w:cs="Arial"/>
                <w:b/>
                <w:sz w:val="24"/>
                <w:szCs w:val="24"/>
              </w:rPr>
              <w:t xml:space="preserve">Policy </w:t>
            </w:r>
          </w:p>
        </w:tc>
        <w:tc>
          <w:tcPr>
            <w:tcW w:w="3056" w:type="dxa"/>
            <w:tcBorders>
              <w:top w:val="single" w:sz="4" w:space="0" w:color="auto"/>
              <w:left w:val="single" w:sz="4" w:space="0" w:color="auto"/>
              <w:bottom w:val="single" w:sz="4" w:space="0" w:color="auto"/>
              <w:right w:val="single" w:sz="4" w:space="0" w:color="auto"/>
            </w:tcBorders>
            <w:shd w:val="clear" w:color="auto" w:fill="auto"/>
          </w:tcPr>
          <w:p w14:paraId="3F7EDB80" w14:textId="77777777" w:rsidR="00D736E5" w:rsidRPr="00D42B64" w:rsidRDefault="00D736E5" w:rsidP="00D736E5">
            <w:pPr>
              <w:spacing w:after="0"/>
              <w:jc w:val="center"/>
              <w:rPr>
                <w:rFonts w:ascii="Arial" w:hAnsi="Arial" w:cs="Arial"/>
                <w:b/>
                <w:sz w:val="24"/>
                <w:szCs w:val="24"/>
              </w:rPr>
            </w:pPr>
            <w:r w:rsidRPr="00D42B64">
              <w:rPr>
                <w:rFonts w:ascii="Arial" w:hAnsi="Arial" w:cs="Arial"/>
                <w:b/>
                <w:sz w:val="24"/>
                <w:szCs w:val="24"/>
              </w:rPr>
              <w:t>Waiver/Expenditure Authority</w:t>
            </w:r>
          </w:p>
        </w:tc>
        <w:tc>
          <w:tcPr>
            <w:tcW w:w="3285" w:type="dxa"/>
            <w:tcBorders>
              <w:top w:val="single" w:sz="4" w:space="0" w:color="auto"/>
              <w:left w:val="single" w:sz="4" w:space="0" w:color="auto"/>
              <w:bottom w:val="single" w:sz="4" w:space="0" w:color="auto"/>
              <w:right w:val="single" w:sz="4" w:space="0" w:color="auto"/>
            </w:tcBorders>
            <w:shd w:val="clear" w:color="auto" w:fill="auto"/>
          </w:tcPr>
          <w:p w14:paraId="00B790AD" w14:textId="77777777" w:rsidR="00D736E5" w:rsidRPr="00D42B64" w:rsidRDefault="00D736E5" w:rsidP="00D736E5">
            <w:pPr>
              <w:spacing w:after="0"/>
              <w:jc w:val="center"/>
              <w:rPr>
                <w:rFonts w:ascii="Arial" w:hAnsi="Arial" w:cs="Arial"/>
                <w:b/>
                <w:sz w:val="24"/>
                <w:szCs w:val="24"/>
              </w:rPr>
            </w:pPr>
            <w:r w:rsidRPr="00D42B64">
              <w:rPr>
                <w:rFonts w:ascii="Arial" w:hAnsi="Arial" w:cs="Arial"/>
                <w:b/>
                <w:sz w:val="24"/>
                <w:szCs w:val="24"/>
              </w:rPr>
              <w:t>Statutory and Regulatory Citation</w:t>
            </w:r>
          </w:p>
        </w:tc>
      </w:tr>
      <w:tr w:rsidR="00884059" w:rsidRPr="00D42B64" w14:paraId="4245A02D" w14:textId="77777777">
        <w:trPr>
          <w:divId w:val="1213691618"/>
          <w:trHeight w:val="980"/>
        </w:trPr>
        <w:tc>
          <w:tcPr>
            <w:tcW w:w="3235" w:type="dxa"/>
            <w:tcBorders>
              <w:top w:val="single" w:sz="4" w:space="0" w:color="auto"/>
              <w:left w:val="single" w:sz="4" w:space="0" w:color="auto"/>
              <w:bottom w:val="single" w:sz="4" w:space="0" w:color="auto"/>
              <w:right w:val="single" w:sz="4" w:space="0" w:color="auto"/>
            </w:tcBorders>
            <w:shd w:val="clear" w:color="auto" w:fill="auto"/>
          </w:tcPr>
          <w:p w14:paraId="3723CAEA" w14:textId="77777777" w:rsidR="00884059" w:rsidRPr="00D42B64" w:rsidRDefault="00884059" w:rsidP="00884059">
            <w:pPr>
              <w:spacing w:after="0"/>
              <w:rPr>
                <w:rFonts w:ascii="Arial" w:hAnsi="Arial" w:cs="Arial"/>
                <w:sz w:val="24"/>
                <w:szCs w:val="24"/>
              </w:rPr>
            </w:pPr>
            <w:r>
              <w:rPr>
                <w:rFonts w:ascii="Arial" w:hAnsi="Arial" w:cs="Arial"/>
                <w:sz w:val="24"/>
                <w:szCs w:val="24"/>
              </w:rPr>
              <w:t xml:space="preserve">Provide Medicare Savings Program benefits to CommonHealth members </w:t>
            </w:r>
            <w:r w:rsidR="00D4084E">
              <w:rPr>
                <w:rFonts w:ascii="Arial" w:hAnsi="Arial" w:cs="Arial"/>
                <w:sz w:val="24"/>
                <w:szCs w:val="24"/>
              </w:rPr>
              <w:t xml:space="preserve">over 135% FPL and up to 165% FPL </w:t>
            </w:r>
            <w:r>
              <w:rPr>
                <w:rFonts w:ascii="Arial" w:hAnsi="Arial" w:cs="Arial"/>
                <w:sz w:val="24"/>
                <w:szCs w:val="24"/>
              </w:rPr>
              <w:t xml:space="preserve">and certain Standard members </w:t>
            </w:r>
            <w:r w:rsidR="00D4084E">
              <w:rPr>
                <w:rFonts w:ascii="Arial" w:hAnsi="Arial" w:cs="Arial"/>
                <w:sz w:val="24"/>
                <w:szCs w:val="24"/>
              </w:rPr>
              <w:t xml:space="preserve">over 133% FPL and up to 165% </w:t>
            </w:r>
            <w:r>
              <w:rPr>
                <w:rFonts w:ascii="Arial" w:hAnsi="Arial" w:cs="Arial"/>
                <w:sz w:val="24"/>
                <w:szCs w:val="24"/>
              </w:rPr>
              <w:t>without an asset test</w:t>
            </w:r>
          </w:p>
        </w:tc>
        <w:tc>
          <w:tcPr>
            <w:tcW w:w="3056" w:type="dxa"/>
            <w:tcBorders>
              <w:top w:val="single" w:sz="4" w:space="0" w:color="auto"/>
              <w:left w:val="single" w:sz="4" w:space="0" w:color="auto"/>
              <w:bottom w:val="single" w:sz="4" w:space="0" w:color="auto"/>
              <w:right w:val="single" w:sz="4" w:space="0" w:color="auto"/>
            </w:tcBorders>
            <w:shd w:val="clear" w:color="auto" w:fill="auto"/>
          </w:tcPr>
          <w:p w14:paraId="732C51C0" w14:textId="77777777" w:rsidR="00884059" w:rsidRDefault="00884059" w:rsidP="00884059">
            <w:pPr>
              <w:spacing w:after="0"/>
              <w:rPr>
                <w:rFonts w:ascii="Arial" w:hAnsi="Arial" w:cs="Arial"/>
                <w:sz w:val="24"/>
                <w:szCs w:val="24"/>
              </w:rPr>
            </w:pPr>
            <w:r>
              <w:rPr>
                <w:rFonts w:ascii="Arial" w:hAnsi="Arial" w:cs="Arial"/>
                <w:sz w:val="24"/>
                <w:szCs w:val="24"/>
              </w:rPr>
              <w:t>Waive Medicare Savings Program asset test requirement</w:t>
            </w:r>
          </w:p>
        </w:tc>
        <w:tc>
          <w:tcPr>
            <w:tcW w:w="3285" w:type="dxa"/>
            <w:tcBorders>
              <w:top w:val="single" w:sz="4" w:space="0" w:color="auto"/>
              <w:left w:val="single" w:sz="4" w:space="0" w:color="auto"/>
              <w:bottom w:val="single" w:sz="4" w:space="0" w:color="auto"/>
              <w:right w:val="single" w:sz="4" w:space="0" w:color="auto"/>
            </w:tcBorders>
            <w:shd w:val="clear" w:color="auto" w:fill="auto"/>
          </w:tcPr>
          <w:p w14:paraId="06493A13" w14:textId="77777777" w:rsidR="00884059" w:rsidRPr="00D42B64" w:rsidRDefault="00EE5AAE" w:rsidP="00884059">
            <w:pPr>
              <w:spacing w:after="0"/>
              <w:rPr>
                <w:rFonts w:ascii="Arial" w:hAnsi="Arial" w:cs="Arial"/>
                <w:sz w:val="24"/>
                <w:szCs w:val="24"/>
              </w:rPr>
            </w:pPr>
            <w:r>
              <w:rPr>
                <w:rFonts w:ascii="Arial" w:hAnsi="Arial" w:cs="Arial"/>
                <w:sz w:val="24"/>
                <w:szCs w:val="24"/>
              </w:rPr>
              <w:t>Section 1902(a)(10)(E)(</w:t>
            </w:r>
            <w:proofErr w:type="spellStart"/>
            <w:r>
              <w:rPr>
                <w:rFonts w:ascii="Arial" w:hAnsi="Arial" w:cs="Arial"/>
                <w:sz w:val="24"/>
                <w:szCs w:val="24"/>
              </w:rPr>
              <w:t>i</w:t>
            </w:r>
            <w:proofErr w:type="spellEnd"/>
            <w:r>
              <w:rPr>
                <w:rFonts w:ascii="Arial" w:hAnsi="Arial" w:cs="Arial"/>
                <w:sz w:val="24"/>
                <w:szCs w:val="24"/>
              </w:rPr>
              <w:t>), referencing 1905(p)(1)(C), which includes resource limits</w:t>
            </w:r>
          </w:p>
        </w:tc>
      </w:tr>
      <w:tr w:rsidR="00884059" w:rsidRPr="00D42B64" w14:paraId="7197D3BE" w14:textId="77777777">
        <w:trPr>
          <w:divId w:val="1213691618"/>
          <w:trHeight w:val="980"/>
        </w:trPr>
        <w:tc>
          <w:tcPr>
            <w:tcW w:w="3235" w:type="dxa"/>
            <w:tcBorders>
              <w:top w:val="single" w:sz="4" w:space="0" w:color="auto"/>
              <w:left w:val="single" w:sz="4" w:space="0" w:color="auto"/>
              <w:bottom w:val="single" w:sz="4" w:space="0" w:color="auto"/>
              <w:right w:val="single" w:sz="4" w:space="0" w:color="auto"/>
            </w:tcBorders>
            <w:shd w:val="clear" w:color="auto" w:fill="auto"/>
          </w:tcPr>
          <w:p w14:paraId="041EBDCF" w14:textId="77777777" w:rsidR="00884059" w:rsidRPr="00D42B64" w:rsidRDefault="00884059" w:rsidP="00884059">
            <w:pPr>
              <w:spacing w:after="0"/>
              <w:rPr>
                <w:rFonts w:ascii="Arial" w:hAnsi="Arial" w:cs="Arial"/>
                <w:sz w:val="24"/>
                <w:szCs w:val="24"/>
              </w:rPr>
            </w:pPr>
            <w:r>
              <w:rPr>
                <w:rFonts w:ascii="Arial" w:hAnsi="Arial" w:cs="Arial"/>
                <w:sz w:val="24"/>
                <w:szCs w:val="24"/>
              </w:rPr>
              <w:t xml:space="preserve">Provide Qualifying Individual benefits for individuals on Standard (including those over 65) otherwise eligible under the State Plan </w:t>
            </w:r>
          </w:p>
        </w:tc>
        <w:tc>
          <w:tcPr>
            <w:tcW w:w="3056" w:type="dxa"/>
            <w:tcBorders>
              <w:top w:val="single" w:sz="4" w:space="0" w:color="auto"/>
              <w:left w:val="single" w:sz="4" w:space="0" w:color="auto"/>
              <w:bottom w:val="single" w:sz="4" w:space="0" w:color="auto"/>
              <w:right w:val="single" w:sz="4" w:space="0" w:color="auto"/>
            </w:tcBorders>
            <w:shd w:val="clear" w:color="auto" w:fill="auto"/>
          </w:tcPr>
          <w:p w14:paraId="2A647169" w14:textId="77777777" w:rsidR="00884059" w:rsidRDefault="00884059" w:rsidP="00884059">
            <w:pPr>
              <w:spacing w:after="0"/>
              <w:rPr>
                <w:rFonts w:ascii="Arial" w:hAnsi="Arial" w:cs="Arial"/>
                <w:sz w:val="24"/>
                <w:szCs w:val="24"/>
              </w:rPr>
            </w:pPr>
            <w:r>
              <w:rPr>
                <w:rFonts w:ascii="Arial" w:hAnsi="Arial" w:cs="Arial"/>
                <w:sz w:val="24"/>
                <w:szCs w:val="24"/>
              </w:rPr>
              <w:t>Waive prohibition of receipt of Qualifying Individual benefits by individuals otherwise eligible for the Medicaid State Plan</w:t>
            </w:r>
          </w:p>
        </w:tc>
        <w:tc>
          <w:tcPr>
            <w:tcW w:w="3285" w:type="dxa"/>
            <w:tcBorders>
              <w:top w:val="single" w:sz="4" w:space="0" w:color="auto"/>
              <w:left w:val="single" w:sz="4" w:space="0" w:color="auto"/>
              <w:bottom w:val="single" w:sz="4" w:space="0" w:color="auto"/>
              <w:right w:val="single" w:sz="4" w:space="0" w:color="auto"/>
            </w:tcBorders>
            <w:shd w:val="clear" w:color="auto" w:fill="auto"/>
          </w:tcPr>
          <w:p w14:paraId="6A5FA05C" w14:textId="77777777" w:rsidR="00884059" w:rsidRPr="00D42B64" w:rsidRDefault="00884059" w:rsidP="00884059">
            <w:pPr>
              <w:spacing w:after="0"/>
              <w:rPr>
                <w:rFonts w:ascii="Arial" w:hAnsi="Arial" w:cs="Arial"/>
                <w:sz w:val="24"/>
                <w:szCs w:val="24"/>
              </w:rPr>
            </w:pPr>
            <w:r>
              <w:rPr>
                <w:rFonts w:ascii="Arial" w:hAnsi="Arial" w:cs="Arial"/>
                <w:sz w:val="24"/>
                <w:szCs w:val="24"/>
              </w:rPr>
              <w:t>Section 1902(a)(10)(E)(iv)</w:t>
            </w:r>
          </w:p>
        </w:tc>
      </w:tr>
      <w:tr w:rsidR="00884059" w:rsidRPr="00D42B64" w14:paraId="4D70965B" w14:textId="77777777">
        <w:trPr>
          <w:divId w:val="1213691618"/>
          <w:trHeight w:val="980"/>
        </w:trPr>
        <w:tc>
          <w:tcPr>
            <w:tcW w:w="3235" w:type="dxa"/>
            <w:tcBorders>
              <w:top w:val="single" w:sz="4" w:space="0" w:color="auto"/>
              <w:left w:val="single" w:sz="4" w:space="0" w:color="auto"/>
              <w:bottom w:val="single" w:sz="4" w:space="0" w:color="auto"/>
              <w:right w:val="single" w:sz="4" w:space="0" w:color="auto"/>
            </w:tcBorders>
            <w:shd w:val="clear" w:color="auto" w:fill="auto"/>
          </w:tcPr>
          <w:p w14:paraId="68A3168F" w14:textId="77777777" w:rsidR="00884059" w:rsidRPr="00D42B64" w:rsidRDefault="00884059" w:rsidP="00884059">
            <w:pPr>
              <w:spacing w:after="0"/>
              <w:rPr>
                <w:rFonts w:ascii="Arial" w:hAnsi="Arial" w:cs="Arial"/>
                <w:sz w:val="24"/>
                <w:szCs w:val="24"/>
              </w:rPr>
            </w:pPr>
            <w:r>
              <w:rPr>
                <w:rFonts w:ascii="Arial" w:hAnsi="Arial" w:cs="Arial"/>
                <w:sz w:val="24"/>
                <w:szCs w:val="24"/>
              </w:rPr>
              <w:t>CSP-JI</w:t>
            </w:r>
          </w:p>
        </w:tc>
        <w:tc>
          <w:tcPr>
            <w:tcW w:w="3056" w:type="dxa"/>
            <w:tcBorders>
              <w:top w:val="single" w:sz="4" w:space="0" w:color="auto"/>
              <w:left w:val="single" w:sz="4" w:space="0" w:color="auto"/>
              <w:bottom w:val="single" w:sz="4" w:space="0" w:color="auto"/>
              <w:right w:val="single" w:sz="4" w:space="0" w:color="auto"/>
            </w:tcBorders>
            <w:shd w:val="clear" w:color="auto" w:fill="auto"/>
          </w:tcPr>
          <w:p w14:paraId="53A55393" w14:textId="77777777" w:rsidR="00884059" w:rsidRPr="00D42B64" w:rsidRDefault="00884059" w:rsidP="00884059">
            <w:pPr>
              <w:spacing w:after="0"/>
              <w:rPr>
                <w:rFonts w:ascii="Arial" w:hAnsi="Arial" w:cs="Arial"/>
                <w:sz w:val="24"/>
                <w:szCs w:val="24"/>
              </w:rPr>
            </w:pPr>
            <w:r>
              <w:rPr>
                <w:rFonts w:ascii="Arial" w:hAnsi="Arial" w:cs="Arial"/>
                <w:sz w:val="24"/>
                <w:szCs w:val="24"/>
              </w:rPr>
              <w:t>Existing expenditure authority for Table C services</w:t>
            </w:r>
          </w:p>
        </w:tc>
        <w:tc>
          <w:tcPr>
            <w:tcW w:w="3285" w:type="dxa"/>
            <w:tcBorders>
              <w:top w:val="single" w:sz="4" w:space="0" w:color="auto"/>
              <w:left w:val="single" w:sz="4" w:space="0" w:color="auto"/>
              <w:bottom w:val="single" w:sz="4" w:space="0" w:color="auto"/>
              <w:right w:val="single" w:sz="4" w:space="0" w:color="auto"/>
            </w:tcBorders>
            <w:shd w:val="clear" w:color="auto" w:fill="auto"/>
          </w:tcPr>
          <w:p w14:paraId="08841043" w14:textId="77777777" w:rsidR="00884059" w:rsidRPr="00D42B64" w:rsidRDefault="00884059" w:rsidP="00884059">
            <w:pPr>
              <w:spacing w:after="0"/>
              <w:rPr>
                <w:rFonts w:ascii="Arial" w:hAnsi="Arial" w:cs="Arial"/>
                <w:sz w:val="24"/>
                <w:szCs w:val="24"/>
              </w:rPr>
            </w:pPr>
          </w:p>
        </w:tc>
      </w:tr>
      <w:tr w:rsidR="00BC6660" w:rsidRPr="00D42B64" w14:paraId="10438C30" w14:textId="77777777">
        <w:trPr>
          <w:divId w:val="1213691618"/>
          <w:trHeight w:val="980"/>
        </w:trPr>
        <w:tc>
          <w:tcPr>
            <w:tcW w:w="3235" w:type="dxa"/>
            <w:tcBorders>
              <w:top w:val="single" w:sz="4" w:space="0" w:color="auto"/>
              <w:left w:val="single" w:sz="4" w:space="0" w:color="auto"/>
              <w:bottom w:val="single" w:sz="4" w:space="0" w:color="auto"/>
              <w:right w:val="single" w:sz="4" w:space="0" w:color="auto"/>
            </w:tcBorders>
            <w:shd w:val="clear" w:color="auto" w:fill="auto"/>
          </w:tcPr>
          <w:p w14:paraId="73450DDA" w14:textId="77777777" w:rsidR="00BC6660" w:rsidRDefault="00BC6660" w:rsidP="00884059">
            <w:pPr>
              <w:spacing w:after="0"/>
              <w:rPr>
                <w:rFonts w:ascii="Arial" w:hAnsi="Arial" w:cs="Arial"/>
                <w:sz w:val="24"/>
                <w:szCs w:val="24"/>
              </w:rPr>
            </w:pPr>
            <w:r>
              <w:rPr>
                <w:rFonts w:ascii="Arial" w:hAnsi="Arial" w:cs="Arial"/>
                <w:sz w:val="24"/>
                <w:szCs w:val="24"/>
              </w:rPr>
              <w:t>E</w:t>
            </w:r>
            <w:r w:rsidR="007A2D44">
              <w:rPr>
                <w:rFonts w:ascii="Arial" w:hAnsi="Arial" w:cs="Arial"/>
                <w:sz w:val="24"/>
                <w:szCs w:val="24"/>
              </w:rPr>
              <w:t>xtend</w:t>
            </w:r>
            <w:r>
              <w:rPr>
                <w:rFonts w:ascii="Arial" w:hAnsi="Arial" w:cs="Arial"/>
                <w:sz w:val="24"/>
                <w:szCs w:val="24"/>
              </w:rPr>
              <w:t xml:space="preserve"> postpartum coverage to 12 months</w:t>
            </w:r>
          </w:p>
        </w:tc>
        <w:tc>
          <w:tcPr>
            <w:tcW w:w="3056" w:type="dxa"/>
            <w:tcBorders>
              <w:top w:val="single" w:sz="4" w:space="0" w:color="auto"/>
              <w:left w:val="single" w:sz="4" w:space="0" w:color="auto"/>
              <w:bottom w:val="single" w:sz="4" w:space="0" w:color="auto"/>
              <w:right w:val="single" w:sz="4" w:space="0" w:color="auto"/>
            </w:tcBorders>
            <w:shd w:val="clear" w:color="auto" w:fill="auto"/>
          </w:tcPr>
          <w:p w14:paraId="3B315A82" w14:textId="77777777" w:rsidR="00BC6660" w:rsidRDefault="00250613" w:rsidP="00884059">
            <w:pPr>
              <w:spacing w:after="0"/>
              <w:rPr>
                <w:rFonts w:ascii="Arial" w:hAnsi="Arial" w:cs="Arial"/>
                <w:sz w:val="24"/>
                <w:szCs w:val="24"/>
              </w:rPr>
            </w:pPr>
            <w:r>
              <w:rPr>
                <w:rFonts w:ascii="Arial" w:hAnsi="Arial" w:cs="Arial"/>
                <w:sz w:val="24"/>
                <w:szCs w:val="24"/>
              </w:rPr>
              <w:t xml:space="preserve">Waive 60-day limit on postpartum coverage to allow for </w:t>
            </w:r>
            <w:r w:rsidR="007A2D44">
              <w:rPr>
                <w:rFonts w:ascii="Arial" w:hAnsi="Arial" w:cs="Arial"/>
                <w:sz w:val="24"/>
                <w:szCs w:val="24"/>
              </w:rPr>
              <w:t>12 months of</w:t>
            </w:r>
            <w:r>
              <w:rPr>
                <w:rFonts w:ascii="Arial" w:hAnsi="Arial" w:cs="Arial"/>
                <w:sz w:val="24"/>
                <w:szCs w:val="24"/>
              </w:rPr>
              <w:t xml:space="preserve"> continuous </w:t>
            </w:r>
            <w:r w:rsidR="007A2D44">
              <w:rPr>
                <w:rFonts w:ascii="Arial" w:hAnsi="Arial" w:cs="Arial"/>
                <w:sz w:val="24"/>
                <w:szCs w:val="24"/>
              </w:rPr>
              <w:t xml:space="preserve">postpartum </w:t>
            </w:r>
            <w:r>
              <w:rPr>
                <w:rFonts w:ascii="Arial" w:hAnsi="Arial" w:cs="Arial"/>
                <w:sz w:val="24"/>
                <w:szCs w:val="24"/>
              </w:rPr>
              <w:t>eligibility and to make postpartum coverage available to certain immigrants.</w:t>
            </w:r>
          </w:p>
        </w:tc>
        <w:tc>
          <w:tcPr>
            <w:tcW w:w="3285" w:type="dxa"/>
            <w:tcBorders>
              <w:top w:val="single" w:sz="4" w:space="0" w:color="auto"/>
              <w:left w:val="single" w:sz="4" w:space="0" w:color="auto"/>
              <w:bottom w:val="single" w:sz="4" w:space="0" w:color="auto"/>
              <w:right w:val="single" w:sz="4" w:space="0" w:color="auto"/>
            </w:tcBorders>
            <w:shd w:val="clear" w:color="auto" w:fill="auto"/>
          </w:tcPr>
          <w:p w14:paraId="6F69FFDF" w14:textId="77777777" w:rsidR="00BC6660" w:rsidRDefault="00B6694F" w:rsidP="00884059">
            <w:pPr>
              <w:spacing w:after="0"/>
              <w:rPr>
                <w:rFonts w:ascii="Arial" w:hAnsi="Arial" w:cs="Arial"/>
                <w:sz w:val="24"/>
                <w:szCs w:val="24"/>
              </w:rPr>
            </w:pPr>
            <w:r w:rsidRPr="00B6694F">
              <w:rPr>
                <w:rFonts w:ascii="Arial" w:hAnsi="Arial" w:cs="Arial"/>
                <w:sz w:val="24"/>
                <w:szCs w:val="24"/>
              </w:rPr>
              <w:t>SSA § 1905(n)/42 CFR § 435.4</w:t>
            </w:r>
            <w:r>
              <w:rPr>
                <w:rFonts w:ascii="Arial" w:hAnsi="Arial" w:cs="Arial"/>
                <w:sz w:val="24"/>
                <w:szCs w:val="24"/>
              </w:rPr>
              <w:t xml:space="preserve"> (</w:t>
            </w:r>
            <w:r w:rsidRPr="00B6694F">
              <w:rPr>
                <w:rFonts w:ascii="Arial" w:hAnsi="Arial" w:cs="Arial"/>
                <w:sz w:val="24"/>
                <w:szCs w:val="24"/>
              </w:rPr>
              <w:t>Necessary to redefine “qualified pregnant woman or child” (SSA) and “pregnant women” (CFR) to augment the baseline postpartum period from 60 days</w:t>
            </w:r>
            <w:r>
              <w:rPr>
                <w:rFonts w:ascii="Arial" w:hAnsi="Arial" w:cs="Arial"/>
                <w:sz w:val="24"/>
                <w:szCs w:val="24"/>
              </w:rPr>
              <w:t xml:space="preserve"> to 12 months)</w:t>
            </w:r>
          </w:p>
          <w:p w14:paraId="5089F543" w14:textId="77777777" w:rsidR="00B6694F" w:rsidRDefault="00B6694F" w:rsidP="00884059">
            <w:pPr>
              <w:spacing w:after="0"/>
              <w:rPr>
                <w:rFonts w:ascii="Arial" w:hAnsi="Arial" w:cs="Arial"/>
                <w:sz w:val="24"/>
                <w:szCs w:val="24"/>
              </w:rPr>
            </w:pPr>
          </w:p>
          <w:p w14:paraId="5792F0DE" w14:textId="77777777" w:rsidR="00B6694F" w:rsidRDefault="00B6694F" w:rsidP="00884059">
            <w:pPr>
              <w:spacing w:after="0"/>
              <w:rPr>
                <w:rFonts w:ascii="Arial" w:hAnsi="Arial" w:cs="Arial"/>
                <w:sz w:val="24"/>
                <w:szCs w:val="24"/>
              </w:rPr>
            </w:pPr>
            <w:r w:rsidRPr="00B6694F">
              <w:rPr>
                <w:rFonts w:ascii="Arial" w:hAnsi="Arial" w:cs="Arial"/>
                <w:sz w:val="24"/>
                <w:szCs w:val="24"/>
              </w:rPr>
              <w:t>SSA § 1902(e)(5) and (6)/42 CFR § 435.170(b) and (c)</w:t>
            </w:r>
            <w:r>
              <w:rPr>
                <w:rFonts w:ascii="Arial" w:hAnsi="Arial" w:cs="Arial"/>
                <w:sz w:val="24"/>
                <w:szCs w:val="24"/>
              </w:rPr>
              <w:t xml:space="preserve"> (</w:t>
            </w:r>
            <w:r w:rsidRPr="00B6694F">
              <w:rPr>
                <w:rFonts w:ascii="Arial" w:hAnsi="Arial" w:cs="Arial"/>
                <w:sz w:val="24"/>
                <w:szCs w:val="24"/>
              </w:rPr>
              <w:t xml:space="preserve">Necessary to extend both eligibility and continuous eligibility for newly defined “qualified pregnant woman or child” </w:t>
            </w:r>
            <w:r w:rsidRPr="00B6694F">
              <w:rPr>
                <w:rFonts w:ascii="Arial" w:hAnsi="Arial" w:cs="Arial"/>
                <w:sz w:val="24"/>
                <w:szCs w:val="24"/>
              </w:rPr>
              <w:lastRenderedPageBreak/>
              <w:t>and “pregnant woman” from 60 days to</w:t>
            </w:r>
            <w:r>
              <w:rPr>
                <w:rFonts w:ascii="Arial" w:hAnsi="Arial" w:cs="Arial"/>
                <w:sz w:val="24"/>
                <w:szCs w:val="24"/>
              </w:rPr>
              <w:t xml:space="preserve"> 12 months)</w:t>
            </w:r>
          </w:p>
          <w:p w14:paraId="3B2F5335" w14:textId="77777777" w:rsidR="00B6694F" w:rsidRDefault="00B6694F" w:rsidP="00884059">
            <w:pPr>
              <w:spacing w:after="0"/>
              <w:rPr>
                <w:rFonts w:ascii="Arial" w:hAnsi="Arial" w:cs="Arial"/>
                <w:sz w:val="24"/>
                <w:szCs w:val="24"/>
              </w:rPr>
            </w:pPr>
          </w:p>
          <w:p w14:paraId="2197FAF0" w14:textId="77777777" w:rsidR="00B6694F" w:rsidRDefault="00B6694F" w:rsidP="00884059">
            <w:pPr>
              <w:spacing w:after="0"/>
              <w:rPr>
                <w:rFonts w:ascii="Arial" w:hAnsi="Arial" w:cs="Arial"/>
                <w:sz w:val="24"/>
                <w:szCs w:val="24"/>
              </w:rPr>
            </w:pPr>
            <w:r w:rsidRPr="00B6694F">
              <w:rPr>
                <w:rFonts w:ascii="Arial" w:hAnsi="Arial" w:cs="Arial"/>
                <w:sz w:val="24"/>
                <w:szCs w:val="24"/>
              </w:rPr>
              <w:t>42 CFR § 435.916(a)</w:t>
            </w:r>
            <w:r>
              <w:rPr>
                <w:rFonts w:ascii="Arial" w:hAnsi="Arial" w:cs="Arial"/>
                <w:sz w:val="24"/>
                <w:szCs w:val="24"/>
              </w:rPr>
              <w:t xml:space="preserve"> (</w:t>
            </w:r>
            <w:r w:rsidRPr="00B6694F">
              <w:rPr>
                <w:rFonts w:ascii="Arial" w:hAnsi="Arial" w:cs="Arial"/>
                <w:sz w:val="24"/>
                <w:szCs w:val="24"/>
              </w:rPr>
              <w:t>Necessary to ensure continuity of coverage for newly defined “pregnant woman” until after the augmented postpartum period ends</w:t>
            </w:r>
            <w:r>
              <w:rPr>
                <w:rFonts w:ascii="Arial" w:hAnsi="Arial" w:cs="Arial"/>
                <w:sz w:val="24"/>
                <w:szCs w:val="24"/>
              </w:rPr>
              <w:t>)</w:t>
            </w:r>
          </w:p>
          <w:p w14:paraId="5E828521" w14:textId="77777777" w:rsidR="00B6694F" w:rsidRDefault="00B6694F" w:rsidP="00884059">
            <w:pPr>
              <w:spacing w:after="0"/>
              <w:rPr>
                <w:rFonts w:ascii="Arial" w:hAnsi="Arial" w:cs="Arial"/>
                <w:sz w:val="24"/>
                <w:szCs w:val="24"/>
              </w:rPr>
            </w:pPr>
          </w:p>
          <w:p w14:paraId="503A28D1" w14:textId="77777777" w:rsidR="00B6694F" w:rsidRDefault="00B6694F" w:rsidP="00884059">
            <w:pPr>
              <w:spacing w:after="0"/>
              <w:rPr>
                <w:rFonts w:ascii="Arial" w:hAnsi="Arial" w:cs="Arial"/>
                <w:sz w:val="24"/>
                <w:szCs w:val="24"/>
              </w:rPr>
            </w:pPr>
            <w:r>
              <w:rPr>
                <w:rFonts w:ascii="Arial" w:hAnsi="Arial" w:cs="Arial"/>
                <w:sz w:val="24"/>
                <w:szCs w:val="24"/>
              </w:rPr>
              <w:t xml:space="preserve">SSA </w:t>
            </w:r>
            <w:r w:rsidRPr="00B6694F">
              <w:rPr>
                <w:rFonts w:ascii="Arial" w:hAnsi="Arial" w:cs="Arial"/>
                <w:sz w:val="24"/>
                <w:szCs w:val="24"/>
              </w:rPr>
              <w:t>§</w:t>
            </w:r>
            <w:r>
              <w:rPr>
                <w:rFonts w:ascii="Arial" w:hAnsi="Arial" w:cs="Arial"/>
                <w:sz w:val="24"/>
                <w:szCs w:val="24"/>
              </w:rPr>
              <w:t xml:space="preserve"> 1902(a) last sentence (Necessary to eliminate restriction that only allows assistance to be provided to immigrants subject to restrictions of SSA </w:t>
            </w:r>
            <w:r w:rsidRPr="00B6694F">
              <w:rPr>
                <w:rFonts w:ascii="Arial" w:hAnsi="Arial" w:cs="Arial"/>
                <w:sz w:val="24"/>
                <w:szCs w:val="24"/>
              </w:rPr>
              <w:t>§</w:t>
            </w:r>
            <w:r>
              <w:rPr>
                <w:rFonts w:ascii="Arial" w:hAnsi="Arial" w:cs="Arial"/>
                <w:sz w:val="24"/>
                <w:szCs w:val="24"/>
              </w:rPr>
              <w:t xml:space="preserve"> 1903(v)</w:t>
            </w:r>
          </w:p>
          <w:p w14:paraId="623CADFE" w14:textId="77777777" w:rsidR="00DD46F5" w:rsidRDefault="00DD46F5" w:rsidP="00884059">
            <w:pPr>
              <w:spacing w:after="0"/>
              <w:rPr>
                <w:rFonts w:ascii="Arial" w:hAnsi="Arial" w:cs="Arial"/>
                <w:sz w:val="24"/>
                <w:szCs w:val="24"/>
              </w:rPr>
            </w:pPr>
          </w:p>
          <w:p w14:paraId="4CEBE1D5" w14:textId="77777777" w:rsidR="00DD46F5" w:rsidRPr="00D42B64" w:rsidRDefault="00DD46F5" w:rsidP="00884059">
            <w:pPr>
              <w:spacing w:after="0"/>
              <w:rPr>
                <w:rFonts w:ascii="Arial" w:hAnsi="Arial" w:cs="Arial"/>
                <w:sz w:val="24"/>
                <w:szCs w:val="24"/>
              </w:rPr>
            </w:pPr>
            <w:r>
              <w:rPr>
                <w:rFonts w:ascii="Arial" w:hAnsi="Arial" w:cs="Arial"/>
                <w:sz w:val="24"/>
                <w:szCs w:val="24"/>
              </w:rPr>
              <w:t xml:space="preserve">SSA </w:t>
            </w:r>
            <w:r w:rsidRPr="00B6694F">
              <w:rPr>
                <w:rFonts w:ascii="Arial" w:hAnsi="Arial" w:cs="Arial"/>
                <w:sz w:val="24"/>
                <w:szCs w:val="24"/>
              </w:rPr>
              <w:t>§</w:t>
            </w:r>
            <w:r>
              <w:rPr>
                <w:rFonts w:ascii="Arial" w:hAnsi="Arial" w:cs="Arial"/>
                <w:sz w:val="24"/>
                <w:szCs w:val="24"/>
              </w:rPr>
              <w:t xml:space="preserve"> 1903(v) </w:t>
            </w:r>
            <w:r w:rsidR="001E02A5">
              <w:rPr>
                <w:rFonts w:ascii="Arial" w:hAnsi="Arial" w:cs="Arial"/>
                <w:sz w:val="24"/>
                <w:szCs w:val="24"/>
              </w:rPr>
              <w:t xml:space="preserve">and </w:t>
            </w:r>
            <w:r w:rsidR="001E02A5" w:rsidRPr="001E02A5">
              <w:rPr>
                <w:rFonts w:ascii="Arial" w:hAnsi="Arial" w:cs="Arial"/>
                <w:sz w:val="24"/>
                <w:szCs w:val="24"/>
              </w:rPr>
              <w:t xml:space="preserve">42 CFR § 435.406 </w:t>
            </w:r>
            <w:r>
              <w:rPr>
                <w:rFonts w:ascii="Arial" w:hAnsi="Arial" w:cs="Arial"/>
                <w:sz w:val="24"/>
                <w:szCs w:val="24"/>
              </w:rPr>
              <w:t>(Necessary to allow for payments for pregnant women whose immigration status does not otherwise make them eligible for Medicaid)</w:t>
            </w:r>
          </w:p>
        </w:tc>
      </w:tr>
      <w:tr w:rsidR="00884059" w:rsidRPr="00D42B64" w14:paraId="25660A92" w14:textId="77777777" w:rsidTr="00784067">
        <w:trPr>
          <w:divId w:val="1213691618"/>
          <w:trHeight w:val="800"/>
        </w:trPr>
        <w:tc>
          <w:tcPr>
            <w:tcW w:w="3235" w:type="dxa"/>
            <w:tcBorders>
              <w:top w:val="single" w:sz="4" w:space="0" w:color="auto"/>
              <w:left w:val="single" w:sz="4" w:space="0" w:color="auto"/>
              <w:bottom w:val="single" w:sz="4" w:space="0" w:color="auto"/>
              <w:right w:val="single" w:sz="4" w:space="0" w:color="auto"/>
            </w:tcBorders>
            <w:shd w:val="clear" w:color="auto" w:fill="auto"/>
          </w:tcPr>
          <w:p w14:paraId="0A65BED2" w14:textId="77777777" w:rsidR="00884059" w:rsidRPr="00D42B64" w:rsidRDefault="00884059" w:rsidP="00884059">
            <w:pPr>
              <w:spacing w:after="0"/>
              <w:rPr>
                <w:rFonts w:ascii="Arial" w:hAnsi="Arial" w:cs="Arial"/>
                <w:sz w:val="24"/>
                <w:szCs w:val="24"/>
              </w:rPr>
            </w:pPr>
            <w:r>
              <w:rPr>
                <w:rFonts w:ascii="Arial" w:hAnsi="Arial" w:cs="Arial"/>
                <w:sz w:val="24"/>
                <w:szCs w:val="24"/>
              </w:rPr>
              <w:lastRenderedPageBreak/>
              <w:t>Clinic Facility Requirement</w:t>
            </w:r>
          </w:p>
        </w:tc>
        <w:tc>
          <w:tcPr>
            <w:tcW w:w="3056" w:type="dxa"/>
            <w:tcBorders>
              <w:top w:val="single" w:sz="4" w:space="0" w:color="auto"/>
              <w:left w:val="single" w:sz="4" w:space="0" w:color="auto"/>
              <w:bottom w:val="single" w:sz="4" w:space="0" w:color="auto"/>
              <w:right w:val="single" w:sz="4" w:space="0" w:color="auto"/>
            </w:tcBorders>
            <w:shd w:val="clear" w:color="auto" w:fill="auto"/>
          </w:tcPr>
          <w:p w14:paraId="7C56264C" w14:textId="77777777" w:rsidR="00884059" w:rsidRPr="00D42B64" w:rsidRDefault="00884059" w:rsidP="00884059">
            <w:pPr>
              <w:spacing w:after="0"/>
              <w:rPr>
                <w:rFonts w:ascii="Arial" w:hAnsi="Arial" w:cs="Arial"/>
                <w:sz w:val="24"/>
                <w:szCs w:val="24"/>
              </w:rPr>
            </w:pPr>
            <w:r>
              <w:rPr>
                <w:rFonts w:ascii="Arial" w:hAnsi="Arial" w:cs="Arial"/>
                <w:sz w:val="24"/>
                <w:szCs w:val="24"/>
              </w:rPr>
              <w:t xml:space="preserve">Expenditure authority to provide clinic services via telehealth (if neither the provider nor the member </w:t>
            </w:r>
            <w:proofErr w:type="gramStart"/>
            <w:r>
              <w:rPr>
                <w:rFonts w:ascii="Arial" w:hAnsi="Arial" w:cs="Arial"/>
                <w:sz w:val="24"/>
                <w:szCs w:val="24"/>
              </w:rPr>
              <w:t>are</w:t>
            </w:r>
            <w:proofErr w:type="gramEnd"/>
            <w:r>
              <w:rPr>
                <w:rFonts w:ascii="Arial" w:hAnsi="Arial" w:cs="Arial"/>
                <w:sz w:val="24"/>
                <w:szCs w:val="24"/>
              </w:rPr>
              <w:t xml:space="preserve"> at the clinic) and in non-clinic locations.</w:t>
            </w:r>
          </w:p>
        </w:tc>
        <w:tc>
          <w:tcPr>
            <w:tcW w:w="3285" w:type="dxa"/>
            <w:tcBorders>
              <w:top w:val="single" w:sz="4" w:space="0" w:color="auto"/>
              <w:left w:val="single" w:sz="4" w:space="0" w:color="auto"/>
              <w:bottom w:val="single" w:sz="4" w:space="0" w:color="auto"/>
              <w:right w:val="single" w:sz="4" w:space="0" w:color="auto"/>
            </w:tcBorders>
            <w:shd w:val="clear" w:color="auto" w:fill="auto"/>
          </w:tcPr>
          <w:p w14:paraId="100831AA" w14:textId="77777777" w:rsidR="00884059" w:rsidRPr="00D42B64" w:rsidRDefault="00884059" w:rsidP="00884059">
            <w:pPr>
              <w:spacing w:after="0"/>
              <w:rPr>
                <w:rFonts w:ascii="Arial" w:hAnsi="Arial" w:cs="Arial"/>
                <w:sz w:val="24"/>
                <w:szCs w:val="24"/>
              </w:rPr>
            </w:pPr>
            <w:r>
              <w:rPr>
                <w:rFonts w:ascii="Arial" w:hAnsi="Arial" w:cs="Arial"/>
                <w:sz w:val="24"/>
                <w:szCs w:val="24"/>
              </w:rPr>
              <w:t>Section 1905(a)(9) and 42 CFR 440.90</w:t>
            </w:r>
          </w:p>
        </w:tc>
      </w:tr>
      <w:tr w:rsidR="00884059" w:rsidRPr="00D42B64" w14:paraId="5ABB241F" w14:textId="77777777">
        <w:trPr>
          <w:divId w:val="1213691618"/>
          <w:trHeight w:val="1250"/>
        </w:trPr>
        <w:tc>
          <w:tcPr>
            <w:tcW w:w="3235" w:type="dxa"/>
            <w:tcBorders>
              <w:top w:val="single" w:sz="4" w:space="0" w:color="auto"/>
              <w:left w:val="single" w:sz="4" w:space="0" w:color="auto"/>
              <w:bottom w:val="single" w:sz="4" w:space="0" w:color="auto"/>
              <w:right w:val="single" w:sz="4" w:space="0" w:color="auto"/>
            </w:tcBorders>
            <w:shd w:val="clear" w:color="auto" w:fill="auto"/>
          </w:tcPr>
          <w:p w14:paraId="56B04546" w14:textId="77777777" w:rsidR="00884059" w:rsidRPr="00D42B64" w:rsidRDefault="00884059" w:rsidP="00884059">
            <w:pPr>
              <w:spacing w:after="0"/>
              <w:rPr>
                <w:rFonts w:ascii="Arial" w:hAnsi="Arial" w:cs="Arial"/>
                <w:sz w:val="24"/>
                <w:szCs w:val="24"/>
              </w:rPr>
            </w:pPr>
            <w:r w:rsidRPr="00C87D9A">
              <w:rPr>
                <w:rFonts w:ascii="Arial" w:hAnsi="Arial" w:cs="Arial"/>
                <w:sz w:val="24"/>
                <w:szCs w:val="24"/>
              </w:rPr>
              <w:t>Inpatient Hospital at Home</w:t>
            </w:r>
          </w:p>
        </w:tc>
        <w:tc>
          <w:tcPr>
            <w:tcW w:w="3056" w:type="dxa"/>
            <w:tcBorders>
              <w:top w:val="single" w:sz="4" w:space="0" w:color="auto"/>
              <w:left w:val="single" w:sz="4" w:space="0" w:color="auto"/>
              <w:bottom w:val="single" w:sz="4" w:space="0" w:color="auto"/>
              <w:right w:val="single" w:sz="4" w:space="0" w:color="auto"/>
            </w:tcBorders>
            <w:shd w:val="clear" w:color="auto" w:fill="auto"/>
          </w:tcPr>
          <w:p w14:paraId="435E7E26" w14:textId="77777777" w:rsidR="00884059" w:rsidRPr="00D42B64" w:rsidRDefault="00884059" w:rsidP="00884059">
            <w:pPr>
              <w:spacing w:after="0"/>
              <w:rPr>
                <w:rFonts w:ascii="Arial" w:hAnsi="Arial" w:cs="Arial"/>
                <w:sz w:val="24"/>
                <w:szCs w:val="24"/>
              </w:rPr>
            </w:pPr>
            <w:r>
              <w:rPr>
                <w:rFonts w:ascii="Arial" w:hAnsi="Arial" w:cs="Arial"/>
                <w:sz w:val="24"/>
                <w:szCs w:val="24"/>
              </w:rPr>
              <w:t xml:space="preserve">Expenditure authority to reimburse qualified acute inpatient hospitals rendering acute inpatient hospital services in a member’s home to </w:t>
            </w:r>
            <w:r>
              <w:rPr>
                <w:rFonts w:ascii="Arial" w:hAnsi="Arial" w:cs="Arial"/>
                <w:sz w:val="24"/>
                <w:szCs w:val="24"/>
              </w:rPr>
              <w:lastRenderedPageBreak/>
              <w:t>members for whom such services are clinically appropriate.</w:t>
            </w:r>
          </w:p>
        </w:tc>
        <w:tc>
          <w:tcPr>
            <w:tcW w:w="3285" w:type="dxa"/>
            <w:tcBorders>
              <w:top w:val="single" w:sz="4" w:space="0" w:color="auto"/>
              <w:left w:val="single" w:sz="4" w:space="0" w:color="auto"/>
              <w:bottom w:val="single" w:sz="4" w:space="0" w:color="auto"/>
              <w:right w:val="single" w:sz="4" w:space="0" w:color="auto"/>
            </w:tcBorders>
            <w:shd w:val="clear" w:color="auto" w:fill="auto"/>
          </w:tcPr>
          <w:p w14:paraId="1B1A4AFA" w14:textId="77777777" w:rsidR="00884059" w:rsidRPr="00D42B64" w:rsidRDefault="00E3045C" w:rsidP="00884059">
            <w:pPr>
              <w:spacing w:after="0"/>
              <w:rPr>
                <w:rFonts w:ascii="Arial" w:hAnsi="Arial" w:cs="Arial"/>
                <w:sz w:val="24"/>
                <w:szCs w:val="24"/>
              </w:rPr>
            </w:pPr>
            <w:r>
              <w:rPr>
                <w:rFonts w:ascii="Arial" w:hAnsi="Arial" w:cs="Arial"/>
                <w:sz w:val="24"/>
                <w:szCs w:val="24"/>
              </w:rPr>
              <w:lastRenderedPageBreak/>
              <w:t>42 CFR 440.10</w:t>
            </w:r>
          </w:p>
        </w:tc>
      </w:tr>
    </w:tbl>
    <w:p w14:paraId="5865A828" w14:textId="77777777" w:rsidR="00D736E5" w:rsidRPr="00B231D0" w:rsidRDefault="00C74C2E" w:rsidP="00A13119">
      <w:pPr>
        <w:pStyle w:val="Heading2"/>
        <w:divId w:val="1213691618"/>
        <w:rPr>
          <w:lang w:val="en-US"/>
        </w:rPr>
      </w:pPr>
      <w:bookmarkStart w:id="5" w:name="_Toc492641286"/>
      <w:r>
        <w:br/>
      </w:r>
      <w:r w:rsidR="00D736E5" w:rsidRPr="00D42B64">
        <w:t>Budget Neutrality</w:t>
      </w:r>
      <w:bookmarkEnd w:id="5"/>
      <w:r w:rsidR="00D736E5" w:rsidRPr="00D42B64">
        <w:t xml:space="preserve"> </w:t>
      </w:r>
    </w:p>
    <w:p w14:paraId="4EF0D9C7" w14:textId="77777777" w:rsidR="00D736E5" w:rsidRPr="00D42B64" w:rsidRDefault="00D736E5" w:rsidP="00D736E5">
      <w:pPr>
        <w:keepNext/>
        <w:divId w:val="1213691618"/>
        <w:rPr>
          <w:rFonts w:ascii="Arial" w:hAnsi="Arial" w:cs="Arial"/>
          <w:sz w:val="24"/>
          <w:szCs w:val="24"/>
        </w:rPr>
      </w:pPr>
      <w:r w:rsidRPr="00D42B64">
        <w:rPr>
          <w:rFonts w:ascii="Arial" w:hAnsi="Arial" w:cs="Arial"/>
          <w:i/>
          <w:iCs/>
          <w:sz w:val="24"/>
          <w:szCs w:val="24"/>
        </w:rPr>
        <w:t>Budget neutrality prior to amendment</w:t>
      </w:r>
    </w:p>
    <w:p w14:paraId="08DF7991" w14:textId="77777777" w:rsidR="00D736E5" w:rsidRPr="00D42B64" w:rsidRDefault="00D736E5" w:rsidP="00D736E5">
      <w:pPr>
        <w:keepNext/>
        <w:divId w:val="1213691618"/>
        <w:rPr>
          <w:rFonts w:ascii="Arial" w:hAnsi="Arial" w:cs="Arial"/>
          <w:sz w:val="24"/>
          <w:szCs w:val="24"/>
        </w:rPr>
      </w:pPr>
      <w:r w:rsidRPr="00D42B64">
        <w:rPr>
          <w:rFonts w:ascii="Arial" w:hAnsi="Arial" w:cs="Arial"/>
          <w:sz w:val="24"/>
          <w:szCs w:val="24"/>
        </w:rPr>
        <w:t xml:space="preserve">The Commonwealth’s projected budget neutrality cushion as of the quarterly report for the quarter ending </w:t>
      </w:r>
      <w:r w:rsidR="00AB3D37">
        <w:rPr>
          <w:rFonts w:ascii="Arial" w:hAnsi="Arial" w:cs="Arial"/>
          <w:sz w:val="24"/>
          <w:szCs w:val="24"/>
        </w:rPr>
        <w:t>September 30, 2020</w:t>
      </w:r>
      <w:r w:rsidRPr="00D42B64">
        <w:rPr>
          <w:rFonts w:ascii="Arial" w:hAnsi="Arial" w:cs="Arial"/>
          <w:sz w:val="24"/>
          <w:szCs w:val="24"/>
        </w:rPr>
        <w:t xml:space="preserve">, </w:t>
      </w:r>
      <w:r w:rsidRPr="00D42B64">
        <w:rPr>
          <w:rStyle w:val="FootnoteReference"/>
          <w:rFonts w:ascii="Arial" w:hAnsi="Arial" w:cs="Arial"/>
          <w:sz w:val="24"/>
          <w:szCs w:val="24"/>
        </w:rPr>
        <w:footnoteReference w:id="20"/>
      </w:r>
      <w:r w:rsidRPr="00D42B64">
        <w:rPr>
          <w:rFonts w:ascii="Arial" w:hAnsi="Arial" w:cs="Arial"/>
          <w:sz w:val="24"/>
          <w:szCs w:val="24"/>
        </w:rPr>
        <w:t xml:space="preserve"> is approximately </w:t>
      </w:r>
      <w:r w:rsidRPr="00AB3D37">
        <w:rPr>
          <w:rFonts w:ascii="Arial" w:hAnsi="Arial" w:cs="Arial"/>
          <w:sz w:val="24"/>
          <w:szCs w:val="24"/>
        </w:rPr>
        <w:t>$</w:t>
      </w:r>
      <w:r w:rsidR="00D03647">
        <w:rPr>
          <w:rFonts w:ascii="Arial" w:hAnsi="Arial" w:cs="Arial"/>
          <w:sz w:val="24"/>
          <w:szCs w:val="24"/>
        </w:rPr>
        <w:t>26</w:t>
      </w:r>
      <w:r w:rsidRPr="00AB3D37">
        <w:rPr>
          <w:rFonts w:ascii="Arial" w:hAnsi="Arial" w:cs="Arial"/>
          <w:sz w:val="24"/>
          <w:szCs w:val="24"/>
        </w:rPr>
        <w:t xml:space="preserve"> billion</w:t>
      </w:r>
      <w:r w:rsidRPr="00D42B64">
        <w:rPr>
          <w:rFonts w:ascii="Arial" w:hAnsi="Arial" w:cs="Arial"/>
          <w:sz w:val="24"/>
          <w:szCs w:val="24"/>
        </w:rPr>
        <w:t xml:space="preserve"> total, of which $</w:t>
      </w:r>
      <w:r w:rsidR="001E450E">
        <w:rPr>
          <w:rFonts w:ascii="Arial" w:hAnsi="Arial" w:cs="Arial"/>
          <w:sz w:val="24"/>
          <w:szCs w:val="24"/>
        </w:rPr>
        <w:t>4</w:t>
      </w:r>
      <w:r w:rsidRPr="00D42B64">
        <w:rPr>
          <w:rFonts w:ascii="Arial" w:hAnsi="Arial" w:cs="Arial"/>
          <w:sz w:val="24"/>
          <w:szCs w:val="24"/>
        </w:rPr>
        <w:t xml:space="preserve"> billion is attributable to the SFY 2018-2022 waiver period.</w:t>
      </w:r>
      <w:r w:rsidRPr="00D42B64">
        <w:rPr>
          <w:rStyle w:val="FootnoteReference"/>
          <w:rFonts w:ascii="Arial" w:hAnsi="Arial" w:cs="Arial"/>
          <w:sz w:val="24"/>
          <w:szCs w:val="24"/>
        </w:rPr>
        <w:footnoteReference w:id="21"/>
      </w:r>
      <w:r w:rsidRPr="00D42B64">
        <w:rPr>
          <w:rFonts w:ascii="Arial" w:hAnsi="Arial" w:cs="Arial"/>
          <w:sz w:val="24"/>
          <w:szCs w:val="24"/>
        </w:rPr>
        <w:t xml:space="preserve"> This estimate incorporates projected expenditures and member months through </w:t>
      </w:r>
      <w:r w:rsidRPr="00CF7DC1">
        <w:rPr>
          <w:rFonts w:ascii="Arial" w:hAnsi="Arial" w:cs="Arial"/>
          <w:sz w:val="24"/>
          <w:szCs w:val="24"/>
        </w:rPr>
        <w:t>SFY 2022</w:t>
      </w:r>
      <w:r w:rsidRPr="00D42B64">
        <w:rPr>
          <w:rFonts w:ascii="Arial" w:hAnsi="Arial" w:cs="Arial"/>
          <w:sz w:val="24"/>
          <w:szCs w:val="24"/>
        </w:rPr>
        <w:t xml:space="preserve"> as reported through the quarter ending </w:t>
      </w:r>
      <w:r w:rsidR="00CF7DC1">
        <w:rPr>
          <w:rFonts w:ascii="Arial" w:hAnsi="Arial" w:cs="Arial"/>
          <w:sz w:val="24"/>
          <w:szCs w:val="24"/>
        </w:rPr>
        <w:t>September 30, 2020.</w:t>
      </w:r>
      <w:r w:rsidRPr="00D42B64">
        <w:rPr>
          <w:rFonts w:ascii="Arial" w:hAnsi="Arial" w:cs="Arial"/>
          <w:sz w:val="24"/>
          <w:szCs w:val="24"/>
        </w:rPr>
        <w:t xml:space="preserve"> This budget neutrality calculation reflects significant realized and anticipated savings.</w:t>
      </w:r>
    </w:p>
    <w:p w14:paraId="00477417" w14:textId="77777777" w:rsidR="00D736E5" w:rsidRPr="00D42B64" w:rsidRDefault="00D736E5" w:rsidP="00D736E5">
      <w:pPr>
        <w:divId w:val="1213691618"/>
        <w:rPr>
          <w:rFonts w:ascii="Arial" w:hAnsi="Arial" w:cs="Arial"/>
          <w:sz w:val="24"/>
          <w:szCs w:val="24"/>
        </w:rPr>
      </w:pPr>
      <w:r w:rsidRPr="00D42B64">
        <w:rPr>
          <w:rFonts w:ascii="Arial" w:hAnsi="Arial" w:cs="Arial"/>
          <w:i/>
          <w:iCs/>
          <w:sz w:val="24"/>
          <w:szCs w:val="24"/>
        </w:rPr>
        <w:t>Effect of amendment</w:t>
      </w:r>
    </w:p>
    <w:p w14:paraId="138C7F94" w14:textId="29E12E56" w:rsidR="00D736E5" w:rsidRPr="00D42B64" w:rsidRDefault="00D736E5" w:rsidP="00CA6A0E">
      <w:pPr>
        <w:divId w:val="1213691618"/>
        <w:rPr>
          <w:rFonts w:ascii="Arial" w:hAnsi="Arial" w:cs="Arial"/>
          <w:sz w:val="24"/>
          <w:szCs w:val="24"/>
          <w:u w:val="single"/>
        </w:rPr>
      </w:pPr>
      <w:r w:rsidRPr="00D42B64">
        <w:rPr>
          <w:rFonts w:ascii="Arial" w:hAnsi="Arial" w:cs="Arial"/>
          <w:sz w:val="24"/>
          <w:szCs w:val="24"/>
        </w:rPr>
        <w:t>As reflected in the accompanying budget neutrality workbook, this amendment result</w:t>
      </w:r>
      <w:r w:rsidR="00FF6CCF">
        <w:rPr>
          <w:rFonts w:ascii="Arial" w:hAnsi="Arial" w:cs="Arial"/>
          <w:sz w:val="24"/>
          <w:szCs w:val="24"/>
        </w:rPr>
        <w:t>s</w:t>
      </w:r>
      <w:r w:rsidRPr="00D42B64">
        <w:rPr>
          <w:rFonts w:ascii="Arial" w:hAnsi="Arial" w:cs="Arial"/>
          <w:sz w:val="24"/>
          <w:szCs w:val="24"/>
        </w:rPr>
        <w:t xml:space="preserve"> in </w:t>
      </w:r>
      <w:r w:rsidR="00CF7DC1">
        <w:rPr>
          <w:rFonts w:ascii="Arial" w:hAnsi="Arial" w:cs="Arial"/>
          <w:sz w:val="24"/>
          <w:szCs w:val="24"/>
        </w:rPr>
        <w:t>$</w:t>
      </w:r>
      <w:r w:rsidR="00D03647">
        <w:rPr>
          <w:rFonts w:ascii="Arial" w:hAnsi="Arial" w:cs="Arial"/>
          <w:sz w:val="24"/>
          <w:szCs w:val="24"/>
        </w:rPr>
        <w:t>20.8</w:t>
      </w:r>
      <w:r w:rsidR="00CF7DC1">
        <w:rPr>
          <w:rFonts w:ascii="Arial" w:hAnsi="Arial" w:cs="Arial"/>
          <w:sz w:val="24"/>
          <w:szCs w:val="24"/>
        </w:rPr>
        <w:t xml:space="preserve"> million in </w:t>
      </w:r>
      <w:r w:rsidR="00FF4B6D">
        <w:rPr>
          <w:rFonts w:ascii="Arial" w:hAnsi="Arial" w:cs="Arial"/>
          <w:sz w:val="24"/>
          <w:szCs w:val="24"/>
        </w:rPr>
        <w:t>costs</w:t>
      </w:r>
      <w:r w:rsidRPr="00D42B64">
        <w:rPr>
          <w:rFonts w:ascii="Arial" w:hAnsi="Arial" w:cs="Arial"/>
          <w:sz w:val="24"/>
          <w:szCs w:val="24"/>
        </w:rPr>
        <w:t xml:space="preserve"> to the MassHealth program and would </w:t>
      </w:r>
      <w:r w:rsidR="00FF4B6D">
        <w:rPr>
          <w:rFonts w:ascii="Arial" w:hAnsi="Arial" w:cs="Arial"/>
          <w:sz w:val="24"/>
          <w:szCs w:val="24"/>
        </w:rPr>
        <w:t>increase</w:t>
      </w:r>
      <w:r w:rsidRPr="00D42B64">
        <w:rPr>
          <w:rFonts w:ascii="Arial" w:hAnsi="Arial" w:cs="Arial"/>
          <w:sz w:val="24"/>
          <w:szCs w:val="24"/>
        </w:rPr>
        <w:t xml:space="preserve"> the total populations and expenditures under the demonstration. The combined effect of these two dynamics would </w:t>
      </w:r>
      <w:r w:rsidRPr="00D62EE3">
        <w:rPr>
          <w:rFonts w:ascii="Arial" w:hAnsi="Arial" w:cs="Arial"/>
          <w:sz w:val="24"/>
          <w:szCs w:val="24"/>
        </w:rPr>
        <w:t>decrease t</w:t>
      </w:r>
      <w:r w:rsidRPr="00D42B64">
        <w:rPr>
          <w:rFonts w:ascii="Arial" w:hAnsi="Arial" w:cs="Arial"/>
          <w:sz w:val="24"/>
          <w:szCs w:val="24"/>
        </w:rPr>
        <w:t>he Commonwealth’s budget neutrality cushion by approximately $</w:t>
      </w:r>
      <w:r w:rsidR="00D03647">
        <w:rPr>
          <w:rFonts w:ascii="Arial" w:hAnsi="Arial" w:cs="Arial"/>
          <w:sz w:val="24"/>
          <w:szCs w:val="24"/>
        </w:rPr>
        <w:t>5.6</w:t>
      </w:r>
      <w:r w:rsidRPr="00D42B64">
        <w:rPr>
          <w:rFonts w:ascii="Arial" w:hAnsi="Arial" w:cs="Arial"/>
          <w:sz w:val="24"/>
          <w:szCs w:val="24"/>
        </w:rPr>
        <w:t xml:space="preserve"> million for the SFY2018-2022 waiver period. </w:t>
      </w:r>
      <w:r w:rsidR="00FF4B6D">
        <w:rPr>
          <w:rFonts w:ascii="Arial" w:hAnsi="Arial" w:cs="Arial"/>
          <w:sz w:val="24"/>
          <w:szCs w:val="24"/>
        </w:rPr>
        <w:t xml:space="preserve"> </w:t>
      </w:r>
      <w:r w:rsidRPr="007A7BAA">
        <w:rPr>
          <w:rFonts w:ascii="Arial" w:hAnsi="Arial" w:cs="Arial"/>
          <w:sz w:val="24"/>
          <w:szCs w:val="24"/>
        </w:rPr>
        <w:t xml:space="preserve">Overall, after integrating the proposed amendments, the Commonwealth and the federal government would continue to realize savings on the </w:t>
      </w:r>
      <w:r w:rsidR="00C7762A">
        <w:rPr>
          <w:rFonts w:ascii="Arial" w:hAnsi="Arial" w:cs="Arial"/>
          <w:sz w:val="24"/>
          <w:szCs w:val="24"/>
        </w:rPr>
        <w:t>d</w:t>
      </w:r>
      <w:r w:rsidRPr="007A7BAA">
        <w:rPr>
          <w:rFonts w:ascii="Arial" w:hAnsi="Arial" w:cs="Arial"/>
          <w:sz w:val="24"/>
          <w:szCs w:val="24"/>
        </w:rPr>
        <w:t>emonstration.</w:t>
      </w:r>
      <w:r w:rsidRPr="00D42B64">
        <w:rPr>
          <w:rFonts w:ascii="Arial" w:hAnsi="Arial" w:cs="Arial"/>
          <w:sz w:val="24"/>
          <w:szCs w:val="24"/>
        </w:rPr>
        <w:t xml:space="preserve"> </w:t>
      </w:r>
      <w:bookmarkStart w:id="6" w:name="_Toc492641287"/>
      <w:r w:rsidR="00706631">
        <w:rPr>
          <w:rFonts w:ascii="Arial" w:hAnsi="Arial" w:cs="Arial"/>
          <w:sz w:val="24"/>
          <w:szCs w:val="24"/>
        </w:rPr>
        <w:br/>
      </w:r>
      <w:r w:rsidR="00706631">
        <w:rPr>
          <w:rFonts w:ascii="Arial" w:hAnsi="Arial" w:cs="Arial"/>
          <w:sz w:val="24"/>
          <w:szCs w:val="24"/>
        </w:rPr>
        <w:br/>
      </w:r>
      <w:r w:rsidR="00706631" w:rsidRPr="00706631">
        <w:rPr>
          <w:rFonts w:ascii="Arial" w:hAnsi="Arial" w:cs="Arial"/>
          <w:sz w:val="24"/>
          <w:szCs w:val="24"/>
        </w:rPr>
        <w:t xml:space="preserve">The attached budget neutrality workbook contains a data analysis which identifies the specific "with waiver" impact of the proposed amendment on the current budget neutrality agreement. This analysis includes current total computable "with waiver" and "without waiver" status on both a summary and detailed level through the current extension approval period using the most recent actual expenditures, as well as </w:t>
      </w:r>
      <w:r w:rsidR="00706631" w:rsidRPr="00706631">
        <w:rPr>
          <w:rFonts w:ascii="Arial" w:hAnsi="Arial" w:cs="Arial"/>
          <w:sz w:val="24"/>
          <w:szCs w:val="24"/>
        </w:rPr>
        <w:lastRenderedPageBreak/>
        <w:t>summary and detailed projections of the change in the "with waiver" expenditure total as a result of the proposed amendment, by eligibility group.</w:t>
      </w:r>
      <w:r w:rsidR="00706631" w:rsidRPr="00706631">
        <w:rPr>
          <w:rFonts w:ascii="Arial" w:hAnsi="Arial" w:cs="Arial"/>
          <w:sz w:val="24"/>
          <w:szCs w:val="24"/>
        </w:rPr>
        <w:br/>
      </w:r>
      <w:r w:rsidR="00706631" w:rsidRPr="00706631">
        <w:rPr>
          <w:rFonts w:ascii="Arial" w:hAnsi="Arial" w:cs="Arial"/>
          <w:sz w:val="24"/>
          <w:szCs w:val="24"/>
        </w:rPr>
        <w:br/>
      </w:r>
      <w:proofErr w:type="gramStart"/>
      <w:r w:rsidRPr="00D42B64">
        <w:rPr>
          <w:rFonts w:ascii="Arial" w:hAnsi="Arial" w:cs="Arial"/>
          <w:sz w:val="24"/>
          <w:szCs w:val="24"/>
          <w:u w:val="single"/>
        </w:rPr>
        <w:t>Evaluation</w:t>
      </w:r>
      <w:bookmarkEnd w:id="6"/>
      <w:proofErr w:type="gramEnd"/>
    </w:p>
    <w:p w14:paraId="1006FB1A" w14:textId="77777777" w:rsidR="00D736E5" w:rsidRPr="00D42B64" w:rsidRDefault="00D736E5" w:rsidP="00D736E5">
      <w:pPr>
        <w:divId w:val="1213691618"/>
        <w:rPr>
          <w:rFonts w:ascii="Arial" w:hAnsi="Arial" w:cs="Arial"/>
          <w:sz w:val="24"/>
          <w:szCs w:val="24"/>
        </w:rPr>
      </w:pPr>
      <w:r w:rsidRPr="00D42B64">
        <w:rPr>
          <w:rFonts w:ascii="Arial" w:hAnsi="Arial" w:cs="Arial"/>
          <w:sz w:val="24"/>
          <w:szCs w:val="24"/>
        </w:rPr>
        <w:t xml:space="preserve">The currently approved demonstration seeks to advance </w:t>
      </w:r>
      <w:r w:rsidR="00FF4B6D">
        <w:rPr>
          <w:rFonts w:ascii="Arial" w:hAnsi="Arial" w:cs="Arial"/>
          <w:sz w:val="24"/>
          <w:szCs w:val="24"/>
        </w:rPr>
        <w:t xml:space="preserve">seven </w:t>
      </w:r>
      <w:r w:rsidRPr="00D42B64">
        <w:rPr>
          <w:rFonts w:ascii="Arial" w:hAnsi="Arial" w:cs="Arial"/>
          <w:sz w:val="24"/>
          <w:szCs w:val="24"/>
        </w:rPr>
        <w:t>goals:</w:t>
      </w:r>
    </w:p>
    <w:p w14:paraId="76DBDFF8" w14:textId="77777777" w:rsidR="00D736E5" w:rsidRPr="00D42B64" w:rsidRDefault="00D736E5" w:rsidP="00D736E5">
      <w:pPr>
        <w:numPr>
          <w:ilvl w:val="0"/>
          <w:numId w:val="2"/>
        </w:numPr>
        <w:spacing w:after="120"/>
        <w:ind w:left="1080"/>
        <w:divId w:val="1213691618"/>
        <w:rPr>
          <w:rFonts w:ascii="Arial" w:hAnsi="Arial" w:cs="Arial"/>
          <w:sz w:val="24"/>
          <w:szCs w:val="24"/>
        </w:rPr>
      </w:pPr>
      <w:r w:rsidRPr="00D42B64">
        <w:rPr>
          <w:rFonts w:ascii="Arial" w:hAnsi="Arial" w:cs="Arial"/>
          <w:sz w:val="24"/>
          <w:szCs w:val="24"/>
        </w:rPr>
        <w:t xml:space="preserve">Goal 1: Enact payment and delivery system reforms that promote integrated, coordinated care; and hold providers accountable for the quality and total cost of </w:t>
      </w:r>
      <w:proofErr w:type="gramStart"/>
      <w:r w:rsidRPr="00D42B64">
        <w:rPr>
          <w:rFonts w:ascii="Arial" w:hAnsi="Arial" w:cs="Arial"/>
          <w:sz w:val="24"/>
          <w:szCs w:val="24"/>
        </w:rPr>
        <w:t>care</w:t>
      </w:r>
      <w:proofErr w:type="gramEnd"/>
    </w:p>
    <w:p w14:paraId="6C2C30E4" w14:textId="77777777" w:rsidR="00D736E5" w:rsidRPr="00D42B64" w:rsidRDefault="00D736E5" w:rsidP="00D736E5">
      <w:pPr>
        <w:numPr>
          <w:ilvl w:val="0"/>
          <w:numId w:val="12"/>
        </w:numPr>
        <w:spacing w:after="120"/>
        <w:ind w:left="1080"/>
        <w:divId w:val="1213691618"/>
        <w:rPr>
          <w:rFonts w:ascii="Arial" w:hAnsi="Arial" w:cs="Arial"/>
          <w:sz w:val="24"/>
          <w:szCs w:val="24"/>
        </w:rPr>
      </w:pPr>
      <w:r w:rsidRPr="00D42B64">
        <w:rPr>
          <w:rFonts w:ascii="Arial" w:hAnsi="Arial" w:cs="Arial"/>
          <w:sz w:val="24"/>
          <w:szCs w:val="24"/>
        </w:rPr>
        <w:t xml:space="preserve">Goal 2: Improve integration of physical, behavioral and long-term </w:t>
      </w:r>
      <w:proofErr w:type="gramStart"/>
      <w:r w:rsidRPr="00D42B64">
        <w:rPr>
          <w:rFonts w:ascii="Arial" w:hAnsi="Arial" w:cs="Arial"/>
          <w:sz w:val="24"/>
          <w:szCs w:val="24"/>
        </w:rPr>
        <w:t>services</w:t>
      </w:r>
      <w:proofErr w:type="gramEnd"/>
    </w:p>
    <w:p w14:paraId="765C8825" w14:textId="77777777" w:rsidR="00D736E5" w:rsidRPr="00D42B64" w:rsidRDefault="00D736E5" w:rsidP="00D736E5">
      <w:pPr>
        <w:numPr>
          <w:ilvl w:val="0"/>
          <w:numId w:val="12"/>
        </w:numPr>
        <w:spacing w:after="120"/>
        <w:ind w:left="1080"/>
        <w:divId w:val="1213691618"/>
        <w:rPr>
          <w:rFonts w:ascii="Arial" w:hAnsi="Arial" w:cs="Arial"/>
          <w:sz w:val="24"/>
          <w:szCs w:val="24"/>
        </w:rPr>
      </w:pPr>
      <w:r w:rsidRPr="00D42B64">
        <w:rPr>
          <w:rFonts w:ascii="Arial" w:hAnsi="Arial" w:cs="Arial"/>
          <w:sz w:val="24"/>
          <w:szCs w:val="24"/>
        </w:rPr>
        <w:t xml:space="preserve">Goal 3: Maintain near-universal </w:t>
      </w:r>
      <w:proofErr w:type="gramStart"/>
      <w:r w:rsidRPr="00D42B64">
        <w:rPr>
          <w:rFonts w:ascii="Arial" w:hAnsi="Arial" w:cs="Arial"/>
          <w:sz w:val="24"/>
          <w:szCs w:val="24"/>
        </w:rPr>
        <w:t>coverage</w:t>
      </w:r>
      <w:proofErr w:type="gramEnd"/>
    </w:p>
    <w:p w14:paraId="56DFF43E" w14:textId="77777777" w:rsidR="00D736E5" w:rsidRPr="00D42B64" w:rsidRDefault="00D736E5" w:rsidP="00D736E5">
      <w:pPr>
        <w:numPr>
          <w:ilvl w:val="0"/>
          <w:numId w:val="12"/>
        </w:numPr>
        <w:spacing w:after="120"/>
        <w:ind w:left="1080"/>
        <w:divId w:val="1213691618"/>
        <w:rPr>
          <w:rFonts w:ascii="Arial" w:hAnsi="Arial" w:cs="Arial"/>
          <w:sz w:val="24"/>
          <w:szCs w:val="24"/>
        </w:rPr>
      </w:pPr>
      <w:r w:rsidRPr="00D42B64">
        <w:rPr>
          <w:rFonts w:ascii="Arial" w:hAnsi="Arial" w:cs="Arial"/>
          <w:sz w:val="24"/>
          <w:szCs w:val="24"/>
        </w:rPr>
        <w:t xml:space="preserve">Goal 4: Sustainably support safety net providers to ensure continued access to care for Medicaid and low-income uninsured </w:t>
      </w:r>
      <w:proofErr w:type="gramStart"/>
      <w:r w:rsidRPr="00D42B64">
        <w:rPr>
          <w:rFonts w:ascii="Arial" w:hAnsi="Arial" w:cs="Arial"/>
          <w:sz w:val="24"/>
          <w:szCs w:val="24"/>
        </w:rPr>
        <w:t>individuals</w:t>
      </w:r>
      <w:proofErr w:type="gramEnd"/>
    </w:p>
    <w:p w14:paraId="68A9D1A7" w14:textId="77777777" w:rsidR="00D736E5" w:rsidRDefault="00D736E5" w:rsidP="00D736E5">
      <w:pPr>
        <w:numPr>
          <w:ilvl w:val="0"/>
          <w:numId w:val="12"/>
        </w:numPr>
        <w:spacing w:after="120"/>
        <w:ind w:left="1080"/>
        <w:divId w:val="1213691618"/>
        <w:rPr>
          <w:rFonts w:ascii="Arial" w:hAnsi="Arial" w:cs="Arial"/>
          <w:sz w:val="24"/>
          <w:szCs w:val="24"/>
        </w:rPr>
      </w:pPr>
      <w:r w:rsidRPr="00D42B64">
        <w:rPr>
          <w:rFonts w:ascii="Arial" w:hAnsi="Arial" w:cs="Arial"/>
          <w:sz w:val="24"/>
          <w:szCs w:val="24"/>
        </w:rPr>
        <w:t xml:space="preserve">Goal 5: Address the opioid addiction crisis by expanding access to a broad spectrum of recovery-oriented substance use disorder </w:t>
      </w:r>
      <w:proofErr w:type="gramStart"/>
      <w:r w:rsidRPr="00D42B64">
        <w:rPr>
          <w:rFonts w:ascii="Arial" w:hAnsi="Arial" w:cs="Arial"/>
          <w:sz w:val="24"/>
          <w:szCs w:val="24"/>
        </w:rPr>
        <w:t>services</w:t>
      </w:r>
      <w:proofErr w:type="gramEnd"/>
    </w:p>
    <w:p w14:paraId="55DCD96B" w14:textId="77777777" w:rsidR="00FF4B6D" w:rsidRPr="00FF4B6D" w:rsidRDefault="00FF4B6D" w:rsidP="00D736E5">
      <w:pPr>
        <w:numPr>
          <w:ilvl w:val="0"/>
          <w:numId w:val="12"/>
        </w:numPr>
        <w:spacing w:after="120"/>
        <w:ind w:left="1080"/>
        <w:divId w:val="1213691618"/>
        <w:rPr>
          <w:rFonts w:ascii="Arial" w:hAnsi="Arial" w:cs="Arial"/>
          <w:sz w:val="24"/>
          <w:szCs w:val="24"/>
        </w:rPr>
      </w:pPr>
      <w:r w:rsidRPr="00FF4B6D">
        <w:rPr>
          <w:rFonts w:ascii="Arial" w:hAnsi="Arial" w:cs="Arial"/>
          <w:sz w:val="24"/>
          <w:szCs w:val="24"/>
        </w:rPr>
        <w:t>Goal 6: Ensure access to Medicaid services for former foster care individuals aged</w:t>
      </w:r>
      <w:r>
        <w:rPr>
          <w:rFonts w:ascii="Arial" w:hAnsi="Arial" w:cs="Arial"/>
          <w:sz w:val="24"/>
          <w:szCs w:val="24"/>
        </w:rPr>
        <w:t xml:space="preserve"> </w:t>
      </w:r>
      <w:r w:rsidRPr="00FF4B6D">
        <w:rPr>
          <w:rFonts w:ascii="Arial" w:hAnsi="Arial" w:cs="Arial"/>
          <w:sz w:val="24"/>
          <w:szCs w:val="24"/>
        </w:rPr>
        <w:t>18 through 26 who previously resided in another state; and</w:t>
      </w:r>
    </w:p>
    <w:p w14:paraId="148DD157" w14:textId="77777777" w:rsidR="00FF4B6D" w:rsidRPr="00FF4B6D" w:rsidRDefault="00FF4B6D" w:rsidP="00D736E5">
      <w:pPr>
        <w:numPr>
          <w:ilvl w:val="0"/>
          <w:numId w:val="12"/>
        </w:numPr>
        <w:spacing w:after="120"/>
        <w:ind w:left="1080"/>
        <w:divId w:val="1213691618"/>
        <w:rPr>
          <w:rFonts w:ascii="Arial" w:hAnsi="Arial" w:cs="Arial"/>
          <w:sz w:val="24"/>
          <w:szCs w:val="24"/>
        </w:rPr>
      </w:pPr>
      <w:r w:rsidRPr="00FF4B6D">
        <w:rPr>
          <w:rFonts w:ascii="Arial" w:hAnsi="Arial" w:cs="Arial"/>
          <w:sz w:val="24"/>
          <w:szCs w:val="24"/>
        </w:rPr>
        <w:t>Goal 7: Ensure the long-term financial sustainability of the MassHealth program</w:t>
      </w:r>
      <w:r>
        <w:rPr>
          <w:rFonts w:ascii="Arial" w:hAnsi="Arial" w:cs="Arial"/>
          <w:sz w:val="24"/>
          <w:szCs w:val="24"/>
        </w:rPr>
        <w:t xml:space="preserve"> </w:t>
      </w:r>
      <w:r w:rsidRPr="00FF4B6D">
        <w:rPr>
          <w:rFonts w:ascii="Arial" w:hAnsi="Arial" w:cs="Arial"/>
          <w:sz w:val="24"/>
          <w:szCs w:val="24"/>
        </w:rPr>
        <w:t>through refinement of provisional eligibility and authorization for SHIP Premium Assistance.</w:t>
      </w:r>
    </w:p>
    <w:p w14:paraId="1FA4A690" w14:textId="77777777" w:rsidR="00FF4B6D" w:rsidRPr="00D42B64" w:rsidRDefault="00FF4B6D" w:rsidP="00FF4B6D">
      <w:pPr>
        <w:spacing w:after="120"/>
        <w:ind w:left="1080"/>
        <w:divId w:val="1213691618"/>
        <w:rPr>
          <w:rFonts w:ascii="Arial" w:hAnsi="Arial" w:cs="Arial"/>
          <w:sz w:val="24"/>
          <w:szCs w:val="24"/>
        </w:rPr>
      </w:pPr>
    </w:p>
    <w:p w14:paraId="0A969F62" w14:textId="77777777" w:rsidR="00D736E5" w:rsidRDefault="00D736E5" w:rsidP="00D736E5">
      <w:pPr>
        <w:divId w:val="1213691618"/>
        <w:rPr>
          <w:rFonts w:ascii="Arial" w:hAnsi="Arial" w:cs="Arial"/>
          <w:sz w:val="24"/>
          <w:szCs w:val="24"/>
        </w:rPr>
      </w:pPr>
      <w:r w:rsidRPr="00D42B64">
        <w:rPr>
          <w:rFonts w:ascii="Arial" w:hAnsi="Arial" w:cs="Arial"/>
          <w:sz w:val="24"/>
          <w:szCs w:val="24"/>
        </w:rPr>
        <w:t xml:space="preserve">The amendment’s impact on the current demonstration’s evaluation </w:t>
      </w:r>
      <w:r w:rsidR="00FB4F5C">
        <w:rPr>
          <w:rFonts w:ascii="Arial" w:hAnsi="Arial" w:cs="Arial"/>
          <w:sz w:val="24"/>
          <w:szCs w:val="24"/>
        </w:rPr>
        <w:t xml:space="preserve">will increase the number of goals to be evaluated and </w:t>
      </w:r>
      <w:r w:rsidRPr="00D42B64">
        <w:rPr>
          <w:rFonts w:ascii="Arial" w:hAnsi="Arial" w:cs="Arial"/>
          <w:sz w:val="24"/>
          <w:szCs w:val="24"/>
        </w:rPr>
        <w:t>is described below:</w:t>
      </w:r>
    </w:p>
    <w:p w14:paraId="4F6D2780" w14:textId="77777777" w:rsidR="00AB79A8" w:rsidRDefault="00D736E5" w:rsidP="00D736E5">
      <w:pPr>
        <w:divId w:val="1213691618"/>
        <w:rPr>
          <w:rFonts w:ascii="Arial" w:hAnsi="Arial" w:cs="Arial"/>
          <w:sz w:val="24"/>
          <w:szCs w:val="24"/>
        </w:rPr>
      </w:pPr>
      <w:r w:rsidRPr="00D42B64">
        <w:rPr>
          <w:rFonts w:ascii="Arial" w:hAnsi="Arial" w:cs="Arial"/>
          <w:sz w:val="24"/>
          <w:szCs w:val="24"/>
        </w:rPr>
        <w:t>Amendment request #1</w:t>
      </w:r>
      <w:r w:rsidR="00FB4F5C">
        <w:rPr>
          <w:rFonts w:ascii="Arial" w:hAnsi="Arial" w:cs="Arial"/>
          <w:sz w:val="24"/>
          <w:szCs w:val="24"/>
        </w:rPr>
        <w:t xml:space="preserve"> </w:t>
      </w:r>
      <w:r w:rsidRPr="00D42B64">
        <w:rPr>
          <w:rFonts w:ascii="Arial" w:hAnsi="Arial" w:cs="Arial"/>
          <w:sz w:val="24"/>
          <w:szCs w:val="24"/>
        </w:rPr>
        <w:t>seek</w:t>
      </w:r>
      <w:r w:rsidR="00A301A5">
        <w:rPr>
          <w:rFonts w:ascii="Arial" w:hAnsi="Arial" w:cs="Arial"/>
          <w:sz w:val="24"/>
          <w:szCs w:val="24"/>
        </w:rPr>
        <w:t>s</w:t>
      </w:r>
      <w:r w:rsidRPr="00D42B64">
        <w:rPr>
          <w:rFonts w:ascii="Arial" w:hAnsi="Arial" w:cs="Arial"/>
          <w:sz w:val="24"/>
          <w:szCs w:val="24"/>
        </w:rPr>
        <w:t xml:space="preserve"> to advance Goal #3, to maintain near-universal coverage and support Hypothesis </w:t>
      </w:r>
      <w:r w:rsidR="00AB79A8">
        <w:rPr>
          <w:rFonts w:ascii="Arial" w:hAnsi="Arial" w:cs="Arial"/>
          <w:sz w:val="24"/>
          <w:szCs w:val="24"/>
        </w:rPr>
        <w:t>H4</w:t>
      </w:r>
      <w:r w:rsidRPr="00D42B64">
        <w:rPr>
          <w:rFonts w:ascii="Arial" w:hAnsi="Arial" w:cs="Arial"/>
          <w:sz w:val="24"/>
          <w:szCs w:val="24"/>
        </w:rPr>
        <w:t>, which posits that “</w:t>
      </w:r>
      <w:r w:rsidR="00AB79A8">
        <w:rPr>
          <w:rFonts w:ascii="Arial" w:hAnsi="Arial" w:cs="Arial"/>
          <w:sz w:val="24"/>
          <w:szCs w:val="24"/>
        </w:rPr>
        <w:t>e</w:t>
      </w:r>
      <w:r w:rsidR="00AB79A8" w:rsidRPr="0022095F">
        <w:rPr>
          <w:rFonts w:ascii="Arial" w:hAnsi="Arial" w:cs="Arial"/>
          <w:sz w:val="24"/>
          <w:szCs w:val="24"/>
        </w:rPr>
        <w:t xml:space="preserve">nrollment in new and select ongoing programs funded with </w:t>
      </w:r>
      <w:r w:rsidR="00C7762A">
        <w:rPr>
          <w:rFonts w:ascii="Arial" w:hAnsi="Arial" w:cs="Arial"/>
          <w:sz w:val="24"/>
          <w:szCs w:val="24"/>
        </w:rPr>
        <w:t>d</w:t>
      </w:r>
      <w:r w:rsidR="00AB79A8" w:rsidRPr="0022095F">
        <w:rPr>
          <w:rFonts w:ascii="Arial" w:hAnsi="Arial" w:cs="Arial"/>
          <w:sz w:val="24"/>
          <w:szCs w:val="24"/>
        </w:rPr>
        <w:t>emonstration investments supports near-universal coverage in Massachusetts</w:t>
      </w:r>
      <w:r w:rsidR="00AB79A8">
        <w:rPr>
          <w:rFonts w:ascii="Arial" w:hAnsi="Arial" w:cs="Arial"/>
          <w:sz w:val="24"/>
          <w:szCs w:val="24"/>
        </w:rPr>
        <w:t>”.</w:t>
      </w:r>
    </w:p>
    <w:p w14:paraId="29913C7B" w14:textId="77777777" w:rsidR="00333618" w:rsidRPr="00AA0498" w:rsidRDefault="00AB79A8" w:rsidP="00AA0498">
      <w:pPr>
        <w:divId w:val="1213691618"/>
        <w:rPr>
          <w:rFonts w:ascii="Arial" w:hAnsi="Arial" w:cs="Arial"/>
          <w:sz w:val="24"/>
          <w:szCs w:val="24"/>
        </w:rPr>
      </w:pPr>
      <w:r>
        <w:rPr>
          <w:rFonts w:ascii="Arial" w:hAnsi="Arial" w:cs="Arial"/>
          <w:sz w:val="24"/>
          <w:szCs w:val="24"/>
        </w:rPr>
        <w:t xml:space="preserve">Providing MSP benefits to </w:t>
      </w:r>
      <w:r w:rsidR="00FB4F5C">
        <w:rPr>
          <w:rFonts w:ascii="Arial" w:hAnsi="Arial" w:cs="Arial"/>
          <w:sz w:val="24"/>
          <w:szCs w:val="24"/>
        </w:rPr>
        <w:t>additional individuals to comply with the expansion under state law</w:t>
      </w:r>
      <w:r>
        <w:rPr>
          <w:rFonts w:ascii="Arial" w:hAnsi="Arial" w:cs="Arial"/>
          <w:sz w:val="24"/>
          <w:szCs w:val="24"/>
        </w:rPr>
        <w:t xml:space="preserve"> </w:t>
      </w:r>
      <w:r w:rsidR="00D736E5" w:rsidRPr="00D42B64">
        <w:rPr>
          <w:rFonts w:ascii="Arial" w:hAnsi="Arial" w:cs="Arial"/>
          <w:sz w:val="24"/>
          <w:szCs w:val="24"/>
        </w:rPr>
        <w:t>support</w:t>
      </w:r>
      <w:r>
        <w:rPr>
          <w:rFonts w:ascii="Arial" w:hAnsi="Arial" w:cs="Arial"/>
          <w:sz w:val="24"/>
          <w:szCs w:val="24"/>
        </w:rPr>
        <w:t>s</w:t>
      </w:r>
      <w:r w:rsidR="00D736E5" w:rsidRPr="00D42B64">
        <w:rPr>
          <w:rFonts w:ascii="Arial" w:hAnsi="Arial" w:cs="Arial"/>
          <w:sz w:val="24"/>
          <w:szCs w:val="24"/>
        </w:rPr>
        <w:t xml:space="preserve"> the state’s goal of maintaining near-universal coverage</w:t>
      </w:r>
      <w:r>
        <w:rPr>
          <w:rFonts w:ascii="Arial" w:hAnsi="Arial" w:cs="Arial"/>
          <w:sz w:val="24"/>
          <w:szCs w:val="24"/>
        </w:rPr>
        <w:t xml:space="preserve">. The </w:t>
      </w:r>
      <w:r w:rsidR="00FB4F5C">
        <w:rPr>
          <w:rFonts w:ascii="Arial" w:hAnsi="Arial" w:cs="Arial"/>
          <w:sz w:val="24"/>
          <w:szCs w:val="24"/>
        </w:rPr>
        <w:t>MSP</w:t>
      </w:r>
      <w:r>
        <w:rPr>
          <w:rFonts w:ascii="Arial" w:hAnsi="Arial" w:cs="Arial"/>
          <w:sz w:val="24"/>
          <w:szCs w:val="24"/>
        </w:rPr>
        <w:t xml:space="preserve"> amendment would also </w:t>
      </w:r>
      <w:r w:rsidR="00D736E5" w:rsidRPr="00D42B64">
        <w:rPr>
          <w:rFonts w:ascii="Arial" w:hAnsi="Arial" w:cs="Arial"/>
          <w:sz w:val="24"/>
          <w:szCs w:val="24"/>
        </w:rPr>
        <w:t>help</w:t>
      </w:r>
      <w:r>
        <w:rPr>
          <w:rFonts w:ascii="Arial" w:hAnsi="Arial" w:cs="Arial"/>
          <w:sz w:val="24"/>
          <w:szCs w:val="24"/>
        </w:rPr>
        <w:t xml:space="preserve"> </w:t>
      </w:r>
      <w:r w:rsidR="00D736E5" w:rsidRPr="00D42B64">
        <w:rPr>
          <w:rFonts w:ascii="Arial" w:hAnsi="Arial" w:cs="Arial"/>
          <w:sz w:val="24"/>
          <w:szCs w:val="24"/>
        </w:rPr>
        <w:t>to ensure the long-term financial sustainability of the state’s health coverage programs</w:t>
      </w:r>
      <w:r>
        <w:rPr>
          <w:rFonts w:ascii="Arial" w:hAnsi="Arial" w:cs="Arial"/>
          <w:sz w:val="24"/>
          <w:szCs w:val="24"/>
        </w:rPr>
        <w:t xml:space="preserve"> by requiring enrollment in Medicare as the Medicare coverage would no longer come at a cost to the member.</w:t>
      </w:r>
      <w:r>
        <w:rPr>
          <w:rFonts w:ascii="Arial" w:hAnsi="Arial" w:cs="Arial"/>
          <w:sz w:val="24"/>
          <w:szCs w:val="24"/>
        </w:rPr>
        <w:br/>
      </w:r>
      <w:r w:rsidR="00AA0498">
        <w:rPr>
          <w:rFonts w:ascii="Arial" w:hAnsi="Arial" w:cs="Arial"/>
          <w:sz w:val="24"/>
          <w:szCs w:val="24"/>
        </w:rPr>
        <w:br/>
      </w:r>
      <w:r w:rsidR="00333618" w:rsidRPr="00AA0498">
        <w:rPr>
          <w:rFonts w:ascii="Arial" w:hAnsi="Arial" w:cs="Arial"/>
          <w:sz w:val="24"/>
          <w:szCs w:val="24"/>
        </w:rPr>
        <w:t xml:space="preserve">Amendment </w:t>
      </w:r>
      <w:r w:rsidR="00AA0498">
        <w:rPr>
          <w:rFonts w:ascii="Arial" w:hAnsi="Arial" w:cs="Arial"/>
          <w:sz w:val="24"/>
          <w:szCs w:val="24"/>
        </w:rPr>
        <w:t xml:space="preserve">request </w:t>
      </w:r>
      <w:r w:rsidR="00333618" w:rsidRPr="00AA0498">
        <w:rPr>
          <w:rFonts w:ascii="Arial" w:hAnsi="Arial" w:cs="Arial"/>
          <w:sz w:val="24"/>
          <w:szCs w:val="24"/>
        </w:rPr>
        <w:t>#</w:t>
      </w:r>
      <w:r w:rsidR="00AA0498">
        <w:rPr>
          <w:rFonts w:ascii="Arial" w:hAnsi="Arial" w:cs="Arial"/>
          <w:sz w:val="24"/>
          <w:szCs w:val="24"/>
        </w:rPr>
        <w:t>2</w:t>
      </w:r>
      <w:r w:rsidR="00333618" w:rsidRPr="00AA0498">
        <w:rPr>
          <w:rFonts w:ascii="Arial" w:hAnsi="Arial" w:cs="Arial"/>
          <w:sz w:val="24"/>
          <w:szCs w:val="24"/>
        </w:rPr>
        <w:t xml:space="preserve"> seeks to advance Goal # 3, to maintain near-universal coverage. This amendment would increase Medicaid members’ access to needed </w:t>
      </w:r>
      <w:r w:rsidR="00333618" w:rsidRPr="00AA0498">
        <w:rPr>
          <w:rFonts w:ascii="Arial" w:hAnsi="Arial" w:cs="Arial"/>
          <w:sz w:val="24"/>
          <w:szCs w:val="24"/>
        </w:rPr>
        <w:lastRenderedPageBreak/>
        <w:t>services and improve continuity of care through continuous, comprehensive Medicaid coverage</w:t>
      </w:r>
      <w:r w:rsidR="007A2D44">
        <w:rPr>
          <w:rFonts w:ascii="Arial" w:hAnsi="Arial" w:cs="Arial"/>
          <w:sz w:val="24"/>
          <w:szCs w:val="24"/>
        </w:rPr>
        <w:t xml:space="preserve"> in the postpartum period</w:t>
      </w:r>
      <w:r w:rsidR="00333618" w:rsidRPr="00AA0498">
        <w:rPr>
          <w:rFonts w:ascii="Arial" w:hAnsi="Arial" w:cs="Arial"/>
          <w:sz w:val="24"/>
          <w:szCs w:val="24"/>
        </w:rPr>
        <w:t>.</w:t>
      </w:r>
    </w:p>
    <w:p w14:paraId="43CA1280" w14:textId="77777777" w:rsidR="00FB4F5C" w:rsidRDefault="00FB4F5C" w:rsidP="00FB4F5C">
      <w:pPr>
        <w:divId w:val="1213691618"/>
        <w:rPr>
          <w:rFonts w:ascii="Arial" w:hAnsi="Arial" w:cs="Arial"/>
          <w:sz w:val="24"/>
          <w:szCs w:val="24"/>
        </w:rPr>
      </w:pPr>
      <w:r w:rsidRPr="00D42B64">
        <w:rPr>
          <w:rFonts w:ascii="Arial" w:hAnsi="Arial" w:cs="Arial"/>
          <w:sz w:val="24"/>
          <w:szCs w:val="24"/>
        </w:rPr>
        <w:t>Amendment request</w:t>
      </w:r>
      <w:r>
        <w:rPr>
          <w:rFonts w:ascii="Arial" w:hAnsi="Arial" w:cs="Arial"/>
          <w:sz w:val="24"/>
          <w:szCs w:val="24"/>
        </w:rPr>
        <w:t xml:space="preserve"> #</w:t>
      </w:r>
      <w:r w:rsidR="00AA0498">
        <w:rPr>
          <w:rFonts w:ascii="Arial" w:hAnsi="Arial" w:cs="Arial"/>
          <w:sz w:val="24"/>
          <w:szCs w:val="24"/>
        </w:rPr>
        <w:t>3</w:t>
      </w:r>
      <w:r w:rsidRPr="00D42B64">
        <w:rPr>
          <w:rFonts w:ascii="Arial" w:hAnsi="Arial" w:cs="Arial"/>
          <w:sz w:val="24"/>
          <w:szCs w:val="24"/>
        </w:rPr>
        <w:t xml:space="preserve"> </w:t>
      </w:r>
      <w:r>
        <w:rPr>
          <w:rFonts w:ascii="Arial" w:hAnsi="Arial" w:cs="Arial"/>
          <w:sz w:val="24"/>
          <w:szCs w:val="24"/>
        </w:rPr>
        <w:t>would</w:t>
      </w:r>
      <w:r w:rsidRPr="00D42B64">
        <w:rPr>
          <w:rFonts w:ascii="Arial" w:hAnsi="Arial" w:cs="Arial"/>
          <w:sz w:val="24"/>
          <w:szCs w:val="24"/>
        </w:rPr>
        <w:t xml:space="preserve"> </w:t>
      </w:r>
      <w:r>
        <w:rPr>
          <w:rFonts w:ascii="Arial" w:hAnsi="Arial" w:cs="Arial"/>
          <w:sz w:val="24"/>
          <w:szCs w:val="24"/>
        </w:rPr>
        <w:t xml:space="preserve">create a new evaluation goal “Goal 8: </w:t>
      </w:r>
      <w:r w:rsidR="001232C0">
        <w:rPr>
          <w:rFonts w:ascii="Arial" w:hAnsi="Arial" w:cs="Arial"/>
          <w:sz w:val="24"/>
          <w:szCs w:val="24"/>
        </w:rPr>
        <w:t>Enhance</w:t>
      </w:r>
      <w:r>
        <w:rPr>
          <w:rFonts w:ascii="Arial" w:hAnsi="Arial" w:cs="Arial"/>
          <w:sz w:val="24"/>
          <w:szCs w:val="24"/>
        </w:rPr>
        <w:t xml:space="preserve"> services for </w:t>
      </w:r>
      <w:r w:rsidRPr="00E23B79">
        <w:rPr>
          <w:rFonts w:ascii="Arial" w:hAnsi="Arial" w:cs="Arial"/>
          <w:sz w:val="24"/>
          <w:szCs w:val="24"/>
        </w:rPr>
        <w:t>Individuals with Justice Involvement Living in the Community</w:t>
      </w:r>
      <w:r>
        <w:rPr>
          <w:rFonts w:ascii="Arial" w:hAnsi="Arial" w:cs="Arial"/>
          <w:sz w:val="24"/>
          <w:szCs w:val="24"/>
        </w:rPr>
        <w:t xml:space="preserve">”. The amendment </w:t>
      </w:r>
      <w:r w:rsidR="004A0680">
        <w:rPr>
          <w:rFonts w:ascii="Arial" w:hAnsi="Arial" w:cs="Arial"/>
          <w:sz w:val="24"/>
          <w:szCs w:val="24"/>
        </w:rPr>
        <w:t xml:space="preserve">enhances </w:t>
      </w:r>
      <w:r>
        <w:rPr>
          <w:rFonts w:ascii="Arial" w:hAnsi="Arial" w:cs="Arial"/>
          <w:sz w:val="24"/>
          <w:szCs w:val="24"/>
        </w:rPr>
        <w:t xml:space="preserve">community supports to help these individuals transition back to </w:t>
      </w:r>
      <w:r w:rsidR="00824A6D">
        <w:rPr>
          <w:rFonts w:ascii="Arial" w:hAnsi="Arial" w:cs="Arial"/>
          <w:sz w:val="24"/>
          <w:szCs w:val="24"/>
        </w:rPr>
        <w:t xml:space="preserve">the </w:t>
      </w:r>
      <w:r>
        <w:rPr>
          <w:rFonts w:ascii="Arial" w:hAnsi="Arial" w:cs="Arial"/>
          <w:sz w:val="24"/>
          <w:szCs w:val="24"/>
        </w:rPr>
        <w:t xml:space="preserve">community and </w:t>
      </w:r>
      <w:r w:rsidR="004C789E">
        <w:rPr>
          <w:rFonts w:ascii="Arial" w:hAnsi="Arial" w:cs="Arial"/>
          <w:sz w:val="24"/>
          <w:szCs w:val="24"/>
        </w:rPr>
        <w:t xml:space="preserve">promotes </w:t>
      </w:r>
      <w:r>
        <w:rPr>
          <w:rFonts w:ascii="Arial" w:hAnsi="Arial" w:cs="Arial"/>
          <w:sz w:val="24"/>
          <w:szCs w:val="24"/>
        </w:rPr>
        <w:t xml:space="preserve">successful community tenures. The outcomes of this amendment are beyond what is covered under Goal 3. The hypotheses to be tested through the evaluation will examine expanded access to health care services and social determinants, lengthened community tenure, and improved health outcomes for justice involved population. </w:t>
      </w:r>
    </w:p>
    <w:p w14:paraId="3A348DD8" w14:textId="77777777" w:rsidR="00FB4F5C" w:rsidRPr="00FF4B6D" w:rsidRDefault="00FB4F5C" w:rsidP="00FB4F5C">
      <w:pPr>
        <w:divId w:val="1213691618"/>
        <w:rPr>
          <w:rFonts w:ascii="Arial" w:hAnsi="Arial" w:cs="Arial"/>
          <w:sz w:val="24"/>
          <w:szCs w:val="24"/>
        </w:rPr>
      </w:pPr>
      <w:r w:rsidRPr="00D42B64">
        <w:rPr>
          <w:rFonts w:ascii="Arial" w:hAnsi="Arial" w:cs="Arial"/>
          <w:sz w:val="24"/>
          <w:szCs w:val="24"/>
        </w:rPr>
        <w:t>Amendment request</w:t>
      </w:r>
      <w:r>
        <w:rPr>
          <w:rFonts w:ascii="Arial" w:hAnsi="Arial" w:cs="Arial"/>
          <w:sz w:val="24"/>
          <w:szCs w:val="24"/>
        </w:rPr>
        <w:t>s</w:t>
      </w:r>
      <w:r w:rsidRPr="00D42B64">
        <w:rPr>
          <w:rFonts w:ascii="Arial" w:hAnsi="Arial" w:cs="Arial"/>
          <w:sz w:val="24"/>
          <w:szCs w:val="24"/>
        </w:rPr>
        <w:t xml:space="preserve"> #</w:t>
      </w:r>
      <w:r w:rsidR="00AA0498">
        <w:rPr>
          <w:rFonts w:ascii="Arial" w:hAnsi="Arial" w:cs="Arial"/>
          <w:sz w:val="24"/>
          <w:szCs w:val="24"/>
        </w:rPr>
        <w:t>4</w:t>
      </w:r>
      <w:r>
        <w:rPr>
          <w:rFonts w:ascii="Arial" w:hAnsi="Arial" w:cs="Arial"/>
          <w:sz w:val="24"/>
          <w:szCs w:val="24"/>
        </w:rPr>
        <w:t xml:space="preserve"> and #</w:t>
      </w:r>
      <w:r w:rsidR="00AA0498">
        <w:rPr>
          <w:rFonts w:ascii="Arial" w:hAnsi="Arial" w:cs="Arial"/>
          <w:sz w:val="24"/>
          <w:szCs w:val="24"/>
        </w:rPr>
        <w:t>5</w:t>
      </w:r>
      <w:r>
        <w:rPr>
          <w:rFonts w:ascii="Arial" w:hAnsi="Arial" w:cs="Arial"/>
          <w:sz w:val="24"/>
          <w:szCs w:val="24"/>
        </w:rPr>
        <w:t xml:space="preserve"> will be evaluated under a new goal “Goal 9: Expand payment of services delivered in non-traditional places of services”.  Both amendments allow Medicaid to pay for services in non-traditional settings, although amendment request #4 applies to behavioral health services and amendment request #5 applies to acute hospital care. The common hypotheses to be evaluated relate to Medicaid members’ increased access to needed services (especially among subpopulations who were known to have </w:t>
      </w:r>
      <w:r w:rsidR="00B338C6">
        <w:rPr>
          <w:rFonts w:ascii="Arial" w:hAnsi="Arial" w:cs="Arial"/>
          <w:sz w:val="24"/>
          <w:szCs w:val="24"/>
        </w:rPr>
        <w:t>underutilization of</w:t>
      </w:r>
      <w:r>
        <w:rPr>
          <w:rFonts w:ascii="Arial" w:hAnsi="Arial" w:cs="Arial"/>
          <w:sz w:val="24"/>
          <w:szCs w:val="24"/>
        </w:rPr>
        <w:t xml:space="preserve"> services in traditional settings), increased member satisfaction, and improved health outcomes due to easier access to services. Successes of and barriers to delivering services outside traditional settings will also be evaluated through interviews/surveys with providers, the findings of which will help assess whether the impact of payment flexibility is obscured by operational challenges or barriers. </w:t>
      </w:r>
    </w:p>
    <w:p w14:paraId="0D326D0A" w14:textId="77777777" w:rsidR="00D736E5" w:rsidRPr="00C74C2E" w:rsidRDefault="00AB79A8" w:rsidP="00C74C2E">
      <w:pPr>
        <w:divId w:val="1213691618"/>
        <w:rPr>
          <w:rFonts w:ascii="Arial" w:hAnsi="Arial" w:cs="Arial"/>
          <w:b/>
          <w:bCs/>
          <w:sz w:val="24"/>
          <w:szCs w:val="24"/>
          <w:u w:val="single"/>
        </w:rPr>
      </w:pPr>
      <w:r>
        <w:rPr>
          <w:rFonts w:ascii="Arial" w:hAnsi="Arial" w:cs="Arial"/>
          <w:sz w:val="24"/>
          <w:szCs w:val="24"/>
        </w:rPr>
        <w:br/>
      </w:r>
      <w:bookmarkStart w:id="7" w:name="_Toc492641288"/>
      <w:r w:rsidR="00D736E5" w:rsidRPr="00C74C2E">
        <w:rPr>
          <w:rFonts w:ascii="Arial" w:hAnsi="Arial" w:cs="Arial"/>
          <w:b/>
          <w:bCs/>
          <w:sz w:val="24"/>
          <w:szCs w:val="24"/>
          <w:u w:val="single"/>
        </w:rPr>
        <w:t>Public Process</w:t>
      </w:r>
      <w:bookmarkEnd w:id="7"/>
      <w:r w:rsidR="00055AAB" w:rsidRPr="00C74C2E">
        <w:rPr>
          <w:rFonts w:ascii="Arial" w:hAnsi="Arial" w:cs="Arial"/>
          <w:b/>
          <w:bCs/>
          <w:sz w:val="24"/>
          <w:szCs w:val="24"/>
          <w:u w:val="single"/>
        </w:rPr>
        <w:t xml:space="preserve"> </w:t>
      </w:r>
    </w:p>
    <w:p w14:paraId="628DDCBE" w14:textId="77777777" w:rsidR="00D736E5" w:rsidRPr="00D42B64" w:rsidRDefault="00D736E5" w:rsidP="00D736E5">
      <w:pPr>
        <w:divId w:val="1213691618"/>
        <w:rPr>
          <w:rFonts w:ascii="Arial" w:hAnsi="Arial" w:cs="Arial"/>
          <w:sz w:val="24"/>
          <w:szCs w:val="24"/>
        </w:rPr>
      </w:pPr>
      <w:r w:rsidRPr="00D42B64">
        <w:rPr>
          <w:rFonts w:ascii="Arial" w:hAnsi="Arial" w:cs="Arial"/>
          <w:sz w:val="24"/>
          <w:szCs w:val="24"/>
        </w:rPr>
        <w:t xml:space="preserve">The public process for submitting this amendment conforms with the requirements of STC 15, including State Notice Procedures in 59 Fed. Reg. 49249 (September 27, 1994), the tribal consultation requirements pursuant to section 1902(a)(73) of the Act as amended by section 5006(e) of the American Recovery and Reinvestment Act of 2009, and the tribal consultation requirements as outlined in the Commonwealth’s approved State Plan. In addition, the Commonwealth has implemented certain of the transparency and public notice requirements outlined in 42 CFR § 431.408, although the regulations are not specifically applicable to </w:t>
      </w:r>
      <w:r w:rsidR="00C7762A">
        <w:rPr>
          <w:rFonts w:ascii="Arial" w:hAnsi="Arial" w:cs="Arial"/>
          <w:sz w:val="24"/>
          <w:szCs w:val="24"/>
        </w:rPr>
        <w:t>d</w:t>
      </w:r>
      <w:r w:rsidRPr="00D42B64">
        <w:rPr>
          <w:rFonts w:ascii="Arial" w:hAnsi="Arial" w:cs="Arial"/>
          <w:sz w:val="24"/>
          <w:szCs w:val="24"/>
        </w:rPr>
        <w:t xml:space="preserve">emonstration </w:t>
      </w:r>
      <w:r w:rsidR="00C7762A">
        <w:rPr>
          <w:rFonts w:ascii="Arial" w:hAnsi="Arial" w:cs="Arial"/>
          <w:sz w:val="24"/>
          <w:szCs w:val="24"/>
        </w:rPr>
        <w:t>a</w:t>
      </w:r>
      <w:r w:rsidRPr="00D42B64">
        <w:rPr>
          <w:rFonts w:ascii="Arial" w:hAnsi="Arial" w:cs="Arial"/>
          <w:sz w:val="24"/>
          <w:szCs w:val="24"/>
        </w:rPr>
        <w:t>mendments. The Commonwealth is committed to engaging stakeholders and providing meaningful opportunities for input as policies are developed and implemented.</w:t>
      </w:r>
    </w:p>
    <w:p w14:paraId="2A238F9C" w14:textId="77777777" w:rsidR="00CA6A0E" w:rsidRDefault="00CA6A0E" w:rsidP="00D736E5">
      <w:pPr>
        <w:divId w:val="1213691618"/>
        <w:rPr>
          <w:rFonts w:ascii="Arial" w:hAnsi="Arial" w:cs="Arial"/>
          <w:sz w:val="24"/>
          <w:szCs w:val="24"/>
          <w:u w:val="single"/>
        </w:rPr>
      </w:pPr>
    </w:p>
    <w:p w14:paraId="5A73052A" w14:textId="77777777" w:rsidR="00CA6A0E" w:rsidRDefault="00CA6A0E" w:rsidP="00D736E5">
      <w:pPr>
        <w:divId w:val="1213691618"/>
        <w:rPr>
          <w:rFonts w:ascii="Arial" w:hAnsi="Arial" w:cs="Arial"/>
          <w:sz w:val="24"/>
          <w:szCs w:val="24"/>
          <w:u w:val="single"/>
        </w:rPr>
      </w:pPr>
    </w:p>
    <w:p w14:paraId="73F89DF0" w14:textId="77777777" w:rsidR="00CA6A0E" w:rsidRDefault="00CA6A0E" w:rsidP="00D736E5">
      <w:pPr>
        <w:divId w:val="1213691618"/>
        <w:rPr>
          <w:rFonts w:ascii="Arial" w:hAnsi="Arial" w:cs="Arial"/>
          <w:sz w:val="24"/>
          <w:szCs w:val="24"/>
          <w:u w:val="single"/>
        </w:rPr>
      </w:pPr>
    </w:p>
    <w:p w14:paraId="7DCE4C85" w14:textId="77777777" w:rsidR="00CA6A0E" w:rsidRDefault="00CA6A0E" w:rsidP="00D736E5">
      <w:pPr>
        <w:divId w:val="1213691618"/>
        <w:rPr>
          <w:rFonts w:ascii="Arial" w:hAnsi="Arial" w:cs="Arial"/>
          <w:sz w:val="24"/>
          <w:szCs w:val="24"/>
          <w:u w:val="single"/>
        </w:rPr>
      </w:pPr>
    </w:p>
    <w:p w14:paraId="775A4321" w14:textId="23D0014A" w:rsidR="00D736E5" w:rsidRPr="00D42B64" w:rsidRDefault="00D736E5" w:rsidP="00D736E5">
      <w:pPr>
        <w:divId w:val="1213691618"/>
        <w:rPr>
          <w:rFonts w:ascii="Arial" w:hAnsi="Arial" w:cs="Arial"/>
          <w:sz w:val="24"/>
          <w:szCs w:val="24"/>
          <w:u w:val="single"/>
        </w:rPr>
      </w:pPr>
      <w:r w:rsidRPr="00D42B64">
        <w:rPr>
          <w:rFonts w:ascii="Arial" w:hAnsi="Arial" w:cs="Arial"/>
          <w:sz w:val="24"/>
          <w:szCs w:val="24"/>
          <w:u w:val="single"/>
        </w:rPr>
        <w:t>Public Notice</w:t>
      </w:r>
    </w:p>
    <w:p w14:paraId="5CCE4E96" w14:textId="77777777" w:rsidR="00D736E5" w:rsidRPr="00D42B64" w:rsidRDefault="00D736E5" w:rsidP="00D736E5">
      <w:pPr>
        <w:divId w:val="1213691618"/>
        <w:rPr>
          <w:rFonts w:ascii="Arial" w:hAnsi="Arial" w:cs="Arial"/>
          <w:sz w:val="24"/>
          <w:szCs w:val="24"/>
        </w:rPr>
      </w:pPr>
      <w:r w:rsidRPr="00D42B64">
        <w:rPr>
          <w:rFonts w:ascii="Arial" w:hAnsi="Arial" w:cs="Arial"/>
          <w:sz w:val="24"/>
          <w:szCs w:val="24"/>
        </w:rPr>
        <w:t xml:space="preserve">The Commonwealth released the </w:t>
      </w:r>
      <w:r w:rsidR="001D65C7">
        <w:rPr>
          <w:rFonts w:ascii="Arial" w:hAnsi="Arial" w:cs="Arial"/>
          <w:sz w:val="24"/>
          <w:szCs w:val="24"/>
        </w:rPr>
        <w:t>a</w:t>
      </w:r>
      <w:r w:rsidRPr="00D42B64">
        <w:rPr>
          <w:rFonts w:ascii="Arial" w:hAnsi="Arial" w:cs="Arial"/>
          <w:sz w:val="24"/>
          <w:szCs w:val="24"/>
        </w:rPr>
        <w:t xml:space="preserve">mendment for public comment starting on </w:t>
      </w:r>
      <w:r w:rsidR="00A37CB0" w:rsidRPr="00A37CB0">
        <w:rPr>
          <w:rFonts w:ascii="Arial" w:hAnsi="Arial" w:cs="Arial"/>
          <w:sz w:val="24"/>
          <w:szCs w:val="24"/>
        </w:rPr>
        <w:t xml:space="preserve">March </w:t>
      </w:r>
      <w:r w:rsidR="00B4520E">
        <w:rPr>
          <w:rFonts w:ascii="Arial" w:hAnsi="Arial" w:cs="Arial"/>
          <w:sz w:val="24"/>
          <w:szCs w:val="24"/>
        </w:rPr>
        <w:t>23</w:t>
      </w:r>
      <w:r w:rsidR="00FF4B6D" w:rsidRPr="00A37CB0">
        <w:rPr>
          <w:rFonts w:ascii="Arial" w:hAnsi="Arial" w:cs="Arial"/>
          <w:sz w:val="24"/>
          <w:szCs w:val="24"/>
        </w:rPr>
        <w:t>, 20</w:t>
      </w:r>
      <w:r w:rsidR="00E4169D" w:rsidRPr="00A37CB0">
        <w:rPr>
          <w:rFonts w:ascii="Arial" w:hAnsi="Arial" w:cs="Arial"/>
          <w:sz w:val="24"/>
          <w:szCs w:val="24"/>
        </w:rPr>
        <w:t>21</w:t>
      </w:r>
      <w:r w:rsidR="00E9239D">
        <w:rPr>
          <w:rFonts w:ascii="Arial" w:hAnsi="Arial" w:cs="Arial"/>
          <w:sz w:val="24"/>
          <w:szCs w:val="24"/>
        </w:rPr>
        <w:t xml:space="preserve">. </w:t>
      </w:r>
      <w:r w:rsidRPr="00A37CB0">
        <w:rPr>
          <w:rFonts w:ascii="Arial" w:hAnsi="Arial" w:cs="Arial"/>
          <w:sz w:val="24"/>
          <w:szCs w:val="24"/>
        </w:rPr>
        <w:t xml:space="preserve"> </w:t>
      </w:r>
      <w:r w:rsidR="00AA0498">
        <w:rPr>
          <w:rFonts w:ascii="Arial" w:hAnsi="Arial" w:cs="Arial"/>
          <w:sz w:val="24"/>
          <w:szCs w:val="24"/>
        </w:rPr>
        <w:t xml:space="preserve">The public notice, </w:t>
      </w:r>
      <w:r w:rsidRPr="00D42B64">
        <w:rPr>
          <w:rFonts w:ascii="Arial" w:hAnsi="Arial" w:cs="Arial"/>
          <w:sz w:val="24"/>
          <w:szCs w:val="24"/>
        </w:rPr>
        <w:t xml:space="preserve">the </w:t>
      </w:r>
      <w:r w:rsidR="00E9239D">
        <w:rPr>
          <w:rFonts w:ascii="Arial" w:hAnsi="Arial" w:cs="Arial"/>
          <w:sz w:val="24"/>
          <w:szCs w:val="24"/>
        </w:rPr>
        <w:t>A</w:t>
      </w:r>
      <w:r w:rsidRPr="00D42B64">
        <w:rPr>
          <w:rFonts w:ascii="Arial" w:hAnsi="Arial" w:cs="Arial"/>
          <w:sz w:val="24"/>
          <w:szCs w:val="24"/>
        </w:rPr>
        <w:t>mendment</w:t>
      </w:r>
      <w:r w:rsidR="00E9239D">
        <w:rPr>
          <w:rFonts w:ascii="Arial" w:hAnsi="Arial" w:cs="Arial"/>
          <w:sz w:val="24"/>
          <w:szCs w:val="24"/>
        </w:rPr>
        <w:t xml:space="preserve"> Request</w:t>
      </w:r>
      <w:r w:rsidRPr="00D42B64">
        <w:rPr>
          <w:rFonts w:ascii="Arial" w:hAnsi="Arial" w:cs="Arial"/>
          <w:sz w:val="24"/>
          <w:szCs w:val="24"/>
        </w:rPr>
        <w:t xml:space="preserve">, which included the Budget Neutrality Impact section, and a Summary of the Amendment (including the instructions for submitting comments) </w:t>
      </w:r>
      <w:r w:rsidR="00E9239D">
        <w:rPr>
          <w:rFonts w:ascii="Arial" w:hAnsi="Arial" w:cs="Arial"/>
          <w:sz w:val="24"/>
          <w:szCs w:val="24"/>
        </w:rPr>
        <w:t>were</w:t>
      </w:r>
      <w:r w:rsidR="00AA0498">
        <w:rPr>
          <w:rFonts w:ascii="Arial" w:hAnsi="Arial" w:cs="Arial"/>
          <w:sz w:val="24"/>
          <w:szCs w:val="24"/>
        </w:rPr>
        <w:t xml:space="preserve"> </w:t>
      </w:r>
      <w:r w:rsidR="002104CD">
        <w:rPr>
          <w:rFonts w:ascii="Arial" w:hAnsi="Arial" w:cs="Arial"/>
          <w:sz w:val="24"/>
          <w:szCs w:val="24"/>
        </w:rPr>
        <w:t>posted</w:t>
      </w:r>
      <w:r w:rsidR="00AA0498">
        <w:rPr>
          <w:rFonts w:ascii="Arial" w:hAnsi="Arial" w:cs="Arial"/>
          <w:sz w:val="24"/>
          <w:szCs w:val="24"/>
        </w:rPr>
        <w:t xml:space="preserve"> </w:t>
      </w:r>
      <w:r w:rsidRPr="00D42B64">
        <w:rPr>
          <w:rFonts w:ascii="Arial" w:hAnsi="Arial" w:cs="Arial"/>
          <w:sz w:val="24"/>
          <w:szCs w:val="24"/>
        </w:rPr>
        <w:t>on the MassHealth website (</w:t>
      </w:r>
      <w:hyperlink r:id="rId9" w:tgtFrame="_blank" w:history="1">
        <w:r w:rsidR="00B4520E" w:rsidRPr="00B4520E">
          <w:rPr>
            <w:rStyle w:val="Hyperlink"/>
            <w:rFonts w:ascii="Arial" w:hAnsi="Arial" w:cs="Arial"/>
            <w:sz w:val="24"/>
            <w:szCs w:val="24"/>
          </w:rPr>
          <w:t>https://www.mass.gov/service-details/amendment-of-1115-masshealth-demonstration-waiver-march-2021</w:t>
        </w:r>
      </w:hyperlink>
      <w:r w:rsidR="00B4520E" w:rsidRPr="00B4520E">
        <w:rPr>
          <w:rFonts w:ascii="Arial" w:hAnsi="Arial" w:cs="Arial"/>
          <w:sz w:val="24"/>
          <w:szCs w:val="24"/>
        </w:rPr>
        <w:t>​</w:t>
      </w:r>
      <w:hyperlink r:id="rId10" w:history="1">
        <w:r w:rsidR="00B4520E" w:rsidRPr="00B4520E">
          <w:rPr>
            <w:rStyle w:val="Hyperlink"/>
            <w:rFonts w:ascii="Arial" w:hAnsi="Arial" w:cs="Arial"/>
            <w:sz w:val="24"/>
            <w:szCs w:val="24"/>
          </w:rPr>
          <w:t>)</w:t>
        </w:r>
      </w:hyperlink>
      <w:r w:rsidR="00E9239D">
        <w:rPr>
          <w:rFonts w:ascii="Arial" w:hAnsi="Arial" w:cs="Arial"/>
          <w:spacing w:val="-2"/>
          <w:sz w:val="24"/>
          <w:szCs w:val="24"/>
          <w:u w:val="single"/>
        </w:rPr>
        <w:t>,</w:t>
      </w:r>
      <w:r w:rsidR="00E9239D" w:rsidRPr="00C67605">
        <w:rPr>
          <w:rFonts w:ascii="Arial" w:hAnsi="Arial" w:cs="Arial"/>
          <w:spacing w:val="-2"/>
          <w:sz w:val="24"/>
          <w:szCs w:val="24"/>
        </w:rPr>
        <w:t xml:space="preserve"> and the public notice with a link to the MassHealth website was published in the Boston Globe, Worcester Telegram &amp; Gazette and the Springfield Republican</w:t>
      </w:r>
      <w:r w:rsidR="002104CD">
        <w:rPr>
          <w:rFonts w:ascii="Arial" w:hAnsi="Arial" w:cs="Arial"/>
          <w:spacing w:val="-2"/>
          <w:sz w:val="24"/>
          <w:szCs w:val="24"/>
        </w:rPr>
        <w:t xml:space="preserve"> on March 26, 2021</w:t>
      </w:r>
      <w:r w:rsidRPr="00C67605">
        <w:rPr>
          <w:rFonts w:ascii="Arial" w:hAnsi="Arial" w:cs="Arial"/>
          <w:sz w:val="24"/>
          <w:szCs w:val="24"/>
        </w:rPr>
        <w:t xml:space="preserve">. </w:t>
      </w:r>
    </w:p>
    <w:p w14:paraId="71A9A53C" w14:textId="77777777" w:rsidR="00E921D5" w:rsidRPr="00E921D5" w:rsidRDefault="00E921D5" w:rsidP="00E921D5">
      <w:pPr>
        <w:divId w:val="1213691618"/>
        <w:rPr>
          <w:rFonts w:ascii="Arial" w:hAnsi="Arial" w:cs="Arial"/>
          <w:sz w:val="24"/>
          <w:szCs w:val="24"/>
        </w:rPr>
      </w:pPr>
      <w:r>
        <w:rPr>
          <w:rFonts w:ascii="Arial" w:hAnsi="Arial" w:cs="Arial"/>
          <w:b/>
          <w:bCs/>
          <w:sz w:val="24"/>
          <w:szCs w:val="24"/>
        </w:rPr>
        <w:br/>
      </w:r>
      <w:r w:rsidRPr="00740BBE">
        <w:rPr>
          <w:rFonts w:ascii="Arial" w:hAnsi="Arial" w:cs="Arial"/>
          <w:sz w:val="24"/>
          <w:szCs w:val="24"/>
          <w:u w:val="single"/>
        </w:rPr>
        <w:t>Tribal Consultation</w:t>
      </w:r>
      <w:r w:rsidRPr="00E921D5">
        <w:rPr>
          <w:rFonts w:ascii="Arial" w:hAnsi="Arial" w:cs="Arial"/>
          <w:b/>
          <w:bCs/>
          <w:sz w:val="24"/>
          <w:szCs w:val="24"/>
        </w:rPr>
        <w:t xml:space="preserve"> </w:t>
      </w:r>
      <w:r>
        <w:rPr>
          <w:rFonts w:ascii="Arial" w:hAnsi="Arial" w:cs="Arial"/>
          <w:sz w:val="24"/>
          <w:szCs w:val="24"/>
        </w:rPr>
        <w:br/>
      </w:r>
      <w:r w:rsidRPr="00E921D5">
        <w:rPr>
          <w:rFonts w:ascii="Arial" w:hAnsi="Arial" w:cs="Arial"/>
          <w:sz w:val="24"/>
          <w:szCs w:val="24"/>
        </w:rPr>
        <w:br/>
        <w:t xml:space="preserve">MassHealth provided a summary of the Amendment through an email to all Tribal leaders or their designees and additional Tribal health contacts on </w:t>
      </w:r>
      <w:r w:rsidR="002E3FA1">
        <w:rPr>
          <w:rFonts w:ascii="Arial" w:hAnsi="Arial" w:cs="Arial"/>
          <w:sz w:val="24"/>
          <w:szCs w:val="24"/>
        </w:rPr>
        <w:t xml:space="preserve">March 23, 2021. </w:t>
      </w:r>
      <w:r w:rsidRPr="00E921D5">
        <w:rPr>
          <w:rFonts w:ascii="Arial" w:hAnsi="Arial" w:cs="Arial"/>
          <w:sz w:val="24"/>
          <w:szCs w:val="24"/>
        </w:rPr>
        <w:t>The summary included links to the documents and instructions for providing comment.</w:t>
      </w:r>
    </w:p>
    <w:p w14:paraId="1434D959" w14:textId="77777777" w:rsidR="00D736E5" w:rsidRPr="00D42B64" w:rsidRDefault="00D736E5" w:rsidP="00D736E5">
      <w:pPr>
        <w:divId w:val="1213691618"/>
        <w:rPr>
          <w:rFonts w:ascii="Arial" w:hAnsi="Arial" w:cs="Arial"/>
          <w:sz w:val="24"/>
          <w:szCs w:val="24"/>
        </w:rPr>
      </w:pPr>
    </w:p>
    <w:p w14:paraId="4A82EA32" w14:textId="2C409944" w:rsidR="00ED1D25" w:rsidRDefault="00D736E5" w:rsidP="00ED1D25">
      <w:pPr>
        <w:divId w:val="1213691618"/>
        <w:rPr>
          <w:rFonts w:ascii="Arial" w:hAnsi="Arial" w:cs="Arial"/>
          <w:sz w:val="24"/>
          <w:szCs w:val="24"/>
          <w:u w:val="single"/>
        </w:rPr>
      </w:pPr>
      <w:r w:rsidRPr="00D42B64">
        <w:rPr>
          <w:rFonts w:ascii="Arial" w:hAnsi="Arial" w:cs="Arial"/>
          <w:sz w:val="24"/>
          <w:szCs w:val="24"/>
          <w:u w:val="single"/>
        </w:rPr>
        <w:t xml:space="preserve">Public Meeting </w:t>
      </w:r>
    </w:p>
    <w:p w14:paraId="1B5F6937" w14:textId="77777777" w:rsidR="00C74C2E" w:rsidRPr="00C74C2E" w:rsidRDefault="00D736E5" w:rsidP="00740BBE">
      <w:pPr>
        <w:divId w:val="1213691618"/>
        <w:rPr>
          <w:rFonts w:ascii="Arial" w:eastAsia="Times New Roman" w:hAnsi="Arial" w:cs="Arial"/>
          <w:sz w:val="24"/>
          <w:szCs w:val="24"/>
        </w:rPr>
      </w:pPr>
      <w:r w:rsidRPr="00D42B64">
        <w:rPr>
          <w:rFonts w:ascii="Arial" w:hAnsi="Arial" w:cs="Arial"/>
          <w:sz w:val="24"/>
          <w:szCs w:val="24"/>
        </w:rPr>
        <w:t xml:space="preserve">The </w:t>
      </w:r>
      <w:proofErr w:type="gramStart"/>
      <w:r w:rsidRPr="00D42B64">
        <w:rPr>
          <w:rFonts w:ascii="Arial" w:hAnsi="Arial" w:cs="Arial"/>
          <w:sz w:val="24"/>
          <w:szCs w:val="24"/>
        </w:rPr>
        <w:t>Commonwealth</w:t>
      </w:r>
      <w:r w:rsidR="0068489C">
        <w:rPr>
          <w:rFonts w:ascii="Arial" w:hAnsi="Arial" w:cs="Arial"/>
          <w:sz w:val="24"/>
          <w:szCs w:val="24"/>
        </w:rPr>
        <w:t xml:space="preserve"> </w:t>
      </w:r>
      <w:r w:rsidR="00A301A5">
        <w:rPr>
          <w:rFonts w:ascii="Arial" w:hAnsi="Arial" w:cs="Arial"/>
          <w:sz w:val="24"/>
          <w:szCs w:val="24"/>
        </w:rPr>
        <w:t xml:space="preserve"> </w:t>
      </w:r>
      <w:r w:rsidR="0068489C">
        <w:rPr>
          <w:rFonts w:ascii="Arial" w:hAnsi="Arial" w:cs="Arial"/>
          <w:sz w:val="24"/>
          <w:szCs w:val="24"/>
        </w:rPr>
        <w:t>host</w:t>
      </w:r>
      <w:r w:rsidR="002104CD">
        <w:rPr>
          <w:rFonts w:ascii="Arial" w:hAnsi="Arial" w:cs="Arial"/>
          <w:sz w:val="24"/>
          <w:szCs w:val="24"/>
        </w:rPr>
        <w:t>ed</w:t>
      </w:r>
      <w:proofErr w:type="gramEnd"/>
      <w:r w:rsidR="0068489C">
        <w:rPr>
          <w:rFonts w:ascii="Arial" w:hAnsi="Arial" w:cs="Arial"/>
          <w:sz w:val="24"/>
          <w:szCs w:val="24"/>
        </w:rPr>
        <w:t xml:space="preserve"> </w:t>
      </w:r>
      <w:r w:rsidR="00A301A5">
        <w:rPr>
          <w:rFonts w:ascii="Arial" w:hAnsi="Arial" w:cs="Arial"/>
          <w:sz w:val="24"/>
          <w:szCs w:val="24"/>
        </w:rPr>
        <w:t xml:space="preserve">a virtual </w:t>
      </w:r>
      <w:r w:rsidR="0068489C">
        <w:rPr>
          <w:rFonts w:ascii="Arial" w:hAnsi="Arial" w:cs="Arial"/>
          <w:sz w:val="24"/>
          <w:szCs w:val="24"/>
        </w:rPr>
        <w:t xml:space="preserve">listening session </w:t>
      </w:r>
      <w:r w:rsidR="002104CD">
        <w:rPr>
          <w:rFonts w:ascii="Arial" w:hAnsi="Arial" w:cs="Arial"/>
          <w:sz w:val="24"/>
          <w:szCs w:val="24"/>
        </w:rPr>
        <w:t xml:space="preserve">on March 31, 2021 </w:t>
      </w:r>
      <w:r w:rsidRPr="00D42B64">
        <w:rPr>
          <w:rFonts w:ascii="Arial" w:hAnsi="Arial" w:cs="Arial"/>
          <w:sz w:val="24"/>
          <w:szCs w:val="24"/>
        </w:rPr>
        <w:t xml:space="preserve">to seek input regarding the </w:t>
      </w:r>
      <w:r w:rsidR="001D65C7">
        <w:rPr>
          <w:rFonts w:ascii="Arial" w:hAnsi="Arial" w:cs="Arial"/>
          <w:sz w:val="24"/>
          <w:szCs w:val="24"/>
        </w:rPr>
        <w:t>a</w:t>
      </w:r>
      <w:r w:rsidRPr="00D42B64">
        <w:rPr>
          <w:rFonts w:ascii="Arial" w:hAnsi="Arial" w:cs="Arial"/>
          <w:sz w:val="24"/>
          <w:szCs w:val="24"/>
        </w:rPr>
        <w:t xml:space="preserve">mendment. </w:t>
      </w:r>
      <w:r w:rsidR="00A301A5">
        <w:rPr>
          <w:rFonts w:ascii="Arial" w:hAnsi="Arial" w:cs="Arial"/>
          <w:sz w:val="24"/>
          <w:szCs w:val="24"/>
        </w:rPr>
        <w:t>The</w:t>
      </w:r>
      <w:r w:rsidR="00A301A5" w:rsidRPr="00D42B64">
        <w:rPr>
          <w:rFonts w:ascii="Arial" w:hAnsi="Arial" w:cs="Arial"/>
          <w:sz w:val="24"/>
          <w:szCs w:val="24"/>
        </w:rPr>
        <w:t xml:space="preserve"> </w:t>
      </w:r>
      <w:r w:rsidRPr="00D42B64">
        <w:rPr>
          <w:rFonts w:ascii="Arial" w:hAnsi="Arial" w:cs="Arial"/>
          <w:sz w:val="24"/>
          <w:szCs w:val="24"/>
        </w:rPr>
        <w:t>session</w:t>
      </w:r>
      <w:r w:rsidR="00A301A5">
        <w:rPr>
          <w:rFonts w:ascii="Arial" w:hAnsi="Arial" w:cs="Arial"/>
          <w:sz w:val="24"/>
          <w:szCs w:val="24"/>
        </w:rPr>
        <w:t xml:space="preserve"> </w:t>
      </w:r>
      <w:r w:rsidRPr="00D42B64">
        <w:rPr>
          <w:rFonts w:ascii="Arial" w:hAnsi="Arial" w:cs="Arial"/>
          <w:sz w:val="24"/>
          <w:szCs w:val="24"/>
        </w:rPr>
        <w:t>include</w:t>
      </w:r>
      <w:r w:rsidR="002104CD">
        <w:rPr>
          <w:rFonts w:ascii="Arial" w:hAnsi="Arial" w:cs="Arial"/>
          <w:sz w:val="24"/>
          <w:szCs w:val="24"/>
        </w:rPr>
        <w:t>d</w:t>
      </w:r>
      <w:r w:rsidRPr="00D42B64">
        <w:rPr>
          <w:rFonts w:ascii="Arial" w:hAnsi="Arial" w:cs="Arial"/>
          <w:sz w:val="24"/>
          <w:szCs w:val="24"/>
        </w:rPr>
        <w:t xml:space="preserve"> a conference line, as well as Communication Access Realtime Translation </w:t>
      </w:r>
      <w:r w:rsidR="00F33803">
        <w:rPr>
          <w:rFonts w:ascii="Arial" w:hAnsi="Arial" w:cs="Arial"/>
          <w:sz w:val="24"/>
          <w:szCs w:val="24"/>
        </w:rPr>
        <w:t xml:space="preserve">(CART) </w:t>
      </w:r>
      <w:r w:rsidRPr="00D42B64">
        <w:rPr>
          <w:rFonts w:ascii="Arial" w:hAnsi="Arial" w:cs="Arial"/>
          <w:sz w:val="24"/>
          <w:szCs w:val="24"/>
        </w:rPr>
        <w:t xml:space="preserve">services. </w:t>
      </w:r>
      <w:bookmarkStart w:id="8" w:name="_Hlk66801294"/>
    </w:p>
    <w:bookmarkEnd w:id="8"/>
    <w:p w14:paraId="36542FC8" w14:textId="6A387FD3" w:rsidR="002E3FA1" w:rsidRPr="0012718F" w:rsidRDefault="00A301A5" w:rsidP="00ED1D25">
      <w:pPr>
        <w:divId w:val="1213691618"/>
        <w:rPr>
          <w:rFonts w:ascii="Arial" w:hAnsi="Arial" w:cs="Arial"/>
          <w:bCs/>
          <w:sz w:val="24"/>
          <w:szCs w:val="24"/>
        </w:rPr>
      </w:pPr>
      <w:r>
        <w:rPr>
          <w:rFonts w:ascii="Arial" w:hAnsi="Arial" w:cs="Arial"/>
          <w:sz w:val="24"/>
          <w:szCs w:val="24"/>
        </w:rPr>
        <w:t xml:space="preserve">The </w:t>
      </w:r>
      <w:r w:rsidR="00D736E5" w:rsidRPr="00D42B64">
        <w:rPr>
          <w:rFonts w:ascii="Arial" w:hAnsi="Arial" w:cs="Arial"/>
          <w:bCs/>
          <w:sz w:val="24"/>
          <w:szCs w:val="24"/>
        </w:rPr>
        <w:t>session</w:t>
      </w:r>
      <w:r>
        <w:rPr>
          <w:rFonts w:ascii="Arial" w:hAnsi="Arial" w:cs="Arial"/>
          <w:bCs/>
          <w:sz w:val="24"/>
          <w:szCs w:val="24"/>
        </w:rPr>
        <w:t xml:space="preserve"> </w:t>
      </w:r>
      <w:r w:rsidR="00D736E5" w:rsidRPr="00D42B64">
        <w:rPr>
          <w:rFonts w:ascii="Arial" w:hAnsi="Arial" w:cs="Arial"/>
          <w:bCs/>
          <w:sz w:val="24"/>
          <w:szCs w:val="24"/>
        </w:rPr>
        <w:t>include</w:t>
      </w:r>
      <w:r w:rsidR="002104CD">
        <w:rPr>
          <w:rFonts w:ascii="Arial" w:hAnsi="Arial" w:cs="Arial"/>
          <w:bCs/>
          <w:sz w:val="24"/>
          <w:szCs w:val="24"/>
        </w:rPr>
        <w:t>d</w:t>
      </w:r>
      <w:r w:rsidR="00D736E5" w:rsidRPr="00D42B64">
        <w:rPr>
          <w:rFonts w:ascii="Arial" w:hAnsi="Arial" w:cs="Arial"/>
          <w:bCs/>
          <w:sz w:val="24"/>
          <w:szCs w:val="24"/>
        </w:rPr>
        <w:t xml:space="preserve"> a presentation on the proposed changes and an opportunity for public </w:t>
      </w:r>
      <w:r w:rsidR="00784067">
        <w:rPr>
          <w:rFonts w:ascii="Arial" w:hAnsi="Arial" w:cs="Arial"/>
          <w:bCs/>
          <w:sz w:val="24"/>
          <w:szCs w:val="24"/>
        </w:rPr>
        <w:t>t</w:t>
      </w:r>
      <w:r w:rsidR="00D736E5" w:rsidRPr="00D42B64">
        <w:rPr>
          <w:rFonts w:ascii="Arial" w:hAnsi="Arial" w:cs="Arial"/>
          <w:bCs/>
          <w:sz w:val="24"/>
          <w:szCs w:val="24"/>
        </w:rPr>
        <w:t xml:space="preserve">estimony. </w:t>
      </w:r>
      <w:r w:rsidR="00922583">
        <w:rPr>
          <w:rFonts w:ascii="Arial" w:hAnsi="Arial" w:cs="Arial"/>
          <w:bCs/>
          <w:sz w:val="24"/>
          <w:szCs w:val="24"/>
        </w:rPr>
        <w:br/>
      </w:r>
      <w:r w:rsidR="00922583">
        <w:rPr>
          <w:rFonts w:ascii="Arial" w:hAnsi="Arial" w:cs="Arial"/>
          <w:bCs/>
          <w:sz w:val="24"/>
          <w:szCs w:val="24"/>
        </w:rPr>
        <w:br/>
      </w:r>
      <w:r w:rsidR="00922583" w:rsidRPr="0012718F">
        <w:rPr>
          <w:rFonts w:ascii="Arial" w:hAnsi="Arial" w:cs="Arial"/>
          <w:bCs/>
          <w:sz w:val="24"/>
          <w:szCs w:val="24"/>
        </w:rPr>
        <w:t xml:space="preserve">61 people attended the session. </w:t>
      </w:r>
      <w:r w:rsidR="00CD4DDA" w:rsidRPr="0012718F">
        <w:rPr>
          <w:rFonts w:ascii="Arial" w:hAnsi="Arial" w:cs="Arial"/>
          <w:bCs/>
          <w:sz w:val="24"/>
          <w:szCs w:val="24"/>
        </w:rPr>
        <w:t xml:space="preserve">During the </w:t>
      </w:r>
      <w:r w:rsidR="00CD4DDA" w:rsidRPr="002F6211">
        <w:rPr>
          <w:rFonts w:ascii="Arial" w:hAnsi="Arial" w:cs="Arial"/>
          <w:bCs/>
          <w:sz w:val="24"/>
          <w:szCs w:val="24"/>
        </w:rPr>
        <w:t>public test</w:t>
      </w:r>
      <w:r w:rsidR="00CD4DDA" w:rsidRPr="0012718F">
        <w:rPr>
          <w:rFonts w:ascii="Arial" w:hAnsi="Arial" w:cs="Arial"/>
          <w:bCs/>
          <w:sz w:val="24"/>
          <w:szCs w:val="24"/>
        </w:rPr>
        <w:t xml:space="preserve">imony portion of the meeting, one speaker expressed support for the items in the amendment, particularly the MSP and post-partum items, </w:t>
      </w:r>
      <w:r w:rsidR="00CD4DDA" w:rsidRPr="0012718F">
        <w:rPr>
          <w:rFonts w:ascii="Arial" w:hAnsi="Arial"/>
          <w:sz w:val="24"/>
          <w:szCs w:val="24"/>
        </w:rPr>
        <w:t xml:space="preserve">noting that these policies will help advance a lot of our health equity goals, </w:t>
      </w:r>
      <w:r w:rsidR="00CD4DDA" w:rsidRPr="0012718F">
        <w:rPr>
          <w:rFonts w:ascii="Arial" w:hAnsi="Arial" w:cs="Arial"/>
          <w:bCs/>
          <w:sz w:val="24"/>
          <w:szCs w:val="24"/>
        </w:rPr>
        <w:t>and asked whether the 12- month continuous eligib</w:t>
      </w:r>
      <w:r w:rsidR="002F6211">
        <w:rPr>
          <w:rFonts w:ascii="Arial" w:hAnsi="Arial" w:cs="Arial"/>
          <w:bCs/>
          <w:sz w:val="24"/>
          <w:szCs w:val="24"/>
        </w:rPr>
        <w:t>ility</w:t>
      </w:r>
      <w:r w:rsidR="00CD4DDA" w:rsidRPr="002F6211">
        <w:rPr>
          <w:rFonts w:ascii="Arial" w:hAnsi="Arial" w:cs="Arial"/>
          <w:bCs/>
          <w:sz w:val="24"/>
          <w:szCs w:val="24"/>
        </w:rPr>
        <w:t xml:space="preserve"> for post-partum members would continue</w:t>
      </w:r>
      <w:r w:rsidR="00CD4DDA" w:rsidRPr="0012718F">
        <w:rPr>
          <w:rFonts w:ascii="Arial" w:hAnsi="Arial" w:cs="Arial"/>
          <w:bCs/>
          <w:sz w:val="24"/>
          <w:szCs w:val="24"/>
        </w:rPr>
        <w:t xml:space="preserve"> if the</w:t>
      </w:r>
      <w:r w:rsidR="002F6211">
        <w:rPr>
          <w:rFonts w:ascii="Arial" w:hAnsi="Arial" w:cs="Arial"/>
          <w:bCs/>
          <w:sz w:val="24"/>
          <w:szCs w:val="24"/>
        </w:rPr>
        <w:t>ir</w:t>
      </w:r>
      <w:r w:rsidR="00CD4DDA" w:rsidRPr="002F6211">
        <w:rPr>
          <w:rFonts w:ascii="Arial" w:hAnsi="Arial" w:cs="Arial"/>
          <w:bCs/>
          <w:sz w:val="24"/>
          <w:szCs w:val="24"/>
        </w:rPr>
        <w:t xml:space="preserve"> income </w:t>
      </w:r>
      <w:proofErr w:type="gramStart"/>
      <w:r w:rsidR="00CD4DDA" w:rsidRPr="002F6211">
        <w:rPr>
          <w:rFonts w:ascii="Arial" w:hAnsi="Arial" w:cs="Arial"/>
          <w:bCs/>
          <w:sz w:val="24"/>
          <w:szCs w:val="24"/>
        </w:rPr>
        <w:t>fluctuates</w:t>
      </w:r>
      <w:proofErr w:type="gramEnd"/>
      <w:r w:rsidR="00CD4DDA" w:rsidRPr="002F6211">
        <w:rPr>
          <w:rFonts w:ascii="Arial" w:hAnsi="Arial" w:cs="Arial"/>
          <w:bCs/>
          <w:sz w:val="24"/>
          <w:szCs w:val="24"/>
        </w:rPr>
        <w:t xml:space="preserve"> over 200% FPL. </w:t>
      </w:r>
      <w:r w:rsidR="00CD4DDA" w:rsidRPr="0012718F">
        <w:rPr>
          <w:rFonts w:ascii="Arial" w:hAnsi="Arial" w:cs="Arial"/>
          <w:bCs/>
          <w:sz w:val="24"/>
          <w:szCs w:val="24"/>
        </w:rPr>
        <w:t>We took that question back and updated the listening session slides posted on the website with confirmation that the 12-month continuous eligibility would continue.</w:t>
      </w:r>
    </w:p>
    <w:p w14:paraId="55AF0BF2" w14:textId="71C89BD9" w:rsidR="00CD4DDA" w:rsidRPr="0012718F" w:rsidRDefault="00CD4DDA" w:rsidP="00ED1D25">
      <w:pPr>
        <w:divId w:val="1213691618"/>
        <w:rPr>
          <w:rFonts w:ascii="Arial" w:hAnsi="Arial"/>
          <w:sz w:val="24"/>
          <w:szCs w:val="24"/>
        </w:rPr>
      </w:pPr>
      <w:r w:rsidRPr="0012718F">
        <w:rPr>
          <w:rFonts w:ascii="Arial" w:hAnsi="Arial" w:cs="Arial"/>
          <w:bCs/>
          <w:sz w:val="24"/>
          <w:szCs w:val="24"/>
        </w:rPr>
        <w:t xml:space="preserve">Another speaker expressed strong support for the post-partum extension and noted that </w:t>
      </w:r>
      <w:r w:rsidRPr="0012718F">
        <w:rPr>
          <w:rFonts w:ascii="Arial" w:hAnsi="Arial"/>
          <w:sz w:val="24"/>
          <w:szCs w:val="24"/>
        </w:rPr>
        <w:t>maternal mortality in the Commonwealth</w:t>
      </w:r>
      <w:r w:rsidR="002F6211">
        <w:rPr>
          <w:rFonts w:ascii="Arial" w:hAnsi="Arial"/>
          <w:sz w:val="24"/>
          <w:szCs w:val="24"/>
        </w:rPr>
        <w:t>,</w:t>
      </w:r>
      <w:r w:rsidRPr="002F6211">
        <w:rPr>
          <w:rFonts w:ascii="Arial" w:hAnsi="Arial"/>
          <w:sz w:val="24"/>
          <w:szCs w:val="24"/>
        </w:rPr>
        <w:t xml:space="preserve"> in particular</w:t>
      </w:r>
      <w:r w:rsidR="002F6211">
        <w:rPr>
          <w:rFonts w:ascii="Arial" w:hAnsi="Arial"/>
          <w:sz w:val="24"/>
          <w:szCs w:val="24"/>
        </w:rPr>
        <w:t>.</w:t>
      </w:r>
      <w:r w:rsidRPr="002F6211">
        <w:rPr>
          <w:rFonts w:ascii="Arial" w:hAnsi="Arial"/>
          <w:sz w:val="24"/>
          <w:szCs w:val="24"/>
        </w:rPr>
        <w:t xml:space="preserve"> is driven by postpartum mortality and most of that is after 42 days postpartum</w:t>
      </w:r>
      <w:r w:rsidRPr="0012718F">
        <w:rPr>
          <w:rFonts w:ascii="Arial" w:hAnsi="Arial"/>
          <w:sz w:val="24"/>
          <w:szCs w:val="24"/>
        </w:rPr>
        <w:t>.</w:t>
      </w:r>
    </w:p>
    <w:p w14:paraId="3A116146" w14:textId="47CD7E77" w:rsidR="00CD4DDA" w:rsidRPr="0012718F" w:rsidRDefault="00CD4DDA" w:rsidP="00ED1D25">
      <w:pPr>
        <w:divId w:val="1213691618"/>
        <w:rPr>
          <w:rFonts w:ascii="Arial" w:hAnsi="Arial"/>
          <w:sz w:val="24"/>
          <w:szCs w:val="24"/>
        </w:rPr>
      </w:pPr>
    </w:p>
    <w:p w14:paraId="15C94546" w14:textId="4A79DA62" w:rsidR="00CD4DDA" w:rsidRPr="0012718F" w:rsidRDefault="00CD4DDA" w:rsidP="00CD4DDA">
      <w:pPr>
        <w:spacing w:after="0"/>
        <w:divId w:val="1213691618"/>
        <w:rPr>
          <w:sz w:val="24"/>
          <w:szCs w:val="24"/>
        </w:rPr>
      </w:pPr>
      <w:r w:rsidRPr="0012718F">
        <w:rPr>
          <w:rFonts w:ascii="Arial" w:hAnsi="Arial"/>
          <w:sz w:val="24"/>
          <w:szCs w:val="24"/>
        </w:rPr>
        <w:t xml:space="preserve">One speaker asked that we clarify that the authority related to relief from the limit on clinic outreach services will pertain to all clinics, not just </w:t>
      </w:r>
      <w:r w:rsidR="002F1FB2" w:rsidRPr="0012718F">
        <w:rPr>
          <w:rFonts w:ascii="Arial" w:hAnsi="Arial"/>
          <w:sz w:val="24"/>
          <w:szCs w:val="24"/>
        </w:rPr>
        <w:t>Community Behavioral Health Centers</w:t>
      </w:r>
      <w:r w:rsidRPr="0012718F">
        <w:rPr>
          <w:rFonts w:ascii="Arial" w:hAnsi="Arial"/>
          <w:sz w:val="24"/>
          <w:szCs w:val="24"/>
        </w:rPr>
        <w:t>. We confirmed that the authority would pertain to all clinics.</w:t>
      </w:r>
    </w:p>
    <w:p w14:paraId="1ABD24CD" w14:textId="77777777" w:rsidR="00CD4DDA" w:rsidRPr="0012718F" w:rsidRDefault="00CD4DDA" w:rsidP="00CD4DDA">
      <w:pPr>
        <w:spacing w:after="0"/>
        <w:divId w:val="1213691618"/>
        <w:rPr>
          <w:sz w:val="24"/>
          <w:szCs w:val="24"/>
        </w:rPr>
      </w:pPr>
    </w:p>
    <w:p w14:paraId="5BDB895B" w14:textId="64391312" w:rsidR="00B54B78" w:rsidRPr="0012718F" w:rsidRDefault="00B54B78" w:rsidP="00B54B78">
      <w:pPr>
        <w:spacing w:after="0"/>
        <w:divId w:val="1213691618"/>
        <w:rPr>
          <w:rFonts w:ascii="Arial" w:hAnsi="Arial"/>
          <w:sz w:val="24"/>
          <w:szCs w:val="24"/>
        </w:rPr>
      </w:pPr>
      <w:r w:rsidRPr="0012718F">
        <w:rPr>
          <w:rFonts w:ascii="Arial" w:hAnsi="Arial"/>
          <w:sz w:val="24"/>
          <w:szCs w:val="24"/>
        </w:rPr>
        <w:t>One speaker expressed strong support for the amendment and asked about whether it would be possible to assign incarcerated individuals to MassHealth Accountable Care or Managed Care Organizations prior to their release so that there is</w:t>
      </w:r>
      <w:r w:rsidR="00362BCD" w:rsidRPr="0012718F">
        <w:rPr>
          <w:rFonts w:ascii="Arial" w:hAnsi="Arial"/>
          <w:sz w:val="24"/>
          <w:szCs w:val="24"/>
        </w:rPr>
        <w:t xml:space="preserve"> continuity of care before they started leaving the institution. </w:t>
      </w:r>
      <w:r w:rsidRPr="0012718F">
        <w:rPr>
          <w:rFonts w:ascii="Arial" w:hAnsi="Arial"/>
          <w:sz w:val="24"/>
          <w:szCs w:val="24"/>
        </w:rPr>
        <w:t>We responded that currently we do have a process to reinstate individuals or to help them apply for MassHealth prior to their release</w:t>
      </w:r>
      <w:r w:rsidR="002F6211">
        <w:rPr>
          <w:rFonts w:ascii="Arial" w:hAnsi="Arial"/>
          <w:sz w:val="24"/>
          <w:szCs w:val="24"/>
        </w:rPr>
        <w:t>, a</w:t>
      </w:r>
      <w:r w:rsidRPr="0012718F">
        <w:rPr>
          <w:rFonts w:ascii="Arial" w:hAnsi="Arial"/>
          <w:sz w:val="24"/>
          <w:szCs w:val="24"/>
        </w:rPr>
        <w:t xml:space="preserve">s well as connecting them with a managed care plan. </w:t>
      </w:r>
    </w:p>
    <w:p w14:paraId="05E2E36D" w14:textId="6C3B8910" w:rsidR="00B54B78" w:rsidRPr="0012718F" w:rsidRDefault="00B54B78" w:rsidP="00B54B78">
      <w:pPr>
        <w:spacing w:after="0"/>
        <w:divId w:val="1213691618"/>
        <w:rPr>
          <w:rFonts w:ascii="Arial" w:hAnsi="Arial"/>
          <w:sz w:val="24"/>
          <w:szCs w:val="24"/>
        </w:rPr>
      </w:pPr>
    </w:p>
    <w:p w14:paraId="1540A9A4" w14:textId="7B2EAC74" w:rsidR="00B54B78" w:rsidRPr="0012718F" w:rsidRDefault="00B54B78" w:rsidP="00B54B78">
      <w:pPr>
        <w:spacing w:after="0"/>
        <w:divId w:val="1213691618"/>
        <w:rPr>
          <w:sz w:val="24"/>
          <w:szCs w:val="24"/>
        </w:rPr>
      </w:pPr>
      <w:r w:rsidRPr="0012718F">
        <w:rPr>
          <w:rFonts w:ascii="Arial" w:hAnsi="Arial"/>
          <w:sz w:val="24"/>
          <w:szCs w:val="24"/>
        </w:rPr>
        <w:t>This speaker also asked about the Hospital at Home item and how we would ensure that it’s a consume</w:t>
      </w:r>
      <w:r w:rsidR="002F6211">
        <w:rPr>
          <w:rFonts w:ascii="Arial" w:hAnsi="Arial"/>
          <w:sz w:val="24"/>
          <w:szCs w:val="24"/>
        </w:rPr>
        <w:t>r</w:t>
      </w:r>
      <w:r w:rsidRPr="0012718F">
        <w:rPr>
          <w:rFonts w:ascii="Arial" w:hAnsi="Arial"/>
          <w:sz w:val="24"/>
          <w:szCs w:val="24"/>
        </w:rPr>
        <w:t xml:space="preserve"> choice, about the definition of a </w:t>
      </w:r>
      <w:proofErr w:type="gramStart"/>
      <w:r w:rsidRPr="0012718F">
        <w:rPr>
          <w:rFonts w:ascii="Arial" w:hAnsi="Arial"/>
          <w:sz w:val="24"/>
          <w:szCs w:val="24"/>
        </w:rPr>
        <w:t>home based</w:t>
      </w:r>
      <w:proofErr w:type="gramEnd"/>
      <w:r w:rsidRPr="0012718F">
        <w:rPr>
          <w:rFonts w:ascii="Arial" w:hAnsi="Arial"/>
          <w:sz w:val="24"/>
          <w:szCs w:val="24"/>
        </w:rPr>
        <w:t xml:space="preserve"> hospital setting and what kind of services would be provided in the </w:t>
      </w:r>
      <w:r w:rsidR="00362BCD" w:rsidRPr="0012718F">
        <w:rPr>
          <w:rFonts w:ascii="Arial" w:hAnsi="Arial"/>
          <w:sz w:val="24"/>
          <w:szCs w:val="24"/>
        </w:rPr>
        <w:t xml:space="preserve">home to ensure that they're getting adequate or equivalent care </w:t>
      </w:r>
      <w:r w:rsidRPr="0012718F">
        <w:rPr>
          <w:rFonts w:ascii="Arial" w:hAnsi="Arial"/>
          <w:sz w:val="24"/>
          <w:szCs w:val="24"/>
        </w:rPr>
        <w:t>at home</w:t>
      </w:r>
      <w:r w:rsidR="00362BCD" w:rsidRPr="0012718F">
        <w:rPr>
          <w:rFonts w:ascii="Arial" w:hAnsi="Arial"/>
          <w:sz w:val="24"/>
          <w:szCs w:val="24"/>
        </w:rPr>
        <w:t>.</w:t>
      </w:r>
      <w:r w:rsidRPr="0012718F">
        <w:rPr>
          <w:rFonts w:ascii="Arial" w:hAnsi="Arial"/>
          <w:sz w:val="24"/>
          <w:szCs w:val="24"/>
        </w:rPr>
        <w:t xml:space="preserve"> We responded that patient choice and consent </w:t>
      </w:r>
      <w:proofErr w:type="gramStart"/>
      <w:r w:rsidRPr="0012718F">
        <w:rPr>
          <w:rFonts w:ascii="Arial" w:hAnsi="Arial"/>
          <w:sz w:val="24"/>
          <w:szCs w:val="24"/>
        </w:rPr>
        <w:t>is  essential</w:t>
      </w:r>
      <w:proofErr w:type="gramEnd"/>
      <w:r w:rsidRPr="0012718F">
        <w:rPr>
          <w:rFonts w:ascii="Arial" w:hAnsi="Arial"/>
          <w:sz w:val="24"/>
          <w:szCs w:val="24"/>
        </w:rPr>
        <w:t xml:space="preserve"> to home hospital programs.  </w:t>
      </w:r>
      <w:r w:rsidR="002F6211">
        <w:rPr>
          <w:rFonts w:ascii="Arial" w:hAnsi="Arial"/>
          <w:sz w:val="24"/>
          <w:szCs w:val="24"/>
        </w:rPr>
        <w:t>For</w:t>
      </w:r>
      <w:r w:rsidRPr="0012718F">
        <w:rPr>
          <w:rFonts w:ascii="Arial" w:hAnsi="Arial"/>
          <w:sz w:val="24"/>
          <w:szCs w:val="24"/>
        </w:rPr>
        <w:t xml:space="preserve"> patients who have common chronic conditions and are experiencing acute exacerbations</w:t>
      </w:r>
      <w:r w:rsidR="002F6211">
        <w:rPr>
          <w:rFonts w:ascii="Arial" w:hAnsi="Arial"/>
          <w:sz w:val="24"/>
          <w:szCs w:val="24"/>
        </w:rPr>
        <w:t>,</w:t>
      </w:r>
      <w:r w:rsidRPr="0012718F">
        <w:rPr>
          <w:rFonts w:ascii="Arial" w:hAnsi="Arial"/>
          <w:sz w:val="24"/>
          <w:szCs w:val="24"/>
        </w:rPr>
        <w:t xml:space="preserve"> treatment at home may be a very appropriate replacement service. The providers that offer this tend to be quite experienced in essentially setting up all the infrastructure </w:t>
      </w:r>
      <w:proofErr w:type="gramStart"/>
      <w:r w:rsidRPr="0012718F">
        <w:rPr>
          <w:rFonts w:ascii="Arial" w:hAnsi="Arial"/>
          <w:sz w:val="24"/>
          <w:szCs w:val="24"/>
        </w:rPr>
        <w:t>that's</w:t>
      </w:r>
      <w:proofErr w:type="gramEnd"/>
      <w:r w:rsidRPr="0012718F">
        <w:rPr>
          <w:rFonts w:ascii="Arial" w:hAnsi="Arial"/>
          <w:sz w:val="24"/>
          <w:szCs w:val="24"/>
        </w:rPr>
        <w:t xml:space="preserve"> needed to deliver all the same things that would be delivered in a hospital, in the home. And they do so by carefully targeting it towards patients with the most appropriate conditions and the most appropriate home settings. </w:t>
      </w:r>
      <w:r w:rsidRPr="0012718F">
        <w:rPr>
          <w:rFonts w:ascii="Arial" w:hAnsi="Arial"/>
          <w:sz w:val="24"/>
          <w:szCs w:val="24"/>
        </w:rPr>
        <w:br/>
      </w:r>
      <w:r w:rsidRPr="0012718F">
        <w:rPr>
          <w:rFonts w:ascii="Arial" w:hAnsi="Arial"/>
          <w:sz w:val="24"/>
          <w:szCs w:val="24"/>
        </w:rPr>
        <w:br/>
        <w:t xml:space="preserve">A speaker asked if we could clarify whether the hospital in the home authority will include provision of inpatient psychiatric hospital or inpatient SUD services that are delivered in both acute </w:t>
      </w:r>
      <w:r w:rsidR="002F6211">
        <w:rPr>
          <w:rFonts w:ascii="Arial" w:hAnsi="Arial"/>
          <w:sz w:val="24"/>
          <w:szCs w:val="24"/>
        </w:rPr>
        <w:t>general h</w:t>
      </w:r>
      <w:r w:rsidRPr="0012718F">
        <w:rPr>
          <w:rFonts w:ascii="Arial" w:hAnsi="Arial"/>
          <w:sz w:val="24"/>
          <w:szCs w:val="24"/>
        </w:rPr>
        <w:t>ospital and freestanding hospital settings.</w:t>
      </w:r>
      <w:r w:rsidR="00C1681B" w:rsidRPr="0012718F">
        <w:rPr>
          <w:rFonts w:ascii="Arial" w:hAnsi="Arial"/>
          <w:sz w:val="24"/>
          <w:szCs w:val="24"/>
        </w:rPr>
        <w:t xml:space="preserve"> We clarified that Hospital at Home is currently limited to acute inpatient hospital services but noted that we would </w:t>
      </w:r>
      <w:r w:rsidRPr="0012718F">
        <w:rPr>
          <w:rFonts w:ascii="Arial" w:hAnsi="Arial"/>
          <w:sz w:val="24"/>
          <w:szCs w:val="24"/>
        </w:rPr>
        <w:t>continue to explore is whether this would be appropriate for other, non</w:t>
      </w:r>
      <w:r w:rsidR="00C1681B" w:rsidRPr="0012718F">
        <w:rPr>
          <w:rFonts w:ascii="Arial" w:hAnsi="Arial"/>
          <w:sz w:val="24"/>
          <w:szCs w:val="24"/>
        </w:rPr>
        <w:t>-</w:t>
      </w:r>
      <w:r w:rsidRPr="0012718F">
        <w:rPr>
          <w:rFonts w:ascii="Arial" w:hAnsi="Arial"/>
          <w:sz w:val="24"/>
          <w:szCs w:val="24"/>
        </w:rPr>
        <w:t>acute inpatient services as well.</w:t>
      </w:r>
    </w:p>
    <w:p w14:paraId="6CB8B019" w14:textId="77777777" w:rsidR="00B54B78" w:rsidRPr="0012718F" w:rsidRDefault="00B54B78" w:rsidP="00B54B78">
      <w:pPr>
        <w:spacing w:after="0"/>
        <w:divId w:val="1213691618"/>
        <w:rPr>
          <w:sz w:val="24"/>
          <w:szCs w:val="24"/>
        </w:rPr>
      </w:pPr>
    </w:p>
    <w:p w14:paraId="119C309B" w14:textId="40BDB800" w:rsidR="0012718F" w:rsidRPr="005E3609" w:rsidRDefault="0012718F" w:rsidP="0012718F">
      <w:pPr>
        <w:spacing w:after="0"/>
        <w:divId w:val="1213691618"/>
        <w:rPr>
          <w:strike/>
          <w:sz w:val="24"/>
          <w:szCs w:val="24"/>
        </w:rPr>
      </w:pPr>
      <w:r w:rsidRPr="0012718F">
        <w:rPr>
          <w:rFonts w:ascii="Arial" w:hAnsi="Arial"/>
          <w:sz w:val="24"/>
          <w:szCs w:val="24"/>
        </w:rPr>
        <w:t>A speaker expressed support for the additional benefits that these proposals are extending to people who need them so much</w:t>
      </w:r>
      <w:r w:rsidR="00211265">
        <w:rPr>
          <w:rFonts w:ascii="Arial" w:hAnsi="Arial"/>
          <w:sz w:val="24"/>
          <w:szCs w:val="24"/>
        </w:rPr>
        <w:t>.</w:t>
      </w:r>
      <w:r w:rsidRPr="0012718F">
        <w:rPr>
          <w:rFonts w:ascii="Arial" w:hAnsi="Arial"/>
          <w:sz w:val="24"/>
          <w:szCs w:val="24"/>
        </w:rPr>
        <w:t xml:space="preserve"> </w:t>
      </w:r>
    </w:p>
    <w:p w14:paraId="300161E8" w14:textId="77777777" w:rsidR="0012718F" w:rsidRPr="0012718F" w:rsidRDefault="0012718F" w:rsidP="0012718F">
      <w:pPr>
        <w:spacing w:after="0"/>
        <w:divId w:val="1213691618"/>
        <w:rPr>
          <w:sz w:val="24"/>
          <w:szCs w:val="24"/>
        </w:rPr>
      </w:pPr>
    </w:p>
    <w:p w14:paraId="458953AE" w14:textId="77777777" w:rsidR="0012718F" w:rsidRDefault="0012718F" w:rsidP="0012718F">
      <w:pPr>
        <w:spacing w:after="0"/>
        <w:divId w:val="1213691618"/>
      </w:pPr>
    </w:p>
    <w:p w14:paraId="56B9EC76" w14:textId="29F1423A" w:rsidR="007847A2" w:rsidRDefault="002E3FA1" w:rsidP="00ED1D25">
      <w:pPr>
        <w:divId w:val="1213691618"/>
        <w:rPr>
          <w:rFonts w:ascii="Arial" w:hAnsi="Arial" w:cs="Arial"/>
          <w:bCs/>
          <w:sz w:val="24"/>
          <w:szCs w:val="24"/>
        </w:rPr>
      </w:pPr>
      <w:r w:rsidRPr="00740BBE">
        <w:rPr>
          <w:rFonts w:ascii="Arial" w:hAnsi="Arial" w:cs="Arial"/>
          <w:bCs/>
          <w:sz w:val="24"/>
          <w:szCs w:val="24"/>
          <w:u w:val="single"/>
        </w:rPr>
        <w:t>Public Comment</w:t>
      </w:r>
      <w:r w:rsidR="00922583">
        <w:rPr>
          <w:rFonts w:ascii="Arial" w:hAnsi="Arial" w:cs="Arial"/>
          <w:bCs/>
          <w:sz w:val="24"/>
          <w:szCs w:val="24"/>
          <w:u w:val="single"/>
        </w:rPr>
        <w:t xml:space="preserve"> letter</w:t>
      </w:r>
      <w:r w:rsidRPr="00740BBE">
        <w:rPr>
          <w:rFonts w:ascii="Arial" w:hAnsi="Arial" w:cs="Arial"/>
          <w:bCs/>
          <w:sz w:val="24"/>
          <w:szCs w:val="24"/>
          <w:u w:val="single"/>
        </w:rPr>
        <w:t>s</w:t>
      </w:r>
      <w:r w:rsidRPr="00740BBE">
        <w:rPr>
          <w:rFonts w:ascii="Arial" w:hAnsi="Arial" w:cs="Arial"/>
          <w:bCs/>
          <w:sz w:val="24"/>
          <w:szCs w:val="24"/>
          <w:u w:val="single"/>
        </w:rPr>
        <w:br/>
      </w:r>
      <w:r w:rsidR="00210EC4">
        <w:rPr>
          <w:rFonts w:ascii="Arial" w:hAnsi="Arial" w:cs="Arial"/>
          <w:bCs/>
          <w:sz w:val="24"/>
          <w:szCs w:val="24"/>
        </w:rPr>
        <w:br/>
      </w:r>
      <w:r w:rsidR="00740BBE">
        <w:rPr>
          <w:rFonts w:ascii="Arial" w:hAnsi="Arial" w:cs="Arial"/>
          <w:bCs/>
          <w:sz w:val="24"/>
          <w:szCs w:val="24"/>
        </w:rPr>
        <w:t>The Commonwealth received</w:t>
      </w:r>
      <w:r w:rsidR="00210EC4">
        <w:rPr>
          <w:rFonts w:ascii="Arial" w:hAnsi="Arial" w:cs="Arial"/>
          <w:bCs/>
          <w:sz w:val="24"/>
          <w:szCs w:val="24"/>
        </w:rPr>
        <w:t xml:space="preserve"> </w:t>
      </w:r>
      <w:r w:rsidR="00740BBE">
        <w:rPr>
          <w:rFonts w:ascii="Arial" w:hAnsi="Arial" w:cs="Arial"/>
          <w:bCs/>
          <w:sz w:val="24"/>
          <w:szCs w:val="24"/>
        </w:rPr>
        <w:t xml:space="preserve">fourteen </w:t>
      </w:r>
      <w:r w:rsidR="00210EC4">
        <w:rPr>
          <w:rFonts w:ascii="Arial" w:hAnsi="Arial" w:cs="Arial"/>
          <w:bCs/>
          <w:sz w:val="24"/>
          <w:szCs w:val="24"/>
        </w:rPr>
        <w:t>comment letter</w:t>
      </w:r>
      <w:r w:rsidR="002C635E">
        <w:rPr>
          <w:rFonts w:ascii="Arial" w:hAnsi="Arial" w:cs="Arial"/>
          <w:bCs/>
          <w:sz w:val="24"/>
          <w:szCs w:val="24"/>
        </w:rPr>
        <w:t>s</w:t>
      </w:r>
      <w:r w:rsidR="00740BBE">
        <w:rPr>
          <w:rFonts w:ascii="Arial" w:hAnsi="Arial" w:cs="Arial"/>
          <w:bCs/>
          <w:sz w:val="24"/>
          <w:szCs w:val="24"/>
        </w:rPr>
        <w:t xml:space="preserve"> from consumer and legal advocates, health care provider organizations, social service providers and individuals on or before April 25, 2021</w:t>
      </w:r>
      <w:r w:rsidR="007847A2">
        <w:rPr>
          <w:rFonts w:ascii="Arial" w:hAnsi="Arial" w:cs="Arial"/>
          <w:bCs/>
          <w:sz w:val="24"/>
          <w:szCs w:val="24"/>
        </w:rPr>
        <w:t xml:space="preserve">, including one letter submitted on behalf of </w:t>
      </w:r>
      <w:r w:rsidR="007E6D8C">
        <w:rPr>
          <w:rFonts w:ascii="Arial" w:hAnsi="Arial" w:cs="Arial"/>
          <w:bCs/>
          <w:sz w:val="24"/>
          <w:szCs w:val="24"/>
        </w:rPr>
        <w:t xml:space="preserve">fifteen </w:t>
      </w:r>
      <w:r w:rsidR="007847A2">
        <w:rPr>
          <w:rFonts w:ascii="Arial" w:hAnsi="Arial" w:cs="Arial"/>
          <w:bCs/>
          <w:sz w:val="24"/>
          <w:szCs w:val="24"/>
        </w:rPr>
        <w:t xml:space="preserve">other </w:t>
      </w:r>
      <w:r w:rsidR="007847A2">
        <w:rPr>
          <w:rFonts w:ascii="Arial" w:hAnsi="Arial" w:cs="Arial"/>
          <w:bCs/>
          <w:sz w:val="24"/>
          <w:szCs w:val="24"/>
        </w:rPr>
        <w:lastRenderedPageBreak/>
        <w:t>organizations</w:t>
      </w:r>
      <w:r w:rsidR="00740BBE">
        <w:rPr>
          <w:rFonts w:ascii="Arial" w:hAnsi="Arial" w:cs="Arial"/>
          <w:bCs/>
          <w:sz w:val="24"/>
          <w:szCs w:val="24"/>
        </w:rPr>
        <w:t>.</w:t>
      </w:r>
      <w:r w:rsidR="00211A8C">
        <w:rPr>
          <w:rFonts w:ascii="Arial" w:hAnsi="Arial" w:cs="Arial"/>
          <w:bCs/>
          <w:sz w:val="24"/>
          <w:szCs w:val="24"/>
        </w:rPr>
        <w:t xml:space="preserve"> </w:t>
      </w:r>
      <w:proofErr w:type="gramStart"/>
      <w:r w:rsidR="00740BBE">
        <w:rPr>
          <w:rFonts w:ascii="Arial" w:hAnsi="Arial" w:cs="Arial"/>
          <w:bCs/>
          <w:sz w:val="24"/>
          <w:szCs w:val="24"/>
        </w:rPr>
        <w:t>All of</w:t>
      </w:r>
      <w:proofErr w:type="gramEnd"/>
      <w:r w:rsidR="00740BBE">
        <w:rPr>
          <w:rFonts w:ascii="Arial" w:hAnsi="Arial" w:cs="Arial"/>
          <w:bCs/>
          <w:sz w:val="24"/>
          <w:szCs w:val="24"/>
        </w:rPr>
        <w:t xml:space="preserve"> the comment letters expressed </w:t>
      </w:r>
      <w:r w:rsidR="002C635E">
        <w:rPr>
          <w:rFonts w:ascii="Arial" w:hAnsi="Arial" w:cs="Arial"/>
          <w:bCs/>
          <w:sz w:val="24"/>
          <w:szCs w:val="24"/>
        </w:rPr>
        <w:t xml:space="preserve">overall </w:t>
      </w:r>
      <w:r w:rsidR="00740BBE">
        <w:rPr>
          <w:rFonts w:ascii="Arial" w:hAnsi="Arial" w:cs="Arial"/>
          <w:bCs/>
          <w:sz w:val="24"/>
          <w:szCs w:val="24"/>
        </w:rPr>
        <w:t xml:space="preserve">support for the </w:t>
      </w:r>
      <w:r w:rsidR="002C635E">
        <w:rPr>
          <w:rFonts w:ascii="Arial" w:hAnsi="Arial" w:cs="Arial"/>
          <w:bCs/>
          <w:sz w:val="24"/>
          <w:szCs w:val="24"/>
        </w:rPr>
        <w:t>a</w:t>
      </w:r>
      <w:r w:rsidR="00740BBE">
        <w:rPr>
          <w:rFonts w:ascii="Arial" w:hAnsi="Arial" w:cs="Arial"/>
          <w:bCs/>
          <w:sz w:val="24"/>
          <w:szCs w:val="24"/>
        </w:rPr>
        <w:t xml:space="preserve">mendment. </w:t>
      </w:r>
      <w:r w:rsidR="00211A8C">
        <w:rPr>
          <w:rFonts w:ascii="Arial" w:hAnsi="Arial" w:cs="Arial"/>
          <w:bCs/>
          <w:sz w:val="24"/>
          <w:szCs w:val="24"/>
        </w:rPr>
        <w:br/>
      </w:r>
      <w:r w:rsidR="00211A8C">
        <w:rPr>
          <w:rFonts w:ascii="Arial" w:hAnsi="Arial" w:cs="Arial"/>
          <w:bCs/>
          <w:sz w:val="24"/>
          <w:szCs w:val="24"/>
        </w:rPr>
        <w:br/>
      </w:r>
      <w:r w:rsidR="00B81D0F">
        <w:rPr>
          <w:rFonts w:ascii="Arial" w:hAnsi="Arial" w:cs="Arial"/>
          <w:bCs/>
          <w:sz w:val="24"/>
          <w:szCs w:val="24"/>
        </w:rPr>
        <w:t>Twelve</w:t>
      </w:r>
      <w:r w:rsidR="007E6D8C">
        <w:rPr>
          <w:rFonts w:ascii="Arial" w:hAnsi="Arial" w:cs="Arial"/>
          <w:bCs/>
          <w:sz w:val="24"/>
          <w:szCs w:val="24"/>
        </w:rPr>
        <w:t>*</w:t>
      </w:r>
      <w:r w:rsidR="002C635E">
        <w:rPr>
          <w:rFonts w:ascii="Arial" w:hAnsi="Arial" w:cs="Arial"/>
          <w:bCs/>
          <w:sz w:val="24"/>
          <w:szCs w:val="24"/>
        </w:rPr>
        <w:t xml:space="preserve"> of the commenters </w:t>
      </w:r>
      <w:r w:rsidR="007847A2">
        <w:rPr>
          <w:rFonts w:ascii="Arial" w:hAnsi="Arial" w:cs="Arial"/>
          <w:bCs/>
          <w:sz w:val="24"/>
          <w:szCs w:val="24"/>
        </w:rPr>
        <w:t>expressed</w:t>
      </w:r>
      <w:r w:rsidR="002C635E">
        <w:rPr>
          <w:rFonts w:ascii="Arial" w:hAnsi="Arial" w:cs="Arial"/>
          <w:bCs/>
          <w:sz w:val="24"/>
          <w:szCs w:val="24"/>
        </w:rPr>
        <w:t xml:space="preserve"> </w:t>
      </w:r>
      <w:proofErr w:type="gramStart"/>
      <w:r w:rsidR="002C635E">
        <w:rPr>
          <w:rFonts w:ascii="Arial" w:hAnsi="Arial" w:cs="Arial"/>
          <w:bCs/>
          <w:sz w:val="24"/>
          <w:szCs w:val="24"/>
        </w:rPr>
        <w:t>particular support</w:t>
      </w:r>
      <w:proofErr w:type="gramEnd"/>
      <w:r w:rsidR="002C635E">
        <w:rPr>
          <w:rFonts w:ascii="Arial" w:hAnsi="Arial" w:cs="Arial"/>
          <w:bCs/>
          <w:sz w:val="24"/>
          <w:szCs w:val="24"/>
        </w:rPr>
        <w:t xml:space="preserve"> for the </w:t>
      </w:r>
      <w:r w:rsidR="00740BBE">
        <w:rPr>
          <w:rFonts w:ascii="Arial" w:hAnsi="Arial" w:cs="Arial"/>
          <w:bCs/>
          <w:sz w:val="24"/>
          <w:szCs w:val="24"/>
        </w:rPr>
        <w:t>proposal to extend post-partum coverage for 12 months to individuals up to 200% FPL, regardless of immigration status</w:t>
      </w:r>
      <w:r w:rsidR="002C635E">
        <w:rPr>
          <w:rFonts w:ascii="Arial" w:hAnsi="Arial" w:cs="Arial"/>
          <w:bCs/>
          <w:sz w:val="24"/>
          <w:szCs w:val="24"/>
        </w:rPr>
        <w:t xml:space="preserve">, noting that this </w:t>
      </w:r>
      <w:r w:rsidR="007847A2">
        <w:rPr>
          <w:rFonts w:ascii="Arial" w:hAnsi="Arial" w:cs="Arial"/>
          <w:bCs/>
          <w:sz w:val="24"/>
          <w:szCs w:val="24"/>
        </w:rPr>
        <w:t xml:space="preserve">extension would contribute to improved health outcomes for the covered individuals and would be a key </w:t>
      </w:r>
      <w:r w:rsidR="00F91C4C">
        <w:rPr>
          <w:rFonts w:ascii="Arial" w:hAnsi="Arial" w:cs="Arial"/>
          <w:bCs/>
          <w:sz w:val="24"/>
          <w:szCs w:val="24"/>
        </w:rPr>
        <w:t xml:space="preserve">tool </w:t>
      </w:r>
      <w:r w:rsidR="002C635E">
        <w:rPr>
          <w:rFonts w:ascii="Arial" w:hAnsi="Arial" w:cs="Arial"/>
          <w:bCs/>
          <w:sz w:val="24"/>
          <w:szCs w:val="24"/>
        </w:rPr>
        <w:t xml:space="preserve">in addressing maternal health </w:t>
      </w:r>
      <w:r w:rsidR="007847A2">
        <w:rPr>
          <w:rFonts w:ascii="Arial" w:hAnsi="Arial" w:cs="Arial"/>
          <w:bCs/>
          <w:sz w:val="24"/>
          <w:szCs w:val="24"/>
        </w:rPr>
        <w:t xml:space="preserve">disparities. </w:t>
      </w:r>
    </w:p>
    <w:p w14:paraId="35B15EC8" w14:textId="77777777" w:rsidR="00211A8C" w:rsidRDefault="00B81D0F" w:rsidP="00ED1D25">
      <w:pPr>
        <w:divId w:val="1213691618"/>
        <w:rPr>
          <w:rFonts w:ascii="Arial" w:hAnsi="Arial" w:cs="Arial"/>
          <w:bCs/>
          <w:sz w:val="24"/>
          <w:szCs w:val="24"/>
        </w:rPr>
      </w:pPr>
      <w:r>
        <w:rPr>
          <w:rFonts w:ascii="Arial" w:hAnsi="Arial" w:cs="Arial"/>
          <w:bCs/>
          <w:sz w:val="24"/>
          <w:szCs w:val="24"/>
        </w:rPr>
        <w:t>Five</w:t>
      </w:r>
      <w:r w:rsidR="007E6D8C">
        <w:rPr>
          <w:rFonts w:ascii="Arial" w:hAnsi="Arial" w:cs="Arial"/>
          <w:bCs/>
          <w:sz w:val="24"/>
          <w:szCs w:val="24"/>
        </w:rPr>
        <w:t>*</w:t>
      </w:r>
      <w:r w:rsidR="007847A2">
        <w:rPr>
          <w:rFonts w:ascii="Arial" w:hAnsi="Arial" w:cs="Arial"/>
          <w:bCs/>
          <w:sz w:val="24"/>
          <w:szCs w:val="24"/>
        </w:rPr>
        <w:t xml:space="preserve"> commenters expressed particular support for the proposal to allow the provision of clinic services outside of the clinic, noting </w:t>
      </w:r>
      <w:r w:rsidR="00211A8C">
        <w:rPr>
          <w:rFonts w:ascii="Arial" w:hAnsi="Arial" w:cs="Arial"/>
          <w:bCs/>
          <w:sz w:val="24"/>
          <w:szCs w:val="24"/>
        </w:rPr>
        <w:t>that this flexibility will enhance access to clinically appropriate behavioral healthcare</w:t>
      </w:r>
      <w:r w:rsidR="00F14DC9">
        <w:rPr>
          <w:rFonts w:ascii="Arial" w:hAnsi="Arial" w:cs="Arial"/>
          <w:bCs/>
          <w:sz w:val="24"/>
          <w:szCs w:val="24"/>
        </w:rPr>
        <w:t xml:space="preserve"> and to </w:t>
      </w:r>
      <w:proofErr w:type="gramStart"/>
      <w:r w:rsidR="00F14DC9">
        <w:rPr>
          <w:rFonts w:ascii="Arial" w:hAnsi="Arial" w:cs="Arial"/>
          <w:bCs/>
          <w:sz w:val="24"/>
          <w:szCs w:val="24"/>
        </w:rPr>
        <w:t>community based</w:t>
      </w:r>
      <w:proofErr w:type="gramEnd"/>
      <w:r w:rsidR="00F14DC9">
        <w:rPr>
          <w:rFonts w:ascii="Arial" w:hAnsi="Arial" w:cs="Arial"/>
          <w:bCs/>
          <w:sz w:val="24"/>
          <w:szCs w:val="24"/>
        </w:rPr>
        <w:t xml:space="preserve"> care</w:t>
      </w:r>
      <w:r w:rsidR="00211A8C">
        <w:rPr>
          <w:rFonts w:ascii="Arial" w:hAnsi="Arial" w:cs="Arial"/>
          <w:bCs/>
          <w:sz w:val="24"/>
          <w:szCs w:val="24"/>
        </w:rPr>
        <w:t>.</w:t>
      </w:r>
    </w:p>
    <w:p w14:paraId="708DF86B" w14:textId="77777777" w:rsidR="001461C4" w:rsidRDefault="00211A8C" w:rsidP="00ED1D25">
      <w:pPr>
        <w:divId w:val="1213691618"/>
        <w:rPr>
          <w:rFonts w:ascii="Arial" w:hAnsi="Arial" w:cs="Arial"/>
          <w:bCs/>
          <w:sz w:val="24"/>
          <w:szCs w:val="24"/>
        </w:rPr>
      </w:pPr>
      <w:r>
        <w:rPr>
          <w:rFonts w:ascii="Arial" w:hAnsi="Arial" w:cs="Arial"/>
          <w:bCs/>
          <w:sz w:val="24"/>
          <w:szCs w:val="24"/>
        </w:rPr>
        <w:t>Five</w:t>
      </w:r>
      <w:r w:rsidR="007E6D8C">
        <w:rPr>
          <w:rFonts w:ascii="Arial" w:hAnsi="Arial" w:cs="Arial"/>
          <w:bCs/>
          <w:sz w:val="24"/>
          <w:szCs w:val="24"/>
        </w:rPr>
        <w:t>*</w:t>
      </w:r>
      <w:r>
        <w:rPr>
          <w:rFonts w:ascii="Arial" w:hAnsi="Arial" w:cs="Arial"/>
          <w:bCs/>
          <w:sz w:val="24"/>
          <w:szCs w:val="24"/>
        </w:rPr>
        <w:t xml:space="preserve"> commenters expressed </w:t>
      </w:r>
      <w:proofErr w:type="gramStart"/>
      <w:r>
        <w:rPr>
          <w:rFonts w:ascii="Arial" w:hAnsi="Arial" w:cs="Arial"/>
          <w:bCs/>
          <w:sz w:val="24"/>
          <w:szCs w:val="24"/>
        </w:rPr>
        <w:t>particular support</w:t>
      </w:r>
      <w:proofErr w:type="gramEnd"/>
      <w:r>
        <w:rPr>
          <w:rFonts w:ascii="Arial" w:hAnsi="Arial" w:cs="Arial"/>
          <w:bCs/>
          <w:sz w:val="24"/>
          <w:szCs w:val="24"/>
        </w:rPr>
        <w:t xml:space="preserve"> for the proposal to provide Community Support Program services to Justice Involved Individuals, noting that the services will improve the health and stability of the members and support a successful transition to the community.  </w:t>
      </w:r>
      <w:r>
        <w:rPr>
          <w:rFonts w:ascii="Arial" w:hAnsi="Arial" w:cs="Arial"/>
          <w:bCs/>
          <w:sz w:val="24"/>
          <w:szCs w:val="24"/>
        </w:rPr>
        <w:br/>
      </w:r>
      <w:r>
        <w:rPr>
          <w:rFonts w:ascii="Arial" w:hAnsi="Arial" w:cs="Arial"/>
          <w:bCs/>
          <w:sz w:val="24"/>
          <w:szCs w:val="24"/>
        </w:rPr>
        <w:br/>
      </w:r>
      <w:r w:rsidR="00B81D0F">
        <w:rPr>
          <w:rFonts w:ascii="Arial" w:hAnsi="Arial" w:cs="Arial"/>
          <w:bCs/>
          <w:sz w:val="24"/>
          <w:szCs w:val="24"/>
        </w:rPr>
        <w:t>Three</w:t>
      </w:r>
      <w:r w:rsidR="007E6D8C">
        <w:rPr>
          <w:rFonts w:ascii="Arial" w:hAnsi="Arial" w:cs="Arial"/>
          <w:bCs/>
          <w:sz w:val="24"/>
          <w:szCs w:val="24"/>
        </w:rPr>
        <w:t>*</w:t>
      </w:r>
      <w:r>
        <w:rPr>
          <w:rFonts w:ascii="Arial" w:hAnsi="Arial" w:cs="Arial"/>
          <w:bCs/>
          <w:sz w:val="24"/>
          <w:szCs w:val="24"/>
        </w:rPr>
        <w:t xml:space="preserve"> commenters expressed </w:t>
      </w:r>
      <w:proofErr w:type="gramStart"/>
      <w:r>
        <w:rPr>
          <w:rFonts w:ascii="Arial" w:hAnsi="Arial" w:cs="Arial"/>
          <w:bCs/>
          <w:sz w:val="24"/>
          <w:szCs w:val="24"/>
        </w:rPr>
        <w:t>particular support</w:t>
      </w:r>
      <w:proofErr w:type="gramEnd"/>
      <w:r>
        <w:rPr>
          <w:rFonts w:ascii="Arial" w:hAnsi="Arial" w:cs="Arial"/>
          <w:bCs/>
          <w:sz w:val="24"/>
          <w:szCs w:val="24"/>
        </w:rPr>
        <w:t xml:space="preserve"> for the proposed flexibilities that would allow further expansion of eligibility for the Medicare Savings Programs</w:t>
      </w:r>
      <w:r w:rsidR="00F14DC9">
        <w:rPr>
          <w:rFonts w:ascii="Arial" w:hAnsi="Arial" w:cs="Arial"/>
          <w:bCs/>
          <w:sz w:val="24"/>
          <w:szCs w:val="24"/>
        </w:rPr>
        <w:t xml:space="preserve">, noting that this would </w:t>
      </w:r>
      <w:r w:rsidR="002F3C4E">
        <w:rPr>
          <w:rFonts w:ascii="Arial" w:hAnsi="Arial" w:cs="Arial"/>
          <w:bCs/>
          <w:sz w:val="24"/>
          <w:szCs w:val="24"/>
        </w:rPr>
        <w:t xml:space="preserve">improve the affordability of health care and strengthen </w:t>
      </w:r>
      <w:r w:rsidR="0084627D">
        <w:rPr>
          <w:rFonts w:ascii="Arial" w:hAnsi="Arial" w:cs="Arial"/>
          <w:bCs/>
          <w:sz w:val="24"/>
          <w:szCs w:val="24"/>
        </w:rPr>
        <w:t xml:space="preserve">economic security </w:t>
      </w:r>
      <w:r w:rsidR="00F14DC9">
        <w:rPr>
          <w:rFonts w:ascii="Arial" w:hAnsi="Arial" w:cs="Arial"/>
          <w:bCs/>
          <w:sz w:val="24"/>
          <w:szCs w:val="24"/>
        </w:rPr>
        <w:t xml:space="preserve">for the newly eligible members.  </w:t>
      </w:r>
      <w:r w:rsidR="00E96817">
        <w:rPr>
          <w:rFonts w:ascii="Arial" w:hAnsi="Arial" w:cs="Arial"/>
          <w:bCs/>
          <w:sz w:val="24"/>
          <w:szCs w:val="24"/>
        </w:rPr>
        <w:t xml:space="preserve"> </w:t>
      </w:r>
      <w:r w:rsidR="00F14DC9">
        <w:rPr>
          <w:rFonts w:ascii="Arial" w:hAnsi="Arial" w:cs="Arial"/>
          <w:bCs/>
          <w:sz w:val="24"/>
          <w:szCs w:val="24"/>
        </w:rPr>
        <w:br/>
      </w:r>
      <w:r w:rsidR="00F14DC9">
        <w:rPr>
          <w:rFonts w:ascii="Arial" w:hAnsi="Arial" w:cs="Arial"/>
          <w:bCs/>
          <w:sz w:val="24"/>
          <w:szCs w:val="24"/>
        </w:rPr>
        <w:br/>
        <w:t xml:space="preserve">Finally, </w:t>
      </w:r>
      <w:r w:rsidR="00E96817">
        <w:rPr>
          <w:rFonts w:ascii="Arial" w:hAnsi="Arial" w:cs="Arial"/>
          <w:bCs/>
          <w:sz w:val="24"/>
          <w:szCs w:val="24"/>
        </w:rPr>
        <w:t>four</w:t>
      </w:r>
      <w:r w:rsidR="007E6D8C">
        <w:rPr>
          <w:rFonts w:ascii="Arial" w:hAnsi="Arial" w:cs="Arial"/>
          <w:bCs/>
          <w:sz w:val="24"/>
          <w:szCs w:val="24"/>
        </w:rPr>
        <w:t>*</w:t>
      </w:r>
      <w:r w:rsidR="00E96817">
        <w:rPr>
          <w:rFonts w:ascii="Arial" w:hAnsi="Arial" w:cs="Arial"/>
          <w:bCs/>
          <w:sz w:val="24"/>
          <w:szCs w:val="24"/>
        </w:rPr>
        <w:t xml:space="preserve"> commenters expressed particular support for the proposal to authorize the Hospital at Home program beyond the COVID-19 public health emergency</w:t>
      </w:r>
      <w:r w:rsidR="00D019D7">
        <w:rPr>
          <w:rFonts w:ascii="Arial" w:hAnsi="Arial" w:cs="Arial"/>
          <w:bCs/>
          <w:sz w:val="24"/>
          <w:szCs w:val="24"/>
        </w:rPr>
        <w:t>, noting</w:t>
      </w:r>
      <w:r w:rsidR="00F14DC9">
        <w:rPr>
          <w:rFonts w:ascii="Arial" w:hAnsi="Arial" w:cs="Arial"/>
          <w:bCs/>
          <w:sz w:val="24"/>
          <w:szCs w:val="24"/>
        </w:rPr>
        <w:t xml:space="preserve"> this program improves health outcomes while reducing costs.</w:t>
      </w:r>
      <w:r>
        <w:rPr>
          <w:rFonts w:ascii="Arial" w:hAnsi="Arial" w:cs="Arial"/>
          <w:bCs/>
          <w:sz w:val="24"/>
          <w:szCs w:val="24"/>
        </w:rPr>
        <w:br/>
      </w:r>
      <w:r>
        <w:rPr>
          <w:rFonts w:ascii="Arial" w:hAnsi="Arial" w:cs="Arial"/>
          <w:bCs/>
          <w:sz w:val="24"/>
          <w:szCs w:val="24"/>
        </w:rPr>
        <w:br/>
      </w:r>
      <w:r w:rsidR="00740BBE">
        <w:rPr>
          <w:rFonts w:ascii="Arial" w:hAnsi="Arial" w:cs="Arial"/>
          <w:bCs/>
          <w:sz w:val="24"/>
          <w:szCs w:val="24"/>
        </w:rPr>
        <w:t>Two</w:t>
      </w:r>
      <w:r w:rsidR="007E6D8C">
        <w:rPr>
          <w:rFonts w:ascii="Arial" w:hAnsi="Arial" w:cs="Arial"/>
          <w:bCs/>
          <w:sz w:val="24"/>
          <w:szCs w:val="24"/>
        </w:rPr>
        <w:t>*</w:t>
      </w:r>
      <w:r w:rsidR="00740BBE">
        <w:rPr>
          <w:rFonts w:ascii="Arial" w:hAnsi="Arial" w:cs="Arial"/>
          <w:bCs/>
          <w:sz w:val="24"/>
          <w:szCs w:val="24"/>
        </w:rPr>
        <w:t xml:space="preserve"> commenters, while expressing support for the amendment, also </w:t>
      </w:r>
      <w:r w:rsidR="00E21C9D">
        <w:rPr>
          <w:rFonts w:ascii="Arial" w:hAnsi="Arial" w:cs="Arial"/>
          <w:bCs/>
          <w:sz w:val="24"/>
          <w:szCs w:val="24"/>
        </w:rPr>
        <w:t xml:space="preserve">requested that MassHealth discontinue its waiver of the three month retroactive eligibility requirement and to continue the policy, temporarily in place during the COVID-19 public health emergency, to grant all applicants three months of retroactive eligibility. </w:t>
      </w:r>
      <w:r w:rsidR="00F14DC9">
        <w:rPr>
          <w:rFonts w:ascii="Arial" w:hAnsi="Arial" w:cs="Arial"/>
          <w:bCs/>
          <w:sz w:val="24"/>
          <w:szCs w:val="24"/>
        </w:rPr>
        <w:t xml:space="preserve">MassHealth is reviewing and considering this issue as part of its upcoming request to extend the 1115 demonstration.  </w:t>
      </w:r>
    </w:p>
    <w:p w14:paraId="118011F1" w14:textId="77777777" w:rsidR="00F14DC9" w:rsidRDefault="001461C4" w:rsidP="0017193D">
      <w:pPr>
        <w:divId w:val="1213691618"/>
        <w:rPr>
          <w:rFonts w:ascii="Arial" w:hAnsi="Arial" w:cs="Arial"/>
          <w:b/>
          <w:sz w:val="24"/>
          <w:szCs w:val="24"/>
          <w:u w:val="single"/>
        </w:rPr>
      </w:pPr>
      <w:r>
        <w:rPr>
          <w:rFonts w:ascii="Arial" w:hAnsi="Arial" w:cs="Arial"/>
          <w:bCs/>
          <w:sz w:val="24"/>
          <w:szCs w:val="24"/>
        </w:rPr>
        <w:t>After reviewing and considering the comments received, the Commonwealth does not propose any changes to the proposal as originally posted for public comment.</w:t>
      </w:r>
      <w:r w:rsidR="00D736E5" w:rsidRPr="00D42B64">
        <w:rPr>
          <w:rFonts w:ascii="Arial" w:hAnsi="Arial" w:cs="Arial"/>
          <w:b/>
          <w:bCs/>
          <w:sz w:val="24"/>
          <w:szCs w:val="24"/>
        </w:rPr>
        <w:br/>
      </w:r>
    </w:p>
    <w:p w14:paraId="793D01C5" w14:textId="77777777" w:rsidR="007E6D8C" w:rsidRPr="00B81D0F" w:rsidRDefault="007E6D8C" w:rsidP="0017193D">
      <w:pPr>
        <w:divId w:val="1213691618"/>
        <w:rPr>
          <w:rFonts w:ascii="Arial" w:hAnsi="Arial" w:cs="Arial"/>
          <w:bCs/>
          <w:sz w:val="24"/>
          <w:szCs w:val="24"/>
        </w:rPr>
      </w:pPr>
      <w:r w:rsidRPr="00B81D0F">
        <w:rPr>
          <w:rFonts w:ascii="Arial" w:hAnsi="Arial" w:cs="Arial"/>
          <w:bCs/>
          <w:sz w:val="24"/>
          <w:szCs w:val="24"/>
        </w:rPr>
        <w:t xml:space="preserve">* </w:t>
      </w:r>
      <w:proofErr w:type="gramStart"/>
      <w:r w:rsidR="00B81D0F">
        <w:rPr>
          <w:rFonts w:ascii="Arial" w:hAnsi="Arial" w:cs="Arial"/>
          <w:bCs/>
          <w:sz w:val="24"/>
          <w:szCs w:val="24"/>
        </w:rPr>
        <w:t>i</w:t>
      </w:r>
      <w:r w:rsidRPr="00B81D0F">
        <w:rPr>
          <w:rFonts w:ascii="Arial" w:hAnsi="Arial" w:cs="Arial"/>
          <w:bCs/>
          <w:sz w:val="24"/>
          <w:szCs w:val="24"/>
        </w:rPr>
        <w:t>ncluding</w:t>
      </w:r>
      <w:proofErr w:type="gramEnd"/>
      <w:r w:rsidRPr="00B81D0F">
        <w:rPr>
          <w:rFonts w:ascii="Arial" w:hAnsi="Arial" w:cs="Arial"/>
          <w:bCs/>
          <w:sz w:val="24"/>
          <w:szCs w:val="24"/>
        </w:rPr>
        <w:t xml:space="preserve"> the comment letter written on behalf of fifteen additional organizations</w:t>
      </w:r>
    </w:p>
    <w:p w14:paraId="3479DDC0" w14:textId="77777777" w:rsidR="00B81D0F" w:rsidRDefault="00B81D0F" w:rsidP="0017193D">
      <w:pPr>
        <w:divId w:val="1213691618"/>
        <w:rPr>
          <w:rFonts w:ascii="Arial" w:hAnsi="Arial" w:cs="Arial"/>
          <w:b/>
          <w:sz w:val="24"/>
          <w:szCs w:val="24"/>
          <w:u w:val="single"/>
        </w:rPr>
      </w:pPr>
    </w:p>
    <w:p w14:paraId="423CD9E7" w14:textId="6DAA044E" w:rsidR="005D1258" w:rsidRPr="00780B58" w:rsidRDefault="00780B58" w:rsidP="0017193D">
      <w:pPr>
        <w:divId w:val="1213691618"/>
        <w:rPr>
          <w:rFonts w:ascii="Arial" w:hAnsi="Arial" w:cs="Arial"/>
          <w:bCs/>
          <w:sz w:val="24"/>
          <w:szCs w:val="24"/>
        </w:rPr>
      </w:pPr>
      <w:r w:rsidRPr="00780B58">
        <w:rPr>
          <w:rFonts w:ascii="Arial" w:hAnsi="Arial" w:cs="Arial"/>
          <w:bCs/>
          <w:sz w:val="24"/>
          <w:szCs w:val="24"/>
        </w:rPr>
        <w:t>Given the supportive comments at the public hearing and in the comment letters, we have not made any changes to the request as posted for public comment.</w:t>
      </w:r>
    </w:p>
    <w:p w14:paraId="69E4F335" w14:textId="77777777" w:rsidR="005D1258" w:rsidRDefault="005D1258" w:rsidP="0017193D">
      <w:pPr>
        <w:divId w:val="1213691618"/>
        <w:rPr>
          <w:rFonts w:ascii="Arial" w:hAnsi="Arial" w:cs="Arial"/>
          <w:b/>
          <w:sz w:val="24"/>
          <w:szCs w:val="24"/>
          <w:u w:val="single"/>
        </w:rPr>
      </w:pPr>
    </w:p>
    <w:p w14:paraId="510AD898" w14:textId="77777777" w:rsidR="0017193D" w:rsidRPr="00D42B64" w:rsidRDefault="006835CF" w:rsidP="0017193D">
      <w:pPr>
        <w:divId w:val="1213691618"/>
        <w:rPr>
          <w:rFonts w:ascii="Arial" w:hAnsi="Arial" w:cs="Arial"/>
          <w:b/>
          <w:sz w:val="24"/>
          <w:szCs w:val="24"/>
          <w:u w:val="single"/>
        </w:rPr>
      </w:pPr>
      <w:r w:rsidRPr="00D42B64">
        <w:rPr>
          <w:rFonts w:ascii="Arial" w:hAnsi="Arial" w:cs="Arial"/>
          <w:b/>
          <w:sz w:val="24"/>
          <w:szCs w:val="24"/>
          <w:u w:val="single"/>
        </w:rPr>
        <w:t>Conclusion</w:t>
      </w:r>
      <w:r w:rsidRPr="00D42B64">
        <w:rPr>
          <w:rFonts w:ascii="Arial" w:hAnsi="Arial" w:cs="Arial"/>
          <w:sz w:val="24"/>
          <w:szCs w:val="24"/>
        </w:rPr>
        <w:t xml:space="preserve"> </w:t>
      </w:r>
    </w:p>
    <w:p w14:paraId="2824238D" w14:textId="77777777" w:rsidR="00D736E5" w:rsidRPr="00D42B64" w:rsidRDefault="0017193D" w:rsidP="00D13F26">
      <w:pPr>
        <w:divId w:val="1213691618"/>
        <w:rPr>
          <w:rFonts w:ascii="Arial" w:hAnsi="Arial" w:cs="Arial"/>
          <w:sz w:val="24"/>
          <w:szCs w:val="24"/>
        </w:rPr>
      </w:pPr>
      <w:r w:rsidRPr="00D42B64">
        <w:rPr>
          <w:rFonts w:ascii="Arial" w:hAnsi="Arial" w:cs="Arial"/>
          <w:sz w:val="24"/>
          <w:szCs w:val="24"/>
        </w:rPr>
        <w:t xml:space="preserve">The proposed </w:t>
      </w:r>
      <w:r w:rsidR="006835CF" w:rsidRPr="00D42B64">
        <w:rPr>
          <w:rFonts w:ascii="Arial" w:hAnsi="Arial" w:cs="Arial"/>
          <w:sz w:val="24"/>
          <w:szCs w:val="24"/>
        </w:rPr>
        <w:t xml:space="preserve">flexibilities described </w:t>
      </w:r>
      <w:r w:rsidRPr="00D42B64">
        <w:rPr>
          <w:rFonts w:ascii="Arial" w:hAnsi="Arial" w:cs="Arial"/>
          <w:sz w:val="24"/>
          <w:szCs w:val="24"/>
        </w:rPr>
        <w:t xml:space="preserve">in the </w:t>
      </w:r>
      <w:r w:rsidR="00C7762A">
        <w:rPr>
          <w:rFonts w:ascii="Arial" w:hAnsi="Arial" w:cs="Arial"/>
          <w:sz w:val="24"/>
          <w:szCs w:val="24"/>
        </w:rPr>
        <w:t>d</w:t>
      </w:r>
      <w:r w:rsidRPr="00D42B64">
        <w:rPr>
          <w:rFonts w:ascii="Arial" w:hAnsi="Arial" w:cs="Arial"/>
          <w:sz w:val="24"/>
          <w:szCs w:val="24"/>
        </w:rPr>
        <w:t xml:space="preserve">emonstration </w:t>
      </w:r>
      <w:r w:rsidR="00C7762A">
        <w:rPr>
          <w:rFonts w:ascii="Arial" w:hAnsi="Arial" w:cs="Arial"/>
          <w:sz w:val="24"/>
          <w:szCs w:val="24"/>
        </w:rPr>
        <w:t>a</w:t>
      </w:r>
      <w:r w:rsidRPr="00D42B64">
        <w:rPr>
          <w:rFonts w:ascii="Arial" w:hAnsi="Arial" w:cs="Arial"/>
          <w:sz w:val="24"/>
          <w:szCs w:val="24"/>
        </w:rPr>
        <w:t>mendment request</w:t>
      </w:r>
      <w:r w:rsidR="006835CF" w:rsidRPr="00D42B64">
        <w:rPr>
          <w:rFonts w:ascii="Arial" w:hAnsi="Arial" w:cs="Arial"/>
          <w:sz w:val="24"/>
          <w:szCs w:val="24"/>
        </w:rPr>
        <w:t xml:space="preserve"> build on </w:t>
      </w:r>
      <w:r w:rsidRPr="00D42B64">
        <w:rPr>
          <w:rFonts w:ascii="Arial" w:hAnsi="Arial" w:cs="Arial"/>
          <w:sz w:val="24"/>
          <w:szCs w:val="24"/>
        </w:rPr>
        <w:t>the Commonwealth’s</w:t>
      </w:r>
      <w:r w:rsidR="006835CF" w:rsidRPr="00D42B64">
        <w:rPr>
          <w:rFonts w:ascii="Arial" w:hAnsi="Arial" w:cs="Arial"/>
          <w:sz w:val="24"/>
          <w:szCs w:val="24"/>
        </w:rPr>
        <w:t xml:space="preserve"> current efforts to </w:t>
      </w:r>
      <w:r w:rsidR="006C4CE9">
        <w:rPr>
          <w:rFonts w:ascii="Arial" w:hAnsi="Arial" w:cs="Arial"/>
          <w:sz w:val="24"/>
          <w:szCs w:val="24"/>
        </w:rPr>
        <w:t xml:space="preserve">maintain near universal health care coverage through coverage expansion and would authorize the provision of services in non-traditional locations. </w:t>
      </w:r>
      <w:r w:rsidR="006835CF" w:rsidRPr="00D42B64">
        <w:rPr>
          <w:rFonts w:ascii="Arial" w:hAnsi="Arial" w:cs="Arial"/>
          <w:sz w:val="24"/>
          <w:szCs w:val="24"/>
        </w:rPr>
        <w:t xml:space="preserve"> These flexibilities will allow us to </w:t>
      </w:r>
      <w:r w:rsidR="006C4CE9">
        <w:rPr>
          <w:rFonts w:ascii="Arial" w:hAnsi="Arial" w:cs="Arial"/>
          <w:sz w:val="24"/>
          <w:szCs w:val="24"/>
        </w:rPr>
        <w:t xml:space="preserve">comply with state law </w:t>
      </w:r>
      <w:r w:rsidR="00B0380D">
        <w:rPr>
          <w:rFonts w:ascii="Arial" w:hAnsi="Arial" w:cs="Arial"/>
          <w:sz w:val="24"/>
          <w:szCs w:val="24"/>
        </w:rPr>
        <w:t xml:space="preserve">by </w:t>
      </w:r>
      <w:r w:rsidR="006C4CE9">
        <w:rPr>
          <w:rFonts w:ascii="Arial" w:hAnsi="Arial" w:cs="Arial"/>
          <w:sz w:val="24"/>
          <w:szCs w:val="24"/>
        </w:rPr>
        <w:t>increas</w:t>
      </w:r>
      <w:r w:rsidR="00B0380D">
        <w:rPr>
          <w:rFonts w:ascii="Arial" w:hAnsi="Arial" w:cs="Arial"/>
          <w:sz w:val="24"/>
          <w:szCs w:val="24"/>
        </w:rPr>
        <w:t>ing</w:t>
      </w:r>
      <w:r w:rsidR="006C4CE9">
        <w:rPr>
          <w:rFonts w:ascii="Arial" w:hAnsi="Arial" w:cs="Arial"/>
          <w:sz w:val="24"/>
          <w:szCs w:val="24"/>
        </w:rPr>
        <w:t xml:space="preserve"> the number of individual</w:t>
      </w:r>
      <w:r w:rsidR="00B0380D">
        <w:rPr>
          <w:rFonts w:ascii="Arial" w:hAnsi="Arial" w:cs="Arial"/>
          <w:sz w:val="24"/>
          <w:szCs w:val="24"/>
        </w:rPr>
        <w:t>s</w:t>
      </w:r>
      <w:r w:rsidR="006C4CE9">
        <w:rPr>
          <w:rFonts w:ascii="Arial" w:hAnsi="Arial" w:cs="Arial"/>
          <w:sz w:val="24"/>
          <w:szCs w:val="24"/>
        </w:rPr>
        <w:t xml:space="preserve"> receiving Medicare Savings Program benefits</w:t>
      </w:r>
      <w:r w:rsidR="00B0380D">
        <w:rPr>
          <w:rFonts w:ascii="Arial" w:hAnsi="Arial" w:cs="Arial"/>
          <w:sz w:val="24"/>
          <w:szCs w:val="24"/>
        </w:rPr>
        <w:t xml:space="preserve"> and will provide crucial support to the vulnerable justice-involved population upon returning to the community </w:t>
      </w:r>
      <w:proofErr w:type="gramStart"/>
      <w:r w:rsidR="00B0380D">
        <w:rPr>
          <w:rFonts w:ascii="Arial" w:hAnsi="Arial" w:cs="Arial"/>
          <w:sz w:val="24"/>
          <w:szCs w:val="24"/>
        </w:rPr>
        <w:t>in order to</w:t>
      </w:r>
      <w:proofErr w:type="gramEnd"/>
      <w:r w:rsidR="00B0380D">
        <w:rPr>
          <w:rFonts w:ascii="Arial" w:hAnsi="Arial" w:cs="Arial"/>
          <w:sz w:val="24"/>
          <w:szCs w:val="24"/>
        </w:rPr>
        <w:t xml:space="preserve"> address behavioral health and substance use disorder needs, while also addressing racial and ethnic health disparities.  Finally, the flexibility </w:t>
      </w:r>
      <w:r w:rsidR="006C4CE9">
        <w:rPr>
          <w:rFonts w:ascii="Arial" w:hAnsi="Arial" w:cs="Arial"/>
          <w:sz w:val="24"/>
          <w:szCs w:val="24"/>
        </w:rPr>
        <w:t xml:space="preserve">will </w:t>
      </w:r>
      <w:r w:rsidR="00B0380D">
        <w:rPr>
          <w:rFonts w:ascii="Arial" w:hAnsi="Arial" w:cs="Arial"/>
          <w:sz w:val="24"/>
          <w:szCs w:val="24"/>
        </w:rPr>
        <w:t xml:space="preserve">also </w:t>
      </w:r>
      <w:r w:rsidR="006C4CE9">
        <w:rPr>
          <w:rFonts w:ascii="Arial" w:hAnsi="Arial" w:cs="Arial"/>
          <w:sz w:val="24"/>
          <w:szCs w:val="24"/>
        </w:rPr>
        <w:t>allow the state to test the efficacy o</w:t>
      </w:r>
      <w:r w:rsidR="00B0380D">
        <w:rPr>
          <w:rFonts w:ascii="Arial" w:hAnsi="Arial" w:cs="Arial"/>
          <w:sz w:val="24"/>
          <w:szCs w:val="24"/>
        </w:rPr>
        <w:t xml:space="preserve">f providing services outside traditional settings of care. </w:t>
      </w:r>
      <w:r w:rsidR="006835CF" w:rsidRPr="00D42B64">
        <w:rPr>
          <w:rFonts w:ascii="Arial" w:hAnsi="Arial" w:cs="Arial"/>
          <w:sz w:val="24"/>
          <w:szCs w:val="24"/>
        </w:rPr>
        <w:t xml:space="preserve">The Commonwealth appreciates this opportunity to amend our 1115 </w:t>
      </w:r>
      <w:r w:rsidRPr="00D42B64">
        <w:rPr>
          <w:rFonts w:ascii="Arial" w:hAnsi="Arial" w:cs="Arial"/>
          <w:sz w:val="24"/>
          <w:szCs w:val="24"/>
        </w:rPr>
        <w:t>d</w:t>
      </w:r>
      <w:r w:rsidR="006835CF" w:rsidRPr="00D42B64">
        <w:rPr>
          <w:rFonts w:ascii="Arial" w:hAnsi="Arial" w:cs="Arial"/>
          <w:sz w:val="24"/>
          <w:szCs w:val="24"/>
        </w:rPr>
        <w:t>emonstration and to continue to work with CMS to improve health care outcomes for the people of the Commonwealth.</w:t>
      </w:r>
      <w:r w:rsidR="006835CF" w:rsidRPr="00D42B64" w:rsidDel="006835CF">
        <w:rPr>
          <w:rFonts w:ascii="Arial" w:hAnsi="Arial" w:cs="Arial"/>
          <w:sz w:val="24"/>
          <w:szCs w:val="24"/>
        </w:rPr>
        <w:t xml:space="preserve"> </w:t>
      </w:r>
    </w:p>
    <w:p w14:paraId="0D749405" w14:textId="77777777" w:rsidR="009C1658" w:rsidRDefault="009C1658" w:rsidP="00D736E5">
      <w:pPr>
        <w:divId w:val="1213691618"/>
        <w:rPr>
          <w:rFonts w:ascii="Arial" w:hAnsi="Arial" w:cs="Arial"/>
          <w:b/>
          <w:sz w:val="24"/>
          <w:szCs w:val="24"/>
          <w:u w:val="single"/>
        </w:rPr>
      </w:pPr>
    </w:p>
    <w:p w14:paraId="4C5F3558" w14:textId="77777777" w:rsidR="00D736E5" w:rsidRPr="00D42B64" w:rsidRDefault="00D736E5" w:rsidP="00D736E5">
      <w:pPr>
        <w:divId w:val="1213691618"/>
        <w:rPr>
          <w:rFonts w:ascii="Arial" w:hAnsi="Arial" w:cs="Arial"/>
          <w:sz w:val="24"/>
          <w:szCs w:val="24"/>
        </w:rPr>
      </w:pPr>
      <w:r w:rsidRPr="00D42B64">
        <w:rPr>
          <w:rFonts w:ascii="Arial" w:hAnsi="Arial" w:cs="Arial"/>
          <w:b/>
          <w:sz w:val="24"/>
          <w:szCs w:val="24"/>
          <w:u w:val="single"/>
        </w:rPr>
        <w:t>State Contact</w:t>
      </w:r>
    </w:p>
    <w:p w14:paraId="7B8E4D47" w14:textId="77777777" w:rsidR="00D736E5" w:rsidRPr="00D42B64" w:rsidRDefault="00D736E5" w:rsidP="00D736E5">
      <w:pPr>
        <w:divId w:val="1213691618"/>
        <w:rPr>
          <w:rFonts w:ascii="Arial" w:hAnsi="Arial" w:cs="Arial"/>
          <w:sz w:val="24"/>
          <w:szCs w:val="24"/>
        </w:rPr>
      </w:pPr>
      <w:r w:rsidRPr="00D42B64">
        <w:rPr>
          <w:rFonts w:ascii="Arial" w:hAnsi="Arial" w:cs="Arial"/>
          <w:sz w:val="24"/>
          <w:szCs w:val="24"/>
        </w:rPr>
        <w:t>Daniel Tsai</w:t>
      </w:r>
      <w:r w:rsidRPr="00D42B64">
        <w:rPr>
          <w:rFonts w:ascii="Arial" w:hAnsi="Arial" w:cs="Arial"/>
          <w:sz w:val="24"/>
          <w:szCs w:val="24"/>
        </w:rPr>
        <w:br/>
      </w:r>
      <w:r w:rsidR="00C675E8">
        <w:rPr>
          <w:rFonts w:ascii="Arial" w:hAnsi="Arial" w:cs="Arial"/>
          <w:sz w:val="24"/>
          <w:szCs w:val="24"/>
        </w:rPr>
        <w:t xml:space="preserve">Assistant </w:t>
      </w:r>
      <w:r w:rsidRPr="00D42B64">
        <w:rPr>
          <w:rFonts w:ascii="Arial" w:hAnsi="Arial" w:cs="Arial"/>
          <w:sz w:val="24"/>
          <w:szCs w:val="24"/>
        </w:rPr>
        <w:t>Secretary</w:t>
      </w:r>
      <w:r w:rsidR="00C675E8">
        <w:rPr>
          <w:rFonts w:ascii="Arial" w:hAnsi="Arial" w:cs="Arial"/>
          <w:sz w:val="24"/>
          <w:szCs w:val="24"/>
        </w:rPr>
        <w:t xml:space="preserve"> for</w:t>
      </w:r>
      <w:r w:rsidRPr="00D42B64">
        <w:rPr>
          <w:rFonts w:ascii="Arial" w:hAnsi="Arial" w:cs="Arial"/>
          <w:sz w:val="24"/>
          <w:szCs w:val="24"/>
        </w:rPr>
        <w:t xml:space="preserve"> MassHealth</w:t>
      </w:r>
      <w:r w:rsidR="00C675E8">
        <w:rPr>
          <w:rFonts w:ascii="Arial" w:hAnsi="Arial" w:cs="Arial"/>
          <w:sz w:val="24"/>
          <w:szCs w:val="24"/>
        </w:rPr>
        <w:t xml:space="preserve"> and Medicaid Director</w:t>
      </w:r>
      <w:r w:rsidRPr="00D42B64">
        <w:rPr>
          <w:rFonts w:ascii="Arial" w:hAnsi="Arial" w:cs="Arial"/>
          <w:sz w:val="24"/>
          <w:szCs w:val="24"/>
        </w:rPr>
        <w:br/>
        <w:t xml:space="preserve">Executive Office of Health and Human Services </w:t>
      </w:r>
      <w:r w:rsidRPr="00D42B64">
        <w:rPr>
          <w:rFonts w:ascii="Arial" w:hAnsi="Arial" w:cs="Arial"/>
          <w:sz w:val="24"/>
          <w:szCs w:val="24"/>
        </w:rPr>
        <w:br/>
        <w:t xml:space="preserve">One Ashburton Place </w:t>
      </w:r>
      <w:r w:rsidRPr="00D42B64">
        <w:rPr>
          <w:rFonts w:ascii="Arial" w:hAnsi="Arial" w:cs="Arial"/>
          <w:sz w:val="24"/>
          <w:szCs w:val="24"/>
        </w:rPr>
        <w:br/>
        <w:t>Boston, MA 02108</w:t>
      </w:r>
      <w:r w:rsidRPr="00D42B64">
        <w:rPr>
          <w:rFonts w:ascii="Arial" w:hAnsi="Arial" w:cs="Arial"/>
          <w:sz w:val="24"/>
          <w:szCs w:val="24"/>
        </w:rPr>
        <w:br/>
        <w:t>617-573-1770</w:t>
      </w:r>
    </w:p>
    <w:sectPr w:rsidR="00D736E5" w:rsidRPr="00D42B64" w:rsidSect="00307348">
      <w:headerReference w:type="default" r:id="rId11"/>
      <w:footerReference w:type="default" r:id="rId12"/>
      <w:footerReference w:type="firs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FE2CBE" w14:textId="77777777" w:rsidR="008B0834" w:rsidRDefault="008B0834">
      <w:pPr>
        <w:spacing w:after="0" w:line="240" w:lineRule="auto"/>
      </w:pPr>
      <w:r>
        <w:separator/>
      </w:r>
    </w:p>
  </w:endnote>
  <w:endnote w:type="continuationSeparator" w:id="0">
    <w:p w14:paraId="0A9AFD50" w14:textId="77777777" w:rsidR="008B0834" w:rsidRDefault="008B0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40E6A5" w14:textId="77777777" w:rsidR="00D86296" w:rsidRPr="001D2F4C" w:rsidRDefault="00D86296">
    <w:pPr>
      <w:pStyle w:val="Footer"/>
      <w:jc w:val="right"/>
      <w:rPr>
        <w:rFonts w:ascii="Arial" w:hAnsi="Arial" w:cs="Arial"/>
        <w:sz w:val="24"/>
      </w:rPr>
    </w:pPr>
    <w:r w:rsidRPr="001D2F4C">
      <w:rPr>
        <w:rFonts w:ascii="Arial" w:hAnsi="Arial" w:cs="Arial"/>
      </w:rPr>
      <w:fldChar w:fldCharType="begin"/>
    </w:r>
    <w:r w:rsidRPr="001D2F4C">
      <w:rPr>
        <w:rFonts w:ascii="Arial" w:hAnsi="Arial" w:cs="Arial"/>
      </w:rPr>
      <w:instrText xml:space="preserve"> PAGE   \* MERGEFORMAT </w:instrText>
    </w:r>
    <w:r w:rsidRPr="001D2F4C">
      <w:rPr>
        <w:rFonts w:ascii="Arial" w:hAnsi="Arial" w:cs="Arial"/>
      </w:rPr>
      <w:fldChar w:fldCharType="separate"/>
    </w:r>
    <w:r w:rsidR="00C67605" w:rsidRPr="00C67605">
      <w:rPr>
        <w:rFonts w:ascii="Arial" w:hAnsi="Arial" w:cs="Arial"/>
        <w:noProof/>
        <w:sz w:val="24"/>
      </w:rPr>
      <w:t>19</w:t>
    </w:r>
    <w:r w:rsidRPr="001D2F4C">
      <w:rPr>
        <w:rFonts w:ascii="Arial" w:hAnsi="Arial" w:cs="Arial"/>
        <w:noProof/>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80576" w14:textId="77777777" w:rsidR="00307348" w:rsidRDefault="00307348">
    <w:pPr>
      <w:pStyle w:val="Footer"/>
      <w:jc w:val="right"/>
    </w:pPr>
    <w:r>
      <w:fldChar w:fldCharType="begin"/>
    </w:r>
    <w:r>
      <w:instrText xml:space="preserve"> PAGE   \* MERGEFORMAT </w:instrText>
    </w:r>
    <w:r>
      <w:fldChar w:fldCharType="separate"/>
    </w:r>
    <w:r w:rsidR="00C67605">
      <w:rPr>
        <w:noProof/>
      </w:rPr>
      <w:t>1</w:t>
    </w:r>
    <w:r>
      <w:rPr>
        <w:noProof/>
      </w:rPr>
      <w:fldChar w:fldCharType="end"/>
    </w:r>
  </w:p>
  <w:p w14:paraId="79865A61" w14:textId="77777777" w:rsidR="00307348" w:rsidRDefault="003073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875A9C" w14:textId="77777777" w:rsidR="008B0834" w:rsidRDefault="008B0834">
      <w:pPr>
        <w:spacing w:after="0" w:line="240" w:lineRule="auto"/>
      </w:pPr>
      <w:r>
        <w:separator/>
      </w:r>
    </w:p>
  </w:footnote>
  <w:footnote w:type="continuationSeparator" w:id="0">
    <w:p w14:paraId="246F5CD8" w14:textId="77777777" w:rsidR="008B0834" w:rsidRDefault="008B0834">
      <w:pPr>
        <w:spacing w:after="0" w:line="240" w:lineRule="auto"/>
      </w:pPr>
      <w:r>
        <w:continuationSeparator/>
      </w:r>
    </w:p>
  </w:footnote>
  <w:footnote w:id="1">
    <w:p w14:paraId="35C315D5" w14:textId="77777777" w:rsidR="00D86296" w:rsidRPr="002B6BC1" w:rsidRDefault="00D86296">
      <w:pPr>
        <w:pStyle w:val="FootnoteText"/>
        <w:rPr>
          <w:lang w:val="en-US"/>
        </w:rPr>
      </w:pPr>
      <w:r>
        <w:rPr>
          <w:rStyle w:val="FootnoteReference"/>
        </w:rPr>
        <w:footnoteRef/>
      </w:r>
      <w:r>
        <w:t xml:space="preserve"> </w:t>
      </w:r>
      <w:hyperlink r:id="rId1" w:anchor=":~:text=At%202.9%25%2C%20the%20uninsurance%20rate,Massachusetts%20remained%20low%20in%202019" w:history="1">
        <w:r w:rsidRPr="002F3A9D">
          <w:rPr>
            <w:rStyle w:val="Hyperlink"/>
          </w:rPr>
          <w:t>https://www.chiamass.gov/massachusetts-health-insurance-survey/#:~:text=At%202.9%25%2C%20the%20uninsurance%20rate,Massachusetts%20remained%20low%20in%202019</w:t>
        </w:r>
      </w:hyperlink>
      <w:r w:rsidRPr="002B6BC1">
        <w:t>.</w:t>
      </w:r>
      <w:r>
        <w:tab/>
      </w:r>
    </w:p>
  </w:footnote>
  <w:footnote w:id="2">
    <w:p w14:paraId="18295AAF" w14:textId="77777777" w:rsidR="00717040" w:rsidRPr="00717040" w:rsidRDefault="00717040">
      <w:pPr>
        <w:pStyle w:val="FootnoteText"/>
        <w:rPr>
          <w:lang w:val="en-US"/>
        </w:rPr>
      </w:pPr>
      <w:r>
        <w:rPr>
          <w:rStyle w:val="FootnoteReference"/>
        </w:rPr>
        <w:footnoteRef/>
      </w:r>
      <w:r>
        <w:t xml:space="preserve"> </w:t>
      </w:r>
      <w:r w:rsidRPr="00717040">
        <w:rPr>
          <w:iCs/>
          <w:lang w:val="en-US"/>
        </w:rPr>
        <w:t>MassHealth intends to submit a state plan amendment as authorized under the 2022 American Relief Act to be effective 4/1/2022</w:t>
      </w:r>
      <w:r>
        <w:rPr>
          <w:iCs/>
          <w:lang w:val="en-US"/>
        </w:rPr>
        <w:t>.</w:t>
      </w:r>
    </w:p>
  </w:footnote>
  <w:footnote w:id="3">
    <w:p w14:paraId="058897F0" w14:textId="77777777" w:rsidR="00D86296" w:rsidRPr="00CC2F25" w:rsidRDefault="00D86296" w:rsidP="008D5715">
      <w:pPr>
        <w:pStyle w:val="FootnoteText"/>
        <w:rPr>
          <w:lang w:val="en-US"/>
        </w:rPr>
      </w:pPr>
      <w:r>
        <w:rPr>
          <w:rStyle w:val="FootnoteReference"/>
        </w:rPr>
        <w:footnoteRef/>
      </w:r>
      <w:r>
        <w:t xml:space="preserve"> </w:t>
      </w:r>
      <w:r>
        <w:rPr>
          <w:lang w:val="en-US"/>
        </w:rPr>
        <w:t xml:space="preserve">Massachusetts Department of Public Health. An Assessment of Fatal and Nonfatal Opioid Overdoses in Massachusetts (2011 – 2015) </w:t>
      </w:r>
      <w:proofErr w:type="gramStart"/>
      <w:r>
        <w:rPr>
          <w:lang w:val="en-US"/>
        </w:rPr>
        <w:t>( Report</w:t>
      </w:r>
      <w:proofErr w:type="gramEnd"/>
      <w:r>
        <w:rPr>
          <w:lang w:val="en-US"/>
        </w:rPr>
        <w:t xml:space="preserve"> to the Massachusetts Legislature), August 2017. Accessed at </w:t>
      </w:r>
      <w:hyperlink r:id="rId2" w:history="1">
        <w:r w:rsidRPr="00805192">
          <w:rPr>
            <w:rStyle w:val="Hyperlink"/>
            <w:lang w:val="en-US"/>
          </w:rPr>
          <w:t>https://www.mass.gov/doc/legislative-report-chapter-55-opioid-overdose-study-august-2017/download</w:t>
        </w:r>
      </w:hyperlink>
      <w:r>
        <w:rPr>
          <w:lang w:val="en-US"/>
        </w:rPr>
        <w:t xml:space="preserve"> </w:t>
      </w:r>
    </w:p>
  </w:footnote>
  <w:footnote w:id="4">
    <w:p w14:paraId="643973AE" w14:textId="77777777" w:rsidR="00F31F6E" w:rsidRPr="0098697E" w:rsidRDefault="00F31F6E">
      <w:pPr>
        <w:pStyle w:val="FootnoteText"/>
        <w:rPr>
          <w:lang w:val="en-US"/>
        </w:rPr>
      </w:pPr>
      <w:r>
        <w:rPr>
          <w:rStyle w:val="FootnoteReference"/>
        </w:rPr>
        <w:footnoteRef/>
      </w:r>
      <w:r>
        <w:t xml:space="preserve"> </w:t>
      </w:r>
      <w:r w:rsidRPr="00912A38">
        <w:rPr>
          <w:lang w:val="en-US"/>
        </w:rPr>
        <w:t>Center for Health Policy and Research, University of Massachusetts Medical School. Opioid Overdoses Among High-Risk MassHealth Members: An Exploratory Analysis. July 20, 2017.</w:t>
      </w:r>
    </w:p>
  </w:footnote>
  <w:footnote w:id="5">
    <w:p w14:paraId="0B17BB79" w14:textId="77777777" w:rsidR="00D86296" w:rsidRPr="00CC2F25" w:rsidRDefault="00D86296" w:rsidP="008D5715">
      <w:pPr>
        <w:rPr>
          <w:sz w:val="20"/>
          <w:szCs w:val="20"/>
          <w:lang w:eastAsia="x-none"/>
        </w:rPr>
      </w:pPr>
      <w:r>
        <w:rPr>
          <w:rStyle w:val="FootnoteReference"/>
        </w:rPr>
        <w:footnoteRef/>
      </w:r>
      <w:r>
        <w:t xml:space="preserve"> Press Release: </w:t>
      </w:r>
      <w:r w:rsidRPr="00912A38">
        <w:rPr>
          <w:sz w:val="20"/>
          <w:szCs w:val="20"/>
          <w:lang w:eastAsia="x-none"/>
        </w:rPr>
        <w:t>Behavioral Health Initiative Enhances Connection to Community-Based Supports for Individuals Involved with the Criminal Justice System</w:t>
      </w:r>
      <w:r>
        <w:rPr>
          <w:sz w:val="20"/>
          <w:szCs w:val="20"/>
          <w:lang w:eastAsia="x-none"/>
        </w:rPr>
        <w:t>, July 15, 2019. Accessed at</w:t>
      </w:r>
      <w:r>
        <w:t xml:space="preserve"> </w:t>
      </w:r>
      <w:hyperlink r:id="rId3" w:history="1">
        <w:r w:rsidRPr="00857BA3">
          <w:rPr>
            <w:rStyle w:val="Hyperlink"/>
          </w:rPr>
          <w:t>https://www.mass.gov/news/behavioral-health-initiative-enhances-connection-to-community-based-supports-for-individuals</w:t>
        </w:r>
      </w:hyperlink>
      <w:r>
        <w:t xml:space="preserve"> </w:t>
      </w:r>
    </w:p>
  </w:footnote>
  <w:footnote w:id="6">
    <w:p w14:paraId="287FBB98" w14:textId="77777777" w:rsidR="00D86296" w:rsidRPr="00CC2F25" w:rsidRDefault="00D86296" w:rsidP="008D5715">
      <w:pPr>
        <w:pStyle w:val="FootnoteText"/>
        <w:rPr>
          <w:lang w:val="en-US"/>
        </w:rPr>
      </w:pPr>
      <w:r>
        <w:rPr>
          <w:rStyle w:val="FootnoteReference"/>
        </w:rPr>
        <w:footnoteRef/>
      </w:r>
      <w:r>
        <w:t xml:space="preserve"> </w:t>
      </w:r>
      <w:r>
        <w:rPr>
          <w:lang w:val="en-US"/>
        </w:rPr>
        <w:t xml:space="preserve">Elizabeth Tsai Bishop, Brook Hopkins, </w:t>
      </w:r>
      <w:proofErr w:type="spellStart"/>
      <w:r>
        <w:rPr>
          <w:lang w:val="en-US"/>
        </w:rPr>
        <w:t>Chijindu</w:t>
      </w:r>
      <w:proofErr w:type="spellEnd"/>
      <w:r>
        <w:rPr>
          <w:lang w:val="en-US"/>
        </w:rPr>
        <w:t xml:space="preserve"> </w:t>
      </w:r>
      <w:proofErr w:type="spellStart"/>
      <w:r>
        <w:rPr>
          <w:lang w:val="en-US"/>
        </w:rPr>
        <w:t>Obiofuma</w:t>
      </w:r>
      <w:proofErr w:type="spellEnd"/>
      <w:r>
        <w:rPr>
          <w:lang w:val="en-US"/>
        </w:rPr>
        <w:t xml:space="preserve">, and Felix Owusu, Harvard Law School Criminal Justice Policy Program. Racial Disparities in the Massachusetts Criminal System (September 2020). Accessed at </w:t>
      </w:r>
      <w:hyperlink r:id="rId4" w:history="1">
        <w:r>
          <w:rPr>
            <w:rStyle w:val="Hyperlink"/>
          </w:rPr>
          <w:t>http://cjpp.law.harvard.edu/assets/Massachusetts-Racial-Disparity-Report-FINAL.pdf</w:t>
        </w:r>
      </w:hyperlink>
      <w:r>
        <w:rPr>
          <w:lang w:val="en-US"/>
        </w:rPr>
        <w:t xml:space="preserve"> </w:t>
      </w:r>
    </w:p>
  </w:footnote>
  <w:footnote w:id="7">
    <w:p w14:paraId="474C7742" w14:textId="77777777" w:rsidR="00D86296" w:rsidRPr="00107D4C" w:rsidRDefault="00D86296" w:rsidP="00EF7440">
      <w:pPr>
        <w:pStyle w:val="FootnoteText"/>
        <w:rPr>
          <w:lang w:val="en-US"/>
        </w:rPr>
      </w:pPr>
      <w:r>
        <w:rPr>
          <w:rStyle w:val="FootnoteReference"/>
        </w:rPr>
        <w:footnoteRef/>
      </w:r>
      <w:r>
        <w:t xml:space="preserve"> </w:t>
      </w:r>
      <w:r>
        <w:rPr>
          <w:lang w:val="en-US"/>
        </w:rPr>
        <w:t xml:space="preserve">Panchal, N., Kamal, R., et. al. Kaiser Family Foundation. The Implications of COVID-19 for Mental Health and Substance Use (August 2020). Accessed at </w:t>
      </w:r>
      <w:proofErr w:type="gramStart"/>
      <w:r w:rsidRPr="000124E3">
        <w:rPr>
          <w:lang w:val="en-US"/>
        </w:rPr>
        <w:t>https://www.kff.org/coronavirus-covid-19/issue-brief/the-implications-of-covid-19-for-mental-health-and-substance-use/</w:t>
      </w:r>
      <w:proofErr w:type="gramEnd"/>
      <w:r>
        <w:rPr>
          <w:lang w:val="en-US"/>
        </w:rPr>
        <w:t xml:space="preserve"> </w:t>
      </w:r>
    </w:p>
  </w:footnote>
  <w:footnote w:id="8">
    <w:p w14:paraId="5B87EBED" w14:textId="77777777" w:rsidR="00D86296" w:rsidRPr="006C3F8C" w:rsidRDefault="00D86296" w:rsidP="00310795">
      <w:pPr>
        <w:pStyle w:val="FootnoteText"/>
        <w:rPr>
          <w:lang w:val="en-US"/>
        </w:rPr>
      </w:pPr>
      <w:r>
        <w:rPr>
          <w:rStyle w:val="FootnoteReference"/>
        </w:rPr>
        <w:footnoteRef/>
      </w:r>
      <w:r>
        <w:t xml:space="preserve"> </w:t>
      </w:r>
      <w:proofErr w:type="spellStart"/>
      <w:r>
        <w:rPr>
          <w:lang w:val="en-US"/>
        </w:rPr>
        <w:t>Reifler</w:t>
      </w:r>
      <w:proofErr w:type="spellEnd"/>
      <w:r>
        <w:rPr>
          <w:lang w:val="en-US"/>
        </w:rPr>
        <w:t xml:space="preserve">, B.V. and Bruce, M.L. Home-Based Mental Health Services for Older Adults: A Review of Ten Model Programs. </w:t>
      </w:r>
      <w:r w:rsidRPr="006C3F8C">
        <w:rPr>
          <w:i/>
          <w:lang w:val="en-US"/>
        </w:rPr>
        <w:t>American Journal of Geriatric Psychiatry</w:t>
      </w:r>
      <w:r>
        <w:rPr>
          <w:i/>
          <w:lang w:val="en-US"/>
        </w:rPr>
        <w:t>.</w:t>
      </w:r>
      <w:r>
        <w:rPr>
          <w:lang w:val="en-US"/>
        </w:rPr>
        <w:t xml:space="preserve"> Published online February 12, 2013.</w:t>
      </w:r>
    </w:p>
  </w:footnote>
  <w:footnote w:id="9">
    <w:p w14:paraId="0872D1D8" w14:textId="77777777" w:rsidR="00C803B3" w:rsidRPr="00DD5E64" w:rsidRDefault="00C803B3">
      <w:pPr>
        <w:pStyle w:val="FootnoteText"/>
        <w:rPr>
          <w:lang w:val="en-US"/>
        </w:rPr>
      </w:pPr>
      <w:r>
        <w:rPr>
          <w:rStyle w:val="FootnoteReference"/>
        </w:rPr>
        <w:footnoteRef/>
      </w:r>
      <w:r>
        <w:t xml:space="preserve"> </w:t>
      </w:r>
      <w:r w:rsidR="00F4217F">
        <w:rPr>
          <w:lang w:val="en-US"/>
        </w:rPr>
        <w:t xml:space="preserve">Rohatgi N, Weng Y, Ahuja N, et al. Factors Associated with Hospital-Acquired Delirium in Patients 18-65 Years Old. </w:t>
      </w:r>
      <w:r w:rsidR="00F4217F" w:rsidRPr="00DD5E64">
        <w:rPr>
          <w:i/>
          <w:iCs/>
          <w:lang w:val="en-US"/>
        </w:rPr>
        <w:t>J Gen Intern Med</w:t>
      </w:r>
      <w:r w:rsidR="00F4217F">
        <w:rPr>
          <w:lang w:val="en-US"/>
        </w:rPr>
        <w:t xml:space="preserve">. 2021 Jan 8. Doi: 10/1007/s11606-020-06378-w. Online ahead of print. </w:t>
      </w:r>
    </w:p>
  </w:footnote>
  <w:footnote w:id="10">
    <w:p w14:paraId="37E910C7" w14:textId="77777777" w:rsidR="00B30D82" w:rsidRPr="00DD5E64" w:rsidRDefault="00B30D82">
      <w:pPr>
        <w:pStyle w:val="FootnoteText"/>
        <w:rPr>
          <w:lang w:val="en-US"/>
        </w:rPr>
      </w:pPr>
      <w:r>
        <w:rPr>
          <w:rStyle w:val="FootnoteReference"/>
        </w:rPr>
        <w:footnoteRef/>
      </w:r>
      <w:r>
        <w:t xml:space="preserve"> </w:t>
      </w:r>
      <w:r w:rsidRPr="00B30D82">
        <w:t>https://www.cdc.gov/hai/data/portal/progress-report.html</w:t>
      </w:r>
    </w:p>
  </w:footnote>
  <w:footnote w:id="11">
    <w:p w14:paraId="03357CCF" w14:textId="77777777" w:rsidR="00F4217F" w:rsidRPr="00AB3D37" w:rsidRDefault="00F4217F">
      <w:pPr>
        <w:pStyle w:val="FootnoteText"/>
        <w:rPr>
          <w:lang w:val="en-US"/>
        </w:rPr>
      </w:pPr>
      <w:r>
        <w:rPr>
          <w:rStyle w:val="FootnoteReference"/>
        </w:rPr>
        <w:footnoteRef/>
      </w:r>
      <w:r>
        <w:t xml:space="preserve"> </w:t>
      </w:r>
      <w:r w:rsidR="00B30D82" w:rsidRPr="00B30D82">
        <w:rPr>
          <w:lang w:val="en-US"/>
        </w:rPr>
        <w:t>Horwitz </w:t>
      </w:r>
      <w:proofErr w:type="gramStart"/>
      <w:r w:rsidR="00B30D82" w:rsidRPr="00B30D82">
        <w:rPr>
          <w:lang w:val="en-US"/>
        </w:rPr>
        <w:t>LI ,</w:t>
      </w:r>
      <w:proofErr w:type="gramEnd"/>
      <w:r w:rsidR="00B30D82" w:rsidRPr="00B30D82">
        <w:rPr>
          <w:lang w:val="en-US"/>
        </w:rPr>
        <w:t xml:space="preserve">  Green J , and  Bradley EH . US emergency department performance on wait time and length of visit. Ann </w:t>
      </w:r>
      <w:proofErr w:type="spellStart"/>
      <w:r w:rsidR="00B30D82" w:rsidRPr="00B30D82">
        <w:rPr>
          <w:lang w:val="en-US"/>
        </w:rPr>
        <w:t>Emerg</w:t>
      </w:r>
      <w:proofErr w:type="spellEnd"/>
      <w:r w:rsidR="00B30D82" w:rsidRPr="00B30D82">
        <w:rPr>
          <w:lang w:val="en-US"/>
        </w:rPr>
        <w:t xml:space="preserve"> Med. </w:t>
      </w:r>
      <w:proofErr w:type="gramStart"/>
      <w:r w:rsidR="00B30D82" w:rsidRPr="00B30D82">
        <w:rPr>
          <w:lang w:val="en-US"/>
        </w:rPr>
        <w:t>2010;55:133</w:t>
      </w:r>
      <w:proofErr w:type="gramEnd"/>
      <w:r w:rsidR="00B30D82" w:rsidRPr="00B30D82">
        <w:rPr>
          <w:lang w:val="en-US"/>
        </w:rPr>
        <w:t>-41.</w:t>
      </w:r>
    </w:p>
  </w:footnote>
  <w:footnote w:id="12">
    <w:p w14:paraId="3601D4DC" w14:textId="77777777" w:rsidR="004E44E7" w:rsidRPr="00AB3D37" w:rsidRDefault="004E44E7">
      <w:pPr>
        <w:pStyle w:val="FootnoteText"/>
        <w:rPr>
          <w:lang w:val="en-US"/>
        </w:rPr>
      </w:pPr>
      <w:r>
        <w:rPr>
          <w:rStyle w:val="FootnoteReference"/>
        </w:rPr>
        <w:footnoteRef/>
      </w:r>
      <w:r>
        <w:t xml:space="preserve"> </w:t>
      </w:r>
      <w:r>
        <w:rPr>
          <w:lang w:val="en-US"/>
        </w:rPr>
        <w:t xml:space="preserve">Centers for Disease Control and Prevention.  Health Expenditures.  Accessed at: </w:t>
      </w:r>
      <w:proofErr w:type="gramStart"/>
      <w:r w:rsidRPr="004E44E7">
        <w:rPr>
          <w:lang w:val="en-US"/>
        </w:rPr>
        <w:t>https://www.cdc.gov/nchs/fastats/health-expenditures.htm</w:t>
      </w:r>
      <w:proofErr w:type="gramEnd"/>
    </w:p>
  </w:footnote>
  <w:footnote w:id="13">
    <w:p w14:paraId="7F4FD695" w14:textId="77777777" w:rsidR="004E44E7" w:rsidRPr="00AB3D37" w:rsidRDefault="004E44E7">
      <w:pPr>
        <w:pStyle w:val="FootnoteText"/>
        <w:rPr>
          <w:lang w:val="en-US"/>
        </w:rPr>
      </w:pPr>
      <w:r>
        <w:rPr>
          <w:rStyle w:val="FootnoteReference"/>
        </w:rPr>
        <w:footnoteRef/>
      </w:r>
      <w:r>
        <w:t xml:space="preserve"> </w:t>
      </w:r>
      <w:r>
        <w:rPr>
          <w:lang w:val="en-US"/>
        </w:rPr>
        <w:t xml:space="preserve">Cryer L, Shannon SB, Van Amsterdam M, </w:t>
      </w:r>
      <w:proofErr w:type="spellStart"/>
      <w:r>
        <w:rPr>
          <w:lang w:val="en-US"/>
        </w:rPr>
        <w:t>Leff</w:t>
      </w:r>
      <w:proofErr w:type="spellEnd"/>
      <w:r>
        <w:rPr>
          <w:lang w:val="en-US"/>
        </w:rPr>
        <w:t xml:space="preserve"> B. Costs for ‘Hospital at Home’ Patients Were 19 Percent Lower, With Equal or Better Outcomes Compared to Similar Inpatients.  Health </w:t>
      </w:r>
      <w:proofErr w:type="spellStart"/>
      <w:r>
        <w:rPr>
          <w:lang w:val="en-US"/>
        </w:rPr>
        <w:t>Aff</w:t>
      </w:r>
      <w:proofErr w:type="spellEnd"/>
      <w:r>
        <w:rPr>
          <w:lang w:val="en-US"/>
        </w:rPr>
        <w:t xml:space="preserve"> (</w:t>
      </w:r>
      <w:proofErr w:type="spellStart"/>
      <w:r>
        <w:rPr>
          <w:lang w:val="en-US"/>
        </w:rPr>
        <w:t>Milwood</w:t>
      </w:r>
      <w:proofErr w:type="spellEnd"/>
      <w:r>
        <w:rPr>
          <w:lang w:val="en-US"/>
        </w:rPr>
        <w:t>). 2012; 31(6): 1237-43.</w:t>
      </w:r>
    </w:p>
  </w:footnote>
  <w:footnote w:id="14">
    <w:p w14:paraId="34E82118" w14:textId="77777777" w:rsidR="0038541B" w:rsidRPr="0049563C" w:rsidRDefault="0038541B" w:rsidP="0038541B">
      <w:pPr>
        <w:pStyle w:val="FootnoteText"/>
        <w:rPr>
          <w:lang w:val="en-US"/>
        </w:rPr>
      </w:pPr>
      <w:r>
        <w:rPr>
          <w:rStyle w:val="FootnoteReference"/>
        </w:rPr>
        <w:footnoteRef/>
      </w:r>
      <w:r>
        <w:t xml:space="preserve"> </w:t>
      </w:r>
      <w:r>
        <w:rPr>
          <w:lang w:val="en-US"/>
        </w:rPr>
        <w:t xml:space="preserve">Levine DM, </w:t>
      </w:r>
      <w:proofErr w:type="spellStart"/>
      <w:r>
        <w:rPr>
          <w:lang w:val="en-US"/>
        </w:rPr>
        <w:t>Ouchi</w:t>
      </w:r>
      <w:proofErr w:type="spellEnd"/>
      <w:r>
        <w:rPr>
          <w:lang w:val="en-US"/>
        </w:rPr>
        <w:t xml:space="preserve"> K, </w:t>
      </w:r>
      <w:proofErr w:type="spellStart"/>
      <w:r>
        <w:rPr>
          <w:lang w:val="en-US"/>
        </w:rPr>
        <w:t>Blanchfield</w:t>
      </w:r>
      <w:proofErr w:type="spellEnd"/>
      <w:r>
        <w:rPr>
          <w:lang w:val="en-US"/>
        </w:rPr>
        <w:t xml:space="preserve"> B, et al. Hospital-Level Care at Home for Acutely Ill Adults: </w:t>
      </w:r>
      <w:proofErr w:type="gramStart"/>
      <w:r>
        <w:rPr>
          <w:lang w:val="en-US"/>
        </w:rPr>
        <w:t>a</w:t>
      </w:r>
      <w:proofErr w:type="gramEnd"/>
      <w:r>
        <w:rPr>
          <w:lang w:val="en-US"/>
        </w:rPr>
        <w:t xml:space="preserve"> Pilot Randomized Controlled Trial</w:t>
      </w:r>
      <w:r w:rsidRPr="00F16CA0">
        <w:rPr>
          <w:i/>
          <w:iCs/>
          <w:lang w:val="en-US"/>
        </w:rPr>
        <w:t>. J Gen Intern Med</w:t>
      </w:r>
      <w:r>
        <w:rPr>
          <w:lang w:val="en-US"/>
        </w:rPr>
        <w:t xml:space="preserve">. 2018 May;33(5):729-736; </w:t>
      </w:r>
      <w:proofErr w:type="gramStart"/>
      <w:r w:rsidRPr="00117C8A">
        <w:rPr>
          <w:lang w:val="en-US"/>
        </w:rPr>
        <w:t>Shepperd  S﻿</w:t>
      </w:r>
      <w:proofErr w:type="gramEnd"/>
      <w:r w:rsidRPr="00117C8A">
        <w:rPr>
          <w:lang w:val="en-US"/>
        </w:rPr>
        <w:t xml:space="preserve">, </w:t>
      </w:r>
      <w:proofErr w:type="spellStart"/>
      <w:r w:rsidRPr="00117C8A">
        <w:rPr>
          <w:lang w:val="en-US"/>
        </w:rPr>
        <w:t>Iliffe</w:t>
      </w:r>
      <w:proofErr w:type="spellEnd"/>
      <w:r w:rsidRPr="00117C8A">
        <w:rPr>
          <w:lang w:val="en-US"/>
        </w:rPr>
        <w:t xml:space="preserve">  S﻿, Doll  HA﻿,  et al.  Admission avoidance hospital at home. </w:t>
      </w:r>
      <w:proofErr w:type="gramStart"/>
      <w:r w:rsidRPr="00117C8A">
        <w:rPr>
          <w:lang w:val="en-US"/>
        </w:rPr>
        <w:t>﻿ </w:t>
      </w:r>
      <w:r w:rsidRPr="00117C8A">
        <w:rPr>
          <w:i/>
          <w:iCs/>
          <w:lang w:val="en-US"/>
        </w:rPr>
        <w:t> Cochrane</w:t>
      </w:r>
      <w:proofErr w:type="gramEnd"/>
      <w:r w:rsidRPr="00117C8A">
        <w:rPr>
          <w:i/>
          <w:iCs/>
          <w:lang w:val="en-US"/>
        </w:rPr>
        <w:t xml:space="preserve"> Database Syst Rev</w:t>
      </w:r>
      <w:r w:rsidRPr="00117C8A">
        <w:rPr>
          <w:lang w:val="en-US"/>
        </w:rPr>
        <w:t>. 2016;9(9):CD007491</w:t>
      </w:r>
      <w:r>
        <w:rPr>
          <w:lang w:val="en-US"/>
        </w:rPr>
        <w:t>.</w:t>
      </w:r>
    </w:p>
  </w:footnote>
  <w:footnote w:id="15">
    <w:p w14:paraId="484A5F13" w14:textId="77777777" w:rsidR="0038541B" w:rsidRPr="005D72BE" w:rsidRDefault="0038541B" w:rsidP="0038541B">
      <w:pPr>
        <w:pStyle w:val="FootnoteText"/>
        <w:rPr>
          <w:lang w:val="en-US"/>
        </w:rPr>
      </w:pPr>
      <w:r>
        <w:rPr>
          <w:rStyle w:val="FootnoteReference"/>
        </w:rPr>
        <w:footnoteRef/>
      </w:r>
      <w:r>
        <w:t xml:space="preserve"> </w:t>
      </w:r>
      <w:r>
        <w:rPr>
          <w:lang w:val="en-US"/>
        </w:rPr>
        <w:t xml:space="preserve">Levine DM, </w:t>
      </w:r>
      <w:proofErr w:type="spellStart"/>
      <w:r>
        <w:rPr>
          <w:lang w:val="en-US"/>
        </w:rPr>
        <w:t>Ouchi</w:t>
      </w:r>
      <w:proofErr w:type="spellEnd"/>
      <w:r>
        <w:rPr>
          <w:lang w:val="en-US"/>
        </w:rPr>
        <w:t xml:space="preserve"> K, </w:t>
      </w:r>
      <w:proofErr w:type="spellStart"/>
      <w:r>
        <w:rPr>
          <w:lang w:val="en-US"/>
        </w:rPr>
        <w:t>Blanchfield</w:t>
      </w:r>
      <w:proofErr w:type="spellEnd"/>
      <w:r>
        <w:rPr>
          <w:lang w:val="en-US"/>
        </w:rPr>
        <w:t xml:space="preserve"> B, et al. Hospital-Level Care at Home for Acutely ill Adults: A Randomized Controlled Trial.  Ann Int Med. 2019 Dec 17. </w:t>
      </w:r>
    </w:p>
  </w:footnote>
  <w:footnote w:id="16">
    <w:p w14:paraId="682E2F12" w14:textId="77777777" w:rsidR="004E44E7" w:rsidRPr="00405509" w:rsidRDefault="004E44E7">
      <w:pPr>
        <w:pStyle w:val="FootnoteText"/>
        <w:rPr>
          <w:lang w:val="en-US"/>
        </w:rPr>
      </w:pPr>
      <w:r>
        <w:rPr>
          <w:rStyle w:val="FootnoteReference"/>
        </w:rPr>
        <w:footnoteRef/>
      </w:r>
      <w:r>
        <w:t xml:space="preserve"> </w:t>
      </w:r>
      <w:r w:rsidR="00405509" w:rsidRPr="00405509">
        <w:rPr>
          <w:rFonts w:cs="Calibri"/>
          <w:color w:val="212121"/>
          <w:shd w:val="clear" w:color="auto" w:fill="FFFFFF"/>
        </w:rPr>
        <w:t xml:space="preserve">Shepperd S, </w:t>
      </w:r>
      <w:proofErr w:type="spellStart"/>
      <w:r w:rsidR="00405509" w:rsidRPr="00405509">
        <w:rPr>
          <w:rFonts w:cs="Calibri"/>
          <w:color w:val="212121"/>
          <w:shd w:val="clear" w:color="auto" w:fill="FFFFFF"/>
        </w:rPr>
        <w:t>Iliffe</w:t>
      </w:r>
      <w:proofErr w:type="spellEnd"/>
      <w:r w:rsidR="00405509" w:rsidRPr="00405509">
        <w:rPr>
          <w:rFonts w:cs="Calibri"/>
          <w:color w:val="212121"/>
          <w:shd w:val="clear" w:color="auto" w:fill="FFFFFF"/>
        </w:rPr>
        <w:t xml:space="preserve"> S, Doll HA, Clarke MJ, Kalra L, Wilson AD, Gonçalves-Bradley DC. Admission avoidance hospital at home. Cochrane Database Syst Rev. 2016 Sep 1;9(9):CD007491. </w:t>
      </w:r>
      <w:proofErr w:type="spellStart"/>
      <w:r w:rsidR="00405509" w:rsidRPr="00405509">
        <w:rPr>
          <w:rFonts w:cs="Calibri"/>
          <w:color w:val="212121"/>
          <w:shd w:val="clear" w:color="auto" w:fill="FFFFFF"/>
        </w:rPr>
        <w:t>doi</w:t>
      </w:r>
      <w:proofErr w:type="spellEnd"/>
      <w:r w:rsidR="00405509" w:rsidRPr="00405509">
        <w:rPr>
          <w:rFonts w:cs="Calibri"/>
          <w:color w:val="212121"/>
          <w:shd w:val="clear" w:color="auto" w:fill="FFFFFF"/>
        </w:rPr>
        <w:t>: 10.1002/14651858.CD007491.pub2. PMID: 27583824; PMCID: PMC6457791.  </w:t>
      </w:r>
    </w:p>
  </w:footnote>
  <w:footnote w:id="17">
    <w:p w14:paraId="4ED0B734" w14:textId="77777777" w:rsidR="0038541B" w:rsidRPr="0049563C" w:rsidRDefault="0038541B" w:rsidP="0038541B">
      <w:pPr>
        <w:pStyle w:val="FootnoteText"/>
        <w:rPr>
          <w:lang w:val="en-US"/>
        </w:rPr>
      </w:pPr>
      <w:r>
        <w:rPr>
          <w:rStyle w:val="FootnoteReference"/>
        </w:rPr>
        <w:footnoteRef/>
      </w:r>
      <w:r>
        <w:t xml:space="preserve"> </w:t>
      </w:r>
      <w:proofErr w:type="spellStart"/>
      <w:r w:rsidRPr="00A42A52">
        <w:t>Nundy</w:t>
      </w:r>
      <w:proofErr w:type="spellEnd"/>
      <w:r w:rsidRPr="00A42A52">
        <w:t xml:space="preserve"> S, Patel KK. Hospital-at-Home to Support COVID-19 Surge—Time to Bring Down the Walls? </w:t>
      </w:r>
      <w:r w:rsidRPr="00A42A52">
        <w:rPr>
          <w:i/>
          <w:iCs/>
        </w:rPr>
        <w:t>JAMA Health Forum.</w:t>
      </w:r>
      <w:r w:rsidRPr="00A42A52">
        <w:t> Published online May 1, 2020. </w:t>
      </w:r>
    </w:p>
  </w:footnote>
  <w:footnote w:id="18">
    <w:p w14:paraId="381134C9" w14:textId="77777777" w:rsidR="00D86296" w:rsidRPr="001226AA" w:rsidRDefault="00D86296">
      <w:pPr>
        <w:pStyle w:val="FootnoteText"/>
        <w:rPr>
          <w:lang w:val="en-US"/>
        </w:rPr>
      </w:pPr>
      <w:r>
        <w:rPr>
          <w:rStyle w:val="FootnoteReference"/>
        </w:rPr>
        <w:footnoteRef/>
      </w:r>
      <w:r>
        <w:t xml:space="preserve"> </w:t>
      </w:r>
      <w:r w:rsidRPr="003A54B5">
        <w:t>https://www.cms.gov/files/document/covid-hospitals.pdf</w:t>
      </w:r>
    </w:p>
  </w:footnote>
  <w:footnote w:id="19">
    <w:p w14:paraId="0722D645" w14:textId="77777777" w:rsidR="00C609E7" w:rsidRPr="00730555" w:rsidRDefault="00C609E7">
      <w:pPr>
        <w:pStyle w:val="FootnoteText"/>
        <w:rPr>
          <w:lang w:val="en-US"/>
        </w:rPr>
      </w:pPr>
      <w:r>
        <w:rPr>
          <w:rStyle w:val="FootnoteReference"/>
        </w:rPr>
        <w:footnoteRef/>
      </w:r>
      <w:r>
        <w:t xml:space="preserve"> </w:t>
      </w:r>
      <w:r w:rsidRPr="00C609E7">
        <w:t>https://www.cms.gov/newsroom/fact-sheets/additional-backgroundsweeping-regulatory-changes-help-us-healthcare-system-address-covid-19-patient</w:t>
      </w:r>
      <w:r>
        <w:rPr>
          <w:lang w:val="en-US"/>
        </w:rPr>
        <w:t>.</w:t>
      </w:r>
    </w:p>
  </w:footnote>
  <w:footnote w:id="20">
    <w:p w14:paraId="5E82C0F9" w14:textId="77777777" w:rsidR="007A7BAA" w:rsidRPr="001D2F4C" w:rsidRDefault="00D86296" w:rsidP="007A7BAA">
      <w:pPr>
        <w:pStyle w:val="FootnoteText"/>
        <w:rPr>
          <w:rFonts w:ascii="Arial" w:hAnsi="Arial" w:cs="Arial"/>
        </w:rPr>
      </w:pPr>
      <w:r w:rsidRPr="001D2F4C">
        <w:rPr>
          <w:rStyle w:val="FootnoteReference"/>
          <w:rFonts w:ascii="Arial" w:hAnsi="Arial" w:cs="Arial"/>
        </w:rPr>
        <w:footnoteRef/>
      </w:r>
      <w:r w:rsidRPr="001D2F4C">
        <w:rPr>
          <w:rFonts w:ascii="Arial" w:hAnsi="Arial" w:cs="Arial"/>
        </w:rPr>
        <w:t xml:space="preserve"> </w:t>
      </w:r>
      <w:r w:rsidR="007A7BAA" w:rsidRPr="001D2F4C">
        <w:rPr>
          <w:rFonts w:ascii="Arial" w:hAnsi="Arial" w:cs="Arial"/>
        </w:rPr>
        <w:t xml:space="preserve">The budget neutrality cushion as of the quarterly report for the quarter ending </w:t>
      </w:r>
      <w:r w:rsidR="007A7BAA">
        <w:rPr>
          <w:rFonts w:ascii="Arial" w:hAnsi="Arial" w:cs="Arial"/>
          <w:lang w:val="en-US"/>
        </w:rPr>
        <w:t>September</w:t>
      </w:r>
      <w:r w:rsidR="007A7BAA" w:rsidRPr="001D2F4C">
        <w:rPr>
          <w:rFonts w:ascii="Arial" w:hAnsi="Arial" w:cs="Arial"/>
        </w:rPr>
        <w:t xml:space="preserve"> 3</w:t>
      </w:r>
      <w:r w:rsidR="007A7BAA">
        <w:rPr>
          <w:rFonts w:ascii="Arial" w:hAnsi="Arial" w:cs="Arial"/>
          <w:lang w:val="en-US"/>
        </w:rPr>
        <w:t>0</w:t>
      </w:r>
      <w:r w:rsidR="007A7BAA" w:rsidRPr="001D2F4C">
        <w:rPr>
          <w:rFonts w:ascii="Arial" w:hAnsi="Arial" w:cs="Arial"/>
        </w:rPr>
        <w:t>, 20</w:t>
      </w:r>
      <w:r w:rsidR="007A7BAA">
        <w:rPr>
          <w:rFonts w:ascii="Arial" w:hAnsi="Arial" w:cs="Arial"/>
          <w:lang w:val="en-US"/>
        </w:rPr>
        <w:t>20</w:t>
      </w:r>
      <w:r w:rsidR="007A7BAA" w:rsidRPr="001D2F4C">
        <w:rPr>
          <w:rFonts w:ascii="Arial" w:hAnsi="Arial" w:cs="Arial"/>
        </w:rPr>
        <w:t xml:space="preserve"> includes member month and actual expenditure data as reported in the CMS-64 report for the corresponding time period. Safety Net Care Pool spending included in the calculation reflects figures as reported in the budget neutrality agreement approved by CMS on November 4, 2016.. </w:t>
      </w:r>
    </w:p>
    <w:p w14:paraId="5931FB3B" w14:textId="77777777" w:rsidR="007A7BAA" w:rsidRPr="001D2F4C" w:rsidRDefault="007A7BAA" w:rsidP="00D736E5">
      <w:pPr>
        <w:pStyle w:val="FootnoteText"/>
        <w:rPr>
          <w:rFonts w:ascii="Arial" w:hAnsi="Arial" w:cs="Arial"/>
        </w:rPr>
      </w:pPr>
    </w:p>
    <w:p w14:paraId="6D7FDA0D" w14:textId="77777777" w:rsidR="00D86296" w:rsidRPr="001D2F4C" w:rsidRDefault="00D86296" w:rsidP="00D736E5">
      <w:pPr>
        <w:pStyle w:val="FootnoteText"/>
        <w:rPr>
          <w:rFonts w:ascii="Arial" w:hAnsi="Arial" w:cs="Arial"/>
        </w:rPr>
      </w:pPr>
    </w:p>
  </w:footnote>
  <w:footnote w:id="21">
    <w:p w14:paraId="5CDD19D6" w14:textId="77777777" w:rsidR="007A7BAA" w:rsidRPr="001D2F4C" w:rsidRDefault="00D86296" w:rsidP="007A7BAA">
      <w:pPr>
        <w:pStyle w:val="FootnoteText"/>
        <w:rPr>
          <w:rFonts w:ascii="Arial" w:hAnsi="Arial" w:cs="Arial"/>
        </w:rPr>
      </w:pPr>
      <w:r w:rsidRPr="001D2F4C">
        <w:rPr>
          <w:rStyle w:val="FootnoteReference"/>
          <w:rFonts w:ascii="Arial" w:hAnsi="Arial" w:cs="Arial"/>
        </w:rPr>
        <w:footnoteRef/>
      </w:r>
      <w:r w:rsidRPr="001D2F4C">
        <w:rPr>
          <w:rFonts w:ascii="Arial" w:hAnsi="Arial" w:cs="Arial"/>
        </w:rPr>
        <w:t xml:space="preserve"> </w:t>
      </w:r>
      <w:r w:rsidR="007A7BAA" w:rsidRPr="001D2F4C">
        <w:rPr>
          <w:rFonts w:ascii="Arial" w:hAnsi="Arial" w:cs="Arial"/>
        </w:rPr>
        <w:t>Note, CMS introduced a savings phase-out methodology to the Budget Neutrality calculation so that the Commonwealth may only carry forward 25% of selected population based savings each year between SFY18-22</w:t>
      </w:r>
      <w:r w:rsidR="007A7BAA">
        <w:rPr>
          <w:rFonts w:ascii="Arial" w:hAnsi="Arial" w:cs="Arial"/>
        </w:rPr>
        <w:t>.</w:t>
      </w:r>
    </w:p>
    <w:p w14:paraId="2934FCFD" w14:textId="77777777" w:rsidR="00D86296" w:rsidRPr="001D2F4C" w:rsidRDefault="00D86296" w:rsidP="00D736E5">
      <w:pPr>
        <w:pStyle w:val="FootnoteText"/>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39C03" w14:textId="77777777" w:rsidR="00D86296" w:rsidRPr="0035264A" w:rsidRDefault="00307348" w:rsidP="00307348">
    <w:pPr>
      <w:pStyle w:val="Header"/>
      <w:rPr>
        <w:rFonts w:ascii="Arial" w:hAnsi="Arial" w:cs="Arial"/>
      </w:rPr>
    </w:pPr>
    <w:r>
      <w:rPr>
        <w:rFonts w:ascii="Arial" w:hAnsi="Arial" w:cs="Arial"/>
      </w:rPr>
      <w:br/>
      <w:t xml:space="preserve">                                </w:t>
    </w:r>
    <w:r w:rsidR="00D86296" w:rsidRPr="0035264A">
      <w:rPr>
        <w:rFonts w:ascii="Arial" w:hAnsi="Arial" w:cs="Arial"/>
      </w:rPr>
      <w:t>MassHealth Section 1115 Demonstration Amendment Request</w:t>
    </w:r>
  </w:p>
  <w:p w14:paraId="0CA4F017" w14:textId="77777777" w:rsidR="00D86296" w:rsidRPr="0035264A" w:rsidRDefault="00D86296">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3514B8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C4E250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5BDA1E5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57098F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4690999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1D967DE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012A1E4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9090557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70E0C9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331AB7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48240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704F29"/>
    <w:multiLevelType w:val="hybridMultilevel"/>
    <w:tmpl w:val="583E9884"/>
    <w:lvl w:ilvl="0" w:tplc="77068E42">
      <w:start w:val="1"/>
      <w:numFmt w:val="decimal"/>
      <w:lvlText w:val="%1."/>
      <w:lvlJc w:val="left"/>
      <w:pPr>
        <w:ind w:left="144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5918D2"/>
    <w:multiLevelType w:val="hybridMultilevel"/>
    <w:tmpl w:val="1CBEE8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Aria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Arial"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Arial"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0A367120"/>
    <w:multiLevelType w:val="hybridMultilevel"/>
    <w:tmpl w:val="3B1858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Arial"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Arial"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0AC307F3"/>
    <w:multiLevelType w:val="hybridMultilevel"/>
    <w:tmpl w:val="584E14E0"/>
    <w:lvl w:ilvl="0" w:tplc="4CDAD198">
      <w:start w:val="3"/>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158260A2"/>
    <w:multiLevelType w:val="hybridMultilevel"/>
    <w:tmpl w:val="C2889504"/>
    <w:lvl w:ilvl="0" w:tplc="77068E42">
      <w:start w:val="1"/>
      <w:numFmt w:val="decimal"/>
      <w:lvlText w:val="%1."/>
      <w:lvlJc w:val="left"/>
      <w:pPr>
        <w:ind w:left="144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DE78B8"/>
    <w:multiLevelType w:val="hybridMultilevel"/>
    <w:tmpl w:val="09A6A376"/>
    <w:lvl w:ilvl="0" w:tplc="77068E42">
      <w:start w:val="1"/>
      <w:numFmt w:val="decimal"/>
      <w:lvlText w:val="%1."/>
      <w:lvlJc w:val="left"/>
      <w:pPr>
        <w:ind w:left="144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5F2401"/>
    <w:multiLevelType w:val="hybridMultilevel"/>
    <w:tmpl w:val="F484337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586F16"/>
    <w:multiLevelType w:val="hybridMultilevel"/>
    <w:tmpl w:val="CCC64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943720F"/>
    <w:multiLevelType w:val="hybridMultilevel"/>
    <w:tmpl w:val="7E14284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8823123"/>
    <w:multiLevelType w:val="hybridMultilevel"/>
    <w:tmpl w:val="F6B40AF6"/>
    <w:lvl w:ilvl="0" w:tplc="B220129C">
      <w:start w:val="1"/>
      <w:numFmt w:val="decimal"/>
      <w:lvlText w:val="%1."/>
      <w:lvlJc w:val="left"/>
      <w:pPr>
        <w:ind w:left="720" w:hanging="360"/>
      </w:pPr>
      <w:rPr>
        <w:rFonts w:hint="default"/>
        <w:b w:val="0"/>
        <w:bCs w:val="0"/>
      </w:rPr>
    </w:lvl>
    <w:lvl w:ilvl="1" w:tplc="77068E42">
      <w:start w:val="1"/>
      <w:numFmt w:val="decimal"/>
      <w:lvlText w:val="%2."/>
      <w:lvlJc w:val="left"/>
      <w:pPr>
        <w:ind w:left="1440" w:hanging="360"/>
      </w:pPr>
      <w:rPr>
        <w:b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E924CE4"/>
    <w:multiLevelType w:val="hybridMultilevel"/>
    <w:tmpl w:val="FDF8C1D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15:restartNumberingAfterBreak="0">
    <w:nsid w:val="5FD81BF5"/>
    <w:multiLevelType w:val="hybridMultilevel"/>
    <w:tmpl w:val="46266DB2"/>
    <w:lvl w:ilvl="0" w:tplc="04090015">
      <w:start w:val="1"/>
      <w:numFmt w:val="upperLetter"/>
      <w:lvlText w:val="%1."/>
      <w:lvlJc w:val="left"/>
      <w:pPr>
        <w:ind w:left="720" w:hanging="360"/>
      </w:pPr>
    </w:lvl>
    <w:lvl w:ilvl="1" w:tplc="77068E42">
      <w:start w:val="1"/>
      <w:numFmt w:val="decimal"/>
      <w:lvlText w:val="%2."/>
      <w:lvlJc w:val="left"/>
      <w:pPr>
        <w:ind w:left="1440" w:hanging="360"/>
      </w:pPr>
      <w:rPr>
        <w:b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15252D3"/>
    <w:multiLevelType w:val="hybridMultilevel"/>
    <w:tmpl w:val="5B8EBBC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8F2C32"/>
    <w:multiLevelType w:val="hybridMultilevel"/>
    <w:tmpl w:val="AB928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0E741E"/>
    <w:multiLevelType w:val="hybridMultilevel"/>
    <w:tmpl w:val="E27AFD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447911"/>
    <w:multiLevelType w:val="hybridMultilevel"/>
    <w:tmpl w:val="F66657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Arial"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Arial"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71C740D9"/>
    <w:multiLevelType w:val="hybridMultilevel"/>
    <w:tmpl w:val="65DAEB4C"/>
    <w:lvl w:ilvl="0" w:tplc="EF34293E">
      <w:start w:val="1"/>
      <w:numFmt w:val="bullet"/>
      <w:lvlText w:val=""/>
      <w:lvlJc w:val="left"/>
      <w:pPr>
        <w:tabs>
          <w:tab w:val="num" w:pos="360"/>
        </w:tabs>
        <w:ind w:left="360" w:hanging="360"/>
      </w:pPr>
      <w:rPr>
        <w:rFonts w:ascii="Symbol" w:hAnsi="Symbol" w:hint="default"/>
      </w:rPr>
    </w:lvl>
    <w:lvl w:ilvl="1" w:tplc="B922E890">
      <w:numFmt w:val="bullet"/>
      <w:lvlText w:val="•"/>
      <w:lvlJc w:val="left"/>
      <w:pPr>
        <w:ind w:left="1800" w:hanging="720"/>
      </w:pPr>
      <w:rPr>
        <w:rFonts w:ascii="Times New Roman" w:eastAsia="Calibr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2102A47"/>
    <w:multiLevelType w:val="hybridMultilevel"/>
    <w:tmpl w:val="5D5281F4"/>
    <w:lvl w:ilvl="0" w:tplc="D4148498">
      <w:start w:val="2"/>
      <w:numFmt w:val="upperRoman"/>
      <w:lvlText w:val="%1."/>
      <w:lvlJc w:val="left"/>
      <w:pPr>
        <w:ind w:left="940" w:hanging="821"/>
      </w:pPr>
      <w:rPr>
        <w:rFonts w:ascii="Times New Roman" w:eastAsia="Times New Roman" w:hAnsi="Times New Roman" w:cs="Times New Roman" w:hint="default"/>
        <w:b/>
        <w:bCs/>
        <w:spacing w:val="-2"/>
        <w:w w:val="98"/>
        <w:sz w:val="24"/>
        <w:szCs w:val="24"/>
      </w:rPr>
    </w:lvl>
    <w:lvl w:ilvl="1" w:tplc="5F9AEB94">
      <w:start w:val="1"/>
      <w:numFmt w:val="decimal"/>
      <w:lvlText w:val="(%2)"/>
      <w:lvlJc w:val="left"/>
      <w:pPr>
        <w:ind w:left="931" w:hanging="360"/>
      </w:pPr>
      <w:rPr>
        <w:rFonts w:ascii="Times New Roman" w:eastAsia="Times New Roman" w:hAnsi="Times New Roman" w:cs="Times New Roman" w:hint="default"/>
        <w:spacing w:val="-1"/>
        <w:w w:val="99"/>
        <w:sz w:val="24"/>
        <w:szCs w:val="24"/>
      </w:rPr>
    </w:lvl>
    <w:lvl w:ilvl="2" w:tplc="4B1E3F6C">
      <w:numFmt w:val="bullet"/>
      <w:lvlText w:val="•"/>
      <w:lvlJc w:val="left"/>
      <w:pPr>
        <w:ind w:left="2692" w:hanging="360"/>
      </w:pPr>
    </w:lvl>
    <w:lvl w:ilvl="3" w:tplc="5FFA5BD2">
      <w:numFmt w:val="bullet"/>
      <w:lvlText w:val="•"/>
      <w:lvlJc w:val="left"/>
      <w:pPr>
        <w:ind w:left="3568" w:hanging="360"/>
      </w:pPr>
    </w:lvl>
    <w:lvl w:ilvl="4" w:tplc="EE5E19F6">
      <w:numFmt w:val="bullet"/>
      <w:lvlText w:val="•"/>
      <w:lvlJc w:val="left"/>
      <w:pPr>
        <w:ind w:left="4444" w:hanging="360"/>
      </w:pPr>
    </w:lvl>
    <w:lvl w:ilvl="5" w:tplc="75302CA6">
      <w:numFmt w:val="bullet"/>
      <w:lvlText w:val="•"/>
      <w:lvlJc w:val="left"/>
      <w:pPr>
        <w:ind w:left="5320" w:hanging="360"/>
      </w:pPr>
    </w:lvl>
    <w:lvl w:ilvl="6" w:tplc="63784A3A">
      <w:numFmt w:val="bullet"/>
      <w:lvlText w:val="•"/>
      <w:lvlJc w:val="left"/>
      <w:pPr>
        <w:ind w:left="6196" w:hanging="360"/>
      </w:pPr>
    </w:lvl>
    <w:lvl w:ilvl="7" w:tplc="109A4C9C">
      <w:numFmt w:val="bullet"/>
      <w:lvlText w:val="•"/>
      <w:lvlJc w:val="left"/>
      <w:pPr>
        <w:ind w:left="7072" w:hanging="360"/>
      </w:pPr>
    </w:lvl>
    <w:lvl w:ilvl="8" w:tplc="55503FD4">
      <w:numFmt w:val="bullet"/>
      <w:lvlText w:val="•"/>
      <w:lvlJc w:val="left"/>
      <w:pPr>
        <w:ind w:left="7948" w:hanging="360"/>
      </w:pPr>
    </w:lvl>
  </w:abstractNum>
  <w:abstractNum w:abstractNumId="29" w15:restartNumberingAfterBreak="0">
    <w:nsid w:val="7B2503AF"/>
    <w:multiLevelType w:val="hybridMultilevel"/>
    <w:tmpl w:val="586CA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887114"/>
    <w:multiLevelType w:val="hybridMultilevel"/>
    <w:tmpl w:val="D5E2EA32"/>
    <w:lvl w:ilvl="0" w:tplc="B220129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2"/>
  </w:num>
  <w:num w:numId="3">
    <w:abstractNumId w:val="22"/>
  </w:num>
  <w:num w:numId="4">
    <w:abstractNumId w:val="22"/>
  </w:num>
  <w:num w:numId="5">
    <w:abstractNumId w:val="27"/>
  </w:num>
  <w:num w:numId="6">
    <w:abstractNumId w:val="27"/>
  </w:num>
  <w:num w:numId="7">
    <w:abstractNumId w:val="21"/>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8"/>
  </w:num>
  <w:num w:numId="13">
    <w:abstractNumId w:val="13"/>
  </w:num>
  <w:num w:numId="14">
    <w:abstractNumId w:val="13"/>
  </w:num>
  <w:num w:numId="15">
    <w:abstractNumId w:val="26"/>
  </w:num>
  <w:num w:numId="16">
    <w:abstractNumId w:val="26"/>
  </w:num>
  <w:num w:numId="17">
    <w:abstractNumId w:val="15"/>
  </w:num>
  <w:num w:numId="18">
    <w:abstractNumId w:val="29"/>
  </w:num>
  <w:num w:numId="19">
    <w:abstractNumId w:val="11"/>
  </w:num>
  <w:num w:numId="20">
    <w:abstractNumId w:val="0"/>
  </w:num>
  <w:num w:numId="21">
    <w:abstractNumId w:val="19"/>
  </w:num>
  <w:num w:numId="22">
    <w:abstractNumId w:val="28"/>
    <w:lvlOverride w:ilvl="0">
      <w:startOverride w:val="2"/>
    </w:lvlOverride>
    <w:lvlOverride w:ilvl="1">
      <w:startOverride w:val="1"/>
    </w:lvlOverride>
    <w:lvlOverride w:ilvl="2"/>
    <w:lvlOverride w:ilvl="3"/>
    <w:lvlOverride w:ilvl="4"/>
    <w:lvlOverride w:ilvl="5"/>
    <w:lvlOverride w:ilvl="6"/>
    <w:lvlOverride w:ilvl="7"/>
    <w:lvlOverride w:ilvl="8"/>
  </w:num>
  <w:num w:numId="23">
    <w:abstractNumId w:val="16"/>
  </w:num>
  <w:num w:numId="24">
    <w:abstractNumId w:val="24"/>
  </w:num>
  <w:num w:numId="25">
    <w:abstractNumId w:val="23"/>
  </w:num>
  <w:num w:numId="26">
    <w:abstractNumId w:val="17"/>
  </w:num>
  <w:num w:numId="27">
    <w:abstractNumId w:val="20"/>
  </w:num>
  <w:num w:numId="28">
    <w:abstractNumId w:val="25"/>
  </w:num>
  <w:num w:numId="29">
    <w:abstractNumId w:val="30"/>
  </w:num>
  <w:num w:numId="30">
    <w:abstractNumId w:val="10"/>
  </w:num>
  <w:num w:numId="31">
    <w:abstractNumId w:val="8"/>
  </w:num>
  <w:num w:numId="32">
    <w:abstractNumId w:val="7"/>
  </w:num>
  <w:num w:numId="33">
    <w:abstractNumId w:val="6"/>
  </w:num>
  <w:num w:numId="34">
    <w:abstractNumId w:val="5"/>
  </w:num>
  <w:num w:numId="35">
    <w:abstractNumId w:val="9"/>
  </w:num>
  <w:num w:numId="36">
    <w:abstractNumId w:val="4"/>
  </w:num>
  <w:num w:numId="37">
    <w:abstractNumId w:val="3"/>
  </w:num>
  <w:num w:numId="38">
    <w:abstractNumId w:val="2"/>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ytDQ2tjAxNTA0MDVS0lEKTi0uzszPAykwrAUAVBU6piwAAAA="/>
  </w:docVars>
  <w:rsids>
    <w:rsidRoot w:val="007857A9"/>
    <w:rsid w:val="0000504B"/>
    <w:rsid w:val="000110D1"/>
    <w:rsid w:val="000124E3"/>
    <w:rsid w:val="00023C3E"/>
    <w:rsid w:val="00034ECE"/>
    <w:rsid w:val="0004568E"/>
    <w:rsid w:val="00047413"/>
    <w:rsid w:val="0005102A"/>
    <w:rsid w:val="00055AAB"/>
    <w:rsid w:val="00056925"/>
    <w:rsid w:val="00060C94"/>
    <w:rsid w:val="00065704"/>
    <w:rsid w:val="00065FC3"/>
    <w:rsid w:val="00066045"/>
    <w:rsid w:val="00066841"/>
    <w:rsid w:val="00070FC6"/>
    <w:rsid w:val="00075742"/>
    <w:rsid w:val="00082708"/>
    <w:rsid w:val="000864D1"/>
    <w:rsid w:val="000B2AE7"/>
    <w:rsid w:val="000E3CC8"/>
    <w:rsid w:val="000E3F18"/>
    <w:rsid w:val="000E5716"/>
    <w:rsid w:val="000E5A2D"/>
    <w:rsid w:val="000F07F8"/>
    <w:rsid w:val="001017D0"/>
    <w:rsid w:val="00112D4E"/>
    <w:rsid w:val="0011703B"/>
    <w:rsid w:val="00121CE4"/>
    <w:rsid w:val="001226AA"/>
    <w:rsid w:val="001232C0"/>
    <w:rsid w:val="00123AE6"/>
    <w:rsid w:val="00126229"/>
    <w:rsid w:val="0012718F"/>
    <w:rsid w:val="00132134"/>
    <w:rsid w:val="001461C4"/>
    <w:rsid w:val="001625F5"/>
    <w:rsid w:val="001639F7"/>
    <w:rsid w:val="00164356"/>
    <w:rsid w:val="00166D66"/>
    <w:rsid w:val="0016765E"/>
    <w:rsid w:val="0017193D"/>
    <w:rsid w:val="00181AD0"/>
    <w:rsid w:val="0019676B"/>
    <w:rsid w:val="00196B07"/>
    <w:rsid w:val="001A3E37"/>
    <w:rsid w:val="001A6447"/>
    <w:rsid w:val="001B2E63"/>
    <w:rsid w:val="001D0E27"/>
    <w:rsid w:val="001D65C7"/>
    <w:rsid w:val="001E02A5"/>
    <w:rsid w:val="001E450E"/>
    <w:rsid w:val="001F5AF1"/>
    <w:rsid w:val="00201494"/>
    <w:rsid w:val="00202EEE"/>
    <w:rsid w:val="0020352E"/>
    <w:rsid w:val="00203B2B"/>
    <w:rsid w:val="0020595F"/>
    <w:rsid w:val="002104CD"/>
    <w:rsid w:val="00210EC4"/>
    <w:rsid w:val="00211265"/>
    <w:rsid w:val="00211A8C"/>
    <w:rsid w:val="002122F3"/>
    <w:rsid w:val="0022719E"/>
    <w:rsid w:val="00240866"/>
    <w:rsid w:val="00250613"/>
    <w:rsid w:val="00250ED5"/>
    <w:rsid w:val="0025374B"/>
    <w:rsid w:val="002630CD"/>
    <w:rsid w:val="00286DAA"/>
    <w:rsid w:val="00287D46"/>
    <w:rsid w:val="0029486B"/>
    <w:rsid w:val="00297605"/>
    <w:rsid w:val="002A5E04"/>
    <w:rsid w:val="002B0C5B"/>
    <w:rsid w:val="002B0FAB"/>
    <w:rsid w:val="002B56E4"/>
    <w:rsid w:val="002B6AD6"/>
    <w:rsid w:val="002B6BC1"/>
    <w:rsid w:val="002C0D90"/>
    <w:rsid w:val="002C635E"/>
    <w:rsid w:val="002D554B"/>
    <w:rsid w:val="002D670B"/>
    <w:rsid w:val="002E3FA1"/>
    <w:rsid w:val="002F02F9"/>
    <w:rsid w:val="002F1FB2"/>
    <w:rsid w:val="002F3B97"/>
    <w:rsid w:val="002F3C4E"/>
    <w:rsid w:val="002F6211"/>
    <w:rsid w:val="002F6A67"/>
    <w:rsid w:val="00307348"/>
    <w:rsid w:val="00307CA9"/>
    <w:rsid w:val="00310795"/>
    <w:rsid w:val="00311928"/>
    <w:rsid w:val="00331A46"/>
    <w:rsid w:val="00333618"/>
    <w:rsid w:val="00362BCD"/>
    <w:rsid w:val="00372598"/>
    <w:rsid w:val="00376275"/>
    <w:rsid w:val="0037711B"/>
    <w:rsid w:val="00380224"/>
    <w:rsid w:val="00382CD7"/>
    <w:rsid w:val="0038541B"/>
    <w:rsid w:val="00390ADA"/>
    <w:rsid w:val="003B0B1C"/>
    <w:rsid w:val="003B5EAE"/>
    <w:rsid w:val="003D12F0"/>
    <w:rsid w:val="003D2E6A"/>
    <w:rsid w:val="003D5ACF"/>
    <w:rsid w:val="003D65F1"/>
    <w:rsid w:val="003E2E44"/>
    <w:rsid w:val="003F6B01"/>
    <w:rsid w:val="00405509"/>
    <w:rsid w:val="004263F9"/>
    <w:rsid w:val="00432AB7"/>
    <w:rsid w:val="00440EEE"/>
    <w:rsid w:val="00441D42"/>
    <w:rsid w:val="004428B5"/>
    <w:rsid w:val="00446E1D"/>
    <w:rsid w:val="00465397"/>
    <w:rsid w:val="00471F46"/>
    <w:rsid w:val="004733B0"/>
    <w:rsid w:val="00474916"/>
    <w:rsid w:val="004759C7"/>
    <w:rsid w:val="00475B4B"/>
    <w:rsid w:val="00484354"/>
    <w:rsid w:val="004A0680"/>
    <w:rsid w:val="004A729B"/>
    <w:rsid w:val="004A79C5"/>
    <w:rsid w:val="004A7FB9"/>
    <w:rsid w:val="004B3559"/>
    <w:rsid w:val="004B4B8A"/>
    <w:rsid w:val="004B6426"/>
    <w:rsid w:val="004C789E"/>
    <w:rsid w:val="004C7C84"/>
    <w:rsid w:val="004D1874"/>
    <w:rsid w:val="004D5F3F"/>
    <w:rsid w:val="004D697E"/>
    <w:rsid w:val="004E44E7"/>
    <w:rsid w:val="0050351C"/>
    <w:rsid w:val="00512454"/>
    <w:rsid w:val="00512873"/>
    <w:rsid w:val="00520942"/>
    <w:rsid w:val="00520B20"/>
    <w:rsid w:val="00520E6F"/>
    <w:rsid w:val="00520EA0"/>
    <w:rsid w:val="00530378"/>
    <w:rsid w:val="00533927"/>
    <w:rsid w:val="00546717"/>
    <w:rsid w:val="00546A45"/>
    <w:rsid w:val="00553C78"/>
    <w:rsid w:val="005559A9"/>
    <w:rsid w:val="00565C4A"/>
    <w:rsid w:val="00585255"/>
    <w:rsid w:val="00590BDF"/>
    <w:rsid w:val="00595813"/>
    <w:rsid w:val="005A6085"/>
    <w:rsid w:val="005B0893"/>
    <w:rsid w:val="005B63DB"/>
    <w:rsid w:val="005C2ACB"/>
    <w:rsid w:val="005C65AD"/>
    <w:rsid w:val="005D1258"/>
    <w:rsid w:val="005D25FA"/>
    <w:rsid w:val="005D5A73"/>
    <w:rsid w:val="005E0760"/>
    <w:rsid w:val="005E081B"/>
    <w:rsid w:val="005E348C"/>
    <w:rsid w:val="005E35B4"/>
    <w:rsid w:val="005E3609"/>
    <w:rsid w:val="005E5878"/>
    <w:rsid w:val="005E6A36"/>
    <w:rsid w:val="005F4039"/>
    <w:rsid w:val="005F615F"/>
    <w:rsid w:val="005F739B"/>
    <w:rsid w:val="0063427E"/>
    <w:rsid w:val="006360B7"/>
    <w:rsid w:val="006517E0"/>
    <w:rsid w:val="00653749"/>
    <w:rsid w:val="0065751A"/>
    <w:rsid w:val="00660C20"/>
    <w:rsid w:val="00660C22"/>
    <w:rsid w:val="00662F90"/>
    <w:rsid w:val="006835CF"/>
    <w:rsid w:val="006838AA"/>
    <w:rsid w:val="0068489C"/>
    <w:rsid w:val="0068502D"/>
    <w:rsid w:val="00687C62"/>
    <w:rsid w:val="0069452B"/>
    <w:rsid w:val="00695BEF"/>
    <w:rsid w:val="006B1031"/>
    <w:rsid w:val="006B413D"/>
    <w:rsid w:val="006C20AA"/>
    <w:rsid w:val="006C3758"/>
    <w:rsid w:val="006C4CE9"/>
    <w:rsid w:val="006E4B36"/>
    <w:rsid w:val="006F1A09"/>
    <w:rsid w:val="006F20AC"/>
    <w:rsid w:val="00701C3B"/>
    <w:rsid w:val="00703270"/>
    <w:rsid w:val="00706631"/>
    <w:rsid w:val="00706EB8"/>
    <w:rsid w:val="00717040"/>
    <w:rsid w:val="00730555"/>
    <w:rsid w:val="00740BBE"/>
    <w:rsid w:val="00747821"/>
    <w:rsid w:val="007725BF"/>
    <w:rsid w:val="0078042E"/>
    <w:rsid w:val="00780B58"/>
    <w:rsid w:val="00784067"/>
    <w:rsid w:val="007847A2"/>
    <w:rsid w:val="007857A9"/>
    <w:rsid w:val="0079000D"/>
    <w:rsid w:val="00792788"/>
    <w:rsid w:val="00796C88"/>
    <w:rsid w:val="007A2D44"/>
    <w:rsid w:val="007A416D"/>
    <w:rsid w:val="007A7BAA"/>
    <w:rsid w:val="007B3361"/>
    <w:rsid w:val="007B5E86"/>
    <w:rsid w:val="007E2797"/>
    <w:rsid w:val="007E328E"/>
    <w:rsid w:val="007E5003"/>
    <w:rsid w:val="007E5B72"/>
    <w:rsid w:val="007E6D8C"/>
    <w:rsid w:val="008047E2"/>
    <w:rsid w:val="00823869"/>
    <w:rsid w:val="00824A6D"/>
    <w:rsid w:val="0082598F"/>
    <w:rsid w:val="00835CF5"/>
    <w:rsid w:val="00840CE3"/>
    <w:rsid w:val="00842A56"/>
    <w:rsid w:val="0084627D"/>
    <w:rsid w:val="00851DC3"/>
    <w:rsid w:val="00856CFC"/>
    <w:rsid w:val="008656E9"/>
    <w:rsid w:val="008717A0"/>
    <w:rsid w:val="00880821"/>
    <w:rsid w:val="00884059"/>
    <w:rsid w:val="008863D7"/>
    <w:rsid w:val="008A1FE7"/>
    <w:rsid w:val="008B0834"/>
    <w:rsid w:val="008B3C43"/>
    <w:rsid w:val="008C0D14"/>
    <w:rsid w:val="008C1291"/>
    <w:rsid w:val="008D011B"/>
    <w:rsid w:val="008D2B91"/>
    <w:rsid w:val="008D2C15"/>
    <w:rsid w:val="008D5715"/>
    <w:rsid w:val="008F3022"/>
    <w:rsid w:val="00902468"/>
    <w:rsid w:val="00903EA9"/>
    <w:rsid w:val="009071AE"/>
    <w:rsid w:val="00907F46"/>
    <w:rsid w:val="00915C22"/>
    <w:rsid w:val="009161F7"/>
    <w:rsid w:val="00922583"/>
    <w:rsid w:val="0093025D"/>
    <w:rsid w:val="00931AF9"/>
    <w:rsid w:val="00937E4F"/>
    <w:rsid w:val="00950E37"/>
    <w:rsid w:val="00953619"/>
    <w:rsid w:val="00956681"/>
    <w:rsid w:val="00964B39"/>
    <w:rsid w:val="009678B3"/>
    <w:rsid w:val="00967A25"/>
    <w:rsid w:val="00976B5A"/>
    <w:rsid w:val="009813AE"/>
    <w:rsid w:val="0098697E"/>
    <w:rsid w:val="009B2036"/>
    <w:rsid w:val="009C1658"/>
    <w:rsid w:val="009D01E1"/>
    <w:rsid w:val="009D2931"/>
    <w:rsid w:val="009D708F"/>
    <w:rsid w:val="009E1282"/>
    <w:rsid w:val="009E4551"/>
    <w:rsid w:val="009E4C0F"/>
    <w:rsid w:val="009F1CA7"/>
    <w:rsid w:val="009F5D10"/>
    <w:rsid w:val="009F64DE"/>
    <w:rsid w:val="00A03FEA"/>
    <w:rsid w:val="00A068A5"/>
    <w:rsid w:val="00A0714B"/>
    <w:rsid w:val="00A13119"/>
    <w:rsid w:val="00A139AE"/>
    <w:rsid w:val="00A140F5"/>
    <w:rsid w:val="00A24F04"/>
    <w:rsid w:val="00A301A5"/>
    <w:rsid w:val="00A354A8"/>
    <w:rsid w:val="00A37CB0"/>
    <w:rsid w:val="00A4262E"/>
    <w:rsid w:val="00A446C9"/>
    <w:rsid w:val="00A46F78"/>
    <w:rsid w:val="00A51ECD"/>
    <w:rsid w:val="00A52480"/>
    <w:rsid w:val="00A56499"/>
    <w:rsid w:val="00A6068E"/>
    <w:rsid w:val="00A622D4"/>
    <w:rsid w:val="00A64083"/>
    <w:rsid w:val="00A701EF"/>
    <w:rsid w:val="00A7142F"/>
    <w:rsid w:val="00A72DC4"/>
    <w:rsid w:val="00A73EE4"/>
    <w:rsid w:val="00A7496B"/>
    <w:rsid w:val="00A749F7"/>
    <w:rsid w:val="00A910E7"/>
    <w:rsid w:val="00A94A17"/>
    <w:rsid w:val="00AA0498"/>
    <w:rsid w:val="00AA16E5"/>
    <w:rsid w:val="00AA444C"/>
    <w:rsid w:val="00AA50F2"/>
    <w:rsid w:val="00AB3D37"/>
    <w:rsid w:val="00AB413D"/>
    <w:rsid w:val="00AB42B9"/>
    <w:rsid w:val="00AB79A8"/>
    <w:rsid w:val="00AE304B"/>
    <w:rsid w:val="00AE5E0A"/>
    <w:rsid w:val="00AE623B"/>
    <w:rsid w:val="00B0380D"/>
    <w:rsid w:val="00B038A3"/>
    <w:rsid w:val="00B039C8"/>
    <w:rsid w:val="00B11403"/>
    <w:rsid w:val="00B13003"/>
    <w:rsid w:val="00B13DBA"/>
    <w:rsid w:val="00B21FF0"/>
    <w:rsid w:val="00B221A3"/>
    <w:rsid w:val="00B231D0"/>
    <w:rsid w:val="00B25700"/>
    <w:rsid w:val="00B25A2E"/>
    <w:rsid w:val="00B30D82"/>
    <w:rsid w:val="00B313B6"/>
    <w:rsid w:val="00B338C6"/>
    <w:rsid w:val="00B34C8B"/>
    <w:rsid w:val="00B430D4"/>
    <w:rsid w:val="00B4520E"/>
    <w:rsid w:val="00B460F9"/>
    <w:rsid w:val="00B54B78"/>
    <w:rsid w:val="00B5504C"/>
    <w:rsid w:val="00B623E6"/>
    <w:rsid w:val="00B6694F"/>
    <w:rsid w:val="00B774EA"/>
    <w:rsid w:val="00B8172B"/>
    <w:rsid w:val="00B81D0F"/>
    <w:rsid w:val="00B8239F"/>
    <w:rsid w:val="00B878BE"/>
    <w:rsid w:val="00B93662"/>
    <w:rsid w:val="00BA2ED2"/>
    <w:rsid w:val="00BB3485"/>
    <w:rsid w:val="00BB4926"/>
    <w:rsid w:val="00BC009B"/>
    <w:rsid w:val="00BC48FA"/>
    <w:rsid w:val="00BC6660"/>
    <w:rsid w:val="00BE01EA"/>
    <w:rsid w:val="00BE3B03"/>
    <w:rsid w:val="00BF6562"/>
    <w:rsid w:val="00BF7F5F"/>
    <w:rsid w:val="00C02ED9"/>
    <w:rsid w:val="00C04921"/>
    <w:rsid w:val="00C1681B"/>
    <w:rsid w:val="00C24191"/>
    <w:rsid w:val="00C348CF"/>
    <w:rsid w:val="00C3730D"/>
    <w:rsid w:val="00C465A9"/>
    <w:rsid w:val="00C54253"/>
    <w:rsid w:val="00C54545"/>
    <w:rsid w:val="00C55029"/>
    <w:rsid w:val="00C609E7"/>
    <w:rsid w:val="00C61752"/>
    <w:rsid w:val="00C637D6"/>
    <w:rsid w:val="00C63E07"/>
    <w:rsid w:val="00C6426A"/>
    <w:rsid w:val="00C675E8"/>
    <w:rsid w:val="00C67605"/>
    <w:rsid w:val="00C70647"/>
    <w:rsid w:val="00C74C2E"/>
    <w:rsid w:val="00C77048"/>
    <w:rsid w:val="00C7762A"/>
    <w:rsid w:val="00C803B3"/>
    <w:rsid w:val="00C87D9A"/>
    <w:rsid w:val="00C900A6"/>
    <w:rsid w:val="00C922AB"/>
    <w:rsid w:val="00C96506"/>
    <w:rsid w:val="00CA4895"/>
    <w:rsid w:val="00CA6A0E"/>
    <w:rsid w:val="00CB438F"/>
    <w:rsid w:val="00CB57D8"/>
    <w:rsid w:val="00CB6D7E"/>
    <w:rsid w:val="00CC20B4"/>
    <w:rsid w:val="00CC35DA"/>
    <w:rsid w:val="00CD4B51"/>
    <w:rsid w:val="00CD4DDA"/>
    <w:rsid w:val="00CD6DD9"/>
    <w:rsid w:val="00CE37CF"/>
    <w:rsid w:val="00CE390F"/>
    <w:rsid w:val="00CF096D"/>
    <w:rsid w:val="00CF33A2"/>
    <w:rsid w:val="00CF3BFA"/>
    <w:rsid w:val="00CF72D6"/>
    <w:rsid w:val="00CF7487"/>
    <w:rsid w:val="00CF7DC1"/>
    <w:rsid w:val="00D006FF"/>
    <w:rsid w:val="00D019D7"/>
    <w:rsid w:val="00D02C1C"/>
    <w:rsid w:val="00D03647"/>
    <w:rsid w:val="00D1244E"/>
    <w:rsid w:val="00D13F26"/>
    <w:rsid w:val="00D14280"/>
    <w:rsid w:val="00D156C1"/>
    <w:rsid w:val="00D17809"/>
    <w:rsid w:val="00D201D1"/>
    <w:rsid w:val="00D22BAB"/>
    <w:rsid w:val="00D33F53"/>
    <w:rsid w:val="00D4084E"/>
    <w:rsid w:val="00D42B64"/>
    <w:rsid w:val="00D4359C"/>
    <w:rsid w:val="00D51235"/>
    <w:rsid w:val="00D521E2"/>
    <w:rsid w:val="00D62EE3"/>
    <w:rsid w:val="00D63F2E"/>
    <w:rsid w:val="00D67257"/>
    <w:rsid w:val="00D6734E"/>
    <w:rsid w:val="00D716A8"/>
    <w:rsid w:val="00D736E5"/>
    <w:rsid w:val="00D77CEA"/>
    <w:rsid w:val="00D80011"/>
    <w:rsid w:val="00D86296"/>
    <w:rsid w:val="00D86E30"/>
    <w:rsid w:val="00D9299B"/>
    <w:rsid w:val="00D966F5"/>
    <w:rsid w:val="00DA2BAE"/>
    <w:rsid w:val="00DA3A5E"/>
    <w:rsid w:val="00DC0AC4"/>
    <w:rsid w:val="00DC25E5"/>
    <w:rsid w:val="00DC298D"/>
    <w:rsid w:val="00DC390C"/>
    <w:rsid w:val="00DC679B"/>
    <w:rsid w:val="00DC758D"/>
    <w:rsid w:val="00DD3CF8"/>
    <w:rsid w:val="00DD46F5"/>
    <w:rsid w:val="00DD5E64"/>
    <w:rsid w:val="00DE5AD6"/>
    <w:rsid w:val="00DE7E14"/>
    <w:rsid w:val="00E066DA"/>
    <w:rsid w:val="00E114F6"/>
    <w:rsid w:val="00E21C9D"/>
    <w:rsid w:val="00E2442E"/>
    <w:rsid w:val="00E2699C"/>
    <w:rsid w:val="00E2743B"/>
    <w:rsid w:val="00E3045C"/>
    <w:rsid w:val="00E4169D"/>
    <w:rsid w:val="00E44281"/>
    <w:rsid w:val="00E46D30"/>
    <w:rsid w:val="00E603D3"/>
    <w:rsid w:val="00E61785"/>
    <w:rsid w:val="00E62468"/>
    <w:rsid w:val="00E706E1"/>
    <w:rsid w:val="00E7134D"/>
    <w:rsid w:val="00E75BC9"/>
    <w:rsid w:val="00E83D4C"/>
    <w:rsid w:val="00E921D5"/>
    <w:rsid w:val="00E9239D"/>
    <w:rsid w:val="00E96817"/>
    <w:rsid w:val="00E974D6"/>
    <w:rsid w:val="00EB2CDF"/>
    <w:rsid w:val="00EC24EF"/>
    <w:rsid w:val="00ED1D25"/>
    <w:rsid w:val="00EE5836"/>
    <w:rsid w:val="00EE5AAE"/>
    <w:rsid w:val="00EE62D3"/>
    <w:rsid w:val="00EE692E"/>
    <w:rsid w:val="00EF18A4"/>
    <w:rsid w:val="00EF2E47"/>
    <w:rsid w:val="00EF7440"/>
    <w:rsid w:val="00F14DC9"/>
    <w:rsid w:val="00F156F0"/>
    <w:rsid w:val="00F17FD7"/>
    <w:rsid w:val="00F204AA"/>
    <w:rsid w:val="00F218E9"/>
    <w:rsid w:val="00F31F6E"/>
    <w:rsid w:val="00F3341D"/>
    <w:rsid w:val="00F33803"/>
    <w:rsid w:val="00F4217F"/>
    <w:rsid w:val="00F43F1F"/>
    <w:rsid w:val="00F507FB"/>
    <w:rsid w:val="00F5259E"/>
    <w:rsid w:val="00F573A5"/>
    <w:rsid w:val="00F57E35"/>
    <w:rsid w:val="00F72128"/>
    <w:rsid w:val="00F74D7C"/>
    <w:rsid w:val="00F76643"/>
    <w:rsid w:val="00F81FC0"/>
    <w:rsid w:val="00F91C4C"/>
    <w:rsid w:val="00FA3264"/>
    <w:rsid w:val="00FB3787"/>
    <w:rsid w:val="00FB4F5C"/>
    <w:rsid w:val="00FB5C0B"/>
    <w:rsid w:val="00FC1522"/>
    <w:rsid w:val="00FC2342"/>
    <w:rsid w:val="00FC3D22"/>
    <w:rsid w:val="00FC6E37"/>
    <w:rsid w:val="00FD0006"/>
    <w:rsid w:val="00FE660B"/>
    <w:rsid w:val="00FF0D64"/>
    <w:rsid w:val="00FF1CC1"/>
    <w:rsid w:val="00FF3A17"/>
    <w:rsid w:val="00FF4B6D"/>
    <w:rsid w:val="00FF4BBC"/>
    <w:rsid w:val="00FF6C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2A9CDA"/>
  <w15:chartTrackingRefBased/>
  <w15:docId w15:val="{29217DDE-23FB-4EA7-88B4-EE84CD3D1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70B"/>
    <w:pPr>
      <w:spacing w:after="200" w:line="276" w:lineRule="auto"/>
    </w:pPr>
    <w:rPr>
      <w:sz w:val="22"/>
      <w:szCs w:val="22"/>
    </w:rPr>
  </w:style>
  <w:style w:type="paragraph" w:styleId="Heading1">
    <w:name w:val="heading 1"/>
    <w:basedOn w:val="Normal"/>
    <w:next w:val="Normal"/>
    <w:link w:val="Heading1Char"/>
    <w:uiPriority w:val="9"/>
    <w:qFormat/>
    <w:rsid w:val="007D3F0C"/>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Title"/>
    <w:next w:val="Normal"/>
    <w:link w:val="Heading2Char"/>
    <w:uiPriority w:val="9"/>
    <w:unhideWhenUsed/>
    <w:qFormat/>
    <w:rsid w:val="00A13119"/>
    <w:pPr>
      <w:spacing w:after="120"/>
      <w:jc w:val="left"/>
      <w:outlineLvl w:val="1"/>
    </w:pPr>
    <w:rPr>
      <w:rFonts w:ascii="Arial" w:hAnsi="Arial" w:cs="Arial"/>
      <w:sz w:val="24"/>
      <w:szCs w:val="24"/>
      <w:u w:val="single"/>
    </w:rPr>
  </w:style>
  <w:style w:type="paragraph" w:styleId="Heading3">
    <w:name w:val="heading 3"/>
    <w:basedOn w:val="Normal"/>
    <w:next w:val="Normal"/>
    <w:link w:val="Heading3Char"/>
    <w:uiPriority w:val="9"/>
    <w:qFormat/>
    <w:rsid w:val="005F4933"/>
    <w:pPr>
      <w:keepNext/>
      <w:spacing w:before="240" w:after="60"/>
      <w:outlineLvl w:val="2"/>
    </w:pPr>
    <w:rPr>
      <w:rFonts w:ascii="Cambria" w:eastAsia="Times New Roman" w:hAnsi="Cambria"/>
      <w:b/>
      <w:bCs/>
      <w:sz w:val="26"/>
      <w:szCs w:val="26"/>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paragraph" w:styleId="FootnoteText">
    <w:name w:val="footnote text"/>
    <w:basedOn w:val="Normal"/>
    <w:link w:val="FootnoteTextChar"/>
    <w:uiPriority w:val="99"/>
    <w:unhideWhenUsed/>
    <w:pPr>
      <w:spacing w:after="0" w:line="240" w:lineRule="auto"/>
    </w:pPr>
    <w:rPr>
      <w:sz w:val="20"/>
      <w:szCs w:val="20"/>
      <w:lang w:val="x-none" w:eastAsia="x-none"/>
    </w:rPr>
  </w:style>
  <w:style w:type="character" w:customStyle="1" w:styleId="FootnoteTextChar">
    <w:name w:val="Footnote Text Char"/>
    <w:link w:val="FootnoteText"/>
    <w:uiPriority w:val="99"/>
    <w:locked/>
    <w:rPr>
      <w:sz w:val="20"/>
      <w:szCs w:val="20"/>
    </w:rPr>
  </w:style>
  <w:style w:type="paragraph" w:styleId="CommentText">
    <w:name w:val="annotation text"/>
    <w:basedOn w:val="Normal"/>
    <w:link w:val="CommentTextChar"/>
    <w:uiPriority w:val="99"/>
    <w:semiHidden/>
    <w:unhideWhenUsed/>
    <w:pPr>
      <w:spacing w:line="240" w:lineRule="auto"/>
    </w:pPr>
    <w:rPr>
      <w:sz w:val="20"/>
      <w:szCs w:val="20"/>
      <w:lang w:val="x-none" w:eastAsia="x-none"/>
    </w:rPr>
  </w:style>
  <w:style w:type="character" w:customStyle="1" w:styleId="CommentTextChar">
    <w:name w:val="Comment Text Char"/>
    <w:link w:val="CommentText"/>
    <w:uiPriority w:val="99"/>
    <w:semiHidden/>
    <w:locked/>
    <w:rPr>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locked/>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locked/>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locked/>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locked/>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Pr>
      <w:rFonts w:ascii="Tahoma" w:hAnsi="Tahoma" w:cs="Tahoma" w:hint="default"/>
      <w:sz w:val="16"/>
      <w:szCs w:val="16"/>
    </w:rPr>
  </w:style>
  <w:style w:type="paragraph" w:customStyle="1" w:styleId="ColorfulShading-Accent31">
    <w:name w:val="Colorful Shading - Accent 31"/>
    <w:basedOn w:val="Normal"/>
    <w:uiPriority w:val="34"/>
    <w:qFormat/>
    <w:pPr>
      <w:ind w:left="720"/>
      <w:contextualSpacing/>
    </w:pPr>
  </w:style>
  <w:style w:type="character" w:styleId="FootnoteReference">
    <w:name w:val="footnote reference"/>
    <w:uiPriority w:val="99"/>
    <w:unhideWhenUsed/>
    <w:rPr>
      <w:vertAlign w:val="superscript"/>
    </w:rPr>
  </w:style>
  <w:style w:type="character" w:styleId="CommentReference">
    <w:name w:val="annotation reference"/>
    <w:uiPriority w:val="99"/>
    <w:semiHidden/>
    <w:unhideWhenUsed/>
    <w:rPr>
      <w:sz w:val="16"/>
      <w:szCs w:val="16"/>
    </w:rPr>
  </w:style>
  <w:style w:type="table" w:styleId="TableGrid">
    <w:name w:val="Table Grid"/>
    <w:basedOn w:val="TableNormal"/>
    <w:uiPriority w:val="5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Shading1-Accent21">
    <w:name w:val="Medium Shading 1 - Accent 21"/>
    <w:link w:val="MediumShading1-Accent2Char"/>
    <w:uiPriority w:val="1"/>
    <w:qFormat/>
    <w:rsid w:val="00F304A5"/>
    <w:rPr>
      <w:rFonts w:eastAsia="MS Mincho"/>
      <w:sz w:val="22"/>
      <w:szCs w:val="22"/>
      <w:lang w:eastAsia="ja-JP"/>
    </w:rPr>
  </w:style>
  <w:style w:type="character" w:customStyle="1" w:styleId="MediumShading1-Accent2Char">
    <w:name w:val="Medium Shading 1 - Accent 2 Char"/>
    <w:link w:val="MediumShading1-Accent21"/>
    <w:uiPriority w:val="1"/>
    <w:rsid w:val="00F304A5"/>
    <w:rPr>
      <w:rFonts w:eastAsia="MS Mincho"/>
      <w:sz w:val="22"/>
      <w:szCs w:val="22"/>
      <w:lang w:eastAsia="ja-JP" w:bidi="ar-SA"/>
    </w:rPr>
  </w:style>
  <w:style w:type="character" w:customStyle="1" w:styleId="Heading1Char">
    <w:name w:val="Heading 1 Char"/>
    <w:link w:val="Heading1"/>
    <w:uiPriority w:val="9"/>
    <w:rsid w:val="007D3F0C"/>
    <w:rPr>
      <w:rFonts w:ascii="Cambria" w:eastAsia="Times New Roman" w:hAnsi="Cambria" w:cs="Times New Roman"/>
      <w:b/>
      <w:bCs/>
      <w:kern w:val="32"/>
      <w:sz w:val="32"/>
      <w:szCs w:val="32"/>
    </w:rPr>
  </w:style>
  <w:style w:type="paragraph" w:customStyle="1" w:styleId="GridTable31">
    <w:name w:val="Grid Table 31"/>
    <w:basedOn w:val="Heading1"/>
    <w:next w:val="Normal"/>
    <w:uiPriority w:val="39"/>
    <w:semiHidden/>
    <w:unhideWhenUsed/>
    <w:qFormat/>
    <w:rsid w:val="007D3F0C"/>
    <w:pPr>
      <w:keepLines/>
      <w:spacing w:before="480" w:after="0"/>
      <w:outlineLvl w:val="9"/>
    </w:pPr>
    <w:rPr>
      <w:color w:val="365F91"/>
      <w:kern w:val="0"/>
      <w:sz w:val="28"/>
      <w:szCs w:val="28"/>
      <w:lang w:eastAsia="ja-JP"/>
    </w:rPr>
  </w:style>
  <w:style w:type="paragraph" w:styleId="Title">
    <w:name w:val="Title"/>
    <w:basedOn w:val="Normal"/>
    <w:next w:val="Normal"/>
    <w:link w:val="TitleChar"/>
    <w:uiPriority w:val="10"/>
    <w:qFormat/>
    <w:rsid w:val="007D3F0C"/>
    <w:pPr>
      <w:spacing w:before="240" w:after="60"/>
      <w:jc w:val="center"/>
      <w:outlineLvl w:val="0"/>
    </w:pPr>
    <w:rPr>
      <w:rFonts w:ascii="Cambria" w:eastAsia="Times New Roman" w:hAnsi="Cambria"/>
      <w:b/>
      <w:bCs/>
      <w:kern w:val="28"/>
      <w:sz w:val="32"/>
      <w:szCs w:val="32"/>
      <w:lang w:val="x-none" w:eastAsia="x-none"/>
    </w:rPr>
  </w:style>
  <w:style w:type="character" w:customStyle="1" w:styleId="TitleChar">
    <w:name w:val="Title Char"/>
    <w:link w:val="Title"/>
    <w:uiPriority w:val="10"/>
    <w:rsid w:val="007D3F0C"/>
    <w:rPr>
      <w:rFonts w:ascii="Cambria" w:eastAsia="Times New Roman" w:hAnsi="Cambria" w:cs="Times New Roman"/>
      <w:b/>
      <w:bCs/>
      <w:kern w:val="28"/>
      <w:sz w:val="32"/>
      <w:szCs w:val="32"/>
    </w:rPr>
  </w:style>
  <w:style w:type="paragraph" w:styleId="Subtitle">
    <w:name w:val="Subtitle"/>
    <w:basedOn w:val="Normal"/>
    <w:next w:val="Normal"/>
    <w:link w:val="SubtitleChar"/>
    <w:uiPriority w:val="11"/>
    <w:qFormat/>
    <w:rsid w:val="007D3F0C"/>
    <w:pPr>
      <w:spacing w:after="60"/>
      <w:jc w:val="center"/>
      <w:outlineLvl w:val="1"/>
    </w:pPr>
    <w:rPr>
      <w:rFonts w:ascii="Cambria" w:eastAsia="Times New Roman" w:hAnsi="Cambria"/>
      <w:sz w:val="24"/>
      <w:szCs w:val="24"/>
      <w:lang w:val="x-none" w:eastAsia="x-none"/>
    </w:rPr>
  </w:style>
  <w:style w:type="character" w:customStyle="1" w:styleId="SubtitleChar">
    <w:name w:val="Subtitle Char"/>
    <w:link w:val="Subtitle"/>
    <w:uiPriority w:val="11"/>
    <w:rsid w:val="007D3F0C"/>
    <w:rPr>
      <w:rFonts w:ascii="Cambria" w:eastAsia="Times New Roman" w:hAnsi="Cambria" w:cs="Times New Roman"/>
      <w:sz w:val="24"/>
      <w:szCs w:val="24"/>
    </w:rPr>
  </w:style>
  <w:style w:type="character" w:customStyle="1" w:styleId="PlainTable31">
    <w:name w:val="Plain Table 31"/>
    <w:uiPriority w:val="19"/>
    <w:qFormat/>
    <w:rsid w:val="007D3F0C"/>
    <w:rPr>
      <w:i/>
      <w:iCs/>
      <w:color w:val="808080"/>
    </w:rPr>
  </w:style>
  <w:style w:type="paragraph" w:styleId="TOC1">
    <w:name w:val="toc 1"/>
    <w:basedOn w:val="Normal"/>
    <w:next w:val="Normal"/>
    <w:autoRedefine/>
    <w:uiPriority w:val="39"/>
    <w:unhideWhenUsed/>
    <w:qFormat/>
    <w:rsid w:val="00BF1D5A"/>
    <w:pPr>
      <w:tabs>
        <w:tab w:val="right" w:leader="dot" w:pos="9350"/>
      </w:tabs>
      <w:spacing w:before="200"/>
    </w:pPr>
  </w:style>
  <w:style w:type="paragraph" w:styleId="TOC2">
    <w:name w:val="toc 2"/>
    <w:basedOn w:val="Normal"/>
    <w:next w:val="Normal"/>
    <w:autoRedefine/>
    <w:uiPriority w:val="39"/>
    <w:unhideWhenUsed/>
    <w:qFormat/>
    <w:rsid w:val="00BF1D5A"/>
    <w:pPr>
      <w:tabs>
        <w:tab w:val="right" w:leader="dot" w:pos="9350"/>
      </w:tabs>
      <w:spacing w:line="252" w:lineRule="auto"/>
      <w:ind w:left="216"/>
    </w:pPr>
  </w:style>
  <w:style w:type="character" w:styleId="Emphasis">
    <w:name w:val="Emphasis"/>
    <w:uiPriority w:val="20"/>
    <w:qFormat/>
    <w:rsid w:val="007D3F0C"/>
    <w:rPr>
      <w:i/>
      <w:iCs/>
    </w:rPr>
  </w:style>
  <w:style w:type="character" w:customStyle="1" w:styleId="Heading3Char">
    <w:name w:val="Heading 3 Char"/>
    <w:link w:val="Heading3"/>
    <w:uiPriority w:val="9"/>
    <w:semiHidden/>
    <w:rsid w:val="005F4933"/>
    <w:rPr>
      <w:rFonts w:ascii="Cambria" w:eastAsia="Times New Roman" w:hAnsi="Cambria" w:cs="Times New Roman"/>
      <w:b/>
      <w:bCs/>
      <w:sz w:val="26"/>
      <w:szCs w:val="26"/>
    </w:rPr>
  </w:style>
  <w:style w:type="paragraph" w:styleId="TOC3">
    <w:name w:val="toc 3"/>
    <w:basedOn w:val="Normal"/>
    <w:next w:val="Normal"/>
    <w:autoRedefine/>
    <w:uiPriority w:val="39"/>
    <w:unhideWhenUsed/>
    <w:qFormat/>
    <w:rsid w:val="005F4933"/>
    <w:pPr>
      <w:ind w:left="440"/>
    </w:pPr>
  </w:style>
  <w:style w:type="paragraph" w:customStyle="1" w:styleId="Default">
    <w:name w:val="Default"/>
    <w:rsid w:val="00D15F1A"/>
    <w:pPr>
      <w:autoSpaceDE w:val="0"/>
      <w:autoSpaceDN w:val="0"/>
      <w:adjustRightInd w:val="0"/>
    </w:pPr>
    <w:rPr>
      <w:rFonts w:cs="Calibri"/>
      <w:color w:val="000000"/>
      <w:sz w:val="24"/>
      <w:szCs w:val="24"/>
    </w:rPr>
  </w:style>
  <w:style w:type="paragraph" w:customStyle="1" w:styleId="MediumGrid2-Accent11">
    <w:name w:val="Medium Grid 2 - Accent 11"/>
    <w:uiPriority w:val="1"/>
    <w:qFormat/>
    <w:rsid w:val="00BC48FA"/>
    <w:rPr>
      <w:sz w:val="22"/>
      <w:szCs w:val="22"/>
    </w:rPr>
  </w:style>
  <w:style w:type="character" w:customStyle="1" w:styleId="LightGrid-Accent3Char">
    <w:name w:val="Light Grid - Accent 3 Char"/>
    <w:aliases w:val="Bullet List Char"/>
    <w:link w:val="LightGrid-Accent31"/>
    <w:uiPriority w:val="34"/>
    <w:locked/>
    <w:rsid w:val="00FF4B6D"/>
    <w:rPr>
      <w:rFonts w:ascii="Times New Roman" w:eastAsia="Times New Roman" w:hAnsi="Times New Roman"/>
      <w:sz w:val="22"/>
      <w:szCs w:val="22"/>
    </w:rPr>
  </w:style>
  <w:style w:type="paragraph" w:customStyle="1" w:styleId="LightGrid-Accent31">
    <w:name w:val="Light Grid - Accent 31"/>
    <w:aliases w:val="Bullet List"/>
    <w:basedOn w:val="Normal"/>
    <w:link w:val="LightGrid-Accent3Char"/>
    <w:uiPriority w:val="34"/>
    <w:qFormat/>
    <w:rsid w:val="00FF4B6D"/>
    <w:pPr>
      <w:widowControl w:val="0"/>
      <w:autoSpaceDE w:val="0"/>
      <w:autoSpaceDN w:val="0"/>
      <w:spacing w:after="0" w:line="240" w:lineRule="auto"/>
      <w:ind w:left="1533" w:hanging="360"/>
    </w:pPr>
    <w:rPr>
      <w:rFonts w:ascii="Times New Roman" w:eastAsia="Times New Roman" w:hAnsi="Times New Roman"/>
    </w:rPr>
  </w:style>
  <w:style w:type="character" w:styleId="UnresolvedMention">
    <w:name w:val="Unresolved Mention"/>
    <w:uiPriority w:val="99"/>
    <w:semiHidden/>
    <w:unhideWhenUsed/>
    <w:rsid w:val="002B6BC1"/>
    <w:rPr>
      <w:color w:val="605E5C"/>
      <w:shd w:val="clear" w:color="auto" w:fill="E1DFDD"/>
    </w:rPr>
  </w:style>
  <w:style w:type="paragraph" w:customStyle="1" w:styleId="MediumList2-Accent21">
    <w:name w:val="Medium List 2 - Accent 21"/>
    <w:hidden/>
    <w:uiPriority w:val="99"/>
    <w:semiHidden/>
    <w:rsid w:val="004A7FB9"/>
    <w:rPr>
      <w:sz w:val="22"/>
      <w:szCs w:val="22"/>
    </w:rPr>
  </w:style>
  <w:style w:type="paragraph" w:customStyle="1" w:styleId="MediumGrid1-Accent21">
    <w:name w:val="Medium Grid 1 - Accent 21"/>
    <w:basedOn w:val="Normal"/>
    <w:uiPriority w:val="34"/>
    <w:qFormat/>
    <w:rsid w:val="0020352E"/>
    <w:pPr>
      <w:ind w:left="720"/>
    </w:pPr>
  </w:style>
  <w:style w:type="paragraph" w:customStyle="1" w:styleId="GridTable32">
    <w:name w:val="Grid Table 32"/>
    <w:basedOn w:val="Heading1"/>
    <w:next w:val="Normal"/>
    <w:uiPriority w:val="39"/>
    <w:unhideWhenUsed/>
    <w:qFormat/>
    <w:rsid w:val="00203B2B"/>
    <w:pPr>
      <w:keepLines/>
      <w:spacing w:after="0" w:line="259" w:lineRule="auto"/>
      <w:outlineLvl w:val="9"/>
    </w:pPr>
    <w:rPr>
      <w:rFonts w:ascii="Calibri Light" w:hAnsi="Calibri Light"/>
      <w:b w:val="0"/>
      <w:bCs w:val="0"/>
      <w:color w:val="2F5496"/>
      <w:kern w:val="0"/>
      <w:lang w:val="en-US" w:eastAsia="en-US"/>
    </w:rPr>
  </w:style>
  <w:style w:type="paragraph" w:styleId="EndnoteText">
    <w:name w:val="endnote text"/>
    <w:basedOn w:val="Normal"/>
    <w:link w:val="EndnoteTextChar"/>
    <w:uiPriority w:val="99"/>
    <w:semiHidden/>
    <w:unhideWhenUsed/>
    <w:rsid w:val="00717040"/>
    <w:rPr>
      <w:sz w:val="20"/>
      <w:szCs w:val="20"/>
    </w:rPr>
  </w:style>
  <w:style w:type="character" w:customStyle="1" w:styleId="EndnoteTextChar">
    <w:name w:val="Endnote Text Char"/>
    <w:basedOn w:val="DefaultParagraphFont"/>
    <w:link w:val="EndnoteText"/>
    <w:uiPriority w:val="99"/>
    <w:semiHidden/>
    <w:rsid w:val="00717040"/>
  </w:style>
  <w:style w:type="character" w:styleId="EndnoteReference">
    <w:name w:val="endnote reference"/>
    <w:uiPriority w:val="99"/>
    <w:semiHidden/>
    <w:unhideWhenUsed/>
    <w:rsid w:val="00717040"/>
    <w:rPr>
      <w:vertAlign w:val="superscript"/>
    </w:rPr>
  </w:style>
  <w:style w:type="character" w:customStyle="1" w:styleId="Heading2Char">
    <w:name w:val="Heading 2 Char"/>
    <w:basedOn w:val="DefaultParagraphFont"/>
    <w:link w:val="Heading2"/>
    <w:uiPriority w:val="9"/>
    <w:rsid w:val="00A13119"/>
    <w:rPr>
      <w:rFonts w:ascii="Arial" w:eastAsia="Times New Roman" w:hAnsi="Arial" w:cs="Arial"/>
      <w:b/>
      <w:bCs/>
      <w:kern w:val="28"/>
      <w:sz w:val="24"/>
      <w:szCs w:val="24"/>
      <w:u w:val="single"/>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079457">
      <w:bodyDiv w:val="1"/>
      <w:marLeft w:val="0"/>
      <w:marRight w:val="0"/>
      <w:marTop w:val="0"/>
      <w:marBottom w:val="0"/>
      <w:divBdr>
        <w:top w:val="none" w:sz="0" w:space="0" w:color="auto"/>
        <w:left w:val="none" w:sz="0" w:space="0" w:color="auto"/>
        <w:bottom w:val="none" w:sz="0" w:space="0" w:color="auto"/>
        <w:right w:val="none" w:sz="0" w:space="0" w:color="auto"/>
      </w:divBdr>
    </w:div>
    <w:div w:id="276528125">
      <w:bodyDiv w:val="1"/>
      <w:marLeft w:val="0"/>
      <w:marRight w:val="0"/>
      <w:marTop w:val="0"/>
      <w:marBottom w:val="0"/>
      <w:divBdr>
        <w:top w:val="none" w:sz="0" w:space="0" w:color="auto"/>
        <w:left w:val="none" w:sz="0" w:space="0" w:color="auto"/>
        <w:bottom w:val="none" w:sz="0" w:space="0" w:color="auto"/>
        <w:right w:val="none" w:sz="0" w:space="0" w:color="auto"/>
      </w:divBdr>
    </w:div>
    <w:div w:id="683170668">
      <w:bodyDiv w:val="1"/>
      <w:marLeft w:val="0"/>
      <w:marRight w:val="0"/>
      <w:marTop w:val="0"/>
      <w:marBottom w:val="0"/>
      <w:divBdr>
        <w:top w:val="none" w:sz="0" w:space="0" w:color="auto"/>
        <w:left w:val="none" w:sz="0" w:space="0" w:color="auto"/>
        <w:bottom w:val="none" w:sz="0" w:space="0" w:color="auto"/>
        <w:right w:val="none" w:sz="0" w:space="0" w:color="auto"/>
      </w:divBdr>
      <w:divsChild>
        <w:div w:id="990451765">
          <w:marLeft w:val="0"/>
          <w:marRight w:val="0"/>
          <w:marTop w:val="0"/>
          <w:marBottom w:val="0"/>
          <w:divBdr>
            <w:top w:val="none" w:sz="0" w:space="0" w:color="auto"/>
            <w:left w:val="none" w:sz="0" w:space="0" w:color="auto"/>
            <w:bottom w:val="none" w:sz="0" w:space="0" w:color="auto"/>
            <w:right w:val="none" w:sz="0" w:space="0" w:color="auto"/>
          </w:divBdr>
          <w:divsChild>
            <w:div w:id="433479061">
              <w:marLeft w:val="0"/>
              <w:marRight w:val="0"/>
              <w:marTop w:val="0"/>
              <w:marBottom w:val="0"/>
              <w:divBdr>
                <w:top w:val="none" w:sz="0" w:space="0" w:color="auto"/>
                <w:left w:val="none" w:sz="0" w:space="0" w:color="auto"/>
                <w:bottom w:val="none" w:sz="0" w:space="0" w:color="auto"/>
                <w:right w:val="none" w:sz="0" w:space="0" w:color="auto"/>
              </w:divBdr>
              <w:divsChild>
                <w:div w:id="2063559118">
                  <w:marLeft w:val="0"/>
                  <w:marRight w:val="0"/>
                  <w:marTop w:val="0"/>
                  <w:marBottom w:val="0"/>
                  <w:divBdr>
                    <w:top w:val="none" w:sz="0" w:space="0" w:color="auto"/>
                    <w:left w:val="none" w:sz="0" w:space="0" w:color="auto"/>
                    <w:bottom w:val="none" w:sz="0" w:space="0" w:color="auto"/>
                    <w:right w:val="none" w:sz="0" w:space="0" w:color="auto"/>
                  </w:divBdr>
                  <w:divsChild>
                    <w:div w:id="1626620772">
                      <w:marLeft w:val="0"/>
                      <w:marRight w:val="0"/>
                      <w:marTop w:val="0"/>
                      <w:marBottom w:val="0"/>
                      <w:divBdr>
                        <w:top w:val="none" w:sz="0" w:space="0" w:color="auto"/>
                        <w:left w:val="none" w:sz="0" w:space="0" w:color="auto"/>
                        <w:bottom w:val="none" w:sz="0" w:space="0" w:color="auto"/>
                        <w:right w:val="none" w:sz="0" w:space="0" w:color="auto"/>
                      </w:divBdr>
                      <w:divsChild>
                        <w:div w:id="502285443">
                          <w:marLeft w:val="0"/>
                          <w:marRight w:val="0"/>
                          <w:marTop w:val="0"/>
                          <w:marBottom w:val="0"/>
                          <w:divBdr>
                            <w:top w:val="none" w:sz="0" w:space="0" w:color="auto"/>
                            <w:left w:val="none" w:sz="0" w:space="0" w:color="auto"/>
                            <w:bottom w:val="none" w:sz="0" w:space="0" w:color="auto"/>
                            <w:right w:val="none" w:sz="0" w:space="0" w:color="auto"/>
                          </w:divBdr>
                          <w:divsChild>
                            <w:div w:id="1469320183">
                              <w:marLeft w:val="0"/>
                              <w:marRight w:val="0"/>
                              <w:marTop w:val="0"/>
                              <w:marBottom w:val="0"/>
                              <w:divBdr>
                                <w:top w:val="none" w:sz="0" w:space="0" w:color="auto"/>
                                <w:left w:val="none" w:sz="0" w:space="0" w:color="auto"/>
                                <w:bottom w:val="none" w:sz="0" w:space="0" w:color="auto"/>
                                <w:right w:val="none" w:sz="0" w:space="0" w:color="auto"/>
                              </w:divBdr>
                              <w:divsChild>
                                <w:div w:id="1123039979">
                                  <w:marLeft w:val="0"/>
                                  <w:marRight w:val="0"/>
                                  <w:marTop w:val="0"/>
                                  <w:marBottom w:val="0"/>
                                  <w:divBdr>
                                    <w:top w:val="none" w:sz="0" w:space="0" w:color="auto"/>
                                    <w:left w:val="none" w:sz="0" w:space="0" w:color="auto"/>
                                    <w:bottom w:val="none" w:sz="0" w:space="0" w:color="auto"/>
                                    <w:right w:val="none" w:sz="0" w:space="0" w:color="auto"/>
                                  </w:divBdr>
                                  <w:divsChild>
                                    <w:div w:id="1247885611">
                                      <w:marLeft w:val="0"/>
                                      <w:marRight w:val="0"/>
                                      <w:marTop w:val="0"/>
                                      <w:marBottom w:val="0"/>
                                      <w:divBdr>
                                        <w:top w:val="none" w:sz="0" w:space="0" w:color="auto"/>
                                        <w:left w:val="none" w:sz="0" w:space="0" w:color="auto"/>
                                        <w:bottom w:val="none" w:sz="0" w:space="0" w:color="auto"/>
                                        <w:right w:val="none" w:sz="0" w:space="0" w:color="auto"/>
                                      </w:divBdr>
                                      <w:divsChild>
                                        <w:div w:id="832329986">
                                          <w:marLeft w:val="0"/>
                                          <w:marRight w:val="0"/>
                                          <w:marTop w:val="0"/>
                                          <w:marBottom w:val="0"/>
                                          <w:divBdr>
                                            <w:top w:val="none" w:sz="0" w:space="0" w:color="auto"/>
                                            <w:left w:val="none" w:sz="0" w:space="0" w:color="auto"/>
                                            <w:bottom w:val="none" w:sz="0" w:space="0" w:color="auto"/>
                                            <w:right w:val="none" w:sz="0" w:space="0" w:color="auto"/>
                                          </w:divBdr>
                                          <w:divsChild>
                                            <w:div w:id="120879814">
                                              <w:marLeft w:val="0"/>
                                              <w:marRight w:val="0"/>
                                              <w:marTop w:val="0"/>
                                              <w:marBottom w:val="0"/>
                                              <w:divBdr>
                                                <w:top w:val="none" w:sz="0" w:space="0" w:color="auto"/>
                                                <w:left w:val="none" w:sz="0" w:space="0" w:color="auto"/>
                                                <w:bottom w:val="none" w:sz="0" w:space="0" w:color="auto"/>
                                                <w:right w:val="none" w:sz="0" w:space="0" w:color="auto"/>
                                              </w:divBdr>
                                              <w:divsChild>
                                                <w:div w:id="1265114167">
                                                  <w:marLeft w:val="0"/>
                                                  <w:marRight w:val="0"/>
                                                  <w:marTop w:val="0"/>
                                                  <w:marBottom w:val="0"/>
                                                  <w:divBdr>
                                                    <w:top w:val="none" w:sz="0" w:space="0" w:color="auto"/>
                                                    <w:left w:val="none" w:sz="0" w:space="0" w:color="auto"/>
                                                    <w:bottom w:val="none" w:sz="0" w:space="0" w:color="auto"/>
                                                    <w:right w:val="none" w:sz="0" w:space="0" w:color="auto"/>
                                                  </w:divBdr>
                                                  <w:divsChild>
                                                    <w:div w:id="1257405290">
                                                      <w:marLeft w:val="0"/>
                                                      <w:marRight w:val="0"/>
                                                      <w:marTop w:val="0"/>
                                                      <w:marBottom w:val="0"/>
                                                      <w:divBdr>
                                                        <w:top w:val="none" w:sz="0" w:space="0" w:color="auto"/>
                                                        <w:left w:val="none" w:sz="0" w:space="0" w:color="auto"/>
                                                        <w:bottom w:val="none" w:sz="0" w:space="0" w:color="auto"/>
                                                        <w:right w:val="none" w:sz="0" w:space="0" w:color="auto"/>
                                                      </w:divBdr>
                                                      <w:divsChild>
                                                        <w:div w:id="1329359811">
                                                          <w:marLeft w:val="0"/>
                                                          <w:marRight w:val="0"/>
                                                          <w:marTop w:val="0"/>
                                                          <w:marBottom w:val="0"/>
                                                          <w:divBdr>
                                                            <w:top w:val="none" w:sz="0" w:space="0" w:color="auto"/>
                                                            <w:left w:val="none" w:sz="0" w:space="0" w:color="auto"/>
                                                            <w:bottom w:val="none" w:sz="0" w:space="0" w:color="auto"/>
                                                            <w:right w:val="none" w:sz="0" w:space="0" w:color="auto"/>
                                                          </w:divBdr>
                                                          <w:divsChild>
                                                            <w:div w:id="1402605134">
                                                              <w:marLeft w:val="0"/>
                                                              <w:marRight w:val="0"/>
                                                              <w:marTop w:val="0"/>
                                                              <w:marBottom w:val="0"/>
                                                              <w:divBdr>
                                                                <w:top w:val="none" w:sz="0" w:space="0" w:color="auto"/>
                                                                <w:left w:val="none" w:sz="0" w:space="0" w:color="auto"/>
                                                                <w:bottom w:val="none" w:sz="0" w:space="0" w:color="auto"/>
                                                                <w:right w:val="none" w:sz="0" w:space="0" w:color="auto"/>
                                                              </w:divBdr>
                                                              <w:divsChild>
                                                                <w:div w:id="674307700">
                                                                  <w:marLeft w:val="0"/>
                                                                  <w:marRight w:val="0"/>
                                                                  <w:marTop w:val="0"/>
                                                                  <w:marBottom w:val="0"/>
                                                                  <w:divBdr>
                                                                    <w:top w:val="none" w:sz="0" w:space="0" w:color="auto"/>
                                                                    <w:left w:val="none" w:sz="0" w:space="0" w:color="auto"/>
                                                                    <w:bottom w:val="none" w:sz="0" w:space="0" w:color="auto"/>
                                                                    <w:right w:val="none" w:sz="0" w:space="0" w:color="auto"/>
                                                                  </w:divBdr>
                                                                  <w:divsChild>
                                                                    <w:div w:id="1491748820">
                                                                      <w:marLeft w:val="0"/>
                                                                      <w:marRight w:val="0"/>
                                                                      <w:marTop w:val="0"/>
                                                                      <w:marBottom w:val="0"/>
                                                                      <w:divBdr>
                                                                        <w:top w:val="none" w:sz="0" w:space="0" w:color="auto"/>
                                                                        <w:left w:val="none" w:sz="0" w:space="0" w:color="auto"/>
                                                                        <w:bottom w:val="none" w:sz="0" w:space="0" w:color="auto"/>
                                                                        <w:right w:val="none" w:sz="0" w:space="0" w:color="auto"/>
                                                                      </w:divBdr>
                                                                      <w:divsChild>
                                                                        <w:div w:id="1296369316">
                                                                          <w:marLeft w:val="0"/>
                                                                          <w:marRight w:val="0"/>
                                                                          <w:marTop w:val="0"/>
                                                                          <w:marBottom w:val="0"/>
                                                                          <w:divBdr>
                                                                            <w:top w:val="none" w:sz="0" w:space="0" w:color="auto"/>
                                                                            <w:left w:val="none" w:sz="0" w:space="0" w:color="auto"/>
                                                                            <w:bottom w:val="none" w:sz="0" w:space="0" w:color="auto"/>
                                                                            <w:right w:val="none" w:sz="0" w:space="0" w:color="auto"/>
                                                                          </w:divBdr>
                                                                          <w:divsChild>
                                                                            <w:div w:id="55051733">
                                                                              <w:marLeft w:val="0"/>
                                                                              <w:marRight w:val="0"/>
                                                                              <w:marTop w:val="0"/>
                                                                              <w:marBottom w:val="0"/>
                                                                              <w:divBdr>
                                                                                <w:top w:val="none" w:sz="0" w:space="0" w:color="auto"/>
                                                                                <w:left w:val="none" w:sz="0" w:space="0" w:color="auto"/>
                                                                                <w:bottom w:val="none" w:sz="0" w:space="0" w:color="auto"/>
                                                                                <w:right w:val="none" w:sz="0" w:space="0" w:color="auto"/>
                                                                              </w:divBdr>
                                                                              <w:divsChild>
                                                                                <w:div w:id="1782065919">
                                                                                  <w:marLeft w:val="0"/>
                                                                                  <w:marRight w:val="0"/>
                                                                                  <w:marTop w:val="0"/>
                                                                                  <w:marBottom w:val="0"/>
                                                                                  <w:divBdr>
                                                                                    <w:top w:val="none" w:sz="0" w:space="0" w:color="auto"/>
                                                                                    <w:left w:val="none" w:sz="0" w:space="0" w:color="auto"/>
                                                                                    <w:bottom w:val="none" w:sz="0" w:space="0" w:color="auto"/>
                                                                                    <w:right w:val="none" w:sz="0" w:space="0" w:color="auto"/>
                                                                                  </w:divBdr>
                                                                                  <w:divsChild>
                                                                                    <w:div w:id="1378552669">
                                                                                      <w:marLeft w:val="0"/>
                                                                                      <w:marRight w:val="0"/>
                                                                                      <w:marTop w:val="0"/>
                                                                                      <w:marBottom w:val="0"/>
                                                                                      <w:divBdr>
                                                                                        <w:top w:val="none" w:sz="0" w:space="0" w:color="auto"/>
                                                                                        <w:left w:val="none" w:sz="0" w:space="0" w:color="auto"/>
                                                                                        <w:bottom w:val="none" w:sz="0" w:space="0" w:color="auto"/>
                                                                                        <w:right w:val="none" w:sz="0" w:space="0" w:color="auto"/>
                                                                                      </w:divBdr>
                                                                                      <w:divsChild>
                                                                                        <w:div w:id="1566838217">
                                                                                          <w:marLeft w:val="0"/>
                                                                                          <w:marRight w:val="0"/>
                                                                                          <w:marTop w:val="0"/>
                                                                                          <w:marBottom w:val="0"/>
                                                                                          <w:divBdr>
                                                                                            <w:top w:val="none" w:sz="0" w:space="0" w:color="auto"/>
                                                                                            <w:left w:val="none" w:sz="0" w:space="0" w:color="auto"/>
                                                                                            <w:bottom w:val="none" w:sz="0" w:space="0" w:color="auto"/>
                                                                                            <w:right w:val="none" w:sz="0" w:space="0" w:color="auto"/>
                                                                                          </w:divBdr>
                                                                                          <w:divsChild>
                                                                                            <w:div w:id="455880365">
                                                                                              <w:marLeft w:val="0"/>
                                                                                              <w:marRight w:val="0"/>
                                                                                              <w:marTop w:val="0"/>
                                                                                              <w:marBottom w:val="0"/>
                                                                                              <w:divBdr>
                                                                                                <w:top w:val="none" w:sz="0" w:space="0" w:color="auto"/>
                                                                                                <w:left w:val="none" w:sz="0" w:space="0" w:color="auto"/>
                                                                                                <w:bottom w:val="none" w:sz="0" w:space="0" w:color="auto"/>
                                                                                                <w:right w:val="none" w:sz="0" w:space="0" w:color="auto"/>
                                                                                              </w:divBdr>
                                                                                            </w:div>
                                                                                            <w:div w:id="739863986">
                                                                                              <w:marLeft w:val="0"/>
                                                                                              <w:marRight w:val="0"/>
                                                                                              <w:marTop w:val="0"/>
                                                                                              <w:marBottom w:val="0"/>
                                                                                              <w:divBdr>
                                                                                                <w:top w:val="none" w:sz="0" w:space="0" w:color="auto"/>
                                                                                                <w:left w:val="none" w:sz="0" w:space="0" w:color="auto"/>
                                                                                                <w:bottom w:val="none" w:sz="0" w:space="0" w:color="auto"/>
                                                                                                <w:right w:val="none" w:sz="0" w:space="0" w:color="auto"/>
                                                                                              </w:divBdr>
                                                                                            </w:div>
                                                                                            <w:div w:id="76888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4890378">
      <w:bodyDiv w:val="1"/>
      <w:marLeft w:val="0"/>
      <w:marRight w:val="0"/>
      <w:marTop w:val="0"/>
      <w:marBottom w:val="0"/>
      <w:divBdr>
        <w:top w:val="none" w:sz="0" w:space="0" w:color="auto"/>
        <w:left w:val="none" w:sz="0" w:space="0" w:color="auto"/>
        <w:bottom w:val="none" w:sz="0" w:space="0" w:color="auto"/>
        <w:right w:val="none" w:sz="0" w:space="0" w:color="auto"/>
      </w:divBdr>
    </w:div>
    <w:div w:id="940576698">
      <w:bodyDiv w:val="1"/>
      <w:marLeft w:val="0"/>
      <w:marRight w:val="0"/>
      <w:marTop w:val="0"/>
      <w:marBottom w:val="0"/>
      <w:divBdr>
        <w:top w:val="none" w:sz="0" w:space="0" w:color="auto"/>
        <w:left w:val="none" w:sz="0" w:space="0" w:color="auto"/>
        <w:bottom w:val="none" w:sz="0" w:space="0" w:color="auto"/>
        <w:right w:val="none" w:sz="0" w:space="0" w:color="auto"/>
      </w:divBdr>
    </w:div>
    <w:div w:id="1035736106">
      <w:bodyDiv w:val="1"/>
      <w:marLeft w:val="0"/>
      <w:marRight w:val="0"/>
      <w:marTop w:val="0"/>
      <w:marBottom w:val="0"/>
      <w:divBdr>
        <w:top w:val="none" w:sz="0" w:space="0" w:color="auto"/>
        <w:left w:val="none" w:sz="0" w:space="0" w:color="auto"/>
        <w:bottom w:val="none" w:sz="0" w:space="0" w:color="auto"/>
        <w:right w:val="none" w:sz="0" w:space="0" w:color="auto"/>
      </w:divBdr>
    </w:div>
    <w:div w:id="1141076053">
      <w:bodyDiv w:val="1"/>
      <w:marLeft w:val="0"/>
      <w:marRight w:val="0"/>
      <w:marTop w:val="0"/>
      <w:marBottom w:val="0"/>
      <w:divBdr>
        <w:top w:val="none" w:sz="0" w:space="0" w:color="auto"/>
        <w:left w:val="none" w:sz="0" w:space="0" w:color="auto"/>
        <w:bottom w:val="none" w:sz="0" w:space="0" w:color="auto"/>
        <w:right w:val="none" w:sz="0" w:space="0" w:color="auto"/>
      </w:divBdr>
    </w:div>
    <w:div w:id="1213691618">
      <w:bodyDiv w:val="1"/>
      <w:marLeft w:val="0"/>
      <w:marRight w:val="0"/>
      <w:marTop w:val="0"/>
      <w:marBottom w:val="0"/>
      <w:divBdr>
        <w:top w:val="none" w:sz="0" w:space="0" w:color="auto"/>
        <w:left w:val="none" w:sz="0" w:space="0" w:color="auto"/>
        <w:bottom w:val="none" w:sz="0" w:space="0" w:color="auto"/>
        <w:right w:val="none" w:sz="0" w:space="0" w:color="auto"/>
      </w:divBdr>
    </w:div>
    <w:div w:id="1517842988">
      <w:bodyDiv w:val="1"/>
      <w:marLeft w:val="0"/>
      <w:marRight w:val="0"/>
      <w:marTop w:val="0"/>
      <w:marBottom w:val="0"/>
      <w:divBdr>
        <w:top w:val="none" w:sz="0" w:space="0" w:color="auto"/>
        <w:left w:val="none" w:sz="0" w:space="0" w:color="auto"/>
        <w:bottom w:val="none" w:sz="0" w:space="0" w:color="auto"/>
        <w:right w:val="none" w:sz="0" w:space="0" w:color="auto"/>
      </w:divBdr>
    </w:div>
    <w:div w:id="1927764600">
      <w:bodyDiv w:val="1"/>
      <w:marLeft w:val="0"/>
      <w:marRight w:val="0"/>
      <w:marTop w:val="0"/>
      <w:marBottom w:val="0"/>
      <w:divBdr>
        <w:top w:val="none" w:sz="0" w:space="0" w:color="auto"/>
        <w:left w:val="none" w:sz="0" w:space="0" w:color="auto"/>
        <w:bottom w:val="none" w:sz="0" w:space="0" w:color="auto"/>
        <w:right w:val="none" w:sz="0" w:space="0" w:color="auto"/>
      </w:divBdr>
      <w:divsChild>
        <w:div w:id="706370297">
          <w:marLeft w:val="0"/>
          <w:marRight w:val="0"/>
          <w:marTop w:val="0"/>
          <w:marBottom w:val="0"/>
          <w:divBdr>
            <w:top w:val="none" w:sz="0" w:space="0" w:color="auto"/>
            <w:left w:val="none" w:sz="0" w:space="0" w:color="auto"/>
            <w:bottom w:val="none" w:sz="0" w:space="0" w:color="auto"/>
            <w:right w:val="none" w:sz="0" w:space="0" w:color="auto"/>
          </w:divBdr>
          <w:divsChild>
            <w:div w:id="1100183738">
              <w:marLeft w:val="0"/>
              <w:marRight w:val="0"/>
              <w:marTop w:val="0"/>
              <w:marBottom w:val="0"/>
              <w:divBdr>
                <w:top w:val="none" w:sz="0" w:space="0" w:color="auto"/>
                <w:left w:val="none" w:sz="0" w:space="0" w:color="auto"/>
                <w:bottom w:val="none" w:sz="0" w:space="0" w:color="auto"/>
                <w:right w:val="none" w:sz="0" w:space="0" w:color="auto"/>
              </w:divBdr>
            </w:div>
          </w:divsChild>
        </w:div>
        <w:div w:id="875043224">
          <w:marLeft w:val="0"/>
          <w:marRight w:val="0"/>
          <w:marTop w:val="0"/>
          <w:marBottom w:val="0"/>
          <w:divBdr>
            <w:top w:val="none" w:sz="0" w:space="0" w:color="auto"/>
            <w:left w:val="none" w:sz="0" w:space="0" w:color="auto"/>
            <w:bottom w:val="none" w:sz="0" w:space="0" w:color="auto"/>
            <w:right w:val="none" w:sz="0" w:space="0" w:color="auto"/>
          </w:divBdr>
          <w:divsChild>
            <w:div w:id="690692526">
              <w:marLeft w:val="0"/>
              <w:marRight w:val="0"/>
              <w:marTop w:val="0"/>
              <w:marBottom w:val="0"/>
              <w:divBdr>
                <w:top w:val="none" w:sz="0" w:space="0" w:color="auto"/>
                <w:left w:val="none" w:sz="0" w:space="0" w:color="auto"/>
                <w:bottom w:val="none" w:sz="0" w:space="0" w:color="auto"/>
                <w:right w:val="none" w:sz="0" w:space="0" w:color="auto"/>
              </w:divBdr>
            </w:div>
          </w:divsChild>
        </w:div>
        <w:div w:id="2120297620">
          <w:marLeft w:val="0"/>
          <w:marRight w:val="0"/>
          <w:marTop w:val="0"/>
          <w:marBottom w:val="0"/>
          <w:divBdr>
            <w:top w:val="none" w:sz="0" w:space="0" w:color="auto"/>
            <w:left w:val="none" w:sz="0" w:space="0" w:color="auto"/>
            <w:bottom w:val="none" w:sz="0" w:space="0" w:color="auto"/>
            <w:right w:val="none" w:sz="0" w:space="0" w:color="auto"/>
          </w:divBdr>
          <w:divsChild>
            <w:div w:id="146816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gov/newsroom/press-releases/cms-announces-comprehensive-strategy-enhance-hospital-capacity-amid-covid-19-sur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 TargetMode="External"/><Relationship Id="rId4" Type="http://schemas.openxmlformats.org/officeDocument/2006/relationships/settings" Target="settings.xml"/><Relationship Id="rId9" Type="http://schemas.openxmlformats.org/officeDocument/2006/relationships/hyperlink" Target="https://edit.mass.gov/service-details/amendment-of-1115-masshealth-demonstration-waiver-march-2021"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mass.gov/news/behavioral-health-initiative-enhances-connection-to-community-based-supports-for-individuals" TargetMode="External"/><Relationship Id="rId2" Type="http://schemas.openxmlformats.org/officeDocument/2006/relationships/hyperlink" Target="https://www.mass.gov/doc/legislative-report-chapter-55-opioid-overdose-study-august-2017/download" TargetMode="External"/><Relationship Id="rId1" Type="http://schemas.openxmlformats.org/officeDocument/2006/relationships/hyperlink" Target="https://www.chiamass.gov/massachusetts-health-insurance-survey/" TargetMode="External"/><Relationship Id="rId4" Type="http://schemas.openxmlformats.org/officeDocument/2006/relationships/hyperlink" Target="http://cjpp.law.harvard.edu/assets/Massachusetts-Racial-Disparity-Report-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D6A59-8819-48C7-82FC-C7A8033BE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5794</Words>
  <Characters>33032</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38749</CharactersWithSpaces>
  <SharedDoc>false</SharedDoc>
  <HLinks>
    <vt:vector size="42" baseType="variant">
      <vt:variant>
        <vt:i4>131081</vt:i4>
      </vt:variant>
      <vt:variant>
        <vt:i4>6</vt:i4>
      </vt:variant>
      <vt:variant>
        <vt:i4>0</vt:i4>
      </vt:variant>
      <vt:variant>
        <vt:i4>5</vt:i4>
      </vt:variant>
      <vt:variant>
        <vt:lpwstr>http://)/</vt:lpwstr>
      </vt:variant>
      <vt:variant>
        <vt:lpwstr/>
      </vt:variant>
      <vt:variant>
        <vt:i4>7536688</vt:i4>
      </vt:variant>
      <vt:variant>
        <vt:i4>3</vt:i4>
      </vt:variant>
      <vt:variant>
        <vt:i4>0</vt:i4>
      </vt:variant>
      <vt:variant>
        <vt:i4>5</vt:i4>
      </vt:variant>
      <vt:variant>
        <vt:lpwstr>https://edit.mass.gov/service-details/amendment-of-1115-masshealth-demonstration-waiver-march-2021</vt:lpwstr>
      </vt:variant>
      <vt:variant>
        <vt:lpwstr/>
      </vt:variant>
      <vt:variant>
        <vt:i4>3014764</vt:i4>
      </vt:variant>
      <vt:variant>
        <vt:i4>0</vt:i4>
      </vt:variant>
      <vt:variant>
        <vt:i4>0</vt:i4>
      </vt:variant>
      <vt:variant>
        <vt:i4>5</vt:i4>
      </vt:variant>
      <vt:variant>
        <vt:lpwstr>https://www.cms.gov/newsroom/press-releases/cms-announces-comprehensive-strategy-enhance-hospital-capacity-amid-covid-19-surge</vt:lpwstr>
      </vt:variant>
      <vt:variant>
        <vt:lpwstr/>
      </vt:variant>
      <vt:variant>
        <vt:i4>3932267</vt:i4>
      </vt:variant>
      <vt:variant>
        <vt:i4>9</vt:i4>
      </vt:variant>
      <vt:variant>
        <vt:i4>0</vt:i4>
      </vt:variant>
      <vt:variant>
        <vt:i4>5</vt:i4>
      </vt:variant>
      <vt:variant>
        <vt:lpwstr>http://cjpp.law.harvard.edu/assets/Massachusetts-Racial-Disparity-Report-FINAL.pdf</vt:lpwstr>
      </vt:variant>
      <vt:variant>
        <vt:lpwstr/>
      </vt:variant>
      <vt:variant>
        <vt:i4>4128878</vt:i4>
      </vt:variant>
      <vt:variant>
        <vt:i4>6</vt:i4>
      </vt:variant>
      <vt:variant>
        <vt:i4>0</vt:i4>
      </vt:variant>
      <vt:variant>
        <vt:i4>5</vt:i4>
      </vt:variant>
      <vt:variant>
        <vt:lpwstr>https://www.mass.gov/news/behavioral-health-initiative-enhances-connection-to-community-based-supports-for-individuals</vt:lpwstr>
      </vt:variant>
      <vt:variant>
        <vt:lpwstr/>
      </vt:variant>
      <vt:variant>
        <vt:i4>1245213</vt:i4>
      </vt:variant>
      <vt:variant>
        <vt:i4>3</vt:i4>
      </vt:variant>
      <vt:variant>
        <vt:i4>0</vt:i4>
      </vt:variant>
      <vt:variant>
        <vt:i4>5</vt:i4>
      </vt:variant>
      <vt:variant>
        <vt:lpwstr>https://www.mass.gov/doc/legislative-report-chapter-55-opioid-overdose-study-august-2017/download</vt:lpwstr>
      </vt:variant>
      <vt:variant>
        <vt:lpwstr/>
      </vt:variant>
      <vt:variant>
        <vt:i4>3539057</vt:i4>
      </vt:variant>
      <vt:variant>
        <vt:i4>0</vt:i4>
      </vt:variant>
      <vt:variant>
        <vt:i4>0</vt:i4>
      </vt:variant>
      <vt:variant>
        <vt:i4>5</vt:i4>
      </vt:variant>
      <vt:variant>
        <vt:lpwstr>https://www.chiamass.gov/massachusetts-health-insurance-survey/</vt:lpwstr>
      </vt:variant>
      <vt:variant>
        <vt:lpwstr>:~:text=At%202.9%25%2C%20the%20uninsurance%20rate,Massachusetts%20remained%20low%20in%202019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KCK</dc:creator>
  <cp:keywords/>
  <cp:lastModifiedBy>MacLachlan, Jamison B (EHS)</cp:lastModifiedBy>
  <cp:revision>2</cp:revision>
  <cp:lastPrinted>2021-06-08T14:40:00Z</cp:lastPrinted>
  <dcterms:created xsi:type="dcterms:W3CDTF">2021-07-20T14:06:00Z</dcterms:created>
  <dcterms:modified xsi:type="dcterms:W3CDTF">2021-07-20T14:06:00Z</dcterms:modified>
</cp:coreProperties>
</file>